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Vertrag über die Arbeitsweise der Europäischen Union (AEUV)</w:t>
      </w:r>
    </w:p>
    <w:p>
      <w:pPr>
        <w:pStyle w:val="Stand"/>
      </w:pPr>
      <w:r>
        <w:rPr>
          <w:b/>
        </w:rPr>
        <w:t>Nicht amtliche Fassung.</w:t>
      </w:r>
    </w:p>
    <w:p>
      <w:pPr>
        <w:pStyle w:val="Stand"/>
      </w:pPr>
      <w:r>
        <w:t>Die Satznummern sind berechnet, nicht amtlich.</w:t>
      </w:r>
    </w:p>
    <w:p>
      <w:pPr>
        <w:pStyle w:val="Stand"/>
      </w:pPr>
      <w:r>
        <w:rPr>
          <w:b/>
        </w:rPr>
        <w:t xml:space="preserve">Fundstelle: </w:t>
      </w:r>
      <w:r>
        <w:t>ABl. C 202 vom 07.06.2016, S. 47</w:t>
      </w:r>
    </w:p>
    <w:p>
      <w:pPr>
        <w:pStyle w:val="Stand"/>
      </w:pPr>
      <w:r>
        <w:rPr>
          <w:b/>
        </w:rPr>
        <w:t xml:space="preserve">Konsolidierte Fassung vom: </w:t>
      </w:r>
      <w:r>
        <w:t>15.03.2025</w:t>
      </w:r>
    </w:p>
    <w:p>
      <w:pPr>
        <w:pStyle w:val="Stand"/>
      </w:pPr>
      <w:r>
        <w:rPr>
          <w:b/>
        </w:rPr>
        <w:t xml:space="preserve">Diese Fassung abgerufen am: </w:t>
      </w:r>
      <w:r>
        <w:t>20.10.2026</w:t>
      </w:r>
    </w:p>
    <w:p>
      <w:pPr>
        <w:pStyle w:val="Stand"/>
      </w:pPr>
      <w:r>
        <w:rPr>
          <w:b/>
        </w:rPr>
        <w:t xml:space="preserve">Quelle: </w:t>
      </w:r>
      <w:hyperlink r:id="rId10">
        <w:r>
          <w:rPr>
            <w:color w:val="0A3A8C"/>
            <w:u w:val="single"/>
          </w:rPr>
          <w:t xml:space="preserve">EUR-Lex, CELEX 02016E/TXT-20250315</w:t>
        </w:r>
      </w:hyperlink>
    </w:p>
    <w:p>
      <w:pPr>
        <w:pStyle w:val="Heading1"/>
      </w:pPr>
      <w:r>
        <w:t>Inhaltsübersicht</w:t>
      </w:r>
    </w:p>
    <w:p>
      <w:pPr>
        <w:pStyle w:val="Übersicht"/>
        <w:ind w:left="0"/>
      </w:pPr>
      <w:hyperlink w:anchor="b0" w:history="1">
        <w:r>
          <w:rPr>
            <w:color w:val="0A3A8C"/>
            <w:u w:val="single"/>
          </w:rPr>
          <w:t xml:space="preserve">Präambel</w:t>
        </w:r>
      </w:hyperlink>
    </w:p>
    <w:p>
      <w:pPr>
        <w:pStyle w:val="Übersicht"/>
        <w:ind w:left="0"/>
      </w:pPr>
      <w:hyperlink w:anchor="b1" w:history="1">
        <w:r>
          <w:rPr>
            <w:b/>
            <w:color w:val="0A3A8C"/>
            <w:u w:val="single"/>
          </w:rPr>
          <w:t xml:space="preserve">ERSTER TEIL GRUNDSÄTZE</w:t>
        </w:r>
      </w:hyperlink>
    </w:p>
    <w:p>
      <w:pPr>
        <w:pStyle w:val="Übersicht"/>
        <w:ind w:left="340"/>
      </w:pPr>
      <w:hyperlink w:anchor="b2" w:history="1">
        <w:r>
          <w:rPr>
            <w:color w:val="0A3A8C"/>
            <w:u w:val="single"/>
          </w:rPr>
          <w:t xml:space="preserve">Art. 1</w:t>
        </w:r>
      </w:hyperlink>
    </w:p>
    <w:p>
      <w:pPr>
        <w:pStyle w:val="Übersicht"/>
        <w:ind w:left="340"/>
      </w:pPr>
      <w:hyperlink w:anchor="b3" w:history="1">
        <w:r>
          <w:rPr>
            <w:b/>
            <w:color w:val="0A3A8C"/>
            <w:u w:val="single"/>
          </w:rPr>
          <w:t xml:space="preserve">TITEL I ARTEN UND BEREICHE DER ZUSTÄNDIGKEIT DER UNION</w:t>
        </w:r>
      </w:hyperlink>
    </w:p>
    <w:p>
      <w:pPr>
        <w:pStyle w:val="Übersicht"/>
        <w:ind w:left="680"/>
      </w:pPr>
      <w:hyperlink w:anchor="b4" w:history="1">
        <w:r>
          <w:rPr>
            <w:color w:val="0A3A8C"/>
            <w:u w:val="single"/>
          </w:rPr>
          <w:t xml:space="preserve">Art. 2 bis 6</w:t>
        </w:r>
      </w:hyperlink>
    </w:p>
    <w:p>
      <w:pPr>
        <w:pStyle w:val="Übersicht"/>
        <w:ind w:left="340"/>
      </w:pPr>
      <w:hyperlink w:anchor="b9" w:history="1">
        <w:r>
          <w:rPr>
            <w:b/>
            <w:color w:val="0A3A8C"/>
            <w:u w:val="single"/>
          </w:rPr>
          <w:t xml:space="preserve">TITEL II ALLGEMEIN GELTENDE BESTIMMUNGEN</w:t>
        </w:r>
      </w:hyperlink>
    </w:p>
    <w:p>
      <w:pPr>
        <w:pStyle w:val="Übersicht"/>
        <w:ind w:left="680"/>
      </w:pPr>
      <w:hyperlink w:anchor="b10" w:history="1">
        <w:r>
          <w:rPr>
            <w:color w:val="0A3A8C"/>
            <w:u w:val="single"/>
          </w:rPr>
          <w:t xml:space="preserve">Art. 7 bis 17</w:t>
        </w:r>
      </w:hyperlink>
    </w:p>
    <w:p>
      <w:pPr>
        <w:pStyle w:val="Übersicht"/>
        <w:ind w:left="0"/>
      </w:pPr>
      <w:hyperlink w:anchor="b21" w:history="1">
        <w:r>
          <w:rPr>
            <w:b/>
            <w:color w:val="0A3A8C"/>
            <w:u w:val="single"/>
          </w:rPr>
          <w:t xml:space="preserve">ZWEITER TEIL NICHTDISKRIMINIERUNG UND UNIONSBÜRGERSCHAFT</w:t>
        </w:r>
      </w:hyperlink>
    </w:p>
    <w:p>
      <w:pPr>
        <w:pStyle w:val="Übersicht"/>
        <w:ind w:left="340"/>
      </w:pPr>
      <w:hyperlink w:anchor="b22" w:history="1">
        <w:r>
          <w:rPr>
            <w:color w:val="0A3A8C"/>
            <w:u w:val="single"/>
          </w:rPr>
          <w:t xml:space="preserve">Art. 18 bis 25</w:t>
        </w:r>
      </w:hyperlink>
    </w:p>
    <w:p>
      <w:pPr>
        <w:pStyle w:val="Übersicht"/>
        <w:ind w:left="0"/>
      </w:pPr>
      <w:hyperlink w:anchor="b30" w:history="1">
        <w:r>
          <w:rPr>
            <w:b/>
            <w:color w:val="0A3A8C"/>
            <w:u w:val="single"/>
          </w:rPr>
          <w:t xml:space="preserve">DRITTER TEIL DIE INTERNEN POLITIKEN UND MASSNAHMEN DER UNION</w:t>
        </w:r>
      </w:hyperlink>
    </w:p>
    <w:p>
      <w:pPr>
        <w:pStyle w:val="Übersicht"/>
        <w:ind w:left="340"/>
      </w:pPr>
      <w:hyperlink w:anchor="b31" w:history="1">
        <w:r>
          <w:rPr>
            <w:b/>
            <w:color w:val="0A3A8C"/>
            <w:u w:val="single"/>
          </w:rPr>
          <w:t xml:space="preserve">TITEL I DER BINNENMARKT</w:t>
        </w:r>
      </w:hyperlink>
    </w:p>
    <w:p>
      <w:pPr>
        <w:pStyle w:val="Übersicht"/>
        <w:ind w:left="680"/>
      </w:pPr>
      <w:hyperlink w:anchor="b32" w:history="1">
        <w:r>
          <w:rPr>
            <w:color w:val="0A3A8C"/>
            <w:u w:val="single"/>
          </w:rPr>
          <w:t xml:space="preserve">Art. 26 bis 27</w:t>
        </w:r>
      </w:hyperlink>
    </w:p>
    <w:p>
      <w:pPr>
        <w:pStyle w:val="Übersicht"/>
        <w:ind w:left="340"/>
      </w:pPr>
      <w:hyperlink w:anchor="b34" w:history="1">
        <w:r>
          <w:rPr>
            <w:b/>
            <w:color w:val="0A3A8C"/>
            <w:u w:val="single"/>
          </w:rPr>
          <w:t xml:space="preserve">TITEL II DER FREIE WARENVERKEHR</w:t>
        </w:r>
      </w:hyperlink>
    </w:p>
    <w:p>
      <w:pPr>
        <w:pStyle w:val="Übersicht"/>
        <w:ind w:left="680"/>
      </w:pPr>
      <w:hyperlink w:anchor="b35" w:history="1">
        <w:r>
          <w:rPr>
            <w:color w:val="0A3A8C"/>
            <w:u w:val="single"/>
          </w:rPr>
          <w:t xml:space="preserve">Art. 28 bis 29</w:t>
        </w:r>
      </w:hyperlink>
    </w:p>
    <w:p>
      <w:pPr>
        <w:pStyle w:val="Übersicht"/>
        <w:ind w:left="680"/>
      </w:pPr>
      <w:hyperlink w:anchor="b37" w:history="1">
        <w:r>
          <w:rPr>
            <w:b/>
            <w:color w:val="0A3A8C"/>
            <w:u w:val="single"/>
          </w:rPr>
          <w:t xml:space="preserve">KAPITEL 1 DIE ZOLLUNION</w:t>
        </w:r>
      </w:hyperlink>
    </w:p>
    <w:p>
      <w:pPr>
        <w:pStyle w:val="Übersicht"/>
        <w:ind w:left="1020"/>
      </w:pPr>
      <w:hyperlink w:anchor="b38" w:history="1">
        <w:r>
          <w:rPr>
            <w:color w:val="0A3A8C"/>
            <w:u w:val="single"/>
          </w:rPr>
          <w:t xml:space="preserve">Art. 30 bis 32</w:t>
        </w:r>
      </w:hyperlink>
    </w:p>
    <w:p>
      <w:pPr>
        <w:pStyle w:val="Übersicht"/>
        <w:ind w:left="680"/>
      </w:pPr>
      <w:hyperlink w:anchor="b41" w:history="1">
        <w:r>
          <w:rPr>
            <w:b/>
            <w:color w:val="0A3A8C"/>
            <w:u w:val="single"/>
          </w:rPr>
          <w:t xml:space="preserve">KAPITEL 2 DIE ZUSAMMENARBEIT IM ZOLLWESEN</w:t>
        </w:r>
      </w:hyperlink>
    </w:p>
    <w:p>
      <w:pPr>
        <w:pStyle w:val="Übersicht"/>
        <w:ind w:left="1020"/>
      </w:pPr>
      <w:hyperlink w:anchor="b42" w:history="1">
        <w:r>
          <w:rPr>
            <w:color w:val="0A3A8C"/>
            <w:u w:val="single"/>
          </w:rPr>
          <w:t xml:space="preserve">Art. 33</w:t>
        </w:r>
      </w:hyperlink>
    </w:p>
    <w:p>
      <w:pPr>
        <w:pStyle w:val="Übersicht"/>
        <w:ind w:left="680"/>
      </w:pPr>
      <w:hyperlink w:anchor="b43" w:history="1">
        <w:r>
          <w:rPr>
            <w:b/>
            <w:color w:val="0A3A8C"/>
            <w:u w:val="single"/>
          </w:rPr>
          <w:t xml:space="preserve">KAPITEL 3 VERBOT VON MENGENMÄßIGEN BESCHRÄNKUNGEN ZWISCHEN DEN MITGLIEDSTAATEN</w:t>
        </w:r>
      </w:hyperlink>
    </w:p>
    <w:p>
      <w:pPr>
        <w:pStyle w:val="Übersicht"/>
        <w:ind w:left="1020"/>
      </w:pPr>
      <w:hyperlink w:anchor="b44" w:history="1">
        <w:r>
          <w:rPr>
            <w:color w:val="0A3A8C"/>
            <w:u w:val="single"/>
          </w:rPr>
          <w:t xml:space="preserve">Art. 34 bis 37</w:t>
        </w:r>
      </w:hyperlink>
    </w:p>
    <w:p>
      <w:pPr>
        <w:pStyle w:val="Übersicht"/>
        <w:ind w:left="340"/>
      </w:pPr>
      <w:hyperlink w:anchor="b48" w:history="1">
        <w:r>
          <w:rPr>
            <w:b/>
            <w:color w:val="0A3A8C"/>
            <w:u w:val="single"/>
          </w:rPr>
          <w:t xml:space="preserve">TITEL III DIE LANDWIRTSCHAFT UND DIE FISCHEREI</w:t>
        </w:r>
      </w:hyperlink>
    </w:p>
    <w:p>
      <w:pPr>
        <w:pStyle w:val="Übersicht"/>
        <w:ind w:left="680"/>
      </w:pPr>
      <w:hyperlink w:anchor="b49" w:history="1">
        <w:r>
          <w:rPr>
            <w:color w:val="0A3A8C"/>
            <w:u w:val="single"/>
          </w:rPr>
          <w:t xml:space="preserve">Art. 38 bis 44</w:t>
        </w:r>
      </w:hyperlink>
    </w:p>
    <w:p>
      <w:pPr>
        <w:pStyle w:val="Übersicht"/>
        <w:ind w:left="340"/>
      </w:pPr>
      <w:hyperlink w:anchor="b56" w:history="1">
        <w:r>
          <w:rPr>
            <w:b/>
            <w:color w:val="0A3A8C"/>
            <w:u w:val="single"/>
          </w:rPr>
          <w:t xml:space="preserve">TITEL IV DIE FREIZÜGIGKEIT, DER FREIE DIENSTLEISTUNGS- UND KAPITALVERKEHR</w:t>
        </w:r>
      </w:hyperlink>
    </w:p>
    <w:p>
      <w:pPr>
        <w:pStyle w:val="Übersicht"/>
        <w:ind w:left="680"/>
      </w:pPr>
      <w:hyperlink w:anchor="b57" w:history="1">
        <w:r>
          <w:rPr>
            <w:b/>
            <w:color w:val="0A3A8C"/>
            <w:u w:val="single"/>
          </w:rPr>
          <w:t xml:space="preserve">KAPITEL 1 DIE ARBEITSKRÄFTE</w:t>
        </w:r>
      </w:hyperlink>
    </w:p>
    <w:p>
      <w:pPr>
        <w:pStyle w:val="Übersicht"/>
        <w:ind w:left="1020"/>
      </w:pPr>
      <w:hyperlink w:anchor="b58" w:history="1">
        <w:r>
          <w:rPr>
            <w:color w:val="0A3A8C"/>
            <w:u w:val="single"/>
          </w:rPr>
          <w:t xml:space="preserve">Art. 45 bis 48</w:t>
        </w:r>
      </w:hyperlink>
    </w:p>
    <w:p>
      <w:pPr>
        <w:pStyle w:val="Übersicht"/>
        <w:ind w:left="680"/>
      </w:pPr>
      <w:hyperlink w:anchor="b62" w:history="1">
        <w:r>
          <w:rPr>
            <w:b/>
            <w:color w:val="0A3A8C"/>
            <w:u w:val="single"/>
          </w:rPr>
          <w:t xml:space="preserve">KAPITEL 2 DAS NIEDERLASSUNGSRECHT</w:t>
        </w:r>
      </w:hyperlink>
    </w:p>
    <w:p>
      <w:pPr>
        <w:pStyle w:val="Übersicht"/>
        <w:ind w:left="1020"/>
      </w:pPr>
      <w:hyperlink w:anchor="b63" w:history="1">
        <w:r>
          <w:rPr>
            <w:color w:val="0A3A8C"/>
            <w:u w:val="single"/>
          </w:rPr>
          <w:t xml:space="preserve">Art. 49 bis 55</w:t>
        </w:r>
      </w:hyperlink>
    </w:p>
    <w:p>
      <w:pPr>
        <w:pStyle w:val="Übersicht"/>
        <w:ind w:left="680"/>
      </w:pPr>
      <w:hyperlink w:anchor="b70" w:history="1">
        <w:r>
          <w:rPr>
            <w:b/>
            <w:color w:val="0A3A8C"/>
            <w:u w:val="single"/>
          </w:rPr>
          <w:t xml:space="preserve">KAPITEL 3 DIENSTLEISTUNGEN</w:t>
        </w:r>
      </w:hyperlink>
    </w:p>
    <w:p>
      <w:pPr>
        <w:pStyle w:val="Übersicht"/>
        <w:ind w:left="1020"/>
      </w:pPr>
      <w:hyperlink w:anchor="b71" w:history="1">
        <w:r>
          <w:rPr>
            <w:color w:val="0A3A8C"/>
            <w:u w:val="single"/>
          </w:rPr>
          <w:t xml:space="preserve">Art. 56 bis 62</w:t>
        </w:r>
      </w:hyperlink>
    </w:p>
    <w:p>
      <w:pPr>
        <w:pStyle w:val="Übersicht"/>
        <w:ind w:left="680"/>
      </w:pPr>
      <w:hyperlink w:anchor="b78" w:history="1">
        <w:r>
          <w:rPr>
            <w:b/>
            <w:color w:val="0A3A8C"/>
            <w:u w:val="single"/>
          </w:rPr>
          <w:t xml:space="preserve">KAPITEL 4 DER KAPITAL- UND ZAHLUNGSVERKEHR</w:t>
        </w:r>
      </w:hyperlink>
    </w:p>
    <w:p>
      <w:pPr>
        <w:pStyle w:val="Übersicht"/>
        <w:ind w:left="1020"/>
      </w:pPr>
      <w:hyperlink w:anchor="b79" w:history="1">
        <w:r>
          <w:rPr>
            <w:color w:val="0A3A8C"/>
            <w:u w:val="single"/>
          </w:rPr>
          <w:t xml:space="preserve">Art. 63 bis 66</w:t>
        </w:r>
      </w:hyperlink>
    </w:p>
    <w:p>
      <w:pPr>
        <w:pStyle w:val="Übersicht"/>
        <w:ind w:left="340"/>
      </w:pPr>
      <w:hyperlink w:anchor="b83" w:history="1">
        <w:r>
          <w:rPr>
            <w:b/>
            <w:color w:val="0A3A8C"/>
            <w:u w:val="single"/>
          </w:rPr>
          <w:t xml:space="preserve">TITEL V DER RAUM DER FREIHEIT, DER SICHERHEIT UND DES RECHTS</w:t>
        </w:r>
      </w:hyperlink>
    </w:p>
    <w:p>
      <w:pPr>
        <w:pStyle w:val="Übersicht"/>
        <w:ind w:left="680"/>
      </w:pPr>
      <w:hyperlink w:anchor="b84" w:history="1">
        <w:r>
          <w:rPr>
            <w:b/>
            <w:color w:val="0A3A8C"/>
            <w:u w:val="single"/>
          </w:rPr>
          <w:t xml:space="preserve">KAPITEL 1 ALLGEMEINE BESTIMMUNGEN</w:t>
        </w:r>
      </w:hyperlink>
    </w:p>
    <w:p>
      <w:pPr>
        <w:pStyle w:val="Übersicht"/>
        <w:ind w:left="1020"/>
      </w:pPr>
      <w:hyperlink w:anchor="b85" w:history="1">
        <w:r>
          <w:rPr>
            <w:color w:val="0A3A8C"/>
            <w:u w:val="single"/>
          </w:rPr>
          <w:t xml:space="preserve">Art. 67 bis 76</w:t>
        </w:r>
      </w:hyperlink>
    </w:p>
    <w:p>
      <w:pPr>
        <w:pStyle w:val="Übersicht"/>
        <w:ind w:left="680"/>
      </w:pPr>
      <w:hyperlink w:anchor="b95" w:history="1">
        <w:r>
          <w:rPr>
            <w:b/>
            <w:color w:val="0A3A8C"/>
            <w:u w:val="single"/>
          </w:rPr>
          <w:t xml:space="preserve">KAPITEL 2 POLITIK IM BEREICH GRENZKONTROLLEN, ASYL UND EINWANDERUNG</w:t>
        </w:r>
      </w:hyperlink>
    </w:p>
    <w:p>
      <w:pPr>
        <w:pStyle w:val="Übersicht"/>
        <w:ind w:left="1020"/>
      </w:pPr>
      <w:hyperlink w:anchor="b96" w:history="1">
        <w:r>
          <w:rPr>
            <w:color w:val="0A3A8C"/>
            <w:u w:val="single"/>
          </w:rPr>
          <w:t xml:space="preserve">Art. 77 bis 80</w:t>
        </w:r>
      </w:hyperlink>
    </w:p>
    <w:p>
      <w:pPr>
        <w:pStyle w:val="Übersicht"/>
        <w:ind w:left="680"/>
      </w:pPr>
      <w:hyperlink w:anchor="b100" w:history="1">
        <w:r>
          <w:rPr>
            <w:b/>
            <w:color w:val="0A3A8C"/>
            <w:u w:val="single"/>
          </w:rPr>
          <w:t xml:space="preserve">KAPITEL 3 JUSTIZIELLE ZUSAMMENARBEIT IN ZIVILSACHEN</w:t>
        </w:r>
      </w:hyperlink>
    </w:p>
    <w:p>
      <w:pPr>
        <w:pStyle w:val="Übersicht"/>
        <w:ind w:left="1020"/>
      </w:pPr>
      <w:hyperlink w:anchor="b101" w:history="1">
        <w:r>
          <w:rPr>
            <w:color w:val="0A3A8C"/>
            <w:u w:val="single"/>
          </w:rPr>
          <w:t xml:space="preserve">Art. 81</w:t>
        </w:r>
      </w:hyperlink>
    </w:p>
    <w:p>
      <w:pPr>
        <w:pStyle w:val="Übersicht"/>
        <w:ind w:left="680"/>
      </w:pPr>
      <w:hyperlink w:anchor="b102" w:history="1">
        <w:r>
          <w:rPr>
            <w:b/>
            <w:color w:val="0A3A8C"/>
            <w:u w:val="single"/>
          </w:rPr>
          <w:t xml:space="preserve">KAPITEL 4 JUSTIZIELLE ZUSAMMENARBEIT IN STRAFSACHEN</w:t>
        </w:r>
      </w:hyperlink>
    </w:p>
    <w:p>
      <w:pPr>
        <w:pStyle w:val="Übersicht"/>
        <w:ind w:left="1020"/>
      </w:pPr>
      <w:hyperlink w:anchor="b103" w:history="1">
        <w:r>
          <w:rPr>
            <w:color w:val="0A3A8C"/>
            <w:u w:val="single"/>
          </w:rPr>
          <w:t xml:space="preserve">Art. 82 bis 86</w:t>
        </w:r>
      </w:hyperlink>
    </w:p>
    <w:p>
      <w:pPr>
        <w:pStyle w:val="Übersicht"/>
        <w:ind w:left="680"/>
      </w:pPr>
      <w:hyperlink w:anchor="b108" w:history="1">
        <w:r>
          <w:rPr>
            <w:b/>
            <w:color w:val="0A3A8C"/>
            <w:u w:val="single"/>
          </w:rPr>
          <w:t xml:space="preserve">KAPITEL 5 POLIZEILICHE ZUSAMMENARBEIT</w:t>
        </w:r>
      </w:hyperlink>
    </w:p>
    <w:p>
      <w:pPr>
        <w:pStyle w:val="Übersicht"/>
        <w:ind w:left="1020"/>
      </w:pPr>
      <w:hyperlink w:anchor="b109" w:history="1">
        <w:r>
          <w:rPr>
            <w:color w:val="0A3A8C"/>
            <w:u w:val="single"/>
          </w:rPr>
          <w:t xml:space="preserve">Art. 87 bis 89</w:t>
        </w:r>
      </w:hyperlink>
    </w:p>
    <w:p>
      <w:pPr>
        <w:pStyle w:val="Übersicht"/>
        <w:ind w:left="340"/>
      </w:pPr>
      <w:hyperlink w:anchor="b112" w:history="1">
        <w:r>
          <w:rPr>
            <w:b/>
            <w:color w:val="0A3A8C"/>
            <w:u w:val="single"/>
          </w:rPr>
          <w:t xml:space="preserve">TITEL VI DER VERKEHR</w:t>
        </w:r>
      </w:hyperlink>
    </w:p>
    <w:p>
      <w:pPr>
        <w:pStyle w:val="Übersicht"/>
        <w:ind w:left="680"/>
      </w:pPr>
      <w:hyperlink w:anchor="b113" w:history="1">
        <w:r>
          <w:rPr>
            <w:color w:val="0A3A8C"/>
            <w:u w:val="single"/>
          </w:rPr>
          <w:t xml:space="preserve">Art. 90 bis 100</w:t>
        </w:r>
      </w:hyperlink>
    </w:p>
    <w:p>
      <w:pPr>
        <w:pStyle w:val="Übersicht"/>
        <w:ind w:left="340"/>
      </w:pPr>
      <w:hyperlink w:anchor="b124" w:history="1">
        <w:r>
          <w:rPr>
            <w:b/>
            <w:color w:val="0A3A8C"/>
            <w:u w:val="single"/>
          </w:rPr>
          <w:t xml:space="preserve">TITEL VII GEMEINSAME REGELN BETREFFEND WETTBEWERB, STEUERFRAGEN UND ANGLEICHUNG DER RECHTSVORSCHRIFTEN</w:t>
        </w:r>
      </w:hyperlink>
    </w:p>
    <w:p>
      <w:pPr>
        <w:pStyle w:val="Übersicht"/>
        <w:ind w:left="680"/>
      </w:pPr>
      <w:hyperlink w:anchor="b125" w:history="1">
        <w:r>
          <w:rPr>
            <w:b/>
            <w:color w:val="0A3A8C"/>
            <w:u w:val="single"/>
          </w:rPr>
          <w:t xml:space="preserve">KAPITEL 1 WETTBEWERBSREGELN</w:t>
        </w:r>
      </w:hyperlink>
    </w:p>
    <w:p>
      <w:pPr>
        <w:pStyle w:val="Übersicht"/>
        <w:ind w:left="1020"/>
      </w:pPr>
      <w:hyperlink w:anchor="b126" w:history="1">
        <w:r>
          <w:rPr>
            <w:b/>
            <w:color w:val="0A3A8C"/>
            <w:u w:val="single"/>
          </w:rPr>
          <w:t xml:space="preserve">ABSCHNITT 1 VORSCHRIFTEN FÜR UNTERNEHMEN</w:t>
        </w:r>
      </w:hyperlink>
    </w:p>
    <w:p>
      <w:pPr>
        <w:pStyle w:val="Übersicht"/>
        <w:ind w:left="1361"/>
      </w:pPr>
      <w:hyperlink w:anchor="b127" w:history="1">
        <w:r>
          <w:rPr>
            <w:color w:val="0A3A8C"/>
            <w:u w:val="single"/>
          </w:rPr>
          <w:t xml:space="preserve">Art. 101 bis 106</w:t>
        </w:r>
      </w:hyperlink>
    </w:p>
    <w:p>
      <w:pPr>
        <w:pStyle w:val="Übersicht"/>
        <w:ind w:left="1020"/>
      </w:pPr>
      <w:hyperlink w:anchor="b133" w:history="1">
        <w:r>
          <w:rPr>
            <w:b/>
            <w:color w:val="0A3A8C"/>
            <w:u w:val="single"/>
          </w:rPr>
          <w:t xml:space="preserve">ABSCHNITT 2 STAATLICHE BEIHILFEN</w:t>
        </w:r>
      </w:hyperlink>
    </w:p>
    <w:p>
      <w:pPr>
        <w:pStyle w:val="Übersicht"/>
        <w:ind w:left="1361"/>
      </w:pPr>
      <w:hyperlink w:anchor="b134" w:history="1">
        <w:r>
          <w:rPr>
            <w:color w:val="0A3A8C"/>
            <w:u w:val="single"/>
          </w:rPr>
          <w:t xml:space="preserve">Art. 107 bis 109</w:t>
        </w:r>
      </w:hyperlink>
    </w:p>
    <w:p>
      <w:pPr>
        <w:pStyle w:val="Übersicht"/>
        <w:ind w:left="680"/>
      </w:pPr>
      <w:hyperlink w:anchor="b137" w:history="1">
        <w:r>
          <w:rPr>
            <w:b/>
            <w:color w:val="0A3A8C"/>
            <w:u w:val="single"/>
          </w:rPr>
          <w:t xml:space="preserve">KAPITEL 2 STEUERLICHE VORSCHRIFTEN</w:t>
        </w:r>
      </w:hyperlink>
    </w:p>
    <w:p>
      <w:pPr>
        <w:pStyle w:val="Übersicht"/>
        <w:ind w:left="1020"/>
      </w:pPr>
      <w:hyperlink w:anchor="b138" w:history="1">
        <w:r>
          <w:rPr>
            <w:color w:val="0A3A8C"/>
            <w:u w:val="single"/>
          </w:rPr>
          <w:t xml:space="preserve">Art. 110 bis 113</w:t>
        </w:r>
      </w:hyperlink>
    </w:p>
    <w:p>
      <w:pPr>
        <w:pStyle w:val="Übersicht"/>
        <w:ind w:left="680"/>
      </w:pPr>
      <w:hyperlink w:anchor="b142" w:history="1">
        <w:r>
          <w:rPr>
            <w:b/>
            <w:color w:val="0A3A8C"/>
            <w:u w:val="single"/>
          </w:rPr>
          <w:t xml:space="preserve">KAPITEL 3 ANGLEICHUNG DER RECHTSVORSCHRIFTEN</w:t>
        </w:r>
      </w:hyperlink>
    </w:p>
    <w:p>
      <w:pPr>
        <w:pStyle w:val="Übersicht"/>
        <w:ind w:left="1020"/>
      </w:pPr>
      <w:hyperlink w:anchor="b143" w:history="1">
        <w:r>
          <w:rPr>
            <w:color w:val="0A3A8C"/>
            <w:u w:val="single"/>
          </w:rPr>
          <w:t xml:space="preserve">Art. 114 bis 118</w:t>
        </w:r>
      </w:hyperlink>
    </w:p>
    <w:p>
      <w:pPr>
        <w:pStyle w:val="Übersicht"/>
        <w:ind w:left="340"/>
      </w:pPr>
      <w:hyperlink w:anchor="b148" w:history="1">
        <w:r>
          <w:rPr>
            <w:b/>
            <w:color w:val="0A3A8C"/>
            <w:u w:val="single"/>
          </w:rPr>
          <w:t xml:space="preserve">TITEL VIII DIE WIRTSCHAFTS- UND WÄHRUNGSPOLITIK</w:t>
        </w:r>
      </w:hyperlink>
    </w:p>
    <w:p>
      <w:pPr>
        <w:pStyle w:val="Übersicht"/>
        <w:ind w:left="680"/>
      </w:pPr>
      <w:hyperlink w:anchor="b149" w:history="1">
        <w:r>
          <w:rPr>
            <w:color w:val="0A3A8C"/>
            <w:u w:val="single"/>
          </w:rPr>
          <w:t xml:space="preserve">Art. 119</w:t>
        </w:r>
      </w:hyperlink>
    </w:p>
    <w:p>
      <w:pPr>
        <w:pStyle w:val="Übersicht"/>
        <w:ind w:left="680"/>
      </w:pPr>
      <w:hyperlink w:anchor="b150" w:history="1">
        <w:r>
          <w:rPr>
            <w:b/>
            <w:color w:val="0A3A8C"/>
            <w:u w:val="single"/>
          </w:rPr>
          <w:t xml:space="preserve">KAPITEL 1 DIE WIRTSCHAFTSPOLITIK</w:t>
        </w:r>
      </w:hyperlink>
    </w:p>
    <w:p>
      <w:pPr>
        <w:pStyle w:val="Übersicht"/>
        <w:ind w:left="1020"/>
      </w:pPr>
      <w:hyperlink w:anchor="b151" w:history="1">
        <w:r>
          <w:rPr>
            <w:color w:val="0A3A8C"/>
            <w:u w:val="single"/>
          </w:rPr>
          <w:t xml:space="preserve">Art. 120 bis 126</w:t>
        </w:r>
      </w:hyperlink>
    </w:p>
    <w:p>
      <w:pPr>
        <w:pStyle w:val="Übersicht"/>
        <w:ind w:left="680"/>
      </w:pPr>
      <w:hyperlink w:anchor="b158" w:history="1">
        <w:r>
          <w:rPr>
            <w:b/>
            <w:color w:val="0A3A8C"/>
            <w:u w:val="single"/>
          </w:rPr>
          <w:t xml:space="preserve">KAPITEL 2 DIE WÄHRUNGSPOLITIK</w:t>
        </w:r>
      </w:hyperlink>
    </w:p>
    <w:p>
      <w:pPr>
        <w:pStyle w:val="Übersicht"/>
        <w:ind w:left="1020"/>
      </w:pPr>
      <w:hyperlink w:anchor="b159" w:history="1">
        <w:r>
          <w:rPr>
            <w:color w:val="0A3A8C"/>
            <w:u w:val="single"/>
          </w:rPr>
          <w:t xml:space="preserve">Art. 127 bis 133</w:t>
        </w:r>
      </w:hyperlink>
    </w:p>
    <w:p>
      <w:pPr>
        <w:pStyle w:val="Übersicht"/>
        <w:ind w:left="680"/>
      </w:pPr>
      <w:hyperlink w:anchor="b166" w:history="1">
        <w:r>
          <w:rPr>
            <w:b/>
            <w:color w:val="0A3A8C"/>
            <w:u w:val="single"/>
          </w:rPr>
          <w:t xml:space="preserve">KAPITEL 3 INSTITUTIONELLE BESTIMMUNGEN</w:t>
        </w:r>
      </w:hyperlink>
    </w:p>
    <w:p>
      <w:pPr>
        <w:pStyle w:val="Übersicht"/>
        <w:ind w:left="1020"/>
      </w:pPr>
      <w:hyperlink w:anchor="b167" w:history="1">
        <w:r>
          <w:rPr>
            <w:color w:val="0A3A8C"/>
            <w:u w:val="single"/>
          </w:rPr>
          <w:t xml:space="preserve">Art. 134 bis 135</w:t>
        </w:r>
      </w:hyperlink>
    </w:p>
    <w:p>
      <w:pPr>
        <w:pStyle w:val="Übersicht"/>
        <w:ind w:left="680"/>
      </w:pPr>
      <w:hyperlink w:anchor="b169" w:history="1">
        <w:r>
          <w:rPr>
            <w:b/>
            <w:color w:val="0A3A8C"/>
            <w:u w:val="single"/>
          </w:rPr>
          <w:t xml:space="preserve">KAPITEL 4 BESONDERE BESTIMMUNGEN FÜR DIE MITGLIEDSTAATEN, DEREN WÄHRUNG DER EURO IST</w:t>
        </w:r>
      </w:hyperlink>
    </w:p>
    <w:p>
      <w:pPr>
        <w:pStyle w:val="Übersicht"/>
        <w:ind w:left="1020"/>
      </w:pPr>
      <w:hyperlink w:anchor="b170" w:history="1">
        <w:r>
          <w:rPr>
            <w:color w:val="0A3A8C"/>
            <w:u w:val="single"/>
          </w:rPr>
          <w:t xml:space="preserve">Art. 136 bis 138</w:t>
        </w:r>
      </w:hyperlink>
    </w:p>
    <w:p>
      <w:pPr>
        <w:pStyle w:val="Übersicht"/>
        <w:ind w:left="680"/>
      </w:pPr>
      <w:hyperlink w:anchor="b173" w:history="1">
        <w:r>
          <w:rPr>
            <w:b/>
            <w:color w:val="0A3A8C"/>
            <w:u w:val="single"/>
          </w:rPr>
          <w:t xml:space="preserve">KAPITEL 5 ÜBERGANGSBESTIMMUNGEN</w:t>
        </w:r>
      </w:hyperlink>
    </w:p>
    <w:p>
      <w:pPr>
        <w:pStyle w:val="Übersicht"/>
        <w:ind w:left="1020"/>
      </w:pPr>
      <w:hyperlink w:anchor="b174" w:history="1">
        <w:r>
          <w:rPr>
            <w:color w:val="0A3A8C"/>
            <w:u w:val="single"/>
          </w:rPr>
          <w:t xml:space="preserve">Art. 139 bis 144</w:t>
        </w:r>
      </w:hyperlink>
    </w:p>
    <w:p>
      <w:pPr>
        <w:pStyle w:val="Übersicht"/>
        <w:ind w:left="340"/>
      </w:pPr>
      <w:hyperlink w:anchor="b180" w:history="1">
        <w:r>
          <w:rPr>
            <w:b/>
            <w:color w:val="0A3A8C"/>
            <w:u w:val="single"/>
          </w:rPr>
          <w:t xml:space="preserve">TITEL IX BESCHÄFTIGUNG</w:t>
        </w:r>
      </w:hyperlink>
    </w:p>
    <w:p>
      <w:pPr>
        <w:pStyle w:val="Übersicht"/>
        <w:ind w:left="680"/>
      </w:pPr>
      <w:hyperlink w:anchor="b181" w:history="1">
        <w:r>
          <w:rPr>
            <w:color w:val="0A3A8C"/>
            <w:u w:val="single"/>
          </w:rPr>
          <w:t xml:space="preserve">Art. 145 bis 150</w:t>
        </w:r>
      </w:hyperlink>
    </w:p>
    <w:p>
      <w:pPr>
        <w:pStyle w:val="Übersicht"/>
        <w:ind w:left="340"/>
      </w:pPr>
      <w:hyperlink w:anchor="b187" w:history="1">
        <w:r>
          <w:rPr>
            <w:b/>
            <w:color w:val="0A3A8C"/>
            <w:u w:val="single"/>
          </w:rPr>
          <w:t xml:space="preserve">TITEL X SOZIALPOLITIK</w:t>
        </w:r>
      </w:hyperlink>
    </w:p>
    <w:p>
      <w:pPr>
        <w:pStyle w:val="Übersicht"/>
        <w:ind w:left="680"/>
      </w:pPr>
      <w:hyperlink w:anchor="b188" w:history="1">
        <w:r>
          <w:rPr>
            <w:color w:val="0A3A8C"/>
            <w:u w:val="single"/>
          </w:rPr>
          <w:t xml:space="preserve">Art. 151 bis 161</w:t>
        </w:r>
      </w:hyperlink>
    </w:p>
    <w:p>
      <w:pPr>
        <w:pStyle w:val="Übersicht"/>
        <w:ind w:left="340"/>
      </w:pPr>
      <w:hyperlink w:anchor="b199" w:history="1">
        <w:r>
          <w:rPr>
            <w:b/>
            <w:color w:val="0A3A8C"/>
            <w:u w:val="single"/>
          </w:rPr>
          <w:t xml:space="preserve">TITEL XI DER EUROPÄISCHE SOZIALFONDS</w:t>
        </w:r>
      </w:hyperlink>
    </w:p>
    <w:p>
      <w:pPr>
        <w:pStyle w:val="Übersicht"/>
        <w:ind w:left="680"/>
      </w:pPr>
      <w:hyperlink w:anchor="b200" w:history="1">
        <w:r>
          <w:rPr>
            <w:color w:val="0A3A8C"/>
            <w:u w:val="single"/>
          </w:rPr>
          <w:t xml:space="preserve">Art. 162 bis 164</w:t>
        </w:r>
      </w:hyperlink>
    </w:p>
    <w:p>
      <w:pPr>
        <w:pStyle w:val="Übersicht"/>
        <w:ind w:left="340"/>
      </w:pPr>
      <w:hyperlink w:anchor="b203" w:history="1">
        <w:r>
          <w:rPr>
            <w:b/>
            <w:color w:val="0A3A8C"/>
            <w:u w:val="single"/>
          </w:rPr>
          <w:t xml:space="preserve">TITEL XII ALLGEMEINE UND BERUFLICHE BILDUNG, JUGEND UND SPORT</w:t>
        </w:r>
      </w:hyperlink>
    </w:p>
    <w:p>
      <w:pPr>
        <w:pStyle w:val="Übersicht"/>
        <w:ind w:left="680"/>
      </w:pPr>
      <w:hyperlink w:anchor="b204" w:history="1">
        <w:r>
          <w:rPr>
            <w:color w:val="0A3A8C"/>
            <w:u w:val="single"/>
          </w:rPr>
          <w:t xml:space="preserve">Art. 165 bis 166</w:t>
        </w:r>
      </w:hyperlink>
    </w:p>
    <w:p>
      <w:pPr>
        <w:pStyle w:val="Übersicht"/>
        <w:ind w:left="340"/>
      </w:pPr>
      <w:hyperlink w:anchor="b206" w:history="1">
        <w:r>
          <w:rPr>
            <w:b/>
            <w:color w:val="0A3A8C"/>
            <w:u w:val="single"/>
          </w:rPr>
          <w:t xml:space="preserve">TITEL XIII KULTUR</w:t>
        </w:r>
      </w:hyperlink>
    </w:p>
    <w:p>
      <w:pPr>
        <w:pStyle w:val="Übersicht"/>
        <w:ind w:left="680"/>
      </w:pPr>
      <w:hyperlink w:anchor="b207" w:history="1">
        <w:r>
          <w:rPr>
            <w:color w:val="0A3A8C"/>
            <w:u w:val="single"/>
          </w:rPr>
          <w:t xml:space="preserve">Art. 167</w:t>
        </w:r>
      </w:hyperlink>
    </w:p>
    <w:p>
      <w:pPr>
        <w:pStyle w:val="Übersicht"/>
        <w:ind w:left="340"/>
      </w:pPr>
      <w:hyperlink w:anchor="b208" w:history="1">
        <w:r>
          <w:rPr>
            <w:b/>
            <w:color w:val="0A3A8C"/>
            <w:u w:val="single"/>
          </w:rPr>
          <w:t xml:space="preserve">TITEL XIV GESUNDHEITSWESEN</w:t>
        </w:r>
      </w:hyperlink>
    </w:p>
    <w:p>
      <w:pPr>
        <w:pStyle w:val="Übersicht"/>
        <w:ind w:left="680"/>
      </w:pPr>
      <w:hyperlink w:anchor="b209" w:history="1">
        <w:r>
          <w:rPr>
            <w:color w:val="0A3A8C"/>
            <w:u w:val="single"/>
          </w:rPr>
          <w:t xml:space="preserve">Art. 168</w:t>
        </w:r>
      </w:hyperlink>
    </w:p>
    <w:p>
      <w:pPr>
        <w:pStyle w:val="Übersicht"/>
        <w:ind w:left="340"/>
      </w:pPr>
      <w:hyperlink w:anchor="b210" w:history="1">
        <w:r>
          <w:rPr>
            <w:b/>
            <w:color w:val="0A3A8C"/>
            <w:u w:val="single"/>
          </w:rPr>
          <w:t xml:space="preserve">TITEL XV VERBRAUCHERSCHUTZ</w:t>
        </w:r>
      </w:hyperlink>
    </w:p>
    <w:p>
      <w:pPr>
        <w:pStyle w:val="Übersicht"/>
        <w:ind w:left="680"/>
      </w:pPr>
      <w:hyperlink w:anchor="b211" w:history="1">
        <w:r>
          <w:rPr>
            <w:color w:val="0A3A8C"/>
            <w:u w:val="single"/>
          </w:rPr>
          <w:t xml:space="preserve">Art. 169</w:t>
        </w:r>
      </w:hyperlink>
    </w:p>
    <w:p>
      <w:pPr>
        <w:pStyle w:val="Übersicht"/>
        <w:ind w:left="340"/>
      </w:pPr>
      <w:hyperlink w:anchor="b212" w:history="1">
        <w:r>
          <w:rPr>
            <w:b/>
            <w:color w:val="0A3A8C"/>
            <w:u w:val="single"/>
          </w:rPr>
          <w:t xml:space="preserve">TITEL XVI TRANSEUROPÄISCHE NETZE</w:t>
        </w:r>
      </w:hyperlink>
    </w:p>
    <w:p>
      <w:pPr>
        <w:pStyle w:val="Übersicht"/>
        <w:ind w:left="680"/>
      </w:pPr>
      <w:hyperlink w:anchor="b213" w:history="1">
        <w:r>
          <w:rPr>
            <w:color w:val="0A3A8C"/>
            <w:u w:val="single"/>
          </w:rPr>
          <w:t xml:space="preserve">Art. 170 bis 172</w:t>
        </w:r>
      </w:hyperlink>
    </w:p>
    <w:p>
      <w:pPr>
        <w:pStyle w:val="Übersicht"/>
        <w:ind w:left="340"/>
      </w:pPr>
      <w:hyperlink w:anchor="b216" w:history="1">
        <w:r>
          <w:rPr>
            <w:b/>
            <w:color w:val="0A3A8C"/>
            <w:u w:val="single"/>
          </w:rPr>
          <w:t xml:space="preserve">TITEL XVII INDUSTRIE</w:t>
        </w:r>
      </w:hyperlink>
    </w:p>
    <w:p>
      <w:pPr>
        <w:pStyle w:val="Übersicht"/>
        <w:ind w:left="680"/>
      </w:pPr>
      <w:hyperlink w:anchor="b217" w:history="1">
        <w:r>
          <w:rPr>
            <w:color w:val="0A3A8C"/>
            <w:u w:val="single"/>
          </w:rPr>
          <w:t xml:space="preserve">Art. 173</w:t>
        </w:r>
      </w:hyperlink>
    </w:p>
    <w:p>
      <w:pPr>
        <w:pStyle w:val="Übersicht"/>
        <w:ind w:left="340"/>
      </w:pPr>
      <w:hyperlink w:anchor="b218" w:history="1">
        <w:r>
          <w:rPr>
            <w:b/>
            <w:color w:val="0A3A8C"/>
            <w:u w:val="single"/>
          </w:rPr>
          <w:t xml:space="preserve">TITEL XVIII WIRTSCHAFTLICHER, SOZIALER UND TERRITORIALER ZUSAMMENHALT</w:t>
        </w:r>
      </w:hyperlink>
    </w:p>
    <w:p>
      <w:pPr>
        <w:pStyle w:val="Übersicht"/>
        <w:ind w:left="680"/>
      </w:pPr>
      <w:hyperlink w:anchor="b219" w:history="1">
        <w:r>
          <w:rPr>
            <w:color w:val="0A3A8C"/>
            <w:u w:val="single"/>
          </w:rPr>
          <w:t xml:space="preserve">Art. 174 bis 178</w:t>
        </w:r>
      </w:hyperlink>
    </w:p>
    <w:p>
      <w:pPr>
        <w:pStyle w:val="Übersicht"/>
        <w:ind w:left="340"/>
      </w:pPr>
      <w:hyperlink w:anchor="b224" w:history="1">
        <w:r>
          <w:rPr>
            <w:b/>
            <w:color w:val="0A3A8C"/>
            <w:u w:val="single"/>
          </w:rPr>
          <w:t xml:space="preserve">TITEL XIX FORSCHUNG, TECHNOLOGISCHE ENTWICKLUNG UND RAUMFAHRT</w:t>
        </w:r>
      </w:hyperlink>
    </w:p>
    <w:p>
      <w:pPr>
        <w:pStyle w:val="Übersicht"/>
        <w:ind w:left="680"/>
      </w:pPr>
      <w:hyperlink w:anchor="b225" w:history="1">
        <w:r>
          <w:rPr>
            <w:color w:val="0A3A8C"/>
            <w:u w:val="single"/>
          </w:rPr>
          <w:t xml:space="preserve">Art. 179 bis 190</w:t>
        </w:r>
      </w:hyperlink>
    </w:p>
    <w:p>
      <w:pPr>
        <w:pStyle w:val="Übersicht"/>
        <w:ind w:left="340"/>
      </w:pPr>
      <w:hyperlink w:anchor="b237" w:history="1">
        <w:r>
          <w:rPr>
            <w:b/>
            <w:color w:val="0A3A8C"/>
            <w:u w:val="single"/>
          </w:rPr>
          <w:t xml:space="preserve">TITEL XX UMWELT</w:t>
        </w:r>
      </w:hyperlink>
    </w:p>
    <w:p>
      <w:pPr>
        <w:pStyle w:val="Übersicht"/>
        <w:ind w:left="680"/>
      </w:pPr>
      <w:hyperlink w:anchor="b238" w:history="1">
        <w:r>
          <w:rPr>
            <w:color w:val="0A3A8C"/>
            <w:u w:val="single"/>
          </w:rPr>
          <w:t xml:space="preserve">Art. 191 bis 193</w:t>
        </w:r>
      </w:hyperlink>
    </w:p>
    <w:p>
      <w:pPr>
        <w:pStyle w:val="Übersicht"/>
        <w:ind w:left="340"/>
      </w:pPr>
      <w:hyperlink w:anchor="b241" w:history="1">
        <w:r>
          <w:rPr>
            <w:b/>
            <w:color w:val="0A3A8C"/>
            <w:u w:val="single"/>
          </w:rPr>
          <w:t xml:space="preserve">TITEL XXI ENERGIE</w:t>
        </w:r>
      </w:hyperlink>
    </w:p>
    <w:p>
      <w:pPr>
        <w:pStyle w:val="Übersicht"/>
        <w:ind w:left="680"/>
      </w:pPr>
      <w:hyperlink w:anchor="b242" w:history="1">
        <w:r>
          <w:rPr>
            <w:color w:val="0A3A8C"/>
            <w:u w:val="single"/>
          </w:rPr>
          <w:t xml:space="preserve">Art. 194</w:t>
        </w:r>
      </w:hyperlink>
    </w:p>
    <w:p>
      <w:pPr>
        <w:pStyle w:val="Übersicht"/>
        <w:ind w:left="340"/>
      </w:pPr>
      <w:hyperlink w:anchor="b243" w:history="1">
        <w:r>
          <w:rPr>
            <w:b/>
            <w:color w:val="0A3A8C"/>
            <w:u w:val="single"/>
          </w:rPr>
          <w:t xml:space="preserve">TITEL XXII TOURISMUS</w:t>
        </w:r>
      </w:hyperlink>
    </w:p>
    <w:p>
      <w:pPr>
        <w:pStyle w:val="Übersicht"/>
        <w:ind w:left="680"/>
      </w:pPr>
      <w:hyperlink w:anchor="b244" w:history="1">
        <w:r>
          <w:rPr>
            <w:color w:val="0A3A8C"/>
            <w:u w:val="single"/>
          </w:rPr>
          <w:t xml:space="preserve">Art. 195</w:t>
        </w:r>
      </w:hyperlink>
    </w:p>
    <w:p>
      <w:pPr>
        <w:pStyle w:val="Übersicht"/>
        <w:ind w:left="340"/>
      </w:pPr>
      <w:hyperlink w:anchor="b245" w:history="1">
        <w:r>
          <w:rPr>
            <w:b/>
            <w:color w:val="0A3A8C"/>
            <w:u w:val="single"/>
          </w:rPr>
          <w:t xml:space="preserve">TITEL XXIII KATASTROPHENSCHUTZ</w:t>
        </w:r>
      </w:hyperlink>
    </w:p>
    <w:p>
      <w:pPr>
        <w:pStyle w:val="Übersicht"/>
        <w:ind w:left="680"/>
      </w:pPr>
      <w:hyperlink w:anchor="b246" w:history="1">
        <w:r>
          <w:rPr>
            <w:color w:val="0A3A8C"/>
            <w:u w:val="single"/>
          </w:rPr>
          <w:t xml:space="preserve">Art. 196</w:t>
        </w:r>
      </w:hyperlink>
    </w:p>
    <w:p>
      <w:pPr>
        <w:pStyle w:val="Übersicht"/>
        <w:ind w:left="340"/>
      </w:pPr>
      <w:hyperlink w:anchor="b247" w:history="1">
        <w:r>
          <w:rPr>
            <w:b/>
            <w:color w:val="0A3A8C"/>
            <w:u w:val="single"/>
          </w:rPr>
          <w:t xml:space="preserve">TITEL XXIV VERWALTUNGSZUSAMMENARBEIT</w:t>
        </w:r>
      </w:hyperlink>
    </w:p>
    <w:p>
      <w:pPr>
        <w:pStyle w:val="Übersicht"/>
        <w:ind w:left="680"/>
      </w:pPr>
      <w:hyperlink w:anchor="b248" w:history="1">
        <w:r>
          <w:rPr>
            <w:color w:val="0A3A8C"/>
            <w:u w:val="single"/>
          </w:rPr>
          <w:t xml:space="preserve">Art. 197</w:t>
        </w:r>
      </w:hyperlink>
    </w:p>
    <w:p>
      <w:pPr>
        <w:pStyle w:val="Übersicht"/>
        <w:ind w:left="0"/>
      </w:pPr>
      <w:hyperlink w:anchor="b249" w:history="1">
        <w:r>
          <w:rPr>
            <w:b/>
            <w:color w:val="0A3A8C"/>
            <w:u w:val="single"/>
          </w:rPr>
          <w:t xml:space="preserve">VIERTER TEIL DIE ASSOZIIERUNG DER ÜBERSEEISCHEN LÄNDER UND HOHEITSGEBIETE</w:t>
        </w:r>
      </w:hyperlink>
    </w:p>
    <w:p>
      <w:pPr>
        <w:pStyle w:val="Übersicht"/>
        <w:ind w:left="340"/>
      </w:pPr>
      <w:hyperlink w:anchor="b250" w:history="1">
        <w:r>
          <w:rPr>
            <w:color w:val="0A3A8C"/>
            <w:u w:val="single"/>
          </w:rPr>
          <w:t xml:space="preserve">Art. 198 bis 204</w:t>
        </w:r>
      </w:hyperlink>
    </w:p>
    <w:p>
      <w:pPr>
        <w:pStyle w:val="Übersicht"/>
        <w:ind w:left="0"/>
      </w:pPr>
      <w:hyperlink w:anchor="b257" w:history="1">
        <w:r>
          <w:rPr>
            <w:b/>
            <w:color w:val="0A3A8C"/>
            <w:u w:val="single"/>
          </w:rPr>
          <w:t xml:space="preserve">FÜNFTER TEIL DAS AUSWÄRTIGE HANDELN DER UNION</w:t>
        </w:r>
      </w:hyperlink>
    </w:p>
    <w:p>
      <w:pPr>
        <w:pStyle w:val="Übersicht"/>
        <w:ind w:left="340"/>
      </w:pPr>
      <w:hyperlink w:anchor="b258" w:history="1">
        <w:r>
          <w:rPr>
            <w:b/>
            <w:color w:val="0A3A8C"/>
            <w:u w:val="single"/>
          </w:rPr>
          <w:t xml:space="preserve">TITEL I ALLGEMEINE BESTIMMUNGEN ÜBER DAS AUSWÄRTIGE HANDELN DER UNION</w:t>
        </w:r>
      </w:hyperlink>
    </w:p>
    <w:p>
      <w:pPr>
        <w:pStyle w:val="Übersicht"/>
        <w:ind w:left="680"/>
      </w:pPr>
      <w:hyperlink w:anchor="b259" w:history="1">
        <w:r>
          <w:rPr>
            <w:color w:val="0A3A8C"/>
            <w:u w:val="single"/>
          </w:rPr>
          <w:t xml:space="preserve">Art. 205</w:t>
        </w:r>
      </w:hyperlink>
    </w:p>
    <w:p>
      <w:pPr>
        <w:pStyle w:val="Übersicht"/>
        <w:ind w:left="340"/>
      </w:pPr>
      <w:hyperlink w:anchor="b260" w:history="1">
        <w:r>
          <w:rPr>
            <w:b/>
            <w:color w:val="0A3A8C"/>
            <w:u w:val="single"/>
          </w:rPr>
          <w:t xml:space="preserve">TITEL II GEMEINSAME HANDELSPOLITIK</w:t>
        </w:r>
      </w:hyperlink>
    </w:p>
    <w:p>
      <w:pPr>
        <w:pStyle w:val="Übersicht"/>
        <w:ind w:left="680"/>
      </w:pPr>
      <w:hyperlink w:anchor="b261" w:history="1">
        <w:r>
          <w:rPr>
            <w:color w:val="0A3A8C"/>
            <w:u w:val="single"/>
          </w:rPr>
          <w:t xml:space="preserve">Art. 206 bis 207</w:t>
        </w:r>
      </w:hyperlink>
    </w:p>
    <w:p>
      <w:pPr>
        <w:pStyle w:val="Übersicht"/>
        <w:ind w:left="340"/>
      </w:pPr>
      <w:hyperlink w:anchor="b263" w:history="1">
        <w:r>
          <w:rPr>
            <w:b/>
            <w:color w:val="0A3A8C"/>
            <w:u w:val="single"/>
          </w:rPr>
          <w:t xml:space="preserve">TITEL III ZUSAMMENARBEIT MIT DRITTLÄNDERN UND HUMANITÄRE HILFE</w:t>
        </w:r>
      </w:hyperlink>
    </w:p>
    <w:p>
      <w:pPr>
        <w:pStyle w:val="Übersicht"/>
        <w:ind w:left="680"/>
      </w:pPr>
      <w:hyperlink w:anchor="b264" w:history="1">
        <w:r>
          <w:rPr>
            <w:b/>
            <w:color w:val="0A3A8C"/>
            <w:u w:val="single"/>
          </w:rPr>
          <w:t xml:space="preserve">KAPITEL 1 ENTWICKLUNGSZUSAMMENARBEIT</w:t>
        </w:r>
      </w:hyperlink>
    </w:p>
    <w:p>
      <w:pPr>
        <w:pStyle w:val="Übersicht"/>
        <w:ind w:left="1020"/>
      </w:pPr>
      <w:hyperlink w:anchor="b265" w:history="1">
        <w:r>
          <w:rPr>
            <w:color w:val="0A3A8C"/>
            <w:u w:val="single"/>
          </w:rPr>
          <w:t xml:space="preserve">Art. 208 bis 211</w:t>
        </w:r>
      </w:hyperlink>
    </w:p>
    <w:p>
      <w:pPr>
        <w:pStyle w:val="Übersicht"/>
        <w:ind w:left="680"/>
      </w:pPr>
      <w:hyperlink w:anchor="b269" w:history="1">
        <w:r>
          <w:rPr>
            <w:b/>
            <w:color w:val="0A3A8C"/>
            <w:u w:val="single"/>
          </w:rPr>
          <w:t xml:space="preserve">KAPITEL 2 WIRTSCHAFTLICHE, FINANZIELLE UND TECHNISCHE ZUSAMMENARBEIT MIT DRITTLÄNDERN</w:t>
        </w:r>
      </w:hyperlink>
    </w:p>
    <w:p>
      <w:pPr>
        <w:pStyle w:val="Übersicht"/>
        <w:ind w:left="1020"/>
      </w:pPr>
      <w:hyperlink w:anchor="b270" w:history="1">
        <w:r>
          <w:rPr>
            <w:color w:val="0A3A8C"/>
            <w:u w:val="single"/>
          </w:rPr>
          <w:t xml:space="preserve">Art. 212 bis 213</w:t>
        </w:r>
      </w:hyperlink>
    </w:p>
    <w:p>
      <w:pPr>
        <w:pStyle w:val="Übersicht"/>
        <w:ind w:left="680"/>
      </w:pPr>
      <w:hyperlink w:anchor="b272" w:history="1">
        <w:r>
          <w:rPr>
            <w:b/>
            <w:color w:val="0A3A8C"/>
            <w:u w:val="single"/>
          </w:rPr>
          <w:t xml:space="preserve">KAPITEL 3 HUMANITÄRE HILFE</w:t>
        </w:r>
      </w:hyperlink>
    </w:p>
    <w:p>
      <w:pPr>
        <w:pStyle w:val="Übersicht"/>
        <w:ind w:left="1020"/>
      </w:pPr>
      <w:hyperlink w:anchor="b273" w:history="1">
        <w:r>
          <w:rPr>
            <w:color w:val="0A3A8C"/>
            <w:u w:val="single"/>
          </w:rPr>
          <w:t xml:space="preserve">Art. 214</w:t>
        </w:r>
      </w:hyperlink>
    </w:p>
    <w:p>
      <w:pPr>
        <w:pStyle w:val="Übersicht"/>
        <w:ind w:left="340"/>
      </w:pPr>
      <w:hyperlink w:anchor="b274" w:history="1">
        <w:r>
          <w:rPr>
            <w:b/>
            <w:color w:val="0A3A8C"/>
            <w:u w:val="single"/>
          </w:rPr>
          <w:t xml:space="preserve">TITEL IV RESTRIKTIVE MASSNAHMEN</w:t>
        </w:r>
      </w:hyperlink>
    </w:p>
    <w:p>
      <w:pPr>
        <w:pStyle w:val="Übersicht"/>
        <w:ind w:left="680"/>
      </w:pPr>
      <w:hyperlink w:anchor="b275" w:history="1">
        <w:r>
          <w:rPr>
            <w:color w:val="0A3A8C"/>
            <w:u w:val="single"/>
          </w:rPr>
          <w:t xml:space="preserve">Art. 215</w:t>
        </w:r>
      </w:hyperlink>
    </w:p>
    <w:p>
      <w:pPr>
        <w:pStyle w:val="Übersicht"/>
        <w:ind w:left="340"/>
      </w:pPr>
      <w:hyperlink w:anchor="b276" w:history="1">
        <w:r>
          <w:rPr>
            <w:b/>
            <w:color w:val="0A3A8C"/>
            <w:u w:val="single"/>
          </w:rPr>
          <w:t xml:space="preserve">TITEL V INTERNATIONALE ÜBEREINKÜNFTE</w:t>
        </w:r>
      </w:hyperlink>
    </w:p>
    <w:p>
      <w:pPr>
        <w:pStyle w:val="Übersicht"/>
        <w:ind w:left="680"/>
      </w:pPr>
      <w:hyperlink w:anchor="b277" w:history="1">
        <w:r>
          <w:rPr>
            <w:color w:val="0A3A8C"/>
            <w:u w:val="single"/>
          </w:rPr>
          <w:t xml:space="preserve">Art. 216 bis 219</w:t>
        </w:r>
      </w:hyperlink>
    </w:p>
    <w:p>
      <w:pPr>
        <w:pStyle w:val="Übersicht"/>
        <w:ind w:left="340"/>
      </w:pPr>
      <w:hyperlink w:anchor="b281" w:history="1">
        <w:r>
          <w:rPr>
            <w:b/>
            <w:color w:val="0A3A8C"/>
            <w:u w:val="single"/>
          </w:rPr>
          <w:t xml:space="preserve">TITEL VI BEZIEHUNGEN DER UNION ZU INTERNATIONALEN ORGANISATIONEN UND DRITTLÄNDERN SOWIE DELEGATIONEN DER UNION</w:t>
        </w:r>
      </w:hyperlink>
    </w:p>
    <w:p>
      <w:pPr>
        <w:pStyle w:val="Übersicht"/>
        <w:ind w:left="680"/>
      </w:pPr>
      <w:hyperlink w:anchor="b282" w:history="1">
        <w:r>
          <w:rPr>
            <w:color w:val="0A3A8C"/>
            <w:u w:val="single"/>
          </w:rPr>
          <w:t xml:space="preserve">Art. 220 bis 221</w:t>
        </w:r>
      </w:hyperlink>
    </w:p>
    <w:p>
      <w:pPr>
        <w:pStyle w:val="Übersicht"/>
        <w:ind w:left="340"/>
      </w:pPr>
      <w:hyperlink w:anchor="b284" w:history="1">
        <w:r>
          <w:rPr>
            <w:b/>
            <w:color w:val="0A3A8C"/>
            <w:u w:val="single"/>
          </w:rPr>
          <w:t xml:space="preserve">TITEL VII SOLIDARITÄTSKLAUSEL</w:t>
        </w:r>
      </w:hyperlink>
    </w:p>
    <w:p>
      <w:pPr>
        <w:pStyle w:val="Übersicht"/>
        <w:ind w:left="680"/>
      </w:pPr>
      <w:hyperlink w:anchor="b285" w:history="1">
        <w:r>
          <w:rPr>
            <w:color w:val="0A3A8C"/>
            <w:u w:val="single"/>
          </w:rPr>
          <w:t xml:space="preserve">Art. 222</w:t>
        </w:r>
      </w:hyperlink>
    </w:p>
    <w:p>
      <w:pPr>
        <w:pStyle w:val="Übersicht"/>
        <w:ind w:left="0"/>
      </w:pPr>
      <w:hyperlink w:anchor="b286" w:history="1">
        <w:r>
          <w:rPr>
            <w:b/>
            <w:color w:val="0A3A8C"/>
            <w:u w:val="single"/>
          </w:rPr>
          <w:t xml:space="preserve">SECHSTER TEIL INSTITUTIONELLE BESTIMMUNGEN UND FINANZVORSCHRIFTEN</w:t>
        </w:r>
      </w:hyperlink>
    </w:p>
    <w:p>
      <w:pPr>
        <w:pStyle w:val="Übersicht"/>
        <w:ind w:left="340"/>
      </w:pPr>
      <w:hyperlink w:anchor="b287" w:history="1">
        <w:r>
          <w:rPr>
            <w:b/>
            <w:color w:val="0A3A8C"/>
            <w:u w:val="single"/>
          </w:rPr>
          <w:t xml:space="preserve">TITEL I VORSCHRIFTEN ÜBER DIE ORGANE</w:t>
        </w:r>
      </w:hyperlink>
    </w:p>
    <w:p>
      <w:pPr>
        <w:pStyle w:val="Übersicht"/>
        <w:ind w:left="680"/>
      </w:pPr>
      <w:hyperlink w:anchor="b288" w:history="1">
        <w:r>
          <w:rPr>
            <w:b/>
            <w:color w:val="0A3A8C"/>
            <w:u w:val="single"/>
          </w:rPr>
          <w:t xml:space="preserve">KAPITEL 1 DIE ORGANE</w:t>
        </w:r>
      </w:hyperlink>
    </w:p>
    <w:p>
      <w:pPr>
        <w:pStyle w:val="Übersicht"/>
        <w:ind w:left="1020"/>
      </w:pPr>
      <w:hyperlink w:anchor="b289" w:history="1">
        <w:r>
          <w:rPr>
            <w:b/>
            <w:color w:val="0A3A8C"/>
            <w:u w:val="single"/>
          </w:rPr>
          <w:t xml:space="preserve">ABSCHNITT 1 DAS EUROPÄISCHE PARLAMENT</w:t>
        </w:r>
      </w:hyperlink>
    </w:p>
    <w:p>
      <w:pPr>
        <w:pStyle w:val="Übersicht"/>
        <w:ind w:left="1361"/>
      </w:pPr>
      <w:hyperlink w:anchor="b290" w:history="1">
        <w:r>
          <w:rPr>
            <w:color w:val="0A3A8C"/>
            <w:u w:val="single"/>
          </w:rPr>
          <w:t xml:space="preserve">Art. 223 bis 234</w:t>
        </w:r>
      </w:hyperlink>
    </w:p>
    <w:p>
      <w:pPr>
        <w:pStyle w:val="Übersicht"/>
        <w:ind w:left="1020"/>
      </w:pPr>
      <w:hyperlink w:anchor="b302" w:history="1">
        <w:r>
          <w:rPr>
            <w:b/>
            <w:color w:val="0A3A8C"/>
            <w:u w:val="single"/>
          </w:rPr>
          <w:t xml:space="preserve">ABSCHNITT 2 DER EUROPÄISCHE RAT</w:t>
        </w:r>
      </w:hyperlink>
    </w:p>
    <w:p>
      <w:pPr>
        <w:pStyle w:val="Übersicht"/>
        <w:ind w:left="1361"/>
      </w:pPr>
      <w:hyperlink w:anchor="b303" w:history="1">
        <w:r>
          <w:rPr>
            <w:color w:val="0A3A8C"/>
            <w:u w:val="single"/>
          </w:rPr>
          <w:t xml:space="preserve">Art. 235 bis 236</w:t>
        </w:r>
      </w:hyperlink>
    </w:p>
    <w:p>
      <w:pPr>
        <w:pStyle w:val="Übersicht"/>
        <w:ind w:left="1020"/>
      </w:pPr>
      <w:hyperlink w:anchor="b305" w:history="1">
        <w:r>
          <w:rPr>
            <w:b/>
            <w:color w:val="0A3A8C"/>
            <w:u w:val="single"/>
          </w:rPr>
          <w:t xml:space="preserve">ABSCHNITT 3 DER RAT</w:t>
        </w:r>
      </w:hyperlink>
    </w:p>
    <w:p>
      <w:pPr>
        <w:pStyle w:val="Übersicht"/>
        <w:ind w:left="1361"/>
      </w:pPr>
      <w:hyperlink w:anchor="b306" w:history="1">
        <w:r>
          <w:rPr>
            <w:color w:val="0A3A8C"/>
            <w:u w:val="single"/>
          </w:rPr>
          <w:t xml:space="preserve">Art. 237 bis 243</w:t>
        </w:r>
      </w:hyperlink>
    </w:p>
    <w:p>
      <w:pPr>
        <w:pStyle w:val="Übersicht"/>
        <w:ind w:left="1020"/>
      </w:pPr>
      <w:hyperlink w:anchor="b313" w:history="1">
        <w:r>
          <w:rPr>
            <w:b/>
            <w:color w:val="0A3A8C"/>
            <w:u w:val="single"/>
          </w:rPr>
          <w:t xml:space="preserve">ABSCHNITT 4 DIE KOMMISSION</w:t>
        </w:r>
      </w:hyperlink>
    </w:p>
    <w:p>
      <w:pPr>
        <w:pStyle w:val="Übersicht"/>
        <w:ind w:left="1361"/>
      </w:pPr>
      <w:hyperlink w:anchor="b314" w:history="1">
        <w:r>
          <w:rPr>
            <w:color w:val="0A3A8C"/>
            <w:u w:val="single"/>
          </w:rPr>
          <w:t xml:space="preserve">Art. 244 bis 250</w:t>
        </w:r>
      </w:hyperlink>
    </w:p>
    <w:p>
      <w:pPr>
        <w:pStyle w:val="Übersicht"/>
        <w:ind w:left="1020"/>
      </w:pPr>
      <w:hyperlink w:anchor="b321" w:history="1">
        <w:r>
          <w:rPr>
            <w:b/>
            <w:color w:val="0A3A8C"/>
            <w:u w:val="single"/>
          </w:rPr>
          <w:t xml:space="preserve">ABSCHNITT 5 DER GERICHTSHOF DER EUROPÄISCHEN UNION</w:t>
        </w:r>
      </w:hyperlink>
    </w:p>
    <w:p>
      <w:pPr>
        <w:pStyle w:val="Übersicht"/>
        <w:ind w:left="1361"/>
      </w:pPr>
      <w:hyperlink w:anchor="b322" w:history="1">
        <w:r>
          <w:rPr>
            <w:color w:val="0A3A8C"/>
            <w:u w:val="single"/>
          </w:rPr>
          <w:t xml:space="preserve">Art. 251 bis 281</w:t>
        </w:r>
      </w:hyperlink>
    </w:p>
    <w:p>
      <w:pPr>
        <w:pStyle w:val="Übersicht"/>
        <w:ind w:left="1020"/>
      </w:pPr>
      <w:hyperlink w:anchor="b353" w:history="1">
        <w:r>
          <w:rPr>
            <w:b/>
            <w:color w:val="0A3A8C"/>
            <w:u w:val="single"/>
          </w:rPr>
          <w:t xml:space="preserve">ABSCHNITT 6 DIE EUROPÄISCHE ZENTRALBANK</w:t>
        </w:r>
      </w:hyperlink>
    </w:p>
    <w:p>
      <w:pPr>
        <w:pStyle w:val="Übersicht"/>
        <w:ind w:left="1361"/>
      </w:pPr>
      <w:hyperlink w:anchor="b354" w:history="1">
        <w:r>
          <w:rPr>
            <w:color w:val="0A3A8C"/>
            <w:u w:val="single"/>
          </w:rPr>
          <w:t xml:space="preserve">Art. 282 bis 284</w:t>
        </w:r>
      </w:hyperlink>
    </w:p>
    <w:p>
      <w:pPr>
        <w:pStyle w:val="Übersicht"/>
        <w:ind w:left="1020"/>
      </w:pPr>
      <w:hyperlink w:anchor="b357" w:history="1">
        <w:r>
          <w:rPr>
            <w:b/>
            <w:color w:val="0A3A8C"/>
            <w:u w:val="single"/>
          </w:rPr>
          <w:t xml:space="preserve">ABSCHNITT 7 DER RECHNUNGSHOF</w:t>
        </w:r>
      </w:hyperlink>
    </w:p>
    <w:p>
      <w:pPr>
        <w:pStyle w:val="Übersicht"/>
        <w:ind w:left="1361"/>
      </w:pPr>
      <w:hyperlink w:anchor="b358" w:history="1">
        <w:r>
          <w:rPr>
            <w:color w:val="0A3A8C"/>
            <w:u w:val="single"/>
          </w:rPr>
          <w:t xml:space="preserve">Art. 285 bis 287</w:t>
        </w:r>
      </w:hyperlink>
    </w:p>
    <w:p>
      <w:pPr>
        <w:pStyle w:val="Übersicht"/>
        <w:ind w:left="680"/>
      </w:pPr>
      <w:hyperlink w:anchor="b361" w:history="1">
        <w:r>
          <w:rPr>
            <w:b/>
            <w:color w:val="0A3A8C"/>
            <w:u w:val="single"/>
          </w:rPr>
          <w:t xml:space="preserve">KAPITEL 2 RECHTSAKTE DER UNION, ANNAHMEVERFAHREN UND SONSTIGE VORSCHRIFTEN</w:t>
        </w:r>
      </w:hyperlink>
    </w:p>
    <w:p>
      <w:pPr>
        <w:pStyle w:val="Übersicht"/>
        <w:ind w:left="1020"/>
      </w:pPr>
      <w:hyperlink w:anchor="b362" w:history="1">
        <w:r>
          <w:rPr>
            <w:b/>
            <w:color w:val="0A3A8C"/>
            <w:u w:val="single"/>
          </w:rPr>
          <w:t xml:space="preserve">ABSCHNITT 1 DIE RECHTSAKTE DER UNION</w:t>
        </w:r>
      </w:hyperlink>
    </w:p>
    <w:p>
      <w:pPr>
        <w:pStyle w:val="Übersicht"/>
        <w:ind w:left="1361"/>
      </w:pPr>
      <w:hyperlink w:anchor="b363" w:history="1">
        <w:r>
          <w:rPr>
            <w:color w:val="0A3A8C"/>
            <w:u w:val="single"/>
          </w:rPr>
          <w:t xml:space="preserve">Art. 288 bis 292</w:t>
        </w:r>
      </w:hyperlink>
    </w:p>
    <w:p>
      <w:pPr>
        <w:pStyle w:val="Übersicht"/>
        <w:ind w:left="1020"/>
      </w:pPr>
      <w:hyperlink w:anchor="b368" w:history="1">
        <w:r>
          <w:rPr>
            <w:b/>
            <w:color w:val="0A3A8C"/>
            <w:u w:val="single"/>
          </w:rPr>
          <w:t xml:space="preserve">ABSCHNITT 2 ANNAHMEVERFAHREN UND SONSTIGE VORSCHRIFTEN</w:t>
        </w:r>
      </w:hyperlink>
    </w:p>
    <w:p>
      <w:pPr>
        <w:pStyle w:val="Übersicht"/>
        <w:ind w:left="1361"/>
      </w:pPr>
      <w:hyperlink w:anchor="b369" w:history="1">
        <w:r>
          <w:rPr>
            <w:color w:val="0A3A8C"/>
            <w:u w:val="single"/>
          </w:rPr>
          <w:t xml:space="preserve">Art. 293 bis 299</w:t>
        </w:r>
      </w:hyperlink>
    </w:p>
    <w:p>
      <w:pPr>
        <w:pStyle w:val="Übersicht"/>
        <w:ind w:left="680"/>
      </w:pPr>
      <w:hyperlink w:anchor="b376" w:history="1">
        <w:r>
          <w:rPr>
            <w:b/>
            <w:color w:val="0A3A8C"/>
            <w:u w:val="single"/>
          </w:rPr>
          <w:t xml:space="preserve">KAPITEL 3 DIE BERATENDEN EINRICHTUNGEN DER UNION</w:t>
        </w:r>
      </w:hyperlink>
    </w:p>
    <w:p>
      <w:pPr>
        <w:pStyle w:val="Übersicht"/>
        <w:ind w:left="1020"/>
      </w:pPr>
      <w:hyperlink w:anchor="b377" w:history="1">
        <w:r>
          <w:rPr>
            <w:color w:val="0A3A8C"/>
            <w:u w:val="single"/>
          </w:rPr>
          <w:t xml:space="preserve">Art. 300</w:t>
        </w:r>
      </w:hyperlink>
    </w:p>
    <w:p>
      <w:pPr>
        <w:pStyle w:val="Übersicht"/>
        <w:ind w:left="1020"/>
      </w:pPr>
      <w:hyperlink w:anchor="b378" w:history="1">
        <w:r>
          <w:rPr>
            <w:b/>
            <w:color w:val="0A3A8C"/>
            <w:u w:val="single"/>
          </w:rPr>
          <w:t xml:space="preserve">ABSCHNITT 1 DER WIRTSCHAFTS- UND SOZIALAUSSCHUSS</w:t>
        </w:r>
      </w:hyperlink>
    </w:p>
    <w:p>
      <w:pPr>
        <w:pStyle w:val="Übersicht"/>
        <w:ind w:left="1361"/>
      </w:pPr>
      <w:hyperlink w:anchor="b379" w:history="1">
        <w:r>
          <w:rPr>
            <w:color w:val="0A3A8C"/>
            <w:u w:val="single"/>
          </w:rPr>
          <w:t xml:space="preserve">Art. 301 bis 304</w:t>
        </w:r>
      </w:hyperlink>
    </w:p>
    <w:p>
      <w:pPr>
        <w:pStyle w:val="Übersicht"/>
        <w:ind w:left="1020"/>
      </w:pPr>
      <w:hyperlink w:anchor="b383" w:history="1">
        <w:r>
          <w:rPr>
            <w:b/>
            <w:color w:val="0A3A8C"/>
            <w:u w:val="single"/>
          </w:rPr>
          <w:t xml:space="preserve">ABSCHNITT 2 DER AUSSCHUSS DER REGIONEN</w:t>
        </w:r>
      </w:hyperlink>
    </w:p>
    <w:p>
      <w:pPr>
        <w:pStyle w:val="Übersicht"/>
        <w:ind w:left="1361"/>
      </w:pPr>
      <w:hyperlink w:anchor="b384" w:history="1">
        <w:r>
          <w:rPr>
            <w:color w:val="0A3A8C"/>
            <w:u w:val="single"/>
          </w:rPr>
          <w:t xml:space="preserve">Art. 305 bis 307</w:t>
        </w:r>
      </w:hyperlink>
    </w:p>
    <w:p>
      <w:pPr>
        <w:pStyle w:val="Übersicht"/>
        <w:ind w:left="680"/>
      </w:pPr>
      <w:hyperlink w:anchor="b387" w:history="1">
        <w:r>
          <w:rPr>
            <w:b/>
            <w:color w:val="0A3A8C"/>
            <w:u w:val="single"/>
          </w:rPr>
          <w:t xml:space="preserve">KAPITEL 4 DIE EUROPÄISCHE INVESTITIONSBANK</w:t>
        </w:r>
      </w:hyperlink>
    </w:p>
    <w:p>
      <w:pPr>
        <w:pStyle w:val="Übersicht"/>
        <w:ind w:left="1020"/>
      </w:pPr>
      <w:hyperlink w:anchor="b388" w:history="1">
        <w:r>
          <w:rPr>
            <w:color w:val="0A3A8C"/>
            <w:u w:val="single"/>
          </w:rPr>
          <w:t xml:space="preserve">Art. 308 bis 309</w:t>
        </w:r>
      </w:hyperlink>
    </w:p>
    <w:p>
      <w:pPr>
        <w:pStyle w:val="Übersicht"/>
        <w:ind w:left="340"/>
      </w:pPr>
      <w:hyperlink w:anchor="b390" w:history="1">
        <w:r>
          <w:rPr>
            <w:b/>
            <w:color w:val="0A3A8C"/>
            <w:u w:val="single"/>
          </w:rPr>
          <w:t xml:space="preserve">TITEL II FINANZVORSCHRIFTEN</w:t>
        </w:r>
      </w:hyperlink>
    </w:p>
    <w:p>
      <w:pPr>
        <w:pStyle w:val="Übersicht"/>
        <w:ind w:left="680"/>
      </w:pPr>
      <w:hyperlink w:anchor="b391" w:history="1">
        <w:r>
          <w:rPr>
            <w:color w:val="0A3A8C"/>
            <w:u w:val="single"/>
          </w:rPr>
          <w:t xml:space="preserve">Art. 310</w:t>
        </w:r>
      </w:hyperlink>
    </w:p>
    <w:p>
      <w:pPr>
        <w:pStyle w:val="Übersicht"/>
        <w:ind w:left="680"/>
      </w:pPr>
      <w:hyperlink w:anchor="b392" w:history="1">
        <w:r>
          <w:rPr>
            <w:b/>
            <w:color w:val="0A3A8C"/>
            <w:u w:val="single"/>
          </w:rPr>
          <w:t xml:space="preserve">KAPITEL 1 DIE EIGENMITTEL DER UNION</w:t>
        </w:r>
      </w:hyperlink>
    </w:p>
    <w:p>
      <w:pPr>
        <w:pStyle w:val="Übersicht"/>
        <w:ind w:left="1020"/>
      </w:pPr>
      <w:hyperlink w:anchor="b393" w:history="1">
        <w:r>
          <w:rPr>
            <w:color w:val="0A3A8C"/>
            <w:u w:val="single"/>
          </w:rPr>
          <w:t xml:space="preserve">Art. 311</w:t>
        </w:r>
      </w:hyperlink>
    </w:p>
    <w:p>
      <w:pPr>
        <w:pStyle w:val="Übersicht"/>
        <w:ind w:left="680"/>
      </w:pPr>
      <w:hyperlink w:anchor="b394" w:history="1">
        <w:r>
          <w:rPr>
            <w:b/>
            <w:color w:val="0A3A8C"/>
            <w:u w:val="single"/>
          </w:rPr>
          <w:t xml:space="preserve">KAPITEL 2 DER MEHRJÄHRIGE FINANZRAHMEN</w:t>
        </w:r>
      </w:hyperlink>
    </w:p>
    <w:p>
      <w:pPr>
        <w:pStyle w:val="Übersicht"/>
        <w:ind w:left="1020"/>
      </w:pPr>
      <w:hyperlink w:anchor="b395" w:history="1">
        <w:r>
          <w:rPr>
            <w:color w:val="0A3A8C"/>
            <w:u w:val="single"/>
          </w:rPr>
          <w:t xml:space="preserve">Art. 312</w:t>
        </w:r>
      </w:hyperlink>
    </w:p>
    <w:p>
      <w:pPr>
        <w:pStyle w:val="Übersicht"/>
        <w:ind w:left="680"/>
      </w:pPr>
      <w:hyperlink w:anchor="b396" w:history="1">
        <w:r>
          <w:rPr>
            <w:b/>
            <w:color w:val="0A3A8C"/>
            <w:u w:val="single"/>
          </w:rPr>
          <w:t xml:space="preserve">KAPITEL 3 DER JAHRESHAUSHALTSPLAN DER UNION</w:t>
        </w:r>
      </w:hyperlink>
    </w:p>
    <w:p>
      <w:pPr>
        <w:pStyle w:val="Übersicht"/>
        <w:ind w:left="1020"/>
      </w:pPr>
      <w:hyperlink w:anchor="b397" w:history="1">
        <w:r>
          <w:rPr>
            <w:color w:val="0A3A8C"/>
            <w:u w:val="single"/>
          </w:rPr>
          <w:t xml:space="preserve">Art. 313 bis 316</w:t>
        </w:r>
      </w:hyperlink>
    </w:p>
    <w:p>
      <w:pPr>
        <w:pStyle w:val="Übersicht"/>
        <w:ind w:left="680"/>
      </w:pPr>
      <w:hyperlink w:anchor="b401" w:history="1">
        <w:r>
          <w:rPr>
            <w:b/>
            <w:color w:val="0A3A8C"/>
            <w:u w:val="single"/>
          </w:rPr>
          <w:t xml:space="preserve">KAPITEL 4 AUSFÜHRUNG DES HAUSHALTSPLANS UND ENTLASTUNG</w:t>
        </w:r>
      </w:hyperlink>
    </w:p>
    <w:p>
      <w:pPr>
        <w:pStyle w:val="Übersicht"/>
        <w:ind w:left="1020"/>
      </w:pPr>
      <w:hyperlink w:anchor="b402" w:history="1">
        <w:r>
          <w:rPr>
            <w:color w:val="0A3A8C"/>
            <w:u w:val="single"/>
          </w:rPr>
          <w:t xml:space="preserve">Art. 317 bis 319</w:t>
        </w:r>
      </w:hyperlink>
    </w:p>
    <w:p>
      <w:pPr>
        <w:pStyle w:val="Übersicht"/>
        <w:ind w:left="680"/>
      </w:pPr>
      <w:hyperlink w:anchor="b405" w:history="1">
        <w:r>
          <w:rPr>
            <w:b/>
            <w:color w:val="0A3A8C"/>
            <w:u w:val="single"/>
          </w:rPr>
          <w:t xml:space="preserve">KAPITEL 5 GEMEINSAME BESTIMMUNGEN</w:t>
        </w:r>
      </w:hyperlink>
    </w:p>
    <w:p>
      <w:pPr>
        <w:pStyle w:val="Übersicht"/>
        <w:ind w:left="1020"/>
      </w:pPr>
      <w:hyperlink w:anchor="b406" w:history="1">
        <w:r>
          <w:rPr>
            <w:color w:val="0A3A8C"/>
            <w:u w:val="single"/>
          </w:rPr>
          <w:t xml:space="preserve">Art. 320 bis 324</w:t>
        </w:r>
      </w:hyperlink>
    </w:p>
    <w:p>
      <w:pPr>
        <w:pStyle w:val="Übersicht"/>
        <w:ind w:left="680"/>
      </w:pPr>
      <w:hyperlink w:anchor="b411" w:history="1">
        <w:r>
          <w:rPr>
            <w:b/>
            <w:color w:val="0A3A8C"/>
            <w:u w:val="single"/>
          </w:rPr>
          <w:t xml:space="preserve">KAPITEL 6 BETRUGSBEKÄMPFUNG</w:t>
        </w:r>
      </w:hyperlink>
    </w:p>
    <w:p>
      <w:pPr>
        <w:pStyle w:val="Übersicht"/>
        <w:ind w:left="1020"/>
      </w:pPr>
      <w:hyperlink w:anchor="b412" w:history="1">
        <w:r>
          <w:rPr>
            <w:color w:val="0A3A8C"/>
            <w:u w:val="single"/>
          </w:rPr>
          <w:t xml:space="preserve">Art. 325</w:t>
        </w:r>
      </w:hyperlink>
    </w:p>
    <w:p>
      <w:pPr>
        <w:pStyle w:val="Übersicht"/>
        <w:ind w:left="340"/>
      </w:pPr>
      <w:hyperlink w:anchor="b413" w:history="1">
        <w:r>
          <w:rPr>
            <w:b/>
            <w:color w:val="0A3A8C"/>
            <w:u w:val="single"/>
          </w:rPr>
          <w:t xml:space="preserve">TITEL III VERSTÄRKTE ZUSAMMENARBEIT</w:t>
        </w:r>
      </w:hyperlink>
    </w:p>
    <w:p>
      <w:pPr>
        <w:pStyle w:val="Übersicht"/>
        <w:ind w:left="680"/>
      </w:pPr>
      <w:hyperlink w:anchor="b414" w:history="1">
        <w:r>
          <w:rPr>
            <w:color w:val="0A3A8C"/>
            <w:u w:val="single"/>
          </w:rPr>
          <w:t xml:space="preserve">Art. 326 bis 334</w:t>
        </w:r>
      </w:hyperlink>
    </w:p>
    <w:p>
      <w:pPr>
        <w:pStyle w:val="Übersicht"/>
        <w:ind w:left="0"/>
      </w:pPr>
      <w:hyperlink w:anchor="b423" w:history="1">
        <w:r>
          <w:rPr>
            <w:b/>
            <w:color w:val="0A3A8C"/>
            <w:u w:val="single"/>
          </w:rPr>
          <w:t xml:space="preserve">SIEBTER TEIL ALLGEMEINE UND SCHLUSSBESTIMMUNGEN</w:t>
        </w:r>
      </w:hyperlink>
    </w:p>
    <w:p>
      <w:pPr>
        <w:pStyle w:val="Übersicht"/>
        <w:ind w:left="340"/>
      </w:pPr>
      <w:hyperlink w:anchor="b424" w:history="1">
        <w:r>
          <w:rPr>
            <w:color w:val="0A3A8C"/>
            <w:u w:val="single"/>
          </w:rPr>
          <w:t xml:space="preserve">Art. 335 bis 358</w:t>
        </w:r>
      </w:hyperlink>
    </w:p>
    <w:p>
      <w:pPr>
        <w:pStyle w:val="Heading1"/>
      </w:pPr>
      <w:bookmarkStart w:id="1" w:name="b0"/>
      <w:r>
        <w:t>Präambel</w:t>
      </w:r>
      <w:bookmarkEnd w:id="1"/>
    </w:p>
    <w:p>
      <w:r>
        <w:t>SEINE MAJESTÄT DER KÖNIG DER BELGIER, DER PRÄSIDENT DER BUNDESREPUBLIK DEUTSCHLAND, DER PRÄSIDENT DER FRANZÖSISCHEN REPUBLIK, DER PRÄSIDENT DER ITALIENISCHEN REPUBLIK, IHRE KÖNIGLICHE HOHEIT DIE GROSSHERZOGIN VON LUXEMBURG, IHRE MAJESTÄT DIE KÖNIGIN DER NIEDERLANDE,</w:t>
      </w:r>
      <w:hyperlink w:anchor="f0_1" w:history="1">
        <w:r>
          <w:rPr>
            <w:rStyle w:val="Fussnotenmarke"/>
            <w:u w:val="single"/>
            <w:color w:val="0A3A8C"/>
          </w:rPr>
          <w:t>1</w:t>
        </w:r>
      </w:hyperlink>
    </w:p>
    <w:p>
      <w:r>
        <w:t>IN DEM FESTEN WILLEN, die Grundlagen für einen immer engeren Zusammenschluss der europäischen Völker zu schaffen,</w:t>
      </w:r>
    </w:p>
    <w:p>
      <w:r>
        <w:t>ENTSCHLOSSEN, durch gemeinsames Handeln den wirtschaftlichen und sozialen Fortschritt ihrer Staaten zu sichern, indem sie die Europa trennenden Schranken beseitigen,</w:t>
      </w:r>
    </w:p>
    <w:p>
      <w:r>
        <w:t>IN DEM VORSATZ, die stetige Besserung der Lebens- und Beschäftigungsbedingungen ihrer Völker als wesentliches Ziel anzustreben,</w:t>
      </w:r>
    </w:p>
    <w:p>
      <w:r>
        <w:t>IN DER ERKENNTNIS, dass zur Beseitigung der bestehenden Hindernisse ein einverständliches Vorgehen erforderlich ist, um eine beständige Wirtschaftsausweitung, einen ausgewogenen Handelsverkehr und einen redlichen Wettbewerb zu gewährleisten,</w:t>
      </w:r>
    </w:p>
    <w:p>
      <w:r>
        <w:t>IN DEM BESTREBEN, ihre Volkswirtschaften zu einigen und deren harmonische Entwicklung zu fördern, indem sie den Abstand zwischen einzelnen Gebieten und den Rückstand weniger begünstigter Gebiete verringern,</w:t>
      </w:r>
    </w:p>
    <w:p>
      <w:r>
        <w:t>IN DEM WUNSCH, durch eine gemeinsame Handelspolitik zur fortschreitenden Beseitigung der Beschränkungen im zwischenstaatlichen Wirtschaftsverkehr beizutragen,</w:t>
      </w:r>
    </w:p>
    <w:p>
      <w:r>
        <w:t>IN DER ABSICHT, die Verbundenheit Europas mit den überseeischen Ländern zu bekräftigen, und in dem Wunsch, entsprechend den Grundsätzen der Satzung der Vereinten Nationen den Wohlstand der überseeischen Länder zu fördern,</w:t>
      </w:r>
    </w:p>
    <w:p>
      <w:r>
        <w:t>ENTSCHLOSSEN, durch diesen Zusammenschluss ihrer Wirtschaftskräfte Frieden und Freiheit zu wahren und zu festigen, und mit der Aufforderung an die anderen Völker Europas, die sich zu dem gleichen hohen Ziel bekennen, sich diesen Bestrebungen anzuschließen,</w:t>
      </w:r>
    </w:p>
    <w:p>
      <w:r>
        <w:t>ENTSCHLOSSEN, durch umfassenden Zugang zur Bildung und durch ständige Weiterbildung auf einen möglichst hohen Wissensstand ihrer Völker hinzuwirken,</w:t>
      </w:r>
    </w:p>
    <w:p>
      <w:r>
        <w:t>HABEN zu diesem Zweck zu ihren Bevollmächtigten ERNANNT</w:t>
      </w:r>
    </w:p>
    <w:p>
      <w:r>
        <w:rPr>
          <w:i/>
        </w:rPr>
        <w:t>(Aufzählung der Bevollmächtigten nicht wiedergegeben)</w:t>
      </w:r>
    </w:p>
    <w:p>
      <w:r>
        <w:t>DIESE SIND nach Austausch ihrer als gut und gehörig befundenen Vollmachten wie folgt übereingekommen:</w:t>
      </w:r>
    </w:p>
    <w:p>
      <w:pPr>
        <w:pStyle w:val="Fußnote"/>
      </w:pPr>
      <w:bookmarkStart w:id="2" w:name="f0_1"/>
      <w:r>
        <w:rPr>
          <w:rStyle w:val="Zusatz"/>
          <w:b/>
        </w:rPr>
        <w:t xml:space="preserve">Fußnote 1: </w:t>
      </w:r>
      <w:r>
        <w:t>Seit dem ursprünglichen Vertragsschluss sind Mitgliedstaaten der Europäischen Union geworden: die Republik Bulgarien, die Tschechische Republik, das Königreich Dänemark, die Republik Estland, Irland, die Hellenische Republik, das Königreich Spanien, die Republik Kroatien, die Republik Zypern, die Republik Lettland, die Republik Litauen, Ungarn, die Republik Malta, die Republik Österreich, die Republik Polen, die Portugiesische Republik, Rumänien, die Republik Slowenien, die Slowakische Republik, die Republik Finnland, das Königreich Schweden und das Vereinigte Königreich Großbritannien und Nordirland.</w:t>
      </w:r>
      <w:bookmarkEnd w:id="2"/>
    </w:p>
    <w:p>
      <w:pPr>
        <w:pStyle w:val="Heading1"/>
      </w:pPr>
      <w:bookmarkStart w:id="3" w:name="b1"/>
      <w:r>
        <w:t>ERSTER TEIL GRUNDSÄTZE</w:t>
      </w:r>
      <w:bookmarkEnd w:id="3"/>
    </w:p>
    <w:p>
      <w:pPr>
        <w:pStyle w:val="Heading2"/>
      </w:pPr>
      <w:bookmarkStart w:id="4" w:name="b2"/>
      <w:r>
        <w:t>Art 1</w:t>
      </w:r>
      <w:r>
        <w:t xml:space="preserve"> </w:t>
      </w:r>
      <w:r>
        <w:rPr>
          <w:rStyle w:val="Suchmarke"/>
        </w:rPr>
        <w:t>#1.#</w:t>
      </w:r>
      <w:bookmarkEnd w:id="4"/>
    </w:p>
    <w:p>
      <w:r>
        <w:t>(1) Dieser Vertrag regelt die Arbeitsweise der Union und legt die Bereiche, die Abgrenzung und die Einzelheiten der Ausübung ihrer Zuständigkeiten fest.</w:t>
      </w:r>
    </w:p>
    <w:p>
      <w:r>
        <w:t xml:space="preserve">(2) </w:t>
      </w:r>
      <w:r>
        <w:rPr>
          <w:rStyle w:val="Satznummer"/>
        </w:rPr>
        <w:t>1</w:t>
      </w:r>
      <w:r>
        <w:t xml:space="preserve">Dieser Vertrag und der Vertrag über die Europäische Union bilden die Verträge, auf die sich die Union gründet. </w:t>
      </w:r>
      <w:r>
        <w:rPr>
          <w:rStyle w:val="Satznummer"/>
        </w:rPr>
        <w:t>2</w:t>
      </w:r>
      <w:r>
        <w:t>Diese beiden Verträge, die rechtlich gleichrangig sind, werden als "die Verträge" bezeichnet.</w:t>
      </w:r>
    </w:p>
    <w:p>
      <w:pPr>
        <w:pStyle w:val="Heading2"/>
      </w:pPr>
      <w:bookmarkStart w:id="5" w:name="b3"/>
      <w:r>
        <w:t>TITEL I ARTEN UND BEREICHE DER ZUSTÄNDIGKEIT DER UNION</w:t>
      </w:r>
      <w:bookmarkEnd w:id="5"/>
    </w:p>
    <w:p>
      <w:pPr>
        <w:pStyle w:val="Heading3"/>
      </w:pPr>
      <w:bookmarkStart w:id="6" w:name="b4"/>
      <w:r>
        <w:t>Art 2</w:t>
      </w:r>
      <w:r>
        <w:t xml:space="preserve"> </w:t>
      </w:r>
      <w:r>
        <w:rPr>
          <w:rStyle w:val="Suchmarke"/>
        </w:rPr>
        <w:t>#2.#</w:t>
      </w:r>
      <w:bookmarkEnd w:id="6"/>
    </w:p>
    <w:p>
      <w:r>
        <w:t>(1) Übertragen die Verträge der Union für einen bestimmten Bereich eine ausschließliche Zuständigkeit, so kann nur die Union gesetzgeberisch tätig werden und verbindliche Rechtsakte erlassen; die Mitgliedstaaten dürfen in einem solchen Fall nur tätig werden, wenn sie von der Union hierzu ermächtigt werden, oder um Rechtsakte der Union durchzuführen.</w:t>
      </w:r>
    </w:p>
    <w:p>
      <w:r>
        <w:t xml:space="preserve">(2) </w:t>
      </w:r>
      <w:r>
        <w:rPr>
          <w:rStyle w:val="Satznummer"/>
        </w:rPr>
        <w:t>1</w:t>
      </w:r>
      <w:r>
        <w:t xml:space="preserve">Übertragen die Verträge der Union für einen bestimmten Bereich eine mit den Mitgliedstaaten geteilte Zuständigkeit, so können die Union und die Mitgliedstaaten in diesem Bereich gesetzgeberisch tätig werden und verbindliche Rechtsakte erlassen. </w:t>
      </w:r>
      <w:r>
        <w:rPr>
          <w:rStyle w:val="Satznummer"/>
        </w:rPr>
        <w:t>2</w:t>
      </w:r>
      <w:r>
        <w:t xml:space="preserve">Die Mitgliedstaaten nehmen ihre Zuständigkeit wahr, sofern und soweit die Union ihre Zuständigkeit nicht ausgeübt hat. </w:t>
      </w:r>
      <w:r>
        <w:rPr>
          <w:rStyle w:val="Satznummer"/>
        </w:rPr>
        <w:t>3</w:t>
      </w:r>
      <w:r>
        <w:t>Die Mitgliedstaaten nehmen ihre Zuständigkeit erneut wahr, sofern und soweit die Union entschieden hat, ihre Zuständigkeit nicht mehr auszuüben.</w:t>
      </w:r>
    </w:p>
    <w:p>
      <w:r>
        <w:t>(3) Die Mitgliedstaaten koordinieren ihre Wirtschafts- und Beschäftigungspolitik im Rahmen von Regelungen nach Maßgabe dieses Vertrags, für deren Festlegung die Union zuständig ist.</w:t>
      </w:r>
    </w:p>
    <w:p>
      <w:r>
        <w:t>(4) Die Union ist nach Maßgabe des Vertrags über die Europäische Union dafür zuständig, eine gemeinsame Außen- und Sicherheitspolitik einschließlich der schrittweisen Festlegung einer gemeinsamen Verteidigungspolitik zu erarbeiten und zu verwirklichen.</w:t>
      </w:r>
    </w:p>
    <w:p>
      <w:r>
        <w:t>(5) In bestimmten Bereichen ist die Union nach Maßgabe der Verträge dafür zuständig, Maßnahmen zur Unterstützung, Koordinierung oder Ergänzung der Maßnahmen der Mitgliedstaaten durchzuführen, ohne dass dadurch die Zuständigkeit der Union für diese Bereiche an die Stelle der Zuständigkeit der Mitgliedstaaten tritt.</w:t>
      </w:r>
    </w:p>
    <w:p>
      <w:r>
        <w:t>Die verbindlichen Rechtsakte der Union, die aufgrund der diese Bereiche betreffenden Bestimmungen der Verträge erlassen werden, dürfen keine Harmonisierung der Rechtsvorschriften der Mitgliedstaaten beinhalten.</w:t>
      </w:r>
    </w:p>
    <w:p>
      <w:r>
        <w:t>(6) Der Umfang der Zuständigkeiten der Union und die Einzelheiten ihrer Ausübung ergeben sich aus den Bestimmungen der Verträge zu den einzelnen Bereichen.</w:t>
      </w:r>
    </w:p>
    <w:p>
      <w:pPr>
        <w:pStyle w:val="Heading3"/>
      </w:pPr>
      <w:bookmarkStart w:id="7" w:name="b5"/>
      <w:r>
        <w:t>Art 3</w:t>
      </w:r>
      <w:r>
        <w:t xml:space="preserve"> </w:t>
      </w:r>
      <w:r>
        <w:rPr>
          <w:rStyle w:val="Suchmarke"/>
        </w:rPr>
        <w:t>#3.#</w:t>
      </w:r>
      <w:bookmarkEnd w:id="7"/>
    </w:p>
    <w:p>
      <w:r>
        <w:t>(1) Die Union hat ausschließliche Zuständigkeit in folgenden Bereichen:</w:t>
      </w:r>
    </w:p>
    <w:p>
      <w:pPr>
        <w:tabs>
          <w:tab w:pos="567" w:val="left"/>
        </w:tabs>
        <w:ind w:left="567" w:hanging="567"/>
      </w:pPr>
      <w:r>
        <w:t>a)</w:t>
      </w:r>
      <w:r>
        <w:tab/>
      </w:r>
      <w:r>
        <w:t>Zollunion,</w:t>
      </w:r>
    </w:p>
    <w:p>
      <w:pPr>
        <w:tabs>
          <w:tab w:pos="567" w:val="left"/>
        </w:tabs>
        <w:ind w:left="567" w:hanging="567"/>
      </w:pPr>
      <w:r>
        <w:t>b)</w:t>
      </w:r>
      <w:r>
        <w:tab/>
      </w:r>
      <w:r>
        <w:t>Festlegung der für das Funktionieren des Binnenmarkts erforderlichen Wettbewerbsregeln,</w:t>
      </w:r>
    </w:p>
    <w:p>
      <w:pPr>
        <w:tabs>
          <w:tab w:pos="567" w:val="left"/>
        </w:tabs>
        <w:ind w:left="567" w:hanging="567"/>
      </w:pPr>
      <w:r>
        <w:t>c)</w:t>
      </w:r>
      <w:r>
        <w:tab/>
      </w:r>
      <w:r>
        <w:t>Währungspolitik für die Mitgliedstaaten, deren Währung der Euro ist,</w:t>
      </w:r>
    </w:p>
    <w:p>
      <w:pPr>
        <w:tabs>
          <w:tab w:pos="567" w:val="left"/>
        </w:tabs>
        <w:ind w:left="567" w:hanging="567"/>
      </w:pPr>
      <w:r>
        <w:t>d)</w:t>
      </w:r>
      <w:r>
        <w:tab/>
      </w:r>
      <w:r>
        <w:t>Erhaltung der biologischen Meeresschätze im Rahmen der gemeinsamen Fischereipolitik,</w:t>
      </w:r>
    </w:p>
    <w:p>
      <w:pPr>
        <w:tabs>
          <w:tab w:pos="567" w:val="left"/>
        </w:tabs>
        <w:ind w:left="567" w:hanging="567"/>
      </w:pPr>
      <w:r>
        <w:t>e)</w:t>
      </w:r>
      <w:r>
        <w:tab/>
      </w:r>
      <w:r>
        <w:t>gemeinsame Handelspolitik.</w:t>
      </w:r>
    </w:p>
    <w:p>
      <w:r>
        <w:t>(2) Die Union hat ferner die ausschließliche Zuständigkeit für den Abschluss internationaler Übereinkünfte, wenn der Abschluss einer solchen Übereinkunft in einem Gesetzgebungsakt der Union vorgesehen ist, wenn er notwendig ist, damit sie ihre interne Zuständigkeit ausüben kann, oder soweit er gemeinsame Regeln beeinträchtigen oder deren Tragweite verändern könnte.</w:t>
      </w:r>
    </w:p>
    <w:p>
      <w:pPr>
        <w:pStyle w:val="Heading3"/>
      </w:pPr>
      <w:bookmarkStart w:id="8" w:name="b6"/>
      <w:r>
        <w:t>Art 4</w:t>
      </w:r>
      <w:r>
        <w:t xml:space="preserve"> </w:t>
      </w:r>
      <w:r>
        <w:rPr>
          <w:rStyle w:val="Suchmarke"/>
        </w:rPr>
        <w:t>#4.#</w:t>
      </w:r>
      <w:bookmarkEnd w:id="8"/>
    </w:p>
    <w:p>
      <w:r>
        <w:t xml:space="preserve">(1) Die Union teilt ihre Zuständigkeit mit den Mitgliedstaaten, wenn ihr die Verträge außerhalb der in den </w:t>
      </w:r>
      <w:hyperlink w:anchor="b5" w:history="1">
        <w:r>
          <w:rPr>
            <w:color w:val="0A3A8C"/>
            <w:u w:val="single"/>
          </w:rPr>
          <w:t xml:space="preserve">Artikeln 3</w:t>
        </w:r>
      </w:hyperlink>
      <w:r>
        <w:t xml:space="preserve"> und </w:t>
      </w:r>
      <w:hyperlink w:anchor="b8" w:history="1">
        <w:r>
          <w:rPr>
            <w:color w:val="0A3A8C"/>
            <w:u w:val="single"/>
          </w:rPr>
          <w:t xml:space="preserve">6</w:t>
        </w:r>
      </w:hyperlink>
      <w:r>
        <w:t xml:space="preserve"> genannten Bereiche eine Zuständigkeit übertragen.</w:t>
      </w:r>
    </w:p>
    <w:p>
      <w:r>
        <w:t>(2) Die von der Union mit den Mitgliedstaaten geteilte Zuständigkeit erstreckt sich auf die folgenden Hauptbereiche:</w:t>
      </w:r>
    </w:p>
    <w:p>
      <w:pPr>
        <w:tabs>
          <w:tab w:pos="567" w:val="left"/>
        </w:tabs>
        <w:ind w:left="567" w:hanging="567"/>
      </w:pPr>
      <w:r>
        <w:t>a)</w:t>
      </w:r>
      <w:r>
        <w:tab/>
      </w:r>
      <w:r>
        <w:t>Binnenmarkt,</w:t>
      </w:r>
    </w:p>
    <w:p>
      <w:pPr>
        <w:tabs>
          <w:tab w:pos="567" w:val="left"/>
        </w:tabs>
        <w:ind w:left="567" w:hanging="567"/>
      </w:pPr>
      <w:r>
        <w:t>b)</w:t>
      </w:r>
      <w:r>
        <w:tab/>
      </w:r>
      <w:r>
        <w:t>Sozialpolitik hinsichtlich der in diesem Vertrag genannten Aspekte,</w:t>
      </w:r>
    </w:p>
    <w:p>
      <w:pPr>
        <w:tabs>
          <w:tab w:pos="567" w:val="left"/>
        </w:tabs>
        <w:ind w:left="567" w:hanging="567"/>
      </w:pPr>
      <w:r>
        <w:t>c)</w:t>
      </w:r>
      <w:r>
        <w:tab/>
      </w:r>
      <w:r>
        <w:t>wirtschaftlicher, sozialer und territorialer Zusammenhalt,</w:t>
      </w:r>
    </w:p>
    <w:p>
      <w:pPr>
        <w:tabs>
          <w:tab w:pos="567" w:val="left"/>
        </w:tabs>
        <w:ind w:left="567" w:hanging="567"/>
      </w:pPr>
      <w:r>
        <w:t>d)</w:t>
      </w:r>
      <w:r>
        <w:tab/>
      </w:r>
      <w:r>
        <w:t>Landwirtschaft und Fischerei, ausgenommen die Erhaltung der biologischen Meeresschätze,</w:t>
      </w:r>
    </w:p>
    <w:p>
      <w:pPr>
        <w:tabs>
          <w:tab w:pos="567" w:val="left"/>
        </w:tabs>
        <w:ind w:left="567" w:hanging="567"/>
      </w:pPr>
      <w:r>
        <w:t>e)</w:t>
      </w:r>
      <w:r>
        <w:tab/>
      </w:r>
      <w:r>
        <w:t>Umwelt,</w:t>
      </w:r>
    </w:p>
    <w:p>
      <w:pPr>
        <w:tabs>
          <w:tab w:pos="567" w:val="left"/>
        </w:tabs>
        <w:ind w:left="567" w:hanging="567"/>
      </w:pPr>
      <w:r>
        <w:t>f)</w:t>
      </w:r>
      <w:r>
        <w:tab/>
      </w:r>
      <w:r>
        <w:t>Verbraucherschutz,</w:t>
      </w:r>
    </w:p>
    <w:p>
      <w:pPr>
        <w:tabs>
          <w:tab w:pos="567" w:val="left"/>
        </w:tabs>
        <w:ind w:left="567" w:hanging="567"/>
      </w:pPr>
      <w:r>
        <w:t>g)</w:t>
      </w:r>
      <w:r>
        <w:tab/>
      </w:r>
      <w:r>
        <w:t>Verkehr,</w:t>
      </w:r>
    </w:p>
    <w:p>
      <w:pPr>
        <w:tabs>
          <w:tab w:pos="567" w:val="left"/>
        </w:tabs>
        <w:ind w:left="567" w:hanging="567"/>
      </w:pPr>
      <w:r>
        <w:t>h)</w:t>
      </w:r>
      <w:r>
        <w:tab/>
      </w:r>
      <w:r>
        <w:t>transeuropäische Netze,</w:t>
      </w:r>
    </w:p>
    <w:p>
      <w:pPr>
        <w:tabs>
          <w:tab w:pos="567" w:val="left"/>
        </w:tabs>
        <w:ind w:left="567" w:hanging="567"/>
      </w:pPr>
      <w:r>
        <w:t>i)</w:t>
      </w:r>
      <w:r>
        <w:tab/>
      </w:r>
      <w:r>
        <w:t>Energie,</w:t>
      </w:r>
    </w:p>
    <w:p>
      <w:pPr>
        <w:tabs>
          <w:tab w:pos="567" w:val="left"/>
        </w:tabs>
        <w:ind w:left="567" w:hanging="567"/>
      </w:pPr>
      <w:r>
        <w:t>j)</w:t>
      </w:r>
      <w:r>
        <w:tab/>
      </w:r>
      <w:r>
        <w:t>Raum der Freiheit, der Sicherheit und des Rechts,</w:t>
      </w:r>
    </w:p>
    <w:p>
      <w:pPr>
        <w:tabs>
          <w:tab w:pos="567" w:val="left"/>
        </w:tabs>
        <w:ind w:left="567" w:hanging="567"/>
      </w:pPr>
      <w:r>
        <w:t>k)</w:t>
      </w:r>
      <w:r>
        <w:tab/>
      </w:r>
      <w:r>
        <w:t>gemeinsame Sicherheitsanliegen im Bereich der öffentlichen Gesundheit hinsichtlich der in diesem Vertrag genannten Aspekte.</w:t>
      </w:r>
    </w:p>
    <w:p>
      <w:r>
        <w:t>(3) In den Bereichen Forschung, technologische Entwicklung und Raumfahrt erstreckt sich die Zuständigkeit der Union darauf, Maßnahmen zu treffen, insbesondere Programme zu erstellen und durchzuführen, ohne dass die Ausübung dieser Zuständigkeit die Mitgliedstaaten hindert, ihre Zuständigkeit auszuüben.</w:t>
      </w:r>
    </w:p>
    <w:p>
      <w:r>
        <w:t>(4) In den Bereichen Entwicklungszusammenarbeit und humanitäre Hilfe erstreckt sich die Zuständigkeit der Union darauf, Maßnahmen zu treffen und eine gemeinsame Politik zu verfolgen, ohne dass die Ausübung dieser Zuständigkeit die Mitgliedstaaten hindert, ihre Zuständigkeit auszuüben.</w:t>
      </w:r>
    </w:p>
    <w:p>
      <w:pPr>
        <w:pStyle w:val="Heading3"/>
      </w:pPr>
      <w:bookmarkStart w:id="9" w:name="b7"/>
      <w:r>
        <w:t>Art 5</w:t>
      </w:r>
      <w:r>
        <w:t xml:space="preserve"> </w:t>
      </w:r>
      <w:r>
        <w:rPr>
          <w:rStyle w:val="Suchmarke"/>
        </w:rPr>
        <w:t>#5.#</w:t>
      </w:r>
      <w:bookmarkEnd w:id="9"/>
    </w:p>
    <w:p>
      <w:r>
        <w:t xml:space="preserve">(1) </w:t>
      </w:r>
      <w:r>
        <w:rPr>
          <w:rStyle w:val="Satznummer"/>
        </w:rPr>
        <w:t>1</w:t>
      </w:r>
      <w:r>
        <w:t xml:space="preserve">Die Mitgliedstaaten koordinieren ihre Wirtschaftspolitik innerhalb der Union. </w:t>
      </w:r>
      <w:r>
        <w:rPr>
          <w:rStyle w:val="Satznummer"/>
        </w:rPr>
        <w:t>2</w:t>
      </w:r>
      <w:r>
        <w:t>Zu diesem Zweck erlässt der Rat Maßnahmen; insbesondere beschließt er die Grundzüge dieser Politik.</w:t>
      </w:r>
    </w:p>
    <w:p>
      <w:r>
        <w:t>Für die Mitgliedstaaten, deren Währung der Euro ist, gelten besondere Regelungen.</w:t>
      </w:r>
    </w:p>
    <w:p>
      <w:r>
        <w:t>(2) Die Union trifft Maßnahmen zur Koordinierung der Beschäftigungspolitik der Mitgliedstaaten, insbesondere durch die Festlegung von Leitlinien für diese Politik.</w:t>
      </w:r>
    </w:p>
    <w:p>
      <w:r>
        <w:t>(3) Die Union kann Initiativen zur Koordinierung der Sozialpolitik der Mitgliedstaaten ergreifen.</w:t>
      </w:r>
    </w:p>
    <w:p>
      <w:pPr>
        <w:pStyle w:val="Heading3"/>
      </w:pPr>
      <w:bookmarkStart w:id="10" w:name="b8"/>
      <w:r>
        <w:t>Art 6</w:t>
      </w:r>
      <w:r>
        <w:t xml:space="preserve"> </w:t>
      </w:r>
      <w:r>
        <w:rPr>
          <w:rStyle w:val="Suchmarke"/>
        </w:rPr>
        <w:t>#6.#</w:t>
      </w:r>
      <w:bookmarkEnd w:id="10"/>
    </w:p>
    <w:p>
      <w:r>
        <w:rPr>
          <w:rStyle w:val="Satznummer"/>
        </w:rPr>
        <w:t>1</w:t>
      </w:r>
      <w:r>
        <w:t xml:space="preserve">Die Union ist für die Durchführung von Maßnahmen zur Unterstützung, Koordinierung oder Ergänzung der Maßnahmen der Mitgliedstaaten zuständig. </w:t>
      </w:r>
      <w:r>
        <w:rPr>
          <w:rStyle w:val="Satznummer"/>
        </w:rPr>
        <w:t>2</w:t>
      </w:r>
      <w:r>
        <w:t>Diese Maßnahmen mit europäischer Zielsetzung können in folgenden Bereichen getroffen werden:</w:t>
      </w:r>
    </w:p>
    <w:p>
      <w:pPr>
        <w:tabs>
          <w:tab w:pos="567" w:val="left"/>
        </w:tabs>
        <w:ind w:left="567" w:hanging="567"/>
      </w:pPr>
      <w:r>
        <w:t>a)</w:t>
      </w:r>
      <w:r>
        <w:tab/>
      </w:r>
      <w:r>
        <w:t>Schutz und Verbesserung der menschlichen Gesundheit,</w:t>
      </w:r>
    </w:p>
    <w:p>
      <w:pPr>
        <w:tabs>
          <w:tab w:pos="567" w:val="left"/>
        </w:tabs>
        <w:ind w:left="567" w:hanging="567"/>
      </w:pPr>
      <w:r>
        <w:t>b)</w:t>
      </w:r>
      <w:r>
        <w:tab/>
      </w:r>
      <w:r>
        <w:t>Industrie,</w:t>
      </w:r>
    </w:p>
    <w:p>
      <w:pPr>
        <w:tabs>
          <w:tab w:pos="567" w:val="left"/>
        </w:tabs>
        <w:ind w:left="567" w:hanging="567"/>
      </w:pPr>
      <w:r>
        <w:t>c)</w:t>
      </w:r>
      <w:r>
        <w:tab/>
      </w:r>
      <w:r>
        <w:t>Kultur,</w:t>
      </w:r>
    </w:p>
    <w:p>
      <w:pPr>
        <w:tabs>
          <w:tab w:pos="567" w:val="left"/>
        </w:tabs>
        <w:ind w:left="567" w:hanging="567"/>
      </w:pPr>
      <w:r>
        <w:t>d)</w:t>
      </w:r>
      <w:r>
        <w:tab/>
      </w:r>
      <w:r>
        <w:t>Tourismus,</w:t>
      </w:r>
    </w:p>
    <w:p>
      <w:pPr>
        <w:tabs>
          <w:tab w:pos="567" w:val="left"/>
        </w:tabs>
        <w:ind w:left="567" w:hanging="567"/>
      </w:pPr>
      <w:r>
        <w:t>e)</w:t>
      </w:r>
      <w:r>
        <w:tab/>
      </w:r>
      <w:r>
        <w:t>allgemeine und berufliche Bildung, Jugend und Sport,</w:t>
      </w:r>
    </w:p>
    <w:p>
      <w:pPr>
        <w:tabs>
          <w:tab w:pos="567" w:val="left"/>
        </w:tabs>
        <w:ind w:left="567" w:hanging="567"/>
      </w:pPr>
      <w:r>
        <w:t>f)</w:t>
      </w:r>
      <w:r>
        <w:tab/>
      </w:r>
      <w:r>
        <w:t>Katastrophenschutz,</w:t>
      </w:r>
    </w:p>
    <w:p>
      <w:pPr>
        <w:tabs>
          <w:tab w:pos="567" w:val="left"/>
        </w:tabs>
        <w:ind w:left="567" w:hanging="567"/>
      </w:pPr>
      <w:r>
        <w:t>g)</w:t>
      </w:r>
      <w:r>
        <w:tab/>
      </w:r>
      <w:r>
        <w:t>Verwaltungszusammenarbeit.</w:t>
      </w:r>
    </w:p>
    <w:p>
      <w:pPr>
        <w:pStyle w:val="Heading2"/>
      </w:pPr>
      <w:bookmarkStart w:id="11" w:name="b9"/>
      <w:r>
        <w:t>TITEL II ALLGEMEIN GELTENDE BESTIMMUNGEN</w:t>
      </w:r>
      <w:bookmarkEnd w:id="11"/>
    </w:p>
    <w:p>
      <w:pPr>
        <w:pStyle w:val="Heading3"/>
      </w:pPr>
      <w:bookmarkStart w:id="12" w:name="b10"/>
      <w:r>
        <w:t>Art 7</w:t>
      </w:r>
      <w:r>
        <w:t xml:space="preserve"> </w:t>
      </w:r>
      <w:r>
        <w:rPr>
          <w:rStyle w:val="Suchmarke"/>
        </w:rPr>
        <w:t>#7.#</w:t>
      </w:r>
      <w:bookmarkEnd w:id="12"/>
    </w:p>
    <w:p>
      <w:r>
        <w:t>Die Union achtet auf die Kohärenz zwischen ihrer Politik und ihren Maßnahmen in den verschiedenen Bereichen und trägt dabei unter Einhaltung des Grundsatzes der begrenzten Einzelermächtigung ihren Zielen in ihrer Gesamtheit Rechnung.</w:t>
      </w:r>
    </w:p>
    <w:p>
      <w:pPr>
        <w:pStyle w:val="Heading3"/>
      </w:pPr>
      <w:bookmarkStart w:id="13" w:name="b11"/>
      <w:r>
        <w:t>Art 8</w:t>
      </w:r>
      <w:r>
        <w:t xml:space="preserve"> </w:t>
      </w:r>
      <w:r>
        <w:rPr>
          <w:rStyle w:val="Suchmarke"/>
        </w:rPr>
        <w:t>#8.#</w:t>
      </w:r>
      <w:bookmarkEnd w:id="13"/>
    </w:p>
    <w:p>
      <w:r>
        <w:rPr>
          <w:color w:val="404040"/>
          <w:sz w:val="21"/>
        </w:rPr>
        <w:t>(ex-Artikel 3 Absatz 2 EGV)</w:t>
      </w:r>
      <w:hyperlink w:anchor="f11_1" w:history="1">
        <w:r>
          <w:rPr>
            <w:rStyle w:val="Fussnotenmarke"/>
            <w:u w:val="single"/>
            <w:color w:val="0A3A8C"/>
          </w:rPr>
          <w:t>1</w:t>
        </w:r>
      </w:hyperlink>
    </w:p>
    <w:p>
      <w:r>
        <w:t>Bei allen ihren Tätigkeiten wirkt die Union darauf hin, Ungleichheiten zu beseitigen und die Gleichstellung von Männern und Frauen zu fördern.</w:t>
      </w:r>
    </w:p>
    <w:p>
      <w:pPr>
        <w:pStyle w:val="Fußnote"/>
      </w:pPr>
      <w:bookmarkStart w:id="14" w:name="f11_1"/>
      <w:r>
        <w:rPr>
          <w:rStyle w:val="Zusatz"/>
          <w:b/>
        </w:rPr>
        <w:t xml:space="preserve">Fußnote 1: </w:t>
      </w:r>
      <w:r>
        <w:t>Dieser Verweis hat lediglich hinweisenden Charakter. Zur Vertiefung vgl. die Übereinstimmungstabellen für die Entsprechung zwischen bisheriger und neuer Nummerierung der Verträge.</w:t>
      </w:r>
      <w:bookmarkEnd w:id="14"/>
    </w:p>
    <w:p>
      <w:pPr>
        <w:pStyle w:val="Heading3"/>
      </w:pPr>
      <w:bookmarkStart w:id="15" w:name="b12"/>
      <w:r>
        <w:t>Art 9</w:t>
      </w:r>
      <w:r>
        <w:t xml:space="preserve"> </w:t>
      </w:r>
      <w:r>
        <w:rPr>
          <w:rStyle w:val="Suchmarke"/>
        </w:rPr>
        <w:t>#9.#</w:t>
      </w:r>
      <w:bookmarkEnd w:id="15"/>
    </w:p>
    <w:p>
      <w:r>
        <w:t>Bei der Festlegung und Durchführung ihrer Politik und ihrer Maßnahmen trägt die Union den Erfordernissen im Zusammenhang mit der Förderung eines hohen Beschäftigungsniveaus, mit der Gewährleistung eines angemessenen sozialen Schutzes, mit der Bekämpfung der sozialen Ausgrenzung sowie mit einem hohen Niveau der allgemeinen und beruflichen Bildung und des Gesundheitsschutzes Rechnung.</w:t>
      </w:r>
    </w:p>
    <w:p>
      <w:pPr>
        <w:pStyle w:val="Heading3"/>
      </w:pPr>
      <w:bookmarkStart w:id="16" w:name="b13"/>
      <w:r>
        <w:t>Art 10</w:t>
      </w:r>
      <w:r>
        <w:t xml:space="preserve"> </w:t>
      </w:r>
      <w:r>
        <w:rPr>
          <w:rStyle w:val="Suchmarke"/>
        </w:rPr>
        <w:t>#10.#</w:t>
      </w:r>
      <w:bookmarkEnd w:id="16"/>
    </w:p>
    <w:p>
      <w:r>
        <w:t>Bei der Festlegung und Durchführung ihrer Politik und ihrer Maßnahmen zielt die Union darauf ab, Diskriminierungen aus Gründen des Geschlechts, der Rasse, der ethnischen Herkunft, der Religion oder der Weltanschauung, einer Behinderung, des Alters oder der sexuellen Ausrichtung zu bekämpfen.</w:t>
      </w:r>
    </w:p>
    <w:p>
      <w:pPr>
        <w:pStyle w:val="Heading3"/>
      </w:pPr>
      <w:bookmarkStart w:id="17" w:name="b14"/>
      <w:r>
        <w:t>Art 11</w:t>
      </w:r>
      <w:r>
        <w:t xml:space="preserve"> </w:t>
      </w:r>
      <w:r>
        <w:rPr>
          <w:rStyle w:val="Suchmarke"/>
        </w:rPr>
        <w:t>#11.#</w:t>
      </w:r>
      <w:bookmarkEnd w:id="17"/>
    </w:p>
    <w:p>
      <w:r>
        <w:rPr>
          <w:color w:val="404040"/>
          <w:sz w:val="21"/>
        </w:rPr>
        <w:t>(ex-Artikel 6 EGV)</w:t>
      </w:r>
    </w:p>
    <w:p>
      <w:r>
        <w:t>Die Erfordernisse des Umweltschutzes müssen bei der Festlegung und Durchführung der Unionspolitiken und -maßnahmen insbesondere zur Förderung einer nachhaltigen Entwicklung einbezogen werden.</w:t>
      </w:r>
    </w:p>
    <w:p>
      <w:pPr>
        <w:pStyle w:val="Heading3"/>
      </w:pPr>
      <w:bookmarkStart w:id="18" w:name="b15"/>
      <w:r>
        <w:t>Art 12</w:t>
      </w:r>
      <w:r>
        <w:t xml:space="preserve"> </w:t>
      </w:r>
      <w:r>
        <w:rPr>
          <w:rStyle w:val="Suchmarke"/>
        </w:rPr>
        <w:t>#12.#</w:t>
      </w:r>
      <w:bookmarkEnd w:id="18"/>
    </w:p>
    <w:p>
      <w:r>
        <w:rPr>
          <w:color w:val="404040"/>
          <w:sz w:val="21"/>
        </w:rPr>
        <w:t>(ex-Artikel 153 Absatz 2 EGV)</w:t>
      </w:r>
    </w:p>
    <w:p>
      <w:r>
        <w:t>Den Erfordernissen des Verbraucherschutzes wird bei der Festlegung und Durchführung der anderen Unionspolitiken und -maßnahmen Rechnung getragen.</w:t>
      </w:r>
    </w:p>
    <w:p>
      <w:pPr>
        <w:pStyle w:val="Heading3"/>
      </w:pPr>
      <w:bookmarkStart w:id="19" w:name="b16"/>
      <w:r>
        <w:t>Art 13</w:t>
      </w:r>
      <w:r>
        <w:t xml:space="preserve"> </w:t>
      </w:r>
      <w:r>
        <w:rPr>
          <w:rStyle w:val="Suchmarke"/>
        </w:rPr>
        <w:t>#13.#</w:t>
      </w:r>
      <w:bookmarkEnd w:id="19"/>
    </w:p>
    <w:p>
      <w:r>
        <w:t>Bei der Festlegung und Durchführung der Politik der Union in den Bereichen Landwirtschaft, Fischerei, Verkehr, Binnenmarkt, Forschung, technologische Entwicklung und Raumfahrt tragen die Union und die Mitgliedstaaten den Erfordernissen des Wohlergehens der Tiere als fühlende Wesen in vollem Umfang Rechnung; sie berücksichtigen hierbei die Rechts- und Verwaltungsvorschriften und die Gepflogenheiten der Mitgliedstaaten insbesondere in Bezug auf religiöse Riten, kulturelle Traditionen und das regionale Erbe.</w:t>
      </w:r>
    </w:p>
    <w:p>
      <w:pPr>
        <w:pStyle w:val="Heading3"/>
      </w:pPr>
      <w:bookmarkStart w:id="20" w:name="b17"/>
      <w:r>
        <w:t>Art 14</w:t>
      </w:r>
      <w:r>
        <w:t xml:space="preserve"> </w:t>
      </w:r>
      <w:r>
        <w:rPr>
          <w:rStyle w:val="Suchmarke"/>
        </w:rPr>
        <w:t>#14.#</w:t>
      </w:r>
      <w:bookmarkEnd w:id="20"/>
    </w:p>
    <w:p>
      <w:r>
        <w:rPr>
          <w:color w:val="404040"/>
          <w:sz w:val="21"/>
        </w:rPr>
        <w:t>(ex-Artikel 16 EGV)</w:t>
      </w:r>
    </w:p>
    <w:p>
      <w:r>
        <w:rPr>
          <w:rStyle w:val="Satznummer"/>
        </w:rPr>
        <w:t>1</w:t>
      </w:r>
      <w:r>
        <w:t xml:space="preserve">Unbeschadet des Artikels 4 des Vertrags über die Europäische Union und der </w:t>
      </w:r>
      <w:hyperlink w:anchor="b116" w:history="1">
        <w:r>
          <w:rPr>
            <w:color w:val="0A3A8C"/>
            <w:u w:val="single"/>
          </w:rPr>
          <w:t xml:space="preserve">Artikel 93</w:t>
        </w:r>
      </w:hyperlink>
      <w:r>
        <w:t xml:space="preserve">, </w:t>
      </w:r>
      <w:hyperlink w:anchor="b132" w:history="1">
        <w:r>
          <w:rPr>
            <w:color w:val="0A3A8C"/>
            <w:u w:val="single"/>
          </w:rPr>
          <w:t xml:space="preserve">106</w:t>
        </w:r>
      </w:hyperlink>
      <w:r>
        <w:t xml:space="preserve"> und </w:t>
      </w:r>
      <w:hyperlink w:anchor="b134" w:history="1">
        <w:r>
          <w:rPr>
            <w:color w:val="0A3A8C"/>
            <w:u w:val="single"/>
          </w:rPr>
          <w:t xml:space="preserve">107</w:t>
        </w:r>
      </w:hyperlink>
      <w:r>
        <w:t xml:space="preserve"> dieses Vertrags und in Anbetracht des Stellenwerts, den Dienste von allgemeinem wirtschaftlichem Interesse innerhalb der gemeinsamen Werte der Union einnehmen, sowie ihrer Bedeutung bei der Förderung des sozialen und territorialen Zusammenhalts tragen die Union und die Mitgliedstaaten im Rahmen ihrer jeweiligen Befugnisse im Anwendungsbereich der Verträge dafür Sorge, dass die Grundsätze und Bedingungen, insbesondere jene wirtschaftlicher und finanzieller Art, für das Funktionieren dieser Dienste so gestaltet sind, dass diese ihren Aufgaben nachkommen können. </w:t>
      </w:r>
      <w:r>
        <w:rPr>
          <w:rStyle w:val="Satznummer"/>
        </w:rPr>
        <w:t>2</w:t>
      </w:r>
      <w:r>
        <w:t>Diese Grundsätze und Bedingungen werden vom Europäischen Parlament und vom Rat durch Verordnungen gemäß dem ordentlichen Gesetzgebungsverfahren festgelegt, unbeschadet der Zuständigkeit der Mitgliedstaaten, diese Dienste im Einklang mit den Verträgen zur Verfügung zu stellen, in Auftrag zu geben und zu finanzieren.</w:t>
      </w:r>
    </w:p>
    <w:p>
      <w:pPr>
        <w:pStyle w:val="Heading3"/>
      </w:pPr>
      <w:bookmarkStart w:id="21" w:name="b18"/>
      <w:r>
        <w:t>Art 15</w:t>
      </w:r>
      <w:r>
        <w:t xml:space="preserve"> </w:t>
      </w:r>
      <w:r>
        <w:rPr>
          <w:rStyle w:val="Suchmarke"/>
        </w:rPr>
        <w:t>#15.#</w:t>
      </w:r>
      <w:bookmarkEnd w:id="21"/>
    </w:p>
    <w:p>
      <w:r>
        <w:rPr>
          <w:color w:val="404040"/>
          <w:sz w:val="21"/>
        </w:rPr>
        <w:t>(ex-Artikel 255 EGV)</w:t>
      </w:r>
    </w:p>
    <w:p>
      <w:r>
        <w:t>(1) Um eine verantwortungsvolle Verwaltung zu fördern und die Beteiligung der Zivilgesellschaft sicherzustellen, handeln die Organe, Einrichtungen und sonstigen Stellen der Union unter weitestgehender Beachtung des Grundsatzes der Offenheit.</w:t>
      </w:r>
    </w:p>
    <w:p>
      <w:r>
        <w:t>(2) Das Europäische Parlament tagt öffentlich; dies gilt auch für den Rat, wenn er über Entwürfe zu Gesetzgebungsakten berät oder abstimmt.</w:t>
      </w:r>
    </w:p>
    <w:p>
      <w:r>
        <w:t>(3) Jeder Unionsbürger sowie jede natürliche oder juristische Person mit Wohnsitz oder satzungsgemäßem Sitz in einem Mitgliedstaat hat das Recht auf Zugang zu Dokumenten der Organe, Einrichtungen und sonstigen Stellen der Union, unabhängig von der Form der für diese Dokumente verwendeten Träger, vorbehaltlich der Grundsätze und Bedingungen, die nach diesem Absatz festzulegen sind.</w:t>
      </w:r>
    </w:p>
    <w:p>
      <w:r>
        <w:t>Die allgemeinen Grundsätze und die aufgrund öffentlicher oder privater Interessen geltenden Einschränkungen für die Ausübung dieses Rechts auf Zugang zu Dokumenten werden vom Europäischen Parlament und vom Rat durch Verordnungen gemäß dem ordentlichen Gesetzgebungsverfahren festgelegt.</w:t>
      </w:r>
    </w:p>
    <w:p>
      <w:r>
        <w:t>Die Organe, Einrichtungen und sonstigen Stellen gewährleisten die Transparenz ihrer Tätigkeit und legen im Einklang mit den in Unterabsatz 2 genannten Verordnungen in ihrer Geschäftsordnung Sonderbestimmungen hinsichtlich des Zugangs zu ihren Dokumenten fest.</w:t>
      </w:r>
    </w:p>
    <w:p>
      <w:r>
        <w:t>Dieser Absatz gilt für den Gerichtshof der Europäischen Union, die Europäische Zentralbank und die Europäische Investitionsbank nur dann, wenn sie Verwaltungsaufgaben wahrnehmen.</w:t>
      </w:r>
    </w:p>
    <w:p>
      <w:r>
        <w:t>Das Europäische Parlament und der Rat sorgen dafür, dass die Dokumente, die die Gesetzgebungsverfahren betreffen, nach Maßgabe der in Unterabsatz 2 genannten Verordnungen öffentlich zugänglich gemacht werden.</w:t>
      </w:r>
    </w:p>
    <w:p>
      <w:pPr>
        <w:pStyle w:val="Heading3"/>
      </w:pPr>
      <w:bookmarkStart w:id="22" w:name="b19"/>
      <w:r>
        <w:t>Art 16</w:t>
      </w:r>
      <w:r>
        <w:t xml:space="preserve"> </w:t>
      </w:r>
      <w:r>
        <w:rPr>
          <w:rStyle w:val="Suchmarke"/>
        </w:rPr>
        <w:t>#16.#</w:t>
      </w:r>
      <w:bookmarkEnd w:id="22"/>
    </w:p>
    <w:p>
      <w:r>
        <w:rPr>
          <w:color w:val="404040"/>
          <w:sz w:val="21"/>
        </w:rPr>
        <w:t>(ex-Artikel 286 EGV)</w:t>
      </w:r>
    </w:p>
    <w:p>
      <w:r>
        <w:t>(1) Jede Person hat das Recht auf Schutz der sie betreffenden personenbezogenen Daten.</w:t>
      </w:r>
    </w:p>
    <w:p>
      <w:r>
        <w:t xml:space="preserve">(2) </w:t>
      </w:r>
      <w:r>
        <w:rPr>
          <w:rStyle w:val="Satznummer"/>
        </w:rPr>
        <w:t>1</w:t>
      </w:r>
      <w:r>
        <w:t xml:space="preserve">Das Europäische Parlament und der Rat erlassen gemäß dem ordentlichen Gesetzgebungsverfahren Vorschriften über den Schutz natürlicher Personen bei der Verarbeitung personenbezogener Daten durch die Organe, Einrichtungen und sonstigen Stellen der Union sowie durch die Mitgliedstaaten im Rahmen der Ausübung von Tätigkeiten, die in den Anwendungsbereich des Unionsrechts fallen, und über den freien Datenverkehr. </w:t>
      </w:r>
      <w:r>
        <w:rPr>
          <w:rStyle w:val="Satznummer"/>
        </w:rPr>
        <w:t>2</w:t>
      </w:r>
      <w:r>
        <w:t>Die Einhaltung dieser Vorschriften wird von unabhängigen Behörden überwacht.</w:t>
      </w:r>
    </w:p>
    <w:p>
      <w:r>
        <w:t>Die auf der Grundlage dieses Artikels erlassenen Vorschriften lassen die spezifischen Bestimmungen des Artikels 39 des Vertrags über die Europäische Union unberührt.</w:t>
      </w:r>
    </w:p>
    <w:p>
      <w:pPr>
        <w:pStyle w:val="Heading3"/>
      </w:pPr>
      <w:bookmarkStart w:id="23" w:name="b20"/>
      <w:r>
        <w:t>Art 17</w:t>
      </w:r>
      <w:r>
        <w:t xml:space="preserve"> </w:t>
      </w:r>
      <w:r>
        <w:rPr>
          <w:rStyle w:val="Suchmarke"/>
        </w:rPr>
        <w:t>#17.#</w:t>
      </w:r>
      <w:bookmarkEnd w:id="23"/>
    </w:p>
    <w:p>
      <w:r>
        <w:t>(1) Die Union achtet den Status, den Kirchen und religiöse Vereinigungen oder Gemeinschaften in den Mitgliedstaaten nach deren Rechtsvorschriften genießen, und beeinträchtigt ihn nicht.</w:t>
      </w:r>
    </w:p>
    <w:p>
      <w:r>
        <w:t>(2) Die Union achtet in gleicher Weise den Status, den weltanschauliche Gemeinschaften nach den einzelstaatlichen Rechtsvorschriften genießen.</w:t>
      </w:r>
    </w:p>
    <w:p>
      <w:r>
        <w:t>(3) Die Union pflegt mit diesen Kirchen und Gemeinschaften in Anerkennung ihrer Identität und ihres besonderen Beitrags einen offenen, transparenten und regelmäßigen Dialog.</w:t>
      </w:r>
    </w:p>
    <w:p>
      <w:pPr>
        <w:pStyle w:val="Heading1"/>
      </w:pPr>
      <w:bookmarkStart w:id="24" w:name="b21"/>
      <w:r>
        <w:t>ZWEITER TEIL NICHTDISKRIMINIERUNG UND UNIONSBÜRGERSCHAFT</w:t>
      </w:r>
      <w:bookmarkEnd w:id="24"/>
    </w:p>
    <w:p>
      <w:pPr>
        <w:pStyle w:val="Heading2"/>
      </w:pPr>
      <w:bookmarkStart w:id="25" w:name="b22"/>
      <w:r>
        <w:t>Art 18</w:t>
      </w:r>
      <w:r>
        <w:t xml:space="preserve"> </w:t>
      </w:r>
      <w:r>
        <w:rPr>
          <w:rStyle w:val="Suchmarke"/>
        </w:rPr>
        <w:t>#18.#</w:t>
      </w:r>
      <w:bookmarkEnd w:id="25"/>
    </w:p>
    <w:p>
      <w:r>
        <w:rPr>
          <w:color w:val="404040"/>
          <w:sz w:val="21"/>
        </w:rPr>
        <w:t>(ex-Artikel 12 EGV)</w:t>
      </w:r>
    </w:p>
    <w:p>
      <w:r>
        <w:t>Unbeschadet besonderer Bestimmungen der Verträge ist in ihrem Anwendungsbereich jede Diskriminierung aus Gründen der Staatsangehörigkeit verboten.</w:t>
      </w:r>
    </w:p>
    <w:p>
      <w:r>
        <w:t>Das Europäische Parlament und der Rat können gemäß dem ordentlichen Gesetzgebungsverfahren Regelungen für das Verbot solcher Diskriminierungen treffen.</w:t>
      </w:r>
    </w:p>
    <w:p>
      <w:pPr>
        <w:pStyle w:val="Heading2"/>
      </w:pPr>
      <w:bookmarkStart w:id="26" w:name="b23"/>
      <w:r>
        <w:t>Art 19</w:t>
      </w:r>
      <w:r>
        <w:t xml:space="preserve"> </w:t>
      </w:r>
      <w:r>
        <w:rPr>
          <w:rStyle w:val="Suchmarke"/>
        </w:rPr>
        <w:t>#19.#</w:t>
      </w:r>
      <w:bookmarkEnd w:id="26"/>
    </w:p>
    <w:p>
      <w:r>
        <w:rPr>
          <w:color w:val="404040"/>
          <w:sz w:val="21"/>
        </w:rPr>
        <w:t>(ex-Artikel 13 EGV)</w:t>
      </w:r>
    </w:p>
    <w:p>
      <w:r>
        <w:t>(1) Unbeschadet der sonstigen Bestimmungen der Verträge kann der Rat im Rahmen der durch die Verträge auf die Union übertragenen Zuständigkeiten gemäß einem besonderen Gesetzgebungsverfahren und nach Zustimmung des Europäischen Parlaments einstimmig geeignete Vorkehrungen treffen, um Diskriminierungen aus Gründen des Geschlechts, der Rasse, der ethnischen Herkunft, der Religion oder der Weltanschauung, einer Behinderung, des Alters oder der sexuellen Ausrichtung zu bekämpfen.</w:t>
      </w:r>
    </w:p>
    <w:p>
      <w:r>
        <w:t>(2) Abweichend von Absatz 1 können das Europäische Parlament und der Rat gemäß dem ordentlichen Gesetzgebungsverfahren die Grundprinzipien für Fördermaßnahmen der Union unter Ausschluss jeglicher Harmonisierung der Rechts- und Verwaltungsvorschriften der Mitgliedstaaten zur Unterstützung der Maßnahmen festlegen, die die Mitgliedstaaten treffen, um zur Verwirklichung der in Absatz 1 genannten Ziele beizutragen.</w:t>
      </w:r>
    </w:p>
    <w:p>
      <w:pPr>
        <w:pStyle w:val="Heading2"/>
      </w:pPr>
      <w:bookmarkStart w:id="27" w:name="b24"/>
      <w:r>
        <w:t>Art 20</w:t>
      </w:r>
      <w:r>
        <w:t xml:space="preserve"> </w:t>
      </w:r>
      <w:r>
        <w:rPr>
          <w:rStyle w:val="Suchmarke"/>
        </w:rPr>
        <w:t>#20.#</w:t>
      </w:r>
      <w:bookmarkEnd w:id="27"/>
    </w:p>
    <w:p>
      <w:r>
        <w:rPr>
          <w:color w:val="404040"/>
          <w:sz w:val="21"/>
        </w:rPr>
        <w:t>(ex-Artikel 17 EGV)</w:t>
      </w:r>
    </w:p>
    <w:p>
      <w:r>
        <w:t xml:space="preserve">(1) </w:t>
      </w:r>
      <w:r>
        <w:rPr>
          <w:rStyle w:val="Satznummer"/>
        </w:rPr>
        <w:t>1</w:t>
      </w:r>
      <w:r>
        <w:t xml:space="preserve">Es wird eine Unionsbürgerschaft eingeführt. </w:t>
      </w:r>
      <w:r>
        <w:rPr>
          <w:rStyle w:val="Satznummer"/>
        </w:rPr>
        <w:t>2</w:t>
      </w:r>
      <w:r>
        <w:t xml:space="preserve">Unionsbürger ist, wer die Staatsangehörigkeit eines Mitgliedstaats besitzt. </w:t>
      </w:r>
      <w:r>
        <w:rPr>
          <w:rStyle w:val="Satznummer"/>
        </w:rPr>
        <w:t>3</w:t>
      </w:r>
      <w:r>
        <w:t>Die Unionsbürgerschaft tritt zur nationalen Staatsbürgerschaft hinzu, ersetzt diese aber nicht.</w:t>
      </w:r>
    </w:p>
    <w:p>
      <w:r>
        <w:t xml:space="preserve">(2) </w:t>
      </w:r>
      <w:r>
        <w:rPr>
          <w:rStyle w:val="Satznummer"/>
        </w:rPr>
        <w:t>1</w:t>
      </w:r>
      <w:r>
        <w:t xml:space="preserve">Die Unionsbürgerinnen und Unionsbürger haben die in den Verträgen vorgesehenen Rechte und Pflichten. </w:t>
      </w:r>
      <w:r>
        <w:rPr>
          <w:rStyle w:val="Satznummer"/>
        </w:rPr>
        <w:t>2</w:t>
      </w:r>
      <w:r>
        <w:t>Sie haben unter anderem</w:t>
      </w:r>
    </w:p>
    <w:p>
      <w:pPr>
        <w:tabs>
          <w:tab w:pos="567" w:val="left"/>
        </w:tabs>
        <w:ind w:left="567" w:hanging="567"/>
      </w:pPr>
      <w:r>
        <w:t>a)</w:t>
      </w:r>
      <w:r>
        <w:tab/>
      </w:r>
      <w:r>
        <w:t>das Recht, sich im Hoheitsgebiet der Mitgliedstaaten frei zu bewegen und aufzuhalten;</w:t>
      </w:r>
    </w:p>
    <w:p>
      <w:pPr>
        <w:tabs>
          <w:tab w:pos="567" w:val="left"/>
        </w:tabs>
        <w:ind w:left="567" w:hanging="567"/>
      </w:pPr>
      <w:r>
        <w:t>b)</w:t>
      </w:r>
      <w:r>
        <w:tab/>
      </w:r>
      <w:r>
        <w:t>in dem Mitgliedstaat, in dem sie ihren Wohnsitz haben, das aktive und passive Wahlrecht bei den Wahlen zum Europäischen Parlament und bei den Kommunalwahlen, wobei für sie dieselben Bedingungen gelten wie für die Angehörigen des betreffenden Mitgliedstaats;</w:t>
      </w:r>
    </w:p>
    <w:p>
      <w:pPr>
        <w:tabs>
          <w:tab w:pos="567" w:val="left"/>
        </w:tabs>
        <w:ind w:left="567" w:hanging="567"/>
      </w:pPr>
      <w:r>
        <w:t>c)</w:t>
      </w:r>
      <w:r>
        <w:tab/>
      </w:r>
      <w:r>
        <w:t>im Hoheitsgebiet eines Drittlands, in dem der Mitgliedstaat, dessen Staatsangehörigkeit sie besitzen, nicht vertreten ist, Recht auf Schutz durch die diplomatischen und konsularischen Behörden eines jeden Mitgliedstaats unter denselben Bedingungen wie Staatsangehörige dieses Staates;</w:t>
      </w:r>
    </w:p>
    <w:p>
      <w:pPr>
        <w:tabs>
          <w:tab w:pos="567" w:val="left"/>
        </w:tabs>
        <w:ind w:left="567" w:hanging="567"/>
      </w:pPr>
      <w:r>
        <w:t>d)</w:t>
      </w:r>
      <w:r>
        <w:tab/>
      </w:r>
      <w:r>
        <w:t>das Recht, Petitionen an das Europäische Parlament zu richten und sich an den Europäischen Bürgerbeauftragten zu wenden, sowie das Recht, sich in einer der Sprachen der Verträge an die Organe und die beratenden Einrichtungen der Union zu wenden und eine Antwort in derselben Sprache zu erhalten.</w:t>
      </w:r>
    </w:p>
    <w:p>
      <w:r>
        <w:t>Diese Rechte werden unter den Bedingungen und innerhalb der Grenzen ausgeübt, die in den Verträgen und durch die in Anwendung der Verträge erlassenen Maßnahmen festgelegt sind.</w:t>
      </w:r>
    </w:p>
    <w:p>
      <w:pPr>
        <w:pStyle w:val="Heading2"/>
      </w:pPr>
      <w:bookmarkStart w:id="28" w:name="b25"/>
      <w:r>
        <w:t>Art 21</w:t>
      </w:r>
      <w:r>
        <w:t xml:space="preserve"> </w:t>
      </w:r>
      <w:r>
        <w:rPr>
          <w:rStyle w:val="Suchmarke"/>
        </w:rPr>
        <w:t>#21.#</w:t>
      </w:r>
      <w:bookmarkEnd w:id="28"/>
    </w:p>
    <w:p>
      <w:r>
        <w:rPr>
          <w:color w:val="404040"/>
          <w:sz w:val="21"/>
        </w:rPr>
        <w:t>(ex-Artikel 18 EGV)</w:t>
      </w:r>
    </w:p>
    <w:p>
      <w:r>
        <w:t>(1) Jeder Unionsbürger hat das Recht, sich im Hoheitsgebiet der Mitgliedstaaten vorbehaltlich der in den Verträgen und in den Durchführungsvorschriften vorgesehenen Beschränkungen und Bedingungen frei zu bewegen und aufzuhalten.</w:t>
      </w:r>
    </w:p>
    <w:p>
      <w:r>
        <w:t>(2) Erscheint zur Erreichung dieses Ziels ein Tätigwerden der Union erforderlich und sehen die Verträge hierfür keine Befugnisse vor, so können das Europäische Parlament und der Rat gemäß dem ordentlichen Gesetzgebungsverfahren Vorschriften erlassen, mit denen die Ausübung der Rechte nach Absatz 1 erleichtert wird.</w:t>
      </w:r>
    </w:p>
    <w:p>
      <w:r>
        <w:t xml:space="preserve">(3) </w:t>
      </w:r>
      <w:r>
        <w:rPr>
          <w:rStyle w:val="Satznummer"/>
        </w:rPr>
        <w:t>1</w:t>
      </w:r>
      <w:r>
        <w:t xml:space="preserve">Zu den gleichen wie den in Absatz 1 genannten Zwecken kann der Rat, sofern die Verträge hierfür keine Befugnisse vorsehen, gemäß einem besonderen Gesetzgebungsverfahren Maßnahmen erlassen, die die soziale Sicherheit oder den sozialen Schutz betreffen. </w:t>
      </w:r>
      <w:r>
        <w:rPr>
          <w:rStyle w:val="Satznummer"/>
        </w:rPr>
        <w:t>2</w:t>
      </w:r>
      <w:r>
        <w:t>Der Rat beschließt einstimmig nach Anhörung des Europäischen Parlaments.</w:t>
      </w:r>
    </w:p>
    <w:p>
      <w:pPr>
        <w:pStyle w:val="Heading2"/>
      </w:pPr>
      <w:bookmarkStart w:id="29" w:name="b26"/>
      <w:r>
        <w:t>Art 22</w:t>
      </w:r>
      <w:r>
        <w:t xml:space="preserve"> </w:t>
      </w:r>
      <w:r>
        <w:rPr>
          <w:rStyle w:val="Suchmarke"/>
        </w:rPr>
        <w:t>#22.#</w:t>
      </w:r>
      <w:bookmarkEnd w:id="29"/>
    </w:p>
    <w:p>
      <w:r>
        <w:rPr>
          <w:color w:val="404040"/>
          <w:sz w:val="21"/>
        </w:rPr>
        <w:t>(ex-Artikel 19 EGV)</w:t>
      </w:r>
    </w:p>
    <w:p>
      <w:r>
        <w:t xml:space="preserve">(1) </w:t>
      </w:r>
      <w:r>
        <w:rPr>
          <w:rStyle w:val="Satznummer"/>
        </w:rPr>
        <w:t>1</w:t>
      </w:r>
      <w:r>
        <w:t xml:space="preserve">Jeder Unionsbürger mit Wohnsitz in einem Mitgliedstaat, dessen Staatsangehörigkeit er nicht besitzt, hat in dem Mitgliedstaat, in dem er seinen Wohnsitz hat, das aktive und passive Wahlrecht bei Kommunalwahlen, wobei für ihn dieselben Bedingungen gelten wie für die Angehörigen des betreffenden Mitgliedstaats. </w:t>
      </w:r>
      <w:r>
        <w:rPr>
          <w:rStyle w:val="Satznummer"/>
        </w:rPr>
        <w:t>2</w:t>
      </w:r>
      <w:r>
        <w:t>Dieses Recht wird vorbehaltlich der Einzelheiten ausgeübt, die vom Rat einstimmig gemäß einem besonderen Gesetzgebungsverfahren und nach Anhörung des Europäischen Parlaments festgelegt werden; in diesen können Ausnahmeregelungen vorgesehen werden, wenn dies aufgrund besonderer Probleme eines Mitgliedstaats gerechtfertigt ist.</w:t>
      </w:r>
    </w:p>
    <w:p>
      <w:r>
        <w:t xml:space="preserve">(2) </w:t>
      </w:r>
      <w:r>
        <w:rPr>
          <w:rStyle w:val="Satznummer"/>
        </w:rPr>
        <w:t>1</w:t>
      </w:r>
      <w:r>
        <w:t xml:space="preserve">Unbeschadet des </w:t>
      </w:r>
      <w:hyperlink w:anchor="b290" w:history="1">
        <w:r>
          <w:rPr>
            <w:color w:val="0A3A8C"/>
            <w:u w:val="single"/>
          </w:rPr>
          <w:t xml:space="preserve">Artikels 223</w:t>
        </w:r>
      </w:hyperlink>
      <w:r>
        <w:t xml:space="preserve"> Absatz 1 und der Bestimmungen zu dessen Durchführung besitzt jeder Unionsbürger mit Wohnsitz in einem Mitgliedstaat, dessen Staatsangehörigkeit er nicht besitzt, in dem Mitgliedstaat, in dem er seinen Wohnsitz hat, das aktive und passive Wahlrecht bei den Wahlen zum Europäischen Parlament, wobei für ihn dieselben Bedingungen gelten wie für die Angehörigen des betreffenden Mitgliedstaats. </w:t>
      </w:r>
      <w:r>
        <w:rPr>
          <w:rStyle w:val="Satznummer"/>
        </w:rPr>
        <w:t>2</w:t>
      </w:r>
      <w:r>
        <w:t>Dieses Recht wird vorbehaltlich der Einzelheiten ausgeübt, die vom Rat einstimmig gemäß einem besonderen Gesetzgebungsverfahren und nach Anhörung des Europäischen Parlaments festgelegt werden; in diesen können Ausnahmeregelungen vorgesehen werden, wenn dies aufgrund besonderer Probleme eines Mitgliedstaats gerechtfertigt ist.</w:t>
      </w:r>
    </w:p>
    <w:p>
      <w:pPr>
        <w:pStyle w:val="Heading2"/>
      </w:pPr>
      <w:bookmarkStart w:id="30" w:name="b27"/>
      <w:r>
        <w:t>Art 23</w:t>
      </w:r>
      <w:r>
        <w:t xml:space="preserve"> </w:t>
      </w:r>
      <w:r>
        <w:rPr>
          <w:rStyle w:val="Suchmarke"/>
        </w:rPr>
        <w:t>#23.#</w:t>
      </w:r>
      <w:bookmarkEnd w:id="30"/>
    </w:p>
    <w:p>
      <w:r>
        <w:rPr>
          <w:color w:val="404040"/>
          <w:sz w:val="21"/>
        </w:rPr>
        <w:t>(ex-Artikel 20 EGV)</w:t>
      </w:r>
    </w:p>
    <w:p>
      <w:r>
        <w:rPr>
          <w:rStyle w:val="Satznummer"/>
        </w:rPr>
        <w:t>1</w:t>
      </w:r>
      <w:r>
        <w:t xml:space="preserve">Jeder Unionsbürger genießt im Hoheitsgebiet eines dritten Landes, in dem der Mitgliedstaat, dessen Staatsangehörigkeit er besitzt, nicht vertreten ist, den diplomatischen und konsularischen Schutz eines jeden Mitgliedstaats unter denselben Bedingungen wie Staatsangehörige dieses Staates. </w:t>
      </w:r>
      <w:r>
        <w:rPr>
          <w:rStyle w:val="Satznummer"/>
        </w:rPr>
        <w:t>2</w:t>
      </w:r>
      <w:r>
        <w:t>Die Mitgliedstaaten treffen die notwendigen Vorkehrungen und leiten die für diesen Schutz erforderlichen internationalen Verhandlungen ein.</w:t>
      </w:r>
    </w:p>
    <w:p>
      <w:r>
        <w:t>Der Rat kann gemäß einem besonderen Gesetzgebungsverfahren und nach Anhörung des Europäischen Parlaments Richtlinien zur Festlegung der notwendigen Koordinierungs- und Kooperationsmaßnahmen zur Erleichterung dieses Schutzes erlassen.</w:t>
      </w:r>
    </w:p>
    <w:p>
      <w:pPr>
        <w:pStyle w:val="Heading2"/>
      </w:pPr>
      <w:bookmarkStart w:id="31" w:name="b28"/>
      <w:r>
        <w:t>Art 24</w:t>
      </w:r>
      <w:r>
        <w:t xml:space="preserve"> </w:t>
      </w:r>
      <w:r>
        <w:rPr>
          <w:rStyle w:val="Suchmarke"/>
        </w:rPr>
        <w:t>#24.#</w:t>
      </w:r>
      <w:bookmarkEnd w:id="31"/>
    </w:p>
    <w:p>
      <w:r>
        <w:rPr>
          <w:color w:val="404040"/>
          <w:sz w:val="21"/>
        </w:rPr>
        <w:t>(ex-Artikel 21 EGV)</w:t>
      </w:r>
    </w:p>
    <w:p>
      <w:r>
        <w:t>Die Bestimmungen über die Verfahren und Bedingungen, die für eine Bürgerinitiative im Sinne des Artikels 11 des Vertrags über die Europäische Union gelten, einschließlich der Mindestzahl der Mitgliedstaaten, aus denen die Bürgerinnen und Bürger, die diese Initiative ergreifen, kommen müssen, werden vom Europäischen Parlament und vom Rat gemäß dem ordentlichen Gesetzgebungsverfahren durch Verordnungen festgelegt.</w:t>
      </w:r>
    </w:p>
    <w:p>
      <w:r>
        <w:t xml:space="preserve">Jeder Unionsbürger besitzt das Petitionsrecht beim Europäischen Parlament nach </w:t>
      </w:r>
      <w:hyperlink w:anchor="b294" w:history="1">
        <w:r>
          <w:rPr>
            <w:color w:val="0A3A8C"/>
            <w:u w:val="single"/>
          </w:rPr>
          <w:t xml:space="preserve">Artikel 227</w:t>
        </w:r>
      </w:hyperlink>
      <w:r>
        <w:t>.</w:t>
      </w:r>
    </w:p>
    <w:p>
      <w:r>
        <w:t xml:space="preserve">Jeder Unionsbürger kann sich an den nach </w:t>
      </w:r>
      <w:hyperlink w:anchor="b295" w:history="1">
        <w:r>
          <w:rPr>
            <w:color w:val="0A3A8C"/>
            <w:u w:val="single"/>
          </w:rPr>
          <w:t xml:space="preserve">Artikel 228</w:t>
        </w:r>
      </w:hyperlink>
      <w:r>
        <w:t xml:space="preserve"> eingesetzten Bürgerbeauftragten wenden.</w:t>
      </w:r>
    </w:p>
    <w:p>
      <w:r>
        <w:t>Jeder Unionsbürger kann sich schriftlich in einer der in Artikel 55 Absatz 1 des Vertrags über die Europäische Union genannten Sprachen an jedes Organ oder an jede Einrichtung wenden, die in dem vorliegenden Artikel oder in Artikel 13 des genannten Vertrags genannt sind, und eine Antwort in derselben Sprache erhalten.</w:t>
      </w:r>
    </w:p>
    <w:p>
      <w:pPr>
        <w:pStyle w:val="Heading2"/>
      </w:pPr>
      <w:bookmarkStart w:id="32" w:name="b29"/>
      <w:r>
        <w:t>Art 25</w:t>
      </w:r>
      <w:r>
        <w:t xml:space="preserve"> </w:t>
      </w:r>
      <w:r>
        <w:rPr>
          <w:rStyle w:val="Suchmarke"/>
        </w:rPr>
        <w:t>#25.#</w:t>
      </w:r>
      <w:bookmarkEnd w:id="32"/>
    </w:p>
    <w:p>
      <w:r>
        <w:rPr>
          <w:color w:val="404040"/>
          <w:sz w:val="21"/>
        </w:rPr>
        <w:t>(ex-Artikel 22 EGV)</w:t>
      </w:r>
    </w:p>
    <w:p>
      <w:r>
        <w:rPr>
          <w:rStyle w:val="Satznummer"/>
        </w:rPr>
        <w:t>1</w:t>
      </w:r>
      <w:r>
        <w:t xml:space="preserve">Die Kommission erstattet dem Europäischen Parlament, dem Rat und dem Wirtschafts- und Sozialausschuss alle drei Jahre über die Anwendung dieses Teils Bericht. </w:t>
      </w:r>
      <w:r>
        <w:rPr>
          <w:rStyle w:val="Satznummer"/>
        </w:rPr>
        <w:t>2</w:t>
      </w:r>
      <w:r>
        <w:t>In dem Bericht wird der Fortentwicklung der Union Rechnung getragen.</w:t>
      </w:r>
    </w:p>
    <w:p>
      <w:r>
        <w:rPr>
          <w:rStyle w:val="Satznummer"/>
        </w:rPr>
        <w:t>1</w:t>
      </w:r>
      <w:r>
        <w:t xml:space="preserve">Auf dieser Grundlage kann der Rat unbeschadet der anderen Bestimmungen der Verträge zur Ergänzung der in </w:t>
      </w:r>
      <w:hyperlink w:anchor="b24" w:history="1">
        <w:r>
          <w:rPr>
            <w:color w:val="0A3A8C"/>
            <w:u w:val="single"/>
          </w:rPr>
          <w:t xml:space="preserve">Artikel 20</w:t>
        </w:r>
      </w:hyperlink>
      <w:r>
        <w:t xml:space="preserve"> Absatz 2 aufgeführten Rechte einstimmig gemäß einem besonderen Gesetzgebungsverfahren nach Zustimmung des Europäischen Parlaments Bestimmungen erlassen. </w:t>
      </w:r>
      <w:r>
        <w:rPr>
          <w:rStyle w:val="Satznummer"/>
        </w:rPr>
        <w:t>2</w:t>
      </w:r>
      <w:r>
        <w:t>Diese Bestimmungen treten nach Zustimmung der Mitgliedstaaten im Einklang mit ihren jeweiligen verfassungsrechtlichen Vorschriften in Kraft.</w:t>
      </w:r>
    </w:p>
    <w:p>
      <w:pPr>
        <w:pStyle w:val="Heading1"/>
      </w:pPr>
      <w:bookmarkStart w:id="33" w:name="b30"/>
      <w:r>
        <w:t>DRITTER TEIL DIE INTERNEN POLITIKEN UND MASSNAHMEN DER UNION</w:t>
      </w:r>
      <w:bookmarkEnd w:id="33"/>
    </w:p>
    <w:p>
      <w:pPr>
        <w:pStyle w:val="Heading2"/>
      </w:pPr>
      <w:bookmarkStart w:id="34" w:name="b31"/>
      <w:r>
        <w:t>TITEL I DER BINNENMARKT</w:t>
      </w:r>
      <w:bookmarkEnd w:id="34"/>
    </w:p>
    <w:p>
      <w:pPr>
        <w:pStyle w:val="Heading3"/>
      </w:pPr>
      <w:bookmarkStart w:id="35" w:name="b32"/>
      <w:r>
        <w:t>Art 26</w:t>
      </w:r>
      <w:r>
        <w:t xml:space="preserve"> </w:t>
      </w:r>
      <w:r>
        <w:rPr>
          <w:rStyle w:val="Suchmarke"/>
        </w:rPr>
        <w:t>#26.#</w:t>
      </w:r>
      <w:bookmarkEnd w:id="35"/>
    </w:p>
    <w:p>
      <w:r>
        <w:rPr>
          <w:color w:val="404040"/>
          <w:sz w:val="21"/>
        </w:rPr>
        <w:t>(ex-Artikel 14 EGV)</w:t>
      </w:r>
    </w:p>
    <w:p>
      <w:r>
        <w:t>(1) Die Union erlässt die erforderlichen Maßnahmen, um nach Maßgabe der einschlägigen Bestimmungen der Verträge den Binnenmarkt zu verwirklichen beziehungsweise dessen Funktionieren zu gewährleisten.</w:t>
      </w:r>
    </w:p>
    <w:p>
      <w:r>
        <w:t>(2) Der Binnenmarkt umfasst einen Raum ohne Binnengrenzen, in dem der freie Verkehr von Waren, Personen, Dienstleistungen und Kapital gemäß den Bestimmungen der Verträge gewährleistet ist.</w:t>
      </w:r>
    </w:p>
    <w:p>
      <w:r>
        <w:t>(3) Der Rat legt auf Vorschlag der Kommission die Leitlinien und Bedingungen fest, die erforderlich sind, um in allen betroffenen Sektoren einen ausgewogenen Fortschritt zu gewährleisten.</w:t>
      </w:r>
    </w:p>
    <w:p>
      <w:pPr>
        <w:pStyle w:val="Heading3"/>
      </w:pPr>
      <w:bookmarkStart w:id="36" w:name="b33"/>
      <w:r>
        <w:t>Art 27</w:t>
      </w:r>
      <w:r>
        <w:t xml:space="preserve"> </w:t>
      </w:r>
      <w:r>
        <w:rPr>
          <w:rStyle w:val="Suchmarke"/>
        </w:rPr>
        <w:t>#27.#</w:t>
      </w:r>
      <w:bookmarkEnd w:id="36"/>
    </w:p>
    <w:p>
      <w:r>
        <w:rPr>
          <w:color w:val="404040"/>
          <w:sz w:val="21"/>
        </w:rPr>
        <w:t>(ex-Artikel 15 EGV)</w:t>
      </w:r>
    </w:p>
    <w:p>
      <w:r>
        <w:t xml:space="preserve">Bei der Formulierung ihrer Vorschläge zur Verwirklichung der Ziele des </w:t>
      </w:r>
      <w:hyperlink w:anchor="b32" w:history="1">
        <w:r>
          <w:rPr>
            <w:color w:val="0A3A8C"/>
            <w:u w:val="single"/>
          </w:rPr>
          <w:t xml:space="preserve">Artikels 26</w:t>
        </w:r>
      </w:hyperlink>
      <w:r>
        <w:t xml:space="preserve"> berücksichtigt die Kommission den Umfang der Anstrengungen, die einigen Volkswirtschaften mit unterschiedlichem Entwicklungsstand für die Errichtung des Binnenmarkts abverlangt werden, und kann geeignete Bestimmungen vorschlagen.</w:t>
      </w:r>
    </w:p>
    <w:p>
      <w:r>
        <w:t>Erhalten diese Bestimmungen die Form von Ausnahmeregelungen, so müssen sie vorübergehender Art sein und dürfen das Funktionieren des Binnenmarkts so wenig wie möglich stören.</w:t>
      </w:r>
    </w:p>
    <w:p>
      <w:pPr>
        <w:pStyle w:val="Heading2"/>
      </w:pPr>
      <w:bookmarkStart w:id="37" w:name="b34"/>
      <w:r>
        <w:t>TITEL II DER FREIE WARENVERKEHR</w:t>
      </w:r>
      <w:bookmarkEnd w:id="37"/>
    </w:p>
    <w:p>
      <w:pPr>
        <w:pStyle w:val="Heading3"/>
      </w:pPr>
      <w:bookmarkStart w:id="38" w:name="b35"/>
      <w:r>
        <w:t>Art 28</w:t>
      </w:r>
      <w:r>
        <w:t xml:space="preserve"> </w:t>
      </w:r>
      <w:r>
        <w:rPr>
          <w:rStyle w:val="Suchmarke"/>
        </w:rPr>
        <w:t>#28.#</w:t>
      </w:r>
      <w:bookmarkEnd w:id="38"/>
    </w:p>
    <w:p>
      <w:r>
        <w:rPr>
          <w:color w:val="404040"/>
          <w:sz w:val="21"/>
        </w:rPr>
        <w:t>(ex-Artikel 23 EGV)</w:t>
      </w:r>
    </w:p>
    <w:p>
      <w:r>
        <w:t>(1) Die Union umfasst eine Zollunion, die sich auf den gesamten Warenaustausch erstreckt; sie umfasst das Verbot, zwischen den Mitgliedstaaten Ein- und Ausfuhrzölle und Abgaben gleicher Wirkung zu erheben, sowie die Einführung eines Gemeinsamen Zolltarifs gegenüber dritten Ländern.</w:t>
      </w:r>
    </w:p>
    <w:p>
      <w:r>
        <w:t xml:space="preserve">(2) </w:t>
      </w:r>
      <w:hyperlink w:anchor="b38" w:history="1">
        <w:r>
          <w:rPr>
            <w:color w:val="0A3A8C"/>
            <w:u w:val="single"/>
          </w:rPr>
          <w:t xml:space="preserve">Artikel 30</w:t>
        </w:r>
      </w:hyperlink>
      <w:r>
        <w:t xml:space="preserve"> und Kapitel 3 dieses Titels gelten für die aus den Mitgliedstaaten stammenden Waren sowie für diejenigen Waren aus dritten Ländern, die sich in den Mitgliedstaaten im freien Verkehr befinden.</w:t>
      </w:r>
    </w:p>
    <w:p>
      <w:pPr>
        <w:pStyle w:val="Heading3"/>
      </w:pPr>
      <w:bookmarkStart w:id="39" w:name="b36"/>
      <w:r>
        <w:t>Art 29</w:t>
      </w:r>
      <w:r>
        <w:t xml:space="preserve"> </w:t>
      </w:r>
      <w:r>
        <w:rPr>
          <w:rStyle w:val="Suchmarke"/>
        </w:rPr>
        <w:t>#29.#</w:t>
      </w:r>
      <w:bookmarkEnd w:id="39"/>
    </w:p>
    <w:p>
      <w:r>
        <w:rPr>
          <w:color w:val="404040"/>
          <w:sz w:val="21"/>
        </w:rPr>
        <w:t>(ex-Artikel 24 EGV)</w:t>
      </w:r>
    </w:p>
    <w:p>
      <w:r>
        <w:t>Als im freien Verkehr eines Mitgliedstaats befindlich gelten diejenigen Waren aus dritten Ländern, für die in dem betreffenden Mitgliedstaat die Einfuhrförmlichkeiten erfüllt sowie die vorgeschriebenen Zölle und Abgaben gleicher Wirkung erhoben und nicht ganz oder teilweise rückvergütet worden sind.</w:t>
      </w:r>
    </w:p>
    <w:p>
      <w:pPr>
        <w:pStyle w:val="Heading3"/>
      </w:pPr>
      <w:bookmarkStart w:id="40" w:name="b37"/>
      <w:r>
        <w:t>KAPITEL 1 DIE ZOLLUNION</w:t>
      </w:r>
      <w:bookmarkEnd w:id="40"/>
    </w:p>
    <w:p>
      <w:pPr>
        <w:pStyle w:val="Heading4"/>
      </w:pPr>
      <w:bookmarkStart w:id="41" w:name="b38"/>
      <w:r>
        <w:t>Art 30</w:t>
      </w:r>
      <w:r>
        <w:t xml:space="preserve"> </w:t>
      </w:r>
      <w:r>
        <w:rPr>
          <w:rStyle w:val="Suchmarke"/>
        </w:rPr>
        <w:t>#30.#</w:t>
      </w:r>
      <w:bookmarkEnd w:id="41"/>
    </w:p>
    <w:p>
      <w:r>
        <w:rPr>
          <w:color w:val="404040"/>
          <w:sz w:val="21"/>
        </w:rPr>
        <w:t>(ex-Artikel 25 EGV)</w:t>
      </w:r>
    </w:p>
    <w:p>
      <w:r>
        <w:rPr>
          <w:rStyle w:val="Satznummer"/>
        </w:rPr>
        <w:t>1</w:t>
      </w:r>
      <w:r>
        <w:t xml:space="preserve">Ein- und Ausfuhrzölle oder Abgaben gleicher Wirkung sind zwischen den Mitgliedstaaten verboten. </w:t>
      </w:r>
      <w:r>
        <w:rPr>
          <w:rStyle w:val="Satznummer"/>
        </w:rPr>
        <w:t>2</w:t>
      </w:r>
      <w:r>
        <w:t>Dieses Verbot gilt auch für Finanzzölle.</w:t>
      </w:r>
    </w:p>
    <w:p>
      <w:pPr>
        <w:pStyle w:val="Heading4"/>
      </w:pPr>
      <w:bookmarkStart w:id="42" w:name="b39"/>
      <w:r>
        <w:t>Art 31</w:t>
      </w:r>
      <w:r>
        <w:t xml:space="preserve"> </w:t>
      </w:r>
      <w:r>
        <w:rPr>
          <w:rStyle w:val="Suchmarke"/>
        </w:rPr>
        <w:t>#31.#</w:t>
      </w:r>
      <w:bookmarkEnd w:id="42"/>
    </w:p>
    <w:p>
      <w:r>
        <w:rPr>
          <w:color w:val="404040"/>
          <w:sz w:val="21"/>
        </w:rPr>
        <w:t>(ex-Artikel 26 EGV)</w:t>
      </w:r>
    </w:p>
    <w:p>
      <w:r>
        <w:t>Der Rat legt die Sätze des Gemeinsamen Zolltarifs auf Vorschlag der Kommission fest.</w:t>
      </w:r>
    </w:p>
    <w:p>
      <w:pPr>
        <w:pStyle w:val="Heading4"/>
      </w:pPr>
      <w:bookmarkStart w:id="43" w:name="b40"/>
      <w:r>
        <w:t>Art 32</w:t>
      </w:r>
      <w:r>
        <w:t xml:space="preserve"> </w:t>
      </w:r>
      <w:r>
        <w:rPr>
          <w:rStyle w:val="Suchmarke"/>
        </w:rPr>
        <w:t>#32.#</w:t>
      </w:r>
      <w:bookmarkEnd w:id="43"/>
    </w:p>
    <w:p>
      <w:r>
        <w:rPr>
          <w:color w:val="404040"/>
          <w:sz w:val="21"/>
        </w:rPr>
        <w:t>(ex-Artikel 27 EGV)</w:t>
      </w:r>
    </w:p>
    <w:p>
      <w:r>
        <w:t>Bei der Ausübung der ihr aufgrund dieses Kapitels übertragenen Aufgaben geht die Kommission von folgenden Gesichtspunkten aus:</w:t>
      </w:r>
    </w:p>
    <w:p>
      <w:pPr>
        <w:tabs>
          <w:tab w:pos="567" w:val="left"/>
        </w:tabs>
        <w:ind w:left="567" w:hanging="567"/>
      </w:pPr>
      <w:r>
        <w:t>a)</w:t>
      </w:r>
      <w:r>
        <w:tab/>
      </w:r>
      <w:r>
        <w:t>der Notwendigkeit, den Handelsverkehr zwischen den Mitgliedstaaten und dritten Ländern zu fördern;</w:t>
      </w:r>
    </w:p>
    <w:p>
      <w:pPr>
        <w:tabs>
          <w:tab w:pos="567" w:val="left"/>
        </w:tabs>
        <w:ind w:left="567" w:hanging="567"/>
      </w:pPr>
      <w:r>
        <w:t>b)</w:t>
      </w:r>
      <w:r>
        <w:tab/>
      </w:r>
      <w:r>
        <w:t>der Entwicklung der Wettbewerbsbedingungen innerhalb der Union, soweit diese Entwicklung zu einer Zunahme der Wettbewerbsfähigkeit der Unternehmen führt;</w:t>
      </w:r>
    </w:p>
    <w:p>
      <w:pPr>
        <w:tabs>
          <w:tab w:pos="567" w:val="left"/>
        </w:tabs>
        <w:ind w:left="567" w:hanging="567"/>
      </w:pPr>
      <w:r>
        <w:t>c)</w:t>
      </w:r>
      <w:r>
        <w:tab/>
      </w:r>
      <w:r>
        <w:t>dem Versorgungsbedarf der Union an Rohstoffen und Halbfertigwaren; hierbei achtet die Kommission darauf, zwischen den Mitgliedstaaten die Wettbewerbsbedingungen für Fertigwaren nicht zu verfälschen;</w:t>
      </w:r>
    </w:p>
    <w:p>
      <w:pPr>
        <w:tabs>
          <w:tab w:pos="567" w:val="left"/>
        </w:tabs>
        <w:ind w:left="567" w:hanging="567"/>
      </w:pPr>
      <w:r>
        <w:t>d)</w:t>
      </w:r>
      <w:r>
        <w:tab/>
      </w:r>
      <w:r>
        <w:t>der Notwendigkeit, ernsthafte Störungen im Wirtschaftsleben der Mitgliedstaaten zu vermeiden und eine rationelle Entwicklung der Erzeugung sowie eine Ausweitung des Verbrauchs innerhalb der Union zu gewährleisten.</w:t>
      </w:r>
    </w:p>
    <w:p>
      <w:pPr>
        <w:pStyle w:val="Heading3"/>
      </w:pPr>
      <w:bookmarkStart w:id="44" w:name="b41"/>
      <w:r>
        <w:t>KAPITEL 2 DIE ZUSAMMENARBEIT IM ZOLLWESEN</w:t>
      </w:r>
      <w:bookmarkEnd w:id="44"/>
    </w:p>
    <w:p>
      <w:pPr>
        <w:pStyle w:val="Heading4"/>
      </w:pPr>
      <w:bookmarkStart w:id="45" w:name="b42"/>
      <w:r>
        <w:t>Art 33</w:t>
      </w:r>
      <w:r>
        <w:t xml:space="preserve"> </w:t>
      </w:r>
      <w:r>
        <w:rPr>
          <w:rStyle w:val="Suchmarke"/>
        </w:rPr>
        <w:t>#33.#</w:t>
      </w:r>
      <w:bookmarkEnd w:id="45"/>
    </w:p>
    <w:p>
      <w:r>
        <w:rPr>
          <w:color w:val="404040"/>
          <w:sz w:val="21"/>
        </w:rPr>
        <w:t>(ex-Artikel 135 EGV)</w:t>
      </w:r>
    </w:p>
    <w:p>
      <w:r>
        <w:t>Das Europäische Parlament und der Rat treffen im Rahmen des Geltungsbereichs der Verträge gemäß dem ordentlichen Gesetzgebungsverfahren Maßnahmen zum Ausbau der Zusammenarbeit im Zollwesen zwischen den Mitgliedstaaten sowie zwischen den Mitgliedstaaten und der Kommission.</w:t>
      </w:r>
    </w:p>
    <w:p>
      <w:pPr>
        <w:pStyle w:val="Heading3"/>
      </w:pPr>
      <w:bookmarkStart w:id="46" w:name="b43"/>
      <w:r>
        <w:t>KAPITEL 3 VERBOT VON MENGENMÄßIGEN BESCHRÄNKUNGEN ZWISCHEN DEN MITGLIEDSTAATEN</w:t>
      </w:r>
      <w:bookmarkEnd w:id="46"/>
    </w:p>
    <w:p>
      <w:pPr>
        <w:pStyle w:val="Heading4"/>
      </w:pPr>
      <w:bookmarkStart w:id="47" w:name="b44"/>
      <w:r>
        <w:t>Art 34</w:t>
      </w:r>
      <w:r>
        <w:t xml:space="preserve"> </w:t>
      </w:r>
      <w:r>
        <w:rPr>
          <w:rStyle w:val="Suchmarke"/>
        </w:rPr>
        <w:t>#34.#</w:t>
      </w:r>
      <w:bookmarkEnd w:id="47"/>
    </w:p>
    <w:p>
      <w:r>
        <w:rPr>
          <w:color w:val="404040"/>
          <w:sz w:val="21"/>
        </w:rPr>
        <w:t>(ex-Artikel 28 EGV)</w:t>
      </w:r>
    </w:p>
    <w:p>
      <w:r>
        <w:t>Mengenmäßige Einfuhrbeschränkungen sowie alle Maßnahmen gleicher Wirkung sind zwischen den Mitgliedstaaten verboten.</w:t>
      </w:r>
    </w:p>
    <w:p>
      <w:pPr>
        <w:pStyle w:val="Heading4"/>
      </w:pPr>
      <w:bookmarkStart w:id="48" w:name="b45"/>
      <w:r>
        <w:t>Art 35</w:t>
      </w:r>
      <w:r>
        <w:t xml:space="preserve"> </w:t>
      </w:r>
      <w:r>
        <w:rPr>
          <w:rStyle w:val="Suchmarke"/>
        </w:rPr>
        <w:t>#35.#</w:t>
      </w:r>
      <w:bookmarkEnd w:id="48"/>
    </w:p>
    <w:p>
      <w:r>
        <w:rPr>
          <w:color w:val="404040"/>
          <w:sz w:val="21"/>
        </w:rPr>
        <w:t>(ex-Artikel 29 EGV)</w:t>
      </w:r>
    </w:p>
    <w:p>
      <w:r>
        <w:t>Mengenmäßige Ausfuhrbeschränkungen sowie alle Maßnahmen gleicher Wirkung sind zwischen den Mitgliedstaaten verboten.</w:t>
      </w:r>
    </w:p>
    <w:p>
      <w:pPr>
        <w:pStyle w:val="Heading4"/>
      </w:pPr>
      <w:bookmarkStart w:id="49" w:name="b46"/>
      <w:r>
        <w:t>Art 36</w:t>
      </w:r>
      <w:r>
        <w:t xml:space="preserve"> </w:t>
      </w:r>
      <w:r>
        <w:rPr>
          <w:rStyle w:val="Suchmarke"/>
        </w:rPr>
        <w:t>#36.#</w:t>
      </w:r>
      <w:bookmarkEnd w:id="49"/>
    </w:p>
    <w:p>
      <w:r>
        <w:rPr>
          <w:color w:val="404040"/>
          <w:sz w:val="21"/>
        </w:rPr>
        <w:t>(ex-Artikel 30 EGV)</w:t>
      </w:r>
    </w:p>
    <w:p>
      <w:r>
        <w:rPr>
          <w:rStyle w:val="Satznummer"/>
        </w:rPr>
        <w:t>1</w:t>
      </w:r>
      <w:r>
        <w:t xml:space="preserve">Die Bestimmungen der </w:t>
      </w:r>
      <w:hyperlink w:anchor="b44" w:history="1">
        <w:r>
          <w:rPr>
            <w:color w:val="0A3A8C"/>
            <w:u w:val="single"/>
          </w:rPr>
          <w:t xml:space="preserve">Artikel 34</w:t>
        </w:r>
      </w:hyperlink>
      <w:r>
        <w:t xml:space="preserve"> und </w:t>
      </w:r>
      <w:hyperlink w:anchor="b45" w:history="1">
        <w:r>
          <w:rPr>
            <w:color w:val="0A3A8C"/>
            <w:u w:val="single"/>
          </w:rPr>
          <w:t xml:space="preserve">35</w:t>
        </w:r>
      </w:hyperlink>
      <w:r>
        <w:t xml:space="preserve"> stehen Einfuhr-, Ausfuhr- und Durchfuhrverboten oder -beschränkungen nicht entgegen, die aus Gründen der öffentlichen Sittlichkeit, Ordnung und Sicherheit, zum Schutze der Gesundheit und des Lebens von Menschen, Tieren oder Pflanzen, des nationalen Kulturguts von künstlerischem, geschichtlichem oder archäologischem Wert oder des gewerblichen und kommerziellen Eigentums gerechtfertigt sind. </w:t>
      </w:r>
      <w:r>
        <w:rPr>
          <w:rStyle w:val="Satznummer"/>
        </w:rPr>
        <w:t>2</w:t>
      </w:r>
      <w:r>
        <w:t>Diese Verbote oder Beschränkungen dürfen jedoch weder ein Mittel zur willkürlichen Diskriminierung noch eine verschleierte Beschränkung des Handels zwischen den Mitgliedstaaten darstellen.</w:t>
      </w:r>
    </w:p>
    <w:p>
      <w:pPr>
        <w:pStyle w:val="Heading4"/>
      </w:pPr>
      <w:bookmarkStart w:id="50" w:name="b47"/>
      <w:r>
        <w:t>Art 37</w:t>
      </w:r>
      <w:r>
        <w:t xml:space="preserve"> </w:t>
      </w:r>
      <w:r>
        <w:rPr>
          <w:rStyle w:val="Suchmarke"/>
        </w:rPr>
        <w:t>#37.#</w:t>
      </w:r>
      <w:bookmarkEnd w:id="50"/>
    </w:p>
    <w:p>
      <w:r>
        <w:rPr>
          <w:color w:val="404040"/>
          <w:sz w:val="21"/>
        </w:rPr>
        <w:t>(ex-Artikel 31 EGV)</w:t>
      </w:r>
    </w:p>
    <w:p>
      <w:r>
        <w:t>(1) Die Mitgliedstaaten formen ihre staatlichen Handelsmonopole derart um, dass jede Diskriminierung in den Versorgungs- und Absatzbedingungen zwischen den Angehörigen der Mitgliedstaaten ausgeschlossen ist.</w:t>
      </w:r>
    </w:p>
    <w:p>
      <w:r>
        <w:rPr>
          <w:rStyle w:val="Satznummer"/>
        </w:rPr>
        <w:t>1</w:t>
      </w:r>
      <w:r>
        <w:t xml:space="preserve">Dieser Artikel gilt für alle Einrichtungen, durch die ein Mitgliedstaat unmittelbar oder mittelbar die Einfuhr oder die Ausfuhr zwischen den Mitgliedstaaten rechtlich oder tatsächlich kontrolliert, lenkt oder merklich beeinflusst. </w:t>
      </w:r>
      <w:r>
        <w:rPr>
          <w:rStyle w:val="Satznummer"/>
        </w:rPr>
        <w:t>2</w:t>
      </w:r>
      <w:r>
        <w:t>Er gilt auch für die von einem Staat auf andere Rechtsträger übertragenen Monopole.</w:t>
      </w:r>
    </w:p>
    <w:p>
      <w:r>
        <w:t>(2) Die Mitgliedstaaten unterlassen jede neue Maßnahme, die den in Absatz 1 genannten Grundsätzen widerspricht oder die Tragweite der Artikel über das Verbot von Zöllen und mengenmäßigen Beschränkungen zwischen den Mitgliedstaaten einengt.</w:t>
      </w:r>
    </w:p>
    <w:p>
      <w:r>
        <w:t>(3) Ist mit einem staatlichen Handelsmonopol eine Regelung zur Erleichterung des Absatzes oder der Verwertung landwirtschaftlicher Erzeugnisse verbunden, so sollen bei der Anwendung dieses Artikels gleichwertige Sicherheiten für die Beschäftigung und Lebenshaltung der betreffenden Erzeuger gewährleistet werden.</w:t>
      </w:r>
    </w:p>
    <w:p>
      <w:pPr>
        <w:pStyle w:val="Heading2"/>
      </w:pPr>
      <w:bookmarkStart w:id="51" w:name="b48"/>
      <w:r>
        <w:t>TITEL III DIE LANDWIRTSCHAFT UND DIE FISCHEREI</w:t>
      </w:r>
      <w:bookmarkEnd w:id="51"/>
    </w:p>
    <w:p>
      <w:pPr>
        <w:pStyle w:val="Heading3"/>
      </w:pPr>
      <w:bookmarkStart w:id="52" w:name="b49"/>
      <w:r>
        <w:t>Art 38</w:t>
      </w:r>
      <w:r>
        <w:t xml:space="preserve"> </w:t>
      </w:r>
      <w:r>
        <w:rPr>
          <w:rStyle w:val="Suchmarke"/>
        </w:rPr>
        <w:t>#38.#</w:t>
      </w:r>
      <w:bookmarkEnd w:id="52"/>
    </w:p>
    <w:p>
      <w:r>
        <w:rPr>
          <w:color w:val="404040"/>
          <w:sz w:val="21"/>
        </w:rPr>
        <w:t>(ex-Artikel 32 EGV)</w:t>
      </w:r>
    </w:p>
    <w:p>
      <w:r>
        <w:t>(1) Die Union legt eine gemeinsame Agrar- und Fischereipolitik fest und führt sie durch.</w:t>
      </w:r>
    </w:p>
    <w:p>
      <w:r>
        <w:rPr>
          <w:rStyle w:val="Satznummer"/>
        </w:rPr>
        <w:t>1</w:t>
      </w:r>
      <w:r>
        <w:t xml:space="preserve">Der Binnenmarkt umfasst auch die Landwirtschaft, die Fischerei und den Handel mit landwirtschaftlichen Erzeugnissen. </w:t>
      </w:r>
      <w:r>
        <w:rPr>
          <w:rStyle w:val="Satznummer"/>
        </w:rPr>
        <w:t>2</w:t>
      </w:r>
      <w:r>
        <w:t xml:space="preserve">Unter landwirtschaftlichen Erzeugnissen sind die Erzeugnisse des Bodens, der Viehzucht und der Fischerei sowie die mit diesen in unmittelbarem Zusammenhang stehenden Erzeugnisse der ersten Verarbeitungsstufe zu verstehen. </w:t>
      </w:r>
      <w:r>
        <w:rPr>
          <w:rStyle w:val="Satznummer"/>
        </w:rPr>
        <w:t>3</w:t>
      </w:r>
      <w:r>
        <w:t>Die Bezugnahmen auf die gemeinsame Agrarpolitik oder auf die Landwirtschaft und die Verwendung des Wortes "landwirtschaftlich" sind in dem Sinne zu verstehen, dass damit unter Berücksichtigung der besonderen Merkmale des Fischereisektors auch die Fischerei gemeint ist.</w:t>
      </w:r>
    </w:p>
    <w:p>
      <w:r>
        <w:t xml:space="preserve">(2) Die Vorschriften für die Errichtung oder das Funktionieren des Binnenmarkts finden auf die landwirtschaftlichen Erzeugnisse Anwendung, soweit in den </w:t>
      </w:r>
      <w:hyperlink w:anchor="b50" w:history="1">
        <w:r>
          <w:rPr>
            <w:color w:val="0A3A8C"/>
            <w:u w:val="single"/>
          </w:rPr>
          <w:t xml:space="preserve">Artikeln 39</w:t>
        </w:r>
      </w:hyperlink>
      <w:r>
        <w:t xml:space="preserve"> bis </w:t>
      </w:r>
      <w:hyperlink w:anchor="b55" w:history="1">
        <w:r>
          <w:rPr>
            <w:color w:val="0A3A8C"/>
            <w:u w:val="single"/>
          </w:rPr>
          <w:t xml:space="preserve">44</w:t>
        </w:r>
      </w:hyperlink>
      <w:r>
        <w:t xml:space="preserve"> nicht etwas anderes bestimmt ist.</w:t>
      </w:r>
    </w:p>
    <w:p>
      <w:r>
        <w:t xml:space="preserve">(3) Die Erzeugnisse, für welche die </w:t>
      </w:r>
      <w:hyperlink w:anchor="b50" w:history="1">
        <w:r>
          <w:rPr>
            <w:color w:val="0A3A8C"/>
            <w:u w:val="single"/>
          </w:rPr>
          <w:t xml:space="preserve">Artikel 39</w:t>
        </w:r>
      </w:hyperlink>
      <w:r>
        <w:t xml:space="preserve"> bis </w:t>
      </w:r>
      <w:hyperlink w:anchor="b55" w:history="1">
        <w:r>
          <w:rPr>
            <w:color w:val="0A3A8C"/>
            <w:u w:val="single"/>
          </w:rPr>
          <w:t xml:space="preserve">44</w:t>
        </w:r>
      </w:hyperlink>
      <w:r>
        <w:t xml:space="preserve"> gelten, sind in Anhang I aufgeführt.</w:t>
      </w:r>
    </w:p>
    <w:p>
      <w:r>
        <w:t>(4) Mit dem Funktionieren und der Entwicklung des Binnenmarkts für landwirtschaftliche Erzeugnisse muss die Gestaltung einer gemeinsamen Agrarpolitik Hand in Hand gehen.</w:t>
      </w:r>
    </w:p>
    <w:p>
      <w:pPr>
        <w:pStyle w:val="Heading3"/>
      </w:pPr>
      <w:bookmarkStart w:id="53" w:name="b50"/>
      <w:r>
        <w:t>Art 39</w:t>
      </w:r>
      <w:r>
        <w:t xml:space="preserve"> </w:t>
      </w:r>
      <w:r>
        <w:rPr>
          <w:rStyle w:val="Suchmarke"/>
        </w:rPr>
        <w:t>#39.#</w:t>
      </w:r>
      <w:bookmarkEnd w:id="53"/>
    </w:p>
    <w:p>
      <w:r>
        <w:rPr>
          <w:color w:val="404040"/>
          <w:sz w:val="21"/>
        </w:rPr>
        <w:t>(ex-Artikel 33 EGV)</w:t>
      </w:r>
    </w:p>
    <w:p>
      <w:r>
        <w:t>(1) Ziel der gemeinsamen Agrarpolitik ist es,</w:t>
      </w:r>
    </w:p>
    <w:p>
      <w:pPr>
        <w:tabs>
          <w:tab w:pos="567" w:val="left"/>
        </w:tabs>
        <w:ind w:left="567" w:hanging="567"/>
      </w:pPr>
      <w:r>
        <w:t>a)</w:t>
      </w:r>
      <w:r>
        <w:tab/>
      </w:r>
      <w:r>
        <w:t>die Produktivität der Landwirtschaft durch Förderung des technischen Fortschritts, Rationalisierung der landwirtschaftlichen Erzeugung und den bestmöglichen Einsatz der Produktionsfaktoren, insbesondere der Arbeitskräfte, zu steigern;</w:t>
      </w:r>
    </w:p>
    <w:p>
      <w:pPr>
        <w:tabs>
          <w:tab w:pos="567" w:val="left"/>
        </w:tabs>
        <w:ind w:left="567" w:hanging="567"/>
      </w:pPr>
      <w:r>
        <w:t>b)</w:t>
      </w:r>
      <w:r>
        <w:tab/>
      </w:r>
      <w:r>
        <w:t>auf diese Weise der landwirtschaftlichen Bevölkerung, insbesondere durch Erhöhung des Pro-Kopf-Einkommens der in der Landwirtschaft tätigen Personen, eine angemessene Lebenshaltung zu gewährleisten;</w:t>
      </w:r>
    </w:p>
    <w:p>
      <w:pPr>
        <w:tabs>
          <w:tab w:pos="567" w:val="left"/>
        </w:tabs>
        <w:ind w:left="567" w:hanging="567"/>
      </w:pPr>
      <w:r>
        <w:t>c)</w:t>
      </w:r>
      <w:r>
        <w:tab/>
      </w:r>
      <w:r>
        <w:t>die Märkte zu stabilisieren;</w:t>
      </w:r>
    </w:p>
    <w:p>
      <w:pPr>
        <w:tabs>
          <w:tab w:pos="567" w:val="left"/>
        </w:tabs>
        <w:ind w:left="567" w:hanging="567"/>
      </w:pPr>
      <w:r>
        <w:t>d)</w:t>
      </w:r>
      <w:r>
        <w:tab/>
      </w:r>
      <w:r>
        <w:t>die Versorgung sicherzustellen;</w:t>
      </w:r>
    </w:p>
    <w:p>
      <w:pPr>
        <w:tabs>
          <w:tab w:pos="567" w:val="left"/>
        </w:tabs>
        <w:ind w:left="567" w:hanging="567"/>
      </w:pPr>
      <w:r>
        <w:t>e)</w:t>
      </w:r>
      <w:r>
        <w:tab/>
      </w:r>
      <w:r>
        <w:t>für die Belieferung der Verbraucher zu angemessenen Preisen Sorge zu tragen.</w:t>
      </w:r>
    </w:p>
    <w:p>
      <w:r>
        <w:t>(2) Bei der Gestaltung der gemeinsamen Agrarpolitik und der hierfür anzuwendenden besonderen Methoden ist Folgendes zu berücksichtigen:</w:t>
      </w:r>
    </w:p>
    <w:p>
      <w:pPr>
        <w:tabs>
          <w:tab w:pos="567" w:val="left"/>
        </w:tabs>
        <w:ind w:left="567" w:hanging="567"/>
      </w:pPr>
      <w:r>
        <w:t>a)</w:t>
      </w:r>
      <w:r>
        <w:tab/>
      </w:r>
      <w:r>
        <w:t>die besondere Eigenart der landwirtschaftlichen Tätigkeit, die sich aus dem sozialen Aufbau der Landwirtschaft und den strukturellen und naturbedingten Unterschieden der verschiedenen landwirtschaftlichen Gebiete ergibt;</w:t>
      </w:r>
    </w:p>
    <w:p>
      <w:pPr>
        <w:tabs>
          <w:tab w:pos="567" w:val="left"/>
        </w:tabs>
        <w:ind w:left="567" w:hanging="567"/>
      </w:pPr>
      <w:r>
        <w:t>b)</w:t>
      </w:r>
      <w:r>
        <w:tab/>
      </w:r>
      <w:r>
        <w:t>die Notwendigkeit, die geeigneten Anpassungen stufenweise durchzuführen;</w:t>
      </w:r>
    </w:p>
    <w:p>
      <w:pPr>
        <w:tabs>
          <w:tab w:pos="567" w:val="left"/>
        </w:tabs>
        <w:ind w:left="567" w:hanging="567"/>
      </w:pPr>
      <w:r>
        <w:t>c)</w:t>
      </w:r>
      <w:r>
        <w:tab/>
      </w:r>
      <w:r>
        <w:t>die Tatsache, dass die Landwirtschaft in den Mitgliedstaaten einen mit der gesamten Volkswirtschaft eng verflochtenen Wirtschaftsbereich darstellt.</w:t>
      </w:r>
    </w:p>
    <w:p>
      <w:pPr>
        <w:pStyle w:val="Heading3"/>
      </w:pPr>
      <w:bookmarkStart w:id="54" w:name="b51"/>
      <w:r>
        <w:t>Art 40</w:t>
      </w:r>
      <w:r>
        <w:t xml:space="preserve"> </w:t>
      </w:r>
      <w:r>
        <w:rPr>
          <w:rStyle w:val="Suchmarke"/>
        </w:rPr>
        <w:t>#40.#</w:t>
      </w:r>
      <w:bookmarkEnd w:id="54"/>
    </w:p>
    <w:p>
      <w:r>
        <w:rPr>
          <w:color w:val="404040"/>
          <w:sz w:val="21"/>
        </w:rPr>
        <w:t>(ex-Artikel 34 EGV)</w:t>
      </w:r>
    </w:p>
    <w:p>
      <w:r>
        <w:t xml:space="preserve">(1) Um die Ziele des </w:t>
      </w:r>
      <w:hyperlink w:anchor="b50" w:history="1">
        <w:r>
          <w:rPr>
            <w:color w:val="0A3A8C"/>
            <w:u w:val="single"/>
          </w:rPr>
          <w:t xml:space="preserve">Artikels 39</w:t>
        </w:r>
      </w:hyperlink>
      <w:r>
        <w:t xml:space="preserve"> zu erreichen, wird eine gemeinsame Organisation der Agrarmärkte geschaffen.</w:t>
      </w:r>
    </w:p>
    <w:p>
      <w:r>
        <w:t>Diese besteht je nach Erzeugnis aus einer der folgenden Organisationsformen:</w:t>
      </w:r>
    </w:p>
    <w:p>
      <w:pPr>
        <w:tabs>
          <w:tab w:pos="567" w:val="left"/>
        </w:tabs>
        <w:ind w:left="567" w:hanging="567"/>
      </w:pPr>
      <w:r>
        <w:t>a)</w:t>
      </w:r>
      <w:r>
        <w:tab/>
      </w:r>
      <w:r>
        <w:t>gemeinsame Wettbewerbsregeln,</w:t>
      </w:r>
    </w:p>
    <w:p>
      <w:pPr>
        <w:tabs>
          <w:tab w:pos="567" w:val="left"/>
        </w:tabs>
        <w:ind w:left="567" w:hanging="567"/>
      </w:pPr>
      <w:r>
        <w:t>b)</w:t>
      </w:r>
      <w:r>
        <w:tab/>
      </w:r>
      <w:r>
        <w:t>bindende Koordinierung der verschiedenen einzelstaatlichen Marktordnungen,</w:t>
      </w:r>
    </w:p>
    <w:p>
      <w:pPr>
        <w:tabs>
          <w:tab w:pos="567" w:val="left"/>
        </w:tabs>
        <w:ind w:left="567" w:hanging="567"/>
      </w:pPr>
      <w:r>
        <w:t>c)</w:t>
      </w:r>
      <w:r>
        <w:tab/>
      </w:r>
      <w:r>
        <w:t>eine europäische Marktordnung.</w:t>
      </w:r>
    </w:p>
    <w:p>
      <w:r>
        <w:t xml:space="preserve">(2) Die nach Absatz 1 gestaltete gemeinsame Organisation kann alle zur Durchführung des </w:t>
      </w:r>
      <w:hyperlink w:anchor="b50" w:history="1">
        <w:r>
          <w:rPr>
            <w:color w:val="0A3A8C"/>
            <w:u w:val="single"/>
          </w:rPr>
          <w:t xml:space="preserve">Artikels 39</w:t>
        </w:r>
      </w:hyperlink>
      <w:r>
        <w:t xml:space="preserve"> erforderlichen Maßnahmen einschließen, insbesondere Preisregelungen, Beihilfen für die Erzeugung und die Verteilung der verschiedenen Erzeugnisse, Einlagerungs- und Ausgleichsmaßnahmen, gemeinsame Einrichtungen zur Stabilisierung der Ein- oder Ausfuhr.</w:t>
      </w:r>
    </w:p>
    <w:p>
      <w:r>
        <w:t xml:space="preserve">Die gemeinsame Organisation hat sich auf die Verfolgung der Ziele des </w:t>
      </w:r>
      <w:hyperlink w:anchor="b50" w:history="1">
        <w:r>
          <w:rPr>
            <w:color w:val="0A3A8C"/>
            <w:u w:val="single"/>
          </w:rPr>
          <w:t xml:space="preserve">Artikels 39</w:t>
        </w:r>
      </w:hyperlink>
      <w:r>
        <w:t xml:space="preserve"> zu beschränken und jede Diskriminierung zwischen Erzeugern oder Verbrauchern innerhalb der Union auszuschließen.</w:t>
      </w:r>
    </w:p>
    <w:p>
      <w:r>
        <w:t>Eine etwaige gemeinsame Preispolitik muss auf gemeinsamen Grundsätzen und einheitlichen Berechnungsmethoden beruhen.</w:t>
      </w:r>
    </w:p>
    <w:p>
      <w:r>
        <w:t>(3) Um der in Absatz 1 genannten gemeinsamen Organisation die Erreichung ihrer Ziele zu ermöglichen, können ein oder mehrere Ausrichtungs- oder Garantiefonds für die Landwirtschaft geschaffen werden.</w:t>
      </w:r>
    </w:p>
    <w:p>
      <w:pPr>
        <w:pStyle w:val="Heading3"/>
      </w:pPr>
      <w:bookmarkStart w:id="55" w:name="b52"/>
      <w:r>
        <w:t>Art 41</w:t>
      </w:r>
      <w:r>
        <w:t xml:space="preserve"> </w:t>
      </w:r>
      <w:r>
        <w:rPr>
          <w:rStyle w:val="Suchmarke"/>
        </w:rPr>
        <w:t>#41.#</w:t>
      </w:r>
      <w:bookmarkEnd w:id="55"/>
    </w:p>
    <w:p>
      <w:r>
        <w:rPr>
          <w:color w:val="404040"/>
          <w:sz w:val="21"/>
        </w:rPr>
        <w:t>(ex-Artikel 35 EGV)</w:t>
      </w:r>
    </w:p>
    <w:p>
      <w:r>
        <w:t xml:space="preserve">Um die Ziele des </w:t>
      </w:r>
      <w:hyperlink w:anchor="b50" w:history="1">
        <w:r>
          <w:rPr>
            <w:color w:val="0A3A8C"/>
            <w:u w:val="single"/>
          </w:rPr>
          <w:t xml:space="preserve">Artikels 39</w:t>
        </w:r>
      </w:hyperlink>
      <w:r>
        <w:t xml:space="preserve"> zu erreichen, können im Rahmen der gemeinsamen Agrarpolitik folgende Maßnahmen vorgesehen werden:</w:t>
      </w:r>
    </w:p>
    <w:p>
      <w:pPr>
        <w:tabs>
          <w:tab w:pos="567" w:val="left"/>
        </w:tabs>
        <w:ind w:left="567" w:hanging="567"/>
      </w:pPr>
      <w:r>
        <w:t>a)</w:t>
      </w:r>
      <w:r>
        <w:tab/>
      </w:r>
      <w:r>
        <w:t>eine wirksame Koordinierung der Bestrebungen auf dem Gebiet der Berufsausbildung, der Forschung und der Verbreitung landwirtschaftlicher Fachkenntnisse; hierbei können Vorhaben oder Einrichtungen gemeinsam finanziert werden;</w:t>
      </w:r>
    </w:p>
    <w:p>
      <w:pPr>
        <w:tabs>
          <w:tab w:pos="567" w:val="left"/>
        </w:tabs>
        <w:ind w:left="567" w:hanging="567"/>
      </w:pPr>
      <w:r>
        <w:t>b)</w:t>
      </w:r>
      <w:r>
        <w:tab/>
      </w:r>
      <w:r>
        <w:t>gemeinsame Maßnahmen zur Förderung des Verbrauchs bestimmter Erzeugnisse.</w:t>
      </w:r>
    </w:p>
    <w:p>
      <w:pPr>
        <w:pStyle w:val="Heading3"/>
      </w:pPr>
      <w:bookmarkStart w:id="56" w:name="b53"/>
      <w:r>
        <w:t>Art 42</w:t>
      </w:r>
      <w:r>
        <w:t xml:space="preserve"> </w:t>
      </w:r>
      <w:r>
        <w:rPr>
          <w:rStyle w:val="Suchmarke"/>
        </w:rPr>
        <w:t>#42.#</w:t>
      </w:r>
      <w:bookmarkEnd w:id="56"/>
    </w:p>
    <w:p>
      <w:r>
        <w:rPr>
          <w:color w:val="404040"/>
          <w:sz w:val="21"/>
        </w:rPr>
        <w:t>(ex-Artikel 36 EGV)</w:t>
      </w:r>
    </w:p>
    <w:p>
      <w:r>
        <w:t xml:space="preserve">Das Kapitel über die Wettbewerbsregeln findet auf die Produktion landwirtschaftlicher Erzeugnisse und den Handel mit diesen nur insoweit Anwendung, als das Europäische Parlament und der Rat dies unter Berücksichtigung der Ziele des Artikels 39 im Rahmen des </w:t>
      </w:r>
      <w:hyperlink w:anchor="b54" w:history="1">
        <w:r>
          <w:rPr>
            <w:color w:val="0A3A8C"/>
            <w:u w:val="single"/>
          </w:rPr>
          <w:t xml:space="preserve">Artikels 43</w:t>
        </w:r>
      </w:hyperlink>
      <w:r>
        <w:t xml:space="preserve"> Absatz 2 und gemäß dem dort vorgesehenen Verfahren bestimmt.</w:t>
      </w:r>
    </w:p>
    <w:p>
      <w:r>
        <w:t>Der Rat kann auf Vorschlag der Kommission genehmigen, dass Beihilfen gewährt werden</w:t>
      </w:r>
    </w:p>
    <w:p>
      <w:pPr>
        <w:tabs>
          <w:tab w:pos="567" w:val="left"/>
        </w:tabs>
        <w:ind w:left="567" w:hanging="567"/>
      </w:pPr>
      <w:r>
        <w:t>a)</w:t>
      </w:r>
      <w:r>
        <w:tab/>
      </w:r>
      <w:r>
        <w:t>zum Schutz von Betrieben, die durch strukturelle oder naturgegebene Bedingungen benachteiligt sind, oder</w:t>
      </w:r>
    </w:p>
    <w:p>
      <w:pPr>
        <w:tabs>
          <w:tab w:pos="567" w:val="left"/>
        </w:tabs>
        <w:ind w:left="567" w:hanging="567"/>
      </w:pPr>
      <w:r>
        <w:t>b)</w:t>
      </w:r>
      <w:r>
        <w:tab/>
      </w:r>
      <w:r>
        <w:t>im Rahmen wirtschaftlicher Entwicklungsprogramme.</w:t>
      </w:r>
    </w:p>
    <w:p>
      <w:pPr>
        <w:pStyle w:val="Heading3"/>
      </w:pPr>
      <w:bookmarkStart w:id="57" w:name="b54"/>
      <w:r>
        <w:t>Art 43</w:t>
      </w:r>
      <w:r>
        <w:t xml:space="preserve"> </w:t>
      </w:r>
      <w:r>
        <w:rPr>
          <w:rStyle w:val="Suchmarke"/>
        </w:rPr>
        <w:t>#43.#</w:t>
      </w:r>
      <w:bookmarkEnd w:id="57"/>
    </w:p>
    <w:p>
      <w:r>
        <w:rPr>
          <w:color w:val="404040"/>
          <w:sz w:val="21"/>
        </w:rPr>
        <w:t>(ex-Artikel 37 EGV)</w:t>
      </w:r>
    </w:p>
    <w:p>
      <w:r>
        <w:t xml:space="preserve">(1) Die Kommission legt zur Gestaltung und Durchführung der gemeinsamen Agrarpolitik Vorschläge vor, welche unter anderem die Ablösung der einzelstaatlichen Marktordnungen durch eine der in </w:t>
      </w:r>
      <w:hyperlink w:anchor="b51" w:history="1">
        <w:r>
          <w:rPr>
            <w:color w:val="0A3A8C"/>
            <w:u w:val="single"/>
          </w:rPr>
          <w:t xml:space="preserve">Artikel 40</w:t>
        </w:r>
      </w:hyperlink>
      <w:r>
        <w:t xml:space="preserve"> Absatz 1 vorgesehenen gemeinsamen Organisationsformen sowie die Durchführung der in diesem Titel bezeichneten Maßnahmen vorsehen.</w:t>
      </w:r>
    </w:p>
    <w:p>
      <w:r>
        <w:t>Diese Vorschläge müssen dem inneren Zusammenhang der in diesem Titel aufgeführten landwirtschaftlichen Fragen Rechnung tragen.</w:t>
      </w:r>
    </w:p>
    <w:p>
      <w:r>
        <w:t xml:space="preserve">(2) Das Europäische Parlament und der Rat legen gemäß dem ordentlichen Gesetzgebungsverfahren und nach Anhörung des Wirtschafts- und Sozialausschusses die gemeinsame Organisation der Agrarmärkte nach </w:t>
      </w:r>
      <w:hyperlink w:anchor="b51" w:history="1">
        <w:r>
          <w:rPr>
            <w:color w:val="0A3A8C"/>
            <w:u w:val="single"/>
          </w:rPr>
          <w:t xml:space="preserve">Artikel 40</w:t>
        </w:r>
      </w:hyperlink>
      <w:r>
        <w:t xml:space="preserve"> Absatz 1 sowie die anderen Bestimmungen fest, die für die Verwirklichung der Ziele der gemeinsamen Agrar- und Fischereipolitik notwendig sind.</w:t>
      </w:r>
    </w:p>
    <w:p>
      <w:r>
        <w:t>(3) Der Rat erlässt auf Vorschlag der Kommission die Maßnahmen zur Festsetzung der Preise, der Abschöpfungen, der Beihilfen und der mengenmäßigen Beschränkungen sowie zur Festsetzung und Aufteilung der Fangmöglichkeiten in der Fischerei.</w:t>
      </w:r>
    </w:p>
    <w:p>
      <w:r>
        <w:t xml:space="preserve">(4) Die einzelstaatlichen Marktordnungen können nach Maßgabe des Absatzes 1 durch die in </w:t>
      </w:r>
      <w:hyperlink w:anchor="b51" w:history="1">
        <w:r>
          <w:rPr>
            <w:color w:val="0A3A8C"/>
            <w:u w:val="single"/>
          </w:rPr>
          <w:t xml:space="preserve">Artikel 40</w:t>
        </w:r>
      </w:hyperlink>
      <w:r>
        <w:t xml:space="preserve"> Absatz 2 vorgesehene gemeinsame Organisation ersetzt werden,</w:t>
      </w:r>
    </w:p>
    <w:p>
      <w:pPr>
        <w:tabs>
          <w:tab w:pos="567" w:val="left"/>
        </w:tabs>
        <w:ind w:left="567" w:hanging="567"/>
      </w:pPr>
      <w:r>
        <w:t>a)</w:t>
      </w:r>
      <w:r>
        <w:tab/>
      </w:r>
      <w:r>
        <w:t>wenn sie den Mitgliedstaaten, die sich gegen diese Maßnahme ausgesprochen haben und eine eigene Marktordnung für die in Betracht kommende Erzeugung besitzen, gleichwertige Sicherheiten für die Beschäftigung und Lebenshaltung der betreffenden Erzeuger bietet; hierbei sind die im Zeitablauf möglichen Anpassungen und erforderlichen Spezialisierungen zu berücksichtigen, und</w:t>
      </w:r>
    </w:p>
    <w:p>
      <w:pPr>
        <w:tabs>
          <w:tab w:pos="567" w:val="left"/>
        </w:tabs>
        <w:ind w:left="567" w:hanging="567"/>
      </w:pPr>
      <w:r>
        <w:t>b)</w:t>
      </w:r>
      <w:r>
        <w:tab/>
      </w:r>
      <w:r>
        <w:t>wenn die gemeinsame Organisation für den Handelsverkehr innerhalb der Union Bedingungen sicherstellt, die denen eines Binnenmarkts entsprechen.</w:t>
      </w:r>
    </w:p>
    <w:p>
      <w:r>
        <w:t>(5) Wird eine gemeinsame Organisation für bestimmte Rohstoffe geschaffen, bevor eine gemeinsame Organisation für die entsprechenden weiterverarbeiteten Erzeugnisse besteht, so können die betreffenden Rohstoffe aus Ländern außerhalb der Union eingeführt werden, wenn sie für weiterverarbeitete Erzeugnisse verwendet werden, die zur Ausfuhr nach dritten Ländern bestimmt sind.</w:t>
      </w:r>
    </w:p>
    <w:p>
      <w:pPr>
        <w:pStyle w:val="Heading3"/>
      </w:pPr>
      <w:bookmarkStart w:id="58" w:name="b55"/>
      <w:r>
        <w:t>Art 44</w:t>
      </w:r>
      <w:r>
        <w:t xml:space="preserve"> </w:t>
      </w:r>
      <w:r>
        <w:rPr>
          <w:rStyle w:val="Suchmarke"/>
        </w:rPr>
        <w:t>#44.#</w:t>
      </w:r>
      <w:bookmarkEnd w:id="58"/>
    </w:p>
    <w:p>
      <w:r>
        <w:rPr>
          <w:color w:val="404040"/>
          <w:sz w:val="21"/>
        </w:rPr>
        <w:t>(ex-Artikel 38 EGV)</w:t>
      </w:r>
    </w:p>
    <w:p>
      <w:r>
        <w:t>Besteht in einem Mitgliedstaat für ein Erzeugnis eine innerstaatliche Marktordnung oder Regelung gleicher Wirkung und wird dadurch eine gleichartige Erzeugung in einem anderen Mitgliedstaat in ihrer Wettbewerbslage beeinträchtigt, so erheben die Mitgliedstaaten bei der Einfuhr des betreffenden Erzeugnisses aus dem Mitgliedstaat, in dem die genannte Marktordnung oder Regelung besteht, eine Ausgleichsabgabe, es sei denn, dass dieser Mitgliedstaat eine Ausgleichsabgabe bei der Ausfuhr erhebt.</w:t>
      </w:r>
    </w:p>
    <w:p>
      <w:r>
        <w:t>Die Kommission setzt diese Abgaben in der zur Wiederherstellung des Gleichgewichts erforderlichen Höhe fest; sie kann auch andere Maßnahmen genehmigen, deren Bedingungen und Einzelheiten sie festlegt.</w:t>
      </w:r>
    </w:p>
    <w:p>
      <w:pPr>
        <w:pStyle w:val="Heading2"/>
      </w:pPr>
      <w:bookmarkStart w:id="59" w:name="b56"/>
      <w:r>
        <w:t>TITEL IV DIE FREIZÜGIGKEIT, DER FREIE DIENSTLEISTUNGS- UND KAPITALVERKEHR</w:t>
      </w:r>
      <w:bookmarkEnd w:id="59"/>
    </w:p>
    <w:p>
      <w:pPr>
        <w:pStyle w:val="Heading3"/>
      </w:pPr>
      <w:bookmarkStart w:id="60" w:name="b57"/>
      <w:r>
        <w:t>KAPITEL 1 DIE ARBEITSKRÄFTE</w:t>
      </w:r>
      <w:bookmarkEnd w:id="60"/>
    </w:p>
    <w:p>
      <w:pPr>
        <w:pStyle w:val="Heading4"/>
      </w:pPr>
      <w:bookmarkStart w:id="61" w:name="b58"/>
      <w:r>
        <w:t>Art 45</w:t>
      </w:r>
      <w:r>
        <w:t xml:space="preserve"> </w:t>
      </w:r>
      <w:r>
        <w:rPr>
          <w:rStyle w:val="Suchmarke"/>
        </w:rPr>
        <w:t>#45.#</w:t>
      </w:r>
      <w:bookmarkEnd w:id="61"/>
    </w:p>
    <w:p>
      <w:r>
        <w:rPr>
          <w:color w:val="404040"/>
          <w:sz w:val="21"/>
        </w:rPr>
        <w:t>(ex-Artikel 39 EGV)</w:t>
      </w:r>
    </w:p>
    <w:p>
      <w:r>
        <w:t>(1) Innerhalb der Union ist die Freizügigkeit der Arbeitnehmer gewährleistet.</w:t>
      </w:r>
    </w:p>
    <w:p>
      <w:r>
        <w:t>(2) Sie umfasst die Abschaffung jeder auf der Staatsangehörigkeit beruhenden unterschiedlichen Behandlung der Arbeitnehmer der Mitgliedstaaten in Bezug auf Beschäftigung, Entlohnung und sonstige Arbeitsbedingungen.</w:t>
      </w:r>
    </w:p>
    <w:p>
      <w:r>
        <w:t>(3) Sie gibt – vorbehaltlich der aus Gründen der öffentlichen Ordnung, Sicherheit und Gesundheit gerechtfertigten Beschränkungen – den Arbeitnehmern das Recht,</w:t>
      </w:r>
    </w:p>
    <w:p>
      <w:pPr>
        <w:tabs>
          <w:tab w:pos="567" w:val="left"/>
        </w:tabs>
        <w:ind w:left="567" w:hanging="567"/>
      </w:pPr>
      <w:r>
        <w:t>a)</w:t>
      </w:r>
      <w:r>
        <w:tab/>
      </w:r>
      <w:r>
        <w:t>sich um tatsächlich angebotene Stellen zu bewerben;</w:t>
      </w:r>
    </w:p>
    <w:p>
      <w:pPr>
        <w:tabs>
          <w:tab w:pos="567" w:val="left"/>
        </w:tabs>
        <w:ind w:left="567" w:hanging="567"/>
      </w:pPr>
      <w:r>
        <w:t>b)</w:t>
      </w:r>
      <w:r>
        <w:tab/>
      </w:r>
      <w:r>
        <w:t>sich zu diesem Zweck im Hoheitsgebiet der Mitgliedstaaten frei zu bewegen;</w:t>
      </w:r>
    </w:p>
    <w:p>
      <w:pPr>
        <w:tabs>
          <w:tab w:pos="567" w:val="left"/>
        </w:tabs>
        <w:ind w:left="567" w:hanging="567"/>
      </w:pPr>
      <w:r>
        <w:t>c)</w:t>
      </w:r>
      <w:r>
        <w:tab/>
      </w:r>
      <w:r>
        <w:t>sich in einem Mitgliedstaat aufzuhalten, um dort nach den für die Arbeitnehmer dieses Staates geltenden Rechts- und Verwaltungsvorschriften eine Beschäftigung auszuüben;</w:t>
      </w:r>
    </w:p>
    <w:p>
      <w:pPr>
        <w:tabs>
          <w:tab w:pos="567" w:val="left"/>
        </w:tabs>
        <w:ind w:left="567" w:hanging="567"/>
      </w:pPr>
      <w:r>
        <w:t>d)</w:t>
      </w:r>
      <w:r>
        <w:tab/>
      </w:r>
      <w:r>
        <w:t>nach Beendigung einer Beschäftigung im Hoheitsgebiet eines Mitgliedstaats unter Bedingungen zu verbleiben, welche die Kommission durch Verordnungen festlegt.</w:t>
      </w:r>
    </w:p>
    <w:p>
      <w:r>
        <w:t>(4) Dieser Artikel findet keine Anwendung auf die Beschäftigung in der öffentlichen Verwaltung.</w:t>
      </w:r>
    </w:p>
    <w:p>
      <w:pPr>
        <w:pStyle w:val="Heading4"/>
      </w:pPr>
      <w:bookmarkStart w:id="62" w:name="b59"/>
      <w:r>
        <w:t>Art 46</w:t>
      </w:r>
      <w:r>
        <w:t xml:space="preserve"> </w:t>
      </w:r>
      <w:r>
        <w:rPr>
          <w:rStyle w:val="Suchmarke"/>
        </w:rPr>
        <w:t>#46.#</w:t>
      </w:r>
      <w:bookmarkEnd w:id="62"/>
    </w:p>
    <w:p>
      <w:r>
        <w:rPr>
          <w:color w:val="404040"/>
          <w:sz w:val="21"/>
        </w:rPr>
        <w:t>(ex-Artikel 40 EGV)</w:t>
      </w:r>
    </w:p>
    <w:p>
      <w:r>
        <w:t xml:space="preserve">Das Europäische Parlament und der Rat treffen gemäß dem ordentlichen Gesetzgebungsverfahren und nach Anhörung des Wirtschafts- und Sozialausschusses durch Richtlinien oder Verordnungen alle erforderlichen Maßnahmen, um die Freizügigkeit der Arbeitnehmer im Sinne des </w:t>
      </w:r>
      <w:hyperlink w:anchor="b58" w:history="1">
        <w:r>
          <w:rPr>
            <w:color w:val="0A3A8C"/>
            <w:u w:val="single"/>
          </w:rPr>
          <w:t xml:space="preserve">Artikels 45</w:t>
        </w:r>
      </w:hyperlink>
      <w:r>
        <w:t xml:space="preserve"> herzustellen, insbesondere</w:t>
      </w:r>
    </w:p>
    <w:p>
      <w:pPr>
        <w:tabs>
          <w:tab w:pos="567" w:val="left"/>
        </w:tabs>
        <w:ind w:left="567" w:hanging="567"/>
      </w:pPr>
      <w:r>
        <w:t>a)</w:t>
      </w:r>
      <w:r>
        <w:tab/>
      </w:r>
      <w:r>
        <w:t>durch Sicherstellung einer engen Zusammenarbeit zwischen den einzelstaatlichen Arbeitsverwaltungen;</w:t>
      </w:r>
    </w:p>
    <w:p>
      <w:pPr>
        <w:tabs>
          <w:tab w:pos="567" w:val="left"/>
        </w:tabs>
        <w:ind w:left="567" w:hanging="567"/>
      </w:pPr>
      <w:r>
        <w:t>b)</w:t>
      </w:r>
      <w:r>
        <w:tab/>
      </w:r>
      <w:r>
        <w:t>durch die Beseitigung der Verwaltungsverfahren und -praktiken sowie der für den Zugang zu verfügbaren Arbeitsplätzen vorgeschriebenen Fristen, die sich aus innerstaatlichen Rechtsvorschriften oder vorher zwischen den Mitgliedstaaten geschlossenen Übereinkünften ergeben und deren Beibehaltung die Herstellung der Freizügigkeit der Arbeitnehmer hindert;</w:t>
      </w:r>
    </w:p>
    <w:p>
      <w:pPr>
        <w:tabs>
          <w:tab w:pos="567" w:val="left"/>
        </w:tabs>
        <w:ind w:left="567" w:hanging="567"/>
      </w:pPr>
      <w:r>
        <w:t>c)</w:t>
      </w:r>
      <w:r>
        <w:tab/>
      </w:r>
      <w:r>
        <w:t>durch die Beseitigung aller Fristen und sonstigen Beschränkungen, die in innerstaatlichen Rechtsvorschriften oder vorher zwischen den Mitgliedstaaten geschlossenen Übereinkünften vorgesehen sind und die den Arbeitnehmern der anderen Mitgliedstaaten für die freie Wahl des Arbeitsplatzes andere Bedingungen als den inländischen Arbeitnehmern auferlegen;</w:t>
      </w:r>
    </w:p>
    <w:p>
      <w:pPr>
        <w:tabs>
          <w:tab w:pos="567" w:val="left"/>
        </w:tabs>
        <w:ind w:left="567" w:hanging="567"/>
      </w:pPr>
      <w:r>
        <w:t>d)</w:t>
      </w:r>
      <w:r>
        <w:tab/>
      </w:r>
      <w:r>
        <w:t>durch die Schaffung geeigneter Verfahren für die Zusammenführung und den Ausgleich von Angebot und Nachfrage auf dem Arbeitsmarkt zu Bedingungen, die eine ernstliche Gefährdung der Lebenshaltung und des Beschäftigungsstands in einzelnen Gebieten und Industrien ausschließen.</w:t>
      </w:r>
    </w:p>
    <w:p>
      <w:pPr>
        <w:pStyle w:val="Heading4"/>
      </w:pPr>
      <w:bookmarkStart w:id="63" w:name="b60"/>
      <w:r>
        <w:t>Art 47</w:t>
      </w:r>
      <w:r>
        <w:t xml:space="preserve"> </w:t>
      </w:r>
      <w:r>
        <w:rPr>
          <w:rStyle w:val="Suchmarke"/>
        </w:rPr>
        <w:t>#47.#</w:t>
      </w:r>
      <w:bookmarkEnd w:id="63"/>
    </w:p>
    <w:p>
      <w:r>
        <w:rPr>
          <w:color w:val="404040"/>
          <w:sz w:val="21"/>
        </w:rPr>
        <w:t>(ex-Artikel 41 EGV)</w:t>
      </w:r>
    </w:p>
    <w:p>
      <w:r>
        <w:t>Die Mitgliedstaaten fördern den Austausch junger Arbeitskräfte im Rahmen eines gemeinsamen Programms.</w:t>
      </w:r>
    </w:p>
    <w:p>
      <w:pPr>
        <w:pStyle w:val="Heading4"/>
      </w:pPr>
      <w:bookmarkStart w:id="64" w:name="b61"/>
      <w:r>
        <w:t>Art 48</w:t>
      </w:r>
      <w:r>
        <w:t xml:space="preserve"> </w:t>
      </w:r>
      <w:r>
        <w:rPr>
          <w:rStyle w:val="Suchmarke"/>
        </w:rPr>
        <w:t>#48.#</w:t>
      </w:r>
      <w:bookmarkEnd w:id="64"/>
    </w:p>
    <w:p>
      <w:r>
        <w:rPr>
          <w:color w:val="404040"/>
          <w:sz w:val="21"/>
        </w:rPr>
        <w:t>(ex-Artikel 42 EGV)</w:t>
      </w:r>
    </w:p>
    <w:p>
      <w:r>
        <w:t>Das Europäische Parlament und der Rat beschließen gemäß dem ordentlichen Gesetzgebungsverfahren die auf dem Gebiet der sozialen Sicherheit für die Herstellung der Freizügigkeit der Arbeitnehmer notwendigen Maßnahmen; zu diesem Zweck führen sie insbesondere ein System ein, das zu- und abwandernden Arbeitnehmern und Selbstständigen sowie deren anspruchsberechtigten Angehörigen Folgendes sichert:</w:t>
      </w:r>
    </w:p>
    <w:p>
      <w:pPr>
        <w:tabs>
          <w:tab w:pos="567" w:val="left"/>
        </w:tabs>
        <w:ind w:left="567" w:hanging="567"/>
      </w:pPr>
      <w:r>
        <w:t>a)</w:t>
      </w:r>
      <w:r>
        <w:tab/>
      </w:r>
      <w:r>
        <w:t>die Zusammenrechnung aller nach den verschiedenen innerstaatlichen Rechtsvorschriften berücksichtigten Zeiten für den Erwerb und die Aufrechterhaltung des Leistungsanspruchs sowie für die Berechnung der Leistungen;</w:t>
      </w:r>
    </w:p>
    <w:p>
      <w:pPr>
        <w:tabs>
          <w:tab w:pos="567" w:val="left"/>
        </w:tabs>
        <w:ind w:left="567" w:hanging="567"/>
      </w:pPr>
      <w:r>
        <w:t>b)</w:t>
      </w:r>
      <w:r>
        <w:tab/>
      </w:r>
      <w:r>
        <w:t>die Zahlung der Leistungen an Personen, die in den Hoheitsgebieten der Mitgliedstaaten wohnen.</w:t>
      </w:r>
    </w:p>
    <w:p>
      <w:r>
        <w:rPr>
          <w:rStyle w:val="Satznummer"/>
        </w:rPr>
        <w:t>1</w:t>
      </w:r>
      <w:r>
        <w:t xml:space="preserve">Erklärt ein Mitglied des Rates, dass ein Entwurf eines Gesetzgebungsakts nach Absatz 1 wichtige Aspekte seines Systems der sozialen Sicherheit, insbesondere dessen Geltungsbereich, Kosten oder Finanzstruktur, verletzen oder dessen finanzielles Gleichgewicht beeinträchtigen würde, so kann es beantragen, dass der Europäische Rat befasst wird. </w:t>
      </w:r>
      <w:r>
        <w:rPr>
          <w:rStyle w:val="Satznummer"/>
        </w:rPr>
        <w:t>2</w:t>
      </w:r>
      <w:r>
        <w:t xml:space="preserve">In diesem Fall wird das ordentliche Gesetzgebungsverfahren ausgesetzt. </w:t>
      </w:r>
      <w:r>
        <w:rPr>
          <w:rStyle w:val="Satznummer"/>
        </w:rPr>
        <w:t>3</w:t>
      </w:r>
      <w:r>
        <w:t>Nach einer Aussprache geht der Europäische Rat binnen vier Monaten nach Aussetzung des Verfahrens wie folgt vor:</w:t>
      </w:r>
    </w:p>
    <w:p>
      <w:pPr>
        <w:tabs>
          <w:tab w:pos="567" w:val="left"/>
        </w:tabs>
        <w:ind w:left="567" w:hanging="567"/>
      </w:pPr>
      <w:r>
        <w:t>a)</w:t>
      </w:r>
      <w:r>
        <w:tab/>
      </w:r>
      <w:r>
        <w:t>er verweist den Entwurf an den Rat zurück, wodurch die Aussetzung des ordentlichen Gesetzgebungsverfahrens beendet wird, oder</w:t>
      </w:r>
    </w:p>
    <w:p>
      <w:pPr>
        <w:tabs>
          <w:tab w:pos="567" w:val="left"/>
        </w:tabs>
        <w:ind w:left="567" w:hanging="567"/>
      </w:pPr>
      <w:r>
        <w:t>b)</w:t>
      </w:r>
      <w:r>
        <w:tab/>
      </w:r>
      <w:r>
        <w:t>er sieht von einem Tätigwerden ab, oder aber er ersucht die Kommission um Vorlage eines neuen Vorschlags; in diesem Fall gilt der ursprünglich vorgeschlagene Rechtsakt als nicht erlassen.</w:t>
      </w:r>
    </w:p>
    <w:p>
      <w:pPr>
        <w:pStyle w:val="Heading3"/>
      </w:pPr>
      <w:bookmarkStart w:id="65" w:name="b62"/>
      <w:r>
        <w:t>KAPITEL 2 DAS NIEDERLASSUNGSRECHT</w:t>
      </w:r>
      <w:bookmarkEnd w:id="65"/>
    </w:p>
    <w:p>
      <w:pPr>
        <w:pStyle w:val="Heading4"/>
      </w:pPr>
      <w:bookmarkStart w:id="66" w:name="b63"/>
      <w:r>
        <w:t>Art 49</w:t>
      </w:r>
      <w:r>
        <w:t xml:space="preserve"> </w:t>
      </w:r>
      <w:r>
        <w:rPr>
          <w:rStyle w:val="Suchmarke"/>
        </w:rPr>
        <w:t>#49.#</w:t>
      </w:r>
      <w:bookmarkEnd w:id="66"/>
    </w:p>
    <w:p>
      <w:r>
        <w:rPr>
          <w:color w:val="404040"/>
          <w:sz w:val="21"/>
        </w:rPr>
        <w:t>(ex-Artikel 43 EGV)</w:t>
      </w:r>
    </w:p>
    <w:p>
      <w:r>
        <w:rPr>
          <w:rStyle w:val="Satznummer"/>
        </w:rPr>
        <w:t>1</w:t>
      </w:r>
      <w:r>
        <w:t xml:space="preserve">Die Beschränkungen der freien Niederlassung von Staatsangehörigen eines Mitgliedstaats im Hoheitsgebiet eines anderen Mitgliedstaats sind nach Maßgabe der folgenden Bestimmungen verboten. </w:t>
      </w:r>
      <w:r>
        <w:rPr>
          <w:rStyle w:val="Satznummer"/>
        </w:rPr>
        <w:t>2</w:t>
      </w:r>
      <w:r>
        <w:t>Das Gleiche gilt für Beschränkungen der Gründung von Agenturen, Zweigniederlassungen oder Tochtergesellschaften durch Angehörige eines Mitgliedstaats, die im Hoheitsgebiet eines Mitgliedstaats ansässig sind.</w:t>
      </w:r>
    </w:p>
    <w:p>
      <w:r>
        <w:t xml:space="preserve">Vorbehaltlich des Kapitels über den Kapitalverkehr umfasst die Niederlassungsfreiheit die Aufnahme und Ausübung selbstständiger Erwerbstätigkeiten sowie die Gründung und Leitung von Unternehmen, insbesondere von Gesellschaften im Sinne des </w:t>
      </w:r>
      <w:hyperlink w:anchor="b68" w:history="1">
        <w:r>
          <w:rPr>
            <w:color w:val="0A3A8C"/>
            <w:u w:val="single"/>
          </w:rPr>
          <w:t xml:space="preserve">Artikels 54</w:t>
        </w:r>
      </w:hyperlink>
      <w:r>
        <w:t xml:space="preserve"> Absatz 2, nach den Bestimmungen des Aufnahmestaats für seine eigenen Angehörigen.</w:t>
      </w:r>
    </w:p>
    <w:p>
      <w:pPr>
        <w:pStyle w:val="Heading4"/>
      </w:pPr>
      <w:bookmarkStart w:id="67" w:name="b64"/>
      <w:r>
        <w:t>Art 50</w:t>
      </w:r>
      <w:r>
        <w:t xml:space="preserve"> </w:t>
      </w:r>
      <w:r>
        <w:rPr>
          <w:rStyle w:val="Suchmarke"/>
        </w:rPr>
        <w:t>#50.#</w:t>
      </w:r>
      <w:bookmarkEnd w:id="67"/>
    </w:p>
    <w:p>
      <w:r>
        <w:rPr>
          <w:color w:val="404040"/>
          <w:sz w:val="21"/>
        </w:rPr>
        <w:t>(ex-Artikel 44 EGV)</w:t>
      </w:r>
    </w:p>
    <w:p>
      <w:r>
        <w:t>(1) Das Europäische Parlament und der Rat erlassen gemäß dem ordentlichen Gesetzgebungsverfahren und nach Anhörung des Wirtschafts- und Sozialausschusses Richtlinien zur Verwirklichung der Niederlassungsfreiheit für eine bestimmte Tätigkeit.</w:t>
      </w:r>
    </w:p>
    <w:p>
      <w:r>
        <w:t>(2) Das Europäische Parlament, der Rat und die Kommission erfüllen die Aufgaben, die ihnen aufgrund der obigen Bestimmungen übertragen sind, indem sie insbesondere</w:t>
      </w:r>
    </w:p>
    <w:p>
      <w:pPr>
        <w:tabs>
          <w:tab w:pos="567" w:val="left"/>
        </w:tabs>
        <w:ind w:left="567" w:hanging="567"/>
      </w:pPr>
      <w:r>
        <w:t>a)</w:t>
      </w:r>
      <w:r>
        <w:tab/>
      </w:r>
      <w:r>
        <w:t>im Allgemeinen diejenigen Tätigkeiten mit Vorrang behandeln, bei denen die Niederlassungsfreiheit die Entwicklung der Produktion und des Handels in besonderer Weise fördert;</w:t>
      </w:r>
    </w:p>
    <w:p>
      <w:pPr>
        <w:tabs>
          <w:tab w:pos="567" w:val="left"/>
        </w:tabs>
        <w:ind w:left="567" w:hanging="567"/>
      </w:pPr>
      <w:r>
        <w:t>b)</w:t>
      </w:r>
      <w:r>
        <w:tab/>
      </w:r>
      <w:r>
        <w:t>eine enge Zusammenarbeit zwischen den zuständigen Verwaltungen der Mitgliedstaaten sicherstellen, um sich über die besondere Lage auf den verschiedenen Tätigkeitsgebieten innerhalb der Union zu unterrichten;</w:t>
      </w:r>
    </w:p>
    <w:p>
      <w:pPr>
        <w:tabs>
          <w:tab w:pos="567" w:val="left"/>
        </w:tabs>
        <w:ind w:left="567" w:hanging="567"/>
      </w:pPr>
      <w:r>
        <w:t>c)</w:t>
      </w:r>
      <w:r>
        <w:tab/>
      </w:r>
      <w:r>
        <w:t>die aus innerstaatlichen Rechtsvorschriften oder vorher zwischen den Mitgliedstaaten geschlossenen Übereinkünften abgeleiteten Verwaltungsverfahren und -praktiken ausschalten, deren Beibehaltung der Niederlassungsfreiheit entgegensteht;</w:t>
      </w:r>
    </w:p>
    <w:p>
      <w:pPr>
        <w:tabs>
          <w:tab w:pos="567" w:val="left"/>
        </w:tabs>
        <w:ind w:left="567" w:hanging="567"/>
      </w:pPr>
      <w:r>
        <w:t>d)</w:t>
      </w:r>
      <w:r>
        <w:tab/>
      </w:r>
      <w:r>
        <w:t>dafür Sorge tragen, dass Arbeitnehmer eines Mitgliedstaats, die im Hoheitsgebiet eines anderen Mitgliedstaats beschäftigt sind, dort verbleiben und eine selbstständige Tätigkeit unter denselben Voraussetzungen ausüben können, die sie erfüllen müssten, wenn sie in diesen Staat erst zu dem Zeitpunkt einreisen würden, in dem sie diese Tätigkeit aufzunehmen beabsichtigen;</w:t>
      </w:r>
    </w:p>
    <w:p>
      <w:pPr>
        <w:tabs>
          <w:tab w:pos="567" w:val="left"/>
        </w:tabs>
        <w:ind w:left="567" w:hanging="567"/>
      </w:pPr>
      <w:r>
        <w:t>e)</w:t>
      </w:r>
      <w:r>
        <w:tab/>
      </w:r>
      <w:r>
        <w:t xml:space="preserve">den Erwerb und die Nutzung von Grundbesitz im Hoheitsgebiet eines Mitgliedstaats durch Angehörige eines anderen Mitgliedstaats ermöglichen, soweit hierdurch die Grundsätze des </w:t>
      </w:r>
      <w:hyperlink w:anchor="b50" w:history="1">
        <w:r>
          <w:rPr>
            <w:color w:val="0A3A8C"/>
            <w:u w:val="single"/>
          </w:rPr>
          <w:t xml:space="preserve">Artikels 39</w:t>
        </w:r>
      </w:hyperlink>
      <w:r>
        <w:t xml:space="preserve"> Absatz 2 nicht beeinträchtigt werden;</w:t>
      </w:r>
    </w:p>
    <w:p>
      <w:pPr>
        <w:tabs>
          <w:tab w:pos="567" w:val="left"/>
        </w:tabs>
        <w:ind w:left="567" w:hanging="567"/>
      </w:pPr>
      <w:r>
        <w:t>f)</w:t>
      </w:r>
      <w:r>
        <w:tab/>
      </w:r>
      <w:r>
        <w:t>veranlassen, dass bei jedem in Betracht kommenden Wirtschaftszweig die Beschränkungen der Niederlassungsfreiheit in Bezug auf die Voraussetzungen für die Errichtung von Agenturen, Zweigniederlassungen und Tochtergesellschaften im Hoheitsgebiet eines Mitgliedstaats sowie für den Eintritt des Personals der Hauptniederlassung in ihre Leitungs- oder Überwachungsorgane schrittweise aufgehoben werden;</w:t>
      </w:r>
    </w:p>
    <w:p>
      <w:pPr>
        <w:tabs>
          <w:tab w:pos="567" w:val="left"/>
        </w:tabs>
        <w:ind w:left="567" w:hanging="567"/>
      </w:pPr>
      <w:r>
        <w:t>g)</w:t>
      </w:r>
      <w:r>
        <w:tab/>
      </w:r>
      <w:r>
        <w:t>soweit erforderlich, die Schutzbestimmungen koordinieren, die in den Mitgliedstaaten den Gesellschaften im Sinne des Artikels 54 Absatz 2 im Interesse der Gesellschafter sowie Dritter vorgeschrieben sind, um diese Bestimmungen gleichwertig zu gestalten;</w:t>
      </w:r>
    </w:p>
    <w:p>
      <w:pPr>
        <w:tabs>
          <w:tab w:pos="567" w:val="left"/>
        </w:tabs>
        <w:ind w:left="567" w:hanging="567"/>
      </w:pPr>
      <w:r>
        <w:t>h)</w:t>
      </w:r>
      <w:r>
        <w:tab/>
      </w:r>
      <w:r>
        <w:t>sicherstellen, dass die Bedingungen für die Niederlassung nicht durch Beihilfen der Mitgliedstaaten verfälscht werden.</w:t>
      </w:r>
    </w:p>
    <w:p>
      <w:pPr>
        <w:pStyle w:val="Heading4"/>
      </w:pPr>
      <w:bookmarkStart w:id="68" w:name="b65"/>
      <w:r>
        <w:t>Art 51</w:t>
      </w:r>
      <w:r>
        <w:t xml:space="preserve"> </w:t>
      </w:r>
      <w:r>
        <w:rPr>
          <w:rStyle w:val="Suchmarke"/>
        </w:rPr>
        <w:t>#51.#</w:t>
      </w:r>
      <w:bookmarkEnd w:id="68"/>
    </w:p>
    <w:p>
      <w:r>
        <w:rPr>
          <w:color w:val="404040"/>
          <w:sz w:val="21"/>
        </w:rPr>
        <w:t>(ex-Artikel 45 EGV)</w:t>
      </w:r>
    </w:p>
    <w:p>
      <w:r>
        <w:t>Auf Tätigkeiten, die in einem Mitgliedstaat dauernd oder zeitweise mit der Ausübung öffentlicher Gewalt verbunden sind, findet dieses Kapitel in dem betreffenden Mitgliedstaat keine Anwendung.</w:t>
      </w:r>
    </w:p>
    <w:p>
      <w:r>
        <w:t>Das Europäische Parlament und der Rat können gemäß dem ordentlichen Gesetzgebungsverfahren beschließen, dass dieses Kapitel auf bestimmte Tätigkeiten keine Anwendung findet.</w:t>
      </w:r>
    </w:p>
    <w:p>
      <w:pPr>
        <w:pStyle w:val="Heading4"/>
      </w:pPr>
      <w:bookmarkStart w:id="69" w:name="b66"/>
      <w:r>
        <w:t>Art 52</w:t>
      </w:r>
      <w:r>
        <w:t xml:space="preserve"> </w:t>
      </w:r>
      <w:r>
        <w:rPr>
          <w:rStyle w:val="Suchmarke"/>
        </w:rPr>
        <w:t>#52.#</w:t>
      </w:r>
      <w:bookmarkEnd w:id="69"/>
    </w:p>
    <w:p>
      <w:r>
        <w:rPr>
          <w:color w:val="404040"/>
          <w:sz w:val="21"/>
        </w:rPr>
        <w:t>(ex-Artikel 46 EGV)</w:t>
      </w:r>
    </w:p>
    <w:p>
      <w:r>
        <w:t>(1) Dieses Kapitel und die aufgrund desselben getroffenen Maßnahmen beeinträchtigen nicht die Anwendbarkeit der Rechts- und Verwaltungsvorschriften, die eine Sonderregelung für Ausländer vorsehen und aus Gründen der öffentlichen Ordnung, Sicherheit oder Gesundheit gerechtfertigt sind.</w:t>
      </w:r>
    </w:p>
    <w:p>
      <w:r>
        <w:t>(2) Das Europäische Parlament und der Rat erlassen gemäß dem ordentlichen Gesetzgebungsverfahren Richtlinien für die Koordinierung der genannten Vorschriften.</w:t>
      </w:r>
    </w:p>
    <w:p>
      <w:pPr>
        <w:pStyle w:val="Heading4"/>
      </w:pPr>
      <w:bookmarkStart w:id="70" w:name="b67"/>
      <w:r>
        <w:t>Art 53</w:t>
      </w:r>
      <w:r>
        <w:t xml:space="preserve"> </w:t>
      </w:r>
      <w:r>
        <w:rPr>
          <w:rStyle w:val="Suchmarke"/>
        </w:rPr>
        <w:t>#53.#</w:t>
      </w:r>
      <w:bookmarkEnd w:id="70"/>
    </w:p>
    <w:p>
      <w:r>
        <w:rPr>
          <w:color w:val="404040"/>
          <w:sz w:val="21"/>
        </w:rPr>
        <w:t>(ex-Artikel 47 EGV)</w:t>
      </w:r>
    </w:p>
    <w:p>
      <w:r>
        <w:t>(1) Um die Aufnahme und Ausübung selbstständiger Tätigkeiten zu erleichtern, erlassen das Europäische Parlament und der Rat gemäß dem ordentlichen Gesetzgebungsverfahren Richtlinien für die gegenseitige Anerkennung der Diplome, Prüfungszeugnisse und sonstigen Befähigungsnachweise sowie für die Koordinierung der Rechts- und Verwaltungsvorschriften der Mitgliedstaaten über die Aufnahme und Ausübung selbstständiger Tätigkeiten.</w:t>
      </w:r>
    </w:p>
    <w:p>
      <w:r>
        <w:t>(2) Die schrittweise Aufhebung der Beschränkungen für die ärztlichen, arztähnlichen und pharmazeutischen Berufe setzt die Koordinierung der Bedingungen für die Ausübung dieser Berufe in den einzelnen Mitgliedstaaten voraus.</w:t>
      </w:r>
    </w:p>
    <w:p>
      <w:pPr>
        <w:pStyle w:val="Heading4"/>
      </w:pPr>
      <w:bookmarkStart w:id="71" w:name="b68"/>
      <w:r>
        <w:t>Art 54</w:t>
      </w:r>
      <w:r>
        <w:t xml:space="preserve"> </w:t>
      </w:r>
      <w:r>
        <w:rPr>
          <w:rStyle w:val="Suchmarke"/>
        </w:rPr>
        <w:t>#54.#</w:t>
      </w:r>
      <w:bookmarkEnd w:id="71"/>
    </w:p>
    <w:p>
      <w:r>
        <w:rPr>
          <w:color w:val="404040"/>
          <w:sz w:val="21"/>
        </w:rPr>
        <w:t>(ex-Artikel 48 EGV)</w:t>
      </w:r>
    </w:p>
    <w:p>
      <w:r>
        <w:t>Für die Anwendung dieses Kapitels stehen die nach den Rechtsvorschriften eines Mitgliedstaats gegründeten Gesellschaften, die ihren satzungsmäßigen Sitz, ihre Hauptverwaltung oder ihre Hauptniederlassung innerhalb der Union haben, den natürlichen Personen gleich, die Angehörige der Mitgliedstaaten sind.</w:t>
      </w:r>
    </w:p>
    <w:p>
      <w:r>
        <w:t>Als Gesellschaften gelten die Gesellschaften des bürgerlichen Rechts und des Handelsrechts einschließlich der Genossenschaften und die sonstigen juristischen Personen des öffentlichen und privaten Rechts mit Ausnahme derjenigen, die keinen Erwerbszweck verfolgen.</w:t>
      </w:r>
    </w:p>
    <w:p>
      <w:pPr>
        <w:pStyle w:val="Heading4"/>
      </w:pPr>
      <w:bookmarkStart w:id="72" w:name="b69"/>
      <w:r>
        <w:t>Art 55</w:t>
      </w:r>
      <w:r>
        <w:t xml:space="preserve"> </w:t>
      </w:r>
      <w:r>
        <w:rPr>
          <w:rStyle w:val="Suchmarke"/>
        </w:rPr>
        <w:t>#55.#</w:t>
      </w:r>
      <w:bookmarkEnd w:id="72"/>
    </w:p>
    <w:p>
      <w:r>
        <w:rPr>
          <w:color w:val="404040"/>
          <w:sz w:val="21"/>
        </w:rPr>
        <w:t>(ex-Artikel 294 EGV)</w:t>
      </w:r>
    </w:p>
    <w:p>
      <w:r>
        <w:t>Unbeschadet der sonstigen Bestimmungen der Verträge stellen die Mitgliedstaaten die Staatsangehörigen der anderen Mitgliedstaaten hinsichtlich ihrer Beteiligung am Kapital von Gesellschaften im Sinne des Artikels 54 den eigenen Staatsangehörigen gleich.</w:t>
      </w:r>
    </w:p>
    <w:p>
      <w:pPr>
        <w:pStyle w:val="Heading3"/>
      </w:pPr>
      <w:bookmarkStart w:id="73" w:name="b70"/>
      <w:r>
        <w:t>KAPITEL 3 DIENSTLEISTUNGEN</w:t>
      </w:r>
      <w:bookmarkEnd w:id="73"/>
    </w:p>
    <w:p>
      <w:pPr>
        <w:pStyle w:val="Heading4"/>
      </w:pPr>
      <w:bookmarkStart w:id="74" w:name="b71"/>
      <w:r>
        <w:t>Art 56</w:t>
      </w:r>
      <w:r>
        <w:t xml:space="preserve"> </w:t>
      </w:r>
      <w:r>
        <w:rPr>
          <w:rStyle w:val="Suchmarke"/>
        </w:rPr>
        <w:t>#56.#</w:t>
      </w:r>
      <w:bookmarkEnd w:id="74"/>
    </w:p>
    <w:p>
      <w:r>
        <w:rPr>
          <w:color w:val="404040"/>
          <w:sz w:val="21"/>
        </w:rPr>
        <w:t>(ex-Artikel 49 EGV)</w:t>
      </w:r>
    </w:p>
    <w:p>
      <w:r>
        <w:t>Die Beschränkungen des freien Dienstleistungsverkehrs innerhalb der Union für Angehörige der Mitgliedstaaten, die in einem anderen Mitgliedstaat als demjenigen des Leistungsempfängers ansässig sind, sind nach Maßgabe der folgenden Bestimmungen verboten.</w:t>
      </w:r>
    </w:p>
    <w:p>
      <w:r>
        <w:t>Das Europäische Parlament und der Rat können gemäß dem ordentlichen Gesetzgebungsverfahren beschließen, dass dieses Kapitel auch auf Erbringer von Dienstleistungen Anwendung findet, welche die Staatsangehörigkeit eines dritten Landes besitzen und innerhalb der Union ansässig sind.</w:t>
      </w:r>
    </w:p>
    <w:p>
      <w:pPr>
        <w:pStyle w:val="Heading4"/>
      </w:pPr>
      <w:bookmarkStart w:id="75" w:name="b72"/>
      <w:r>
        <w:t>Art 57</w:t>
      </w:r>
      <w:r>
        <w:t xml:space="preserve"> </w:t>
      </w:r>
      <w:r>
        <w:rPr>
          <w:rStyle w:val="Suchmarke"/>
        </w:rPr>
        <w:t>#57.#</w:t>
      </w:r>
      <w:bookmarkEnd w:id="75"/>
    </w:p>
    <w:p>
      <w:r>
        <w:rPr>
          <w:color w:val="404040"/>
          <w:sz w:val="21"/>
        </w:rPr>
        <w:t>(ex-Artikel 50 EGV)</w:t>
      </w:r>
    </w:p>
    <w:p>
      <w:r>
        <w:t>Dienstleistungen im Sinne der Verträge sind Leistungen, die in der Regel gegen Entgelt erbracht werden, soweit sie nicht den Vorschriften über den freien Waren- und Kapitalverkehr und über die Freizügigkeit der Personen unterliegen.</w:t>
      </w:r>
    </w:p>
    <w:p>
      <w:r>
        <w:t>Als Dienstleistungen gelten insbesondere:</w:t>
      </w:r>
    </w:p>
    <w:p>
      <w:pPr>
        <w:tabs>
          <w:tab w:pos="567" w:val="left"/>
        </w:tabs>
        <w:ind w:left="567" w:hanging="567"/>
      </w:pPr>
      <w:r>
        <w:t>a)</w:t>
      </w:r>
      <w:r>
        <w:tab/>
      </w:r>
      <w:r>
        <w:t>gewerbliche Tätigkeiten,</w:t>
      </w:r>
    </w:p>
    <w:p>
      <w:pPr>
        <w:tabs>
          <w:tab w:pos="567" w:val="left"/>
        </w:tabs>
        <w:ind w:left="567" w:hanging="567"/>
      </w:pPr>
      <w:r>
        <w:t>b)</w:t>
      </w:r>
      <w:r>
        <w:tab/>
      </w:r>
      <w:r>
        <w:t>kaufmännische Tätigkeiten,</w:t>
      </w:r>
    </w:p>
    <w:p>
      <w:pPr>
        <w:tabs>
          <w:tab w:pos="567" w:val="left"/>
        </w:tabs>
        <w:ind w:left="567" w:hanging="567"/>
      </w:pPr>
      <w:r>
        <w:t>c)</w:t>
      </w:r>
      <w:r>
        <w:tab/>
      </w:r>
      <w:r>
        <w:t>handwerkliche Tätigkeiten,</w:t>
      </w:r>
    </w:p>
    <w:p>
      <w:pPr>
        <w:tabs>
          <w:tab w:pos="567" w:val="left"/>
        </w:tabs>
        <w:ind w:left="567" w:hanging="567"/>
      </w:pPr>
      <w:r>
        <w:t>d)</w:t>
      </w:r>
      <w:r>
        <w:tab/>
      </w:r>
      <w:r>
        <w:t>freiberufliche Tätigkeiten.</w:t>
      </w:r>
    </w:p>
    <w:p>
      <w:r>
        <w:t>Unbeschadet des Kapitels über die Niederlassungsfreiheit kann der Leistende zwecks Erbringung seiner Leistungen seine Tätigkeit vorübergehend in dem Mitgliedstaat ausüben, in dem die Leistung erbracht wird, und zwar unter den Voraussetzungen, welche dieser Mitgliedstaat für seine eigenen Angehörigen vorschreibt.</w:t>
      </w:r>
    </w:p>
    <w:p>
      <w:pPr>
        <w:pStyle w:val="Heading4"/>
      </w:pPr>
      <w:bookmarkStart w:id="76" w:name="b73"/>
      <w:r>
        <w:t>Art 58</w:t>
      </w:r>
      <w:r>
        <w:t xml:space="preserve"> </w:t>
      </w:r>
      <w:r>
        <w:rPr>
          <w:rStyle w:val="Suchmarke"/>
        </w:rPr>
        <w:t>#58.#</w:t>
      </w:r>
      <w:bookmarkEnd w:id="76"/>
    </w:p>
    <w:p>
      <w:r>
        <w:rPr>
          <w:color w:val="404040"/>
          <w:sz w:val="21"/>
        </w:rPr>
        <w:t>(ex-Artikel 51 EGV)</w:t>
      </w:r>
    </w:p>
    <w:p>
      <w:r>
        <w:t>(1) Für den freien Dienstleistungsverkehr auf dem Gebiet des Verkehrs gelten die Bestimmungen des Titels über den Verkehr.</w:t>
      </w:r>
    </w:p>
    <w:p>
      <w:r>
        <w:t>(2) Die Liberalisierung der mit dem Kapitalverkehr verbundenen Dienstleistungen der Banken und Versicherungen wird im Einklang mit der Liberalisierung des Kapitalverkehrs durchgeführt.</w:t>
      </w:r>
    </w:p>
    <w:p>
      <w:pPr>
        <w:pStyle w:val="Heading4"/>
      </w:pPr>
      <w:bookmarkStart w:id="77" w:name="b74"/>
      <w:r>
        <w:t>Art 59</w:t>
      </w:r>
      <w:r>
        <w:t xml:space="preserve"> </w:t>
      </w:r>
      <w:r>
        <w:rPr>
          <w:rStyle w:val="Suchmarke"/>
        </w:rPr>
        <w:t>#59.#</w:t>
      </w:r>
      <w:bookmarkEnd w:id="77"/>
    </w:p>
    <w:p>
      <w:r>
        <w:rPr>
          <w:color w:val="404040"/>
          <w:sz w:val="21"/>
        </w:rPr>
        <w:t>(ex-Artikel 52 EGV)</w:t>
      </w:r>
    </w:p>
    <w:p>
      <w:r>
        <w:t>(1) Das Europäische Parlament und der Rat erlassen gemäß dem ordentlichen Gesetzgebungsverfahren und nach Anhörung des Wirtschafts- und Sozialausschusses Richtlinien zur Liberalisierung einer bestimmten Dienstleistung.</w:t>
      </w:r>
    </w:p>
    <w:p>
      <w:r>
        <w:t>(2) Bei den in Absatz 1 genannten Richtlinien sind im Allgemeinen mit Vorrang diejenigen Dienstleistungen zu berücksichtigen, welche die Produktionskosten unmittelbar beeinflussen oder deren Liberalisierung zur Förderung des Warenverkehrs beiträgt.</w:t>
      </w:r>
    </w:p>
    <w:p>
      <w:pPr>
        <w:pStyle w:val="Heading4"/>
      </w:pPr>
      <w:bookmarkStart w:id="78" w:name="b75"/>
      <w:r>
        <w:t>Art 60</w:t>
      </w:r>
      <w:r>
        <w:t xml:space="preserve"> </w:t>
      </w:r>
      <w:r>
        <w:rPr>
          <w:rStyle w:val="Suchmarke"/>
        </w:rPr>
        <w:t>#60.#</w:t>
      </w:r>
      <w:bookmarkEnd w:id="78"/>
    </w:p>
    <w:p>
      <w:r>
        <w:rPr>
          <w:color w:val="404040"/>
          <w:sz w:val="21"/>
        </w:rPr>
        <w:t>(ex-Artikel 53 EGV)</w:t>
      </w:r>
    </w:p>
    <w:p>
      <w:r>
        <w:t xml:space="preserve">Die Mitgliedstaaten bemühen sich, über das Ausmaß der Liberalisierung der Dienstleistungen, zu dem sie aufgrund der Richtlinien gemäß </w:t>
      </w:r>
      <w:hyperlink w:anchor="b74" w:history="1">
        <w:r>
          <w:rPr>
            <w:color w:val="0A3A8C"/>
            <w:u w:val="single"/>
          </w:rPr>
          <w:t xml:space="preserve">Artikel 59</w:t>
        </w:r>
      </w:hyperlink>
      <w:r>
        <w:t xml:space="preserve"> Absatz 1 verpflichtet sind, hinauszugehen, falls ihre wirtschaftliche Gesamtlage und die Lage des betreffenden Wirtschaftszweigs dies zulassen.</w:t>
      </w:r>
    </w:p>
    <w:p>
      <w:r>
        <w:t>Die Kommission richtet entsprechende Empfehlungen an die betreffenden Staaten.</w:t>
      </w:r>
    </w:p>
    <w:p>
      <w:pPr>
        <w:pStyle w:val="Heading4"/>
      </w:pPr>
      <w:bookmarkStart w:id="79" w:name="b76"/>
      <w:r>
        <w:t>Art 61</w:t>
      </w:r>
      <w:r>
        <w:t xml:space="preserve"> </w:t>
      </w:r>
      <w:r>
        <w:rPr>
          <w:rStyle w:val="Suchmarke"/>
        </w:rPr>
        <w:t>#61.#</w:t>
      </w:r>
      <w:bookmarkEnd w:id="79"/>
    </w:p>
    <w:p>
      <w:r>
        <w:rPr>
          <w:color w:val="404040"/>
          <w:sz w:val="21"/>
        </w:rPr>
        <w:t>(ex-Artikel 54 EGV)</w:t>
      </w:r>
    </w:p>
    <w:p>
      <w:r>
        <w:t xml:space="preserve">Solange die Beschränkungen des freien Dienstleistungsverkehrs nicht aufgehoben sind, wendet sie jeder Mitgliedstaat ohne Unterscheidung nach Staatsangehörigkeit oder Aufenthaltsort auf alle in </w:t>
      </w:r>
      <w:hyperlink w:anchor="b71" w:history="1">
        <w:r>
          <w:rPr>
            <w:color w:val="0A3A8C"/>
            <w:u w:val="single"/>
          </w:rPr>
          <w:t xml:space="preserve">Artikel 56</w:t>
        </w:r>
      </w:hyperlink>
      <w:r>
        <w:t xml:space="preserve"> Absatz 1 bezeichneten Erbringer von Dienstleistungen an.</w:t>
      </w:r>
    </w:p>
    <w:p>
      <w:pPr>
        <w:pStyle w:val="Heading4"/>
      </w:pPr>
      <w:bookmarkStart w:id="80" w:name="b77"/>
      <w:r>
        <w:t>Art 62</w:t>
      </w:r>
      <w:r>
        <w:t xml:space="preserve"> </w:t>
      </w:r>
      <w:r>
        <w:rPr>
          <w:rStyle w:val="Suchmarke"/>
        </w:rPr>
        <w:t>#62.#</w:t>
      </w:r>
      <w:bookmarkEnd w:id="80"/>
    </w:p>
    <w:p>
      <w:r>
        <w:rPr>
          <w:color w:val="404040"/>
          <w:sz w:val="21"/>
        </w:rPr>
        <w:t>(ex-Artikel 55 EGV)</w:t>
      </w:r>
    </w:p>
    <w:p>
      <w:r>
        <w:t xml:space="preserve">Die Bestimmungen der </w:t>
      </w:r>
      <w:hyperlink w:anchor="b65" w:history="1">
        <w:r>
          <w:rPr>
            <w:color w:val="0A3A8C"/>
            <w:u w:val="single"/>
          </w:rPr>
          <w:t xml:space="preserve">Artikel 51</w:t>
        </w:r>
      </w:hyperlink>
      <w:r>
        <w:t xml:space="preserve"> bis </w:t>
      </w:r>
      <w:hyperlink w:anchor="b68" w:history="1">
        <w:r>
          <w:rPr>
            <w:color w:val="0A3A8C"/>
            <w:u w:val="single"/>
          </w:rPr>
          <w:t xml:space="preserve">54</w:t>
        </w:r>
      </w:hyperlink>
      <w:r>
        <w:t xml:space="preserve"> finden auf das in diesem Kapitel geregelte Sachgebiet Anwendung.</w:t>
      </w:r>
    </w:p>
    <w:p>
      <w:pPr>
        <w:pStyle w:val="Heading3"/>
      </w:pPr>
      <w:bookmarkStart w:id="81" w:name="b78"/>
      <w:r>
        <w:t>KAPITEL 4 DER KAPITAL- UND ZAHLUNGSVERKEHR</w:t>
      </w:r>
      <w:bookmarkEnd w:id="81"/>
    </w:p>
    <w:p>
      <w:pPr>
        <w:pStyle w:val="Heading4"/>
      </w:pPr>
      <w:bookmarkStart w:id="82" w:name="b79"/>
      <w:r>
        <w:t>Art 63</w:t>
      </w:r>
      <w:r>
        <w:t xml:space="preserve"> </w:t>
      </w:r>
      <w:r>
        <w:rPr>
          <w:rStyle w:val="Suchmarke"/>
        </w:rPr>
        <w:t>#63.#</w:t>
      </w:r>
      <w:bookmarkEnd w:id="82"/>
    </w:p>
    <w:p>
      <w:r>
        <w:rPr>
          <w:color w:val="404040"/>
          <w:sz w:val="21"/>
        </w:rPr>
        <w:t>(ex-Artikel 56 EGV)</w:t>
      </w:r>
    </w:p>
    <w:p>
      <w:r>
        <w:t>(1) Im Rahmen der Bestimmungen dieses Kapitels sind alle Beschränkungen des Kapitalverkehrs zwischen den Mitgliedstaaten sowie zwischen den Mitgliedstaaten und dritten Ländern verboten.</w:t>
      </w:r>
    </w:p>
    <w:p>
      <w:r>
        <w:t>(2) Im Rahmen der Bestimmungen dieses Kapitels sind alle Beschränkungen des Zahlungsverkehrs zwischen den Mitgliedstaaten sowie zwischen den Mitgliedstaaten und dritten Ländern verboten.</w:t>
      </w:r>
    </w:p>
    <w:p>
      <w:pPr>
        <w:pStyle w:val="Heading4"/>
      </w:pPr>
      <w:bookmarkStart w:id="83" w:name="b80"/>
      <w:r>
        <w:t>Art 64</w:t>
      </w:r>
      <w:r>
        <w:t xml:space="preserve"> </w:t>
      </w:r>
      <w:r>
        <w:rPr>
          <w:rStyle w:val="Suchmarke"/>
        </w:rPr>
        <w:t>#64.#</w:t>
      </w:r>
      <w:bookmarkEnd w:id="83"/>
    </w:p>
    <w:p>
      <w:r>
        <w:rPr>
          <w:color w:val="404040"/>
          <w:sz w:val="21"/>
        </w:rPr>
        <w:t>(ex-Artikel 57 EGV)</w:t>
      </w:r>
    </w:p>
    <w:p>
      <w:r>
        <w:t xml:space="preserve">(1) </w:t>
      </w:r>
      <w:r>
        <w:rPr>
          <w:rStyle w:val="Satznummer"/>
        </w:rPr>
        <w:t>1</w:t>
      </w:r>
      <w:hyperlink w:anchor="b79" w:history="1">
        <w:r>
          <w:rPr>
            <w:color w:val="0A3A8C"/>
            <w:u w:val="single"/>
          </w:rPr>
          <w:t xml:space="preserve">Artikel 63</w:t>
        </w:r>
      </w:hyperlink>
      <w:r>
        <w:t xml:space="preserve"> berührt nicht die Anwendung derjenigen Beschränkungen auf dritte Länder, die am 31. Dezember 1993 aufgrund einzelstaatlicher Rechtsvorschriften oder aufgrund von Rechtsvorschriften der Union für den Kapitalverkehr mit dritten Ländern im Zusammenhang mit Direktinvestitionen einschließlich Anlagen in Immobilien, mit der Niederlassung, der Erbringung von Finanzdienstleistungen oder der Zulassung von Wertpapieren zu den Kapitalmärkten bestehen. </w:t>
      </w:r>
      <w:r>
        <w:rPr>
          <w:rStyle w:val="Satznummer"/>
        </w:rPr>
        <w:t>2</w:t>
      </w:r>
      <w:r>
        <w:t xml:space="preserve">Für in Bulgarien, Estland und Ungarn bestehende Beschränkungen nach innerstaatlichem Recht ist der maßgebliche Zeitpunkt der 31. Dezember 1999. </w:t>
      </w:r>
      <w:r>
        <w:rPr>
          <w:rStyle w:val="Satznummer"/>
        </w:rPr>
        <w:t>3</w:t>
      </w:r>
      <w:r>
        <w:t>Für in Kroatien nach innerstaatlichem Recht bestehende Beschränkungen ist der maßgebliche Zeitpunkt der 31. Dezember 2002.</w:t>
      </w:r>
    </w:p>
    <w:p>
      <w:r>
        <w:t>(2) Unbeschadet der anderen Kapitel der Verträge sowie ihrer Bemühungen um eine möglichst weit gehende Verwirklichung des Zieles eines freien Kapitalverkehrs zwischen den Mitgliedstaaten und dritten Ländern beschließen das Europäische Parlament und der Rat gemäß dem ordentlichen Gesetzgebungsverfahren Maßnahmen für den Kapitalverkehr mit dritten Ländern im Zusammenhang mit Direktinvestitionen einschließlich Anlagen in Immobilien, mit der Niederlassung, der Erbringung von Finanzdienstleistungen oder der Zulassung von Wertpapieren zu den Kapitalmärkten.</w:t>
      </w:r>
    </w:p>
    <w:p>
      <w:r>
        <w:t>(3) Abweichend von Absatz 2 kann nur der Rat gemäß einem besonderen Gesetzgebungsverfahren und nach Anhörung des Europäischen Parlaments Maßnahmen einstimmig beschließen, die im Rahmen des Unionsrechts für die Liberalisierung des Kapitalverkehrs mit Drittländern einen Rückschritt darstellen.</w:t>
      </w:r>
    </w:p>
    <w:p>
      <w:pPr>
        <w:pStyle w:val="Heading4"/>
      </w:pPr>
      <w:bookmarkStart w:id="84" w:name="b81"/>
      <w:r>
        <w:t>Art 65</w:t>
      </w:r>
      <w:r>
        <w:t xml:space="preserve"> </w:t>
      </w:r>
      <w:r>
        <w:rPr>
          <w:rStyle w:val="Suchmarke"/>
        </w:rPr>
        <w:t>#65.#</w:t>
      </w:r>
      <w:bookmarkEnd w:id="84"/>
    </w:p>
    <w:p>
      <w:r>
        <w:rPr>
          <w:color w:val="404040"/>
          <w:sz w:val="21"/>
        </w:rPr>
        <w:t>(ex-Artikel 58 EGV)</w:t>
      </w:r>
    </w:p>
    <w:p>
      <w:r>
        <w:t xml:space="preserve">(1) </w:t>
      </w:r>
      <w:hyperlink w:anchor="b79" w:history="1">
        <w:r>
          <w:rPr>
            <w:color w:val="0A3A8C"/>
            <w:u w:val="single"/>
          </w:rPr>
          <w:t xml:space="preserve">Artikel 63</w:t>
        </w:r>
      </w:hyperlink>
      <w:r>
        <w:t xml:space="preserve"> berührt nicht das Recht der Mitgliedstaaten,</w:t>
      </w:r>
    </w:p>
    <w:p>
      <w:pPr>
        <w:tabs>
          <w:tab w:pos="567" w:val="left"/>
        </w:tabs>
        <w:ind w:left="567" w:hanging="567"/>
      </w:pPr>
      <w:r>
        <w:t>a)</w:t>
      </w:r>
      <w:r>
        <w:tab/>
      </w:r>
      <w:r>
        <w:t>die einschlägigen Vorschriften ihres Steuerrechts anzuwenden, die Steuerpflichtige mit unterschiedlichem Wohnort oder Kapitalanlageort unterschiedlich behandeln,</w:t>
      </w:r>
    </w:p>
    <w:p>
      <w:pPr>
        <w:tabs>
          <w:tab w:pos="567" w:val="left"/>
        </w:tabs>
        <w:ind w:left="567" w:hanging="567"/>
      </w:pPr>
      <w:r>
        <w:t>b)</w:t>
      </w:r>
      <w:r>
        <w:tab/>
      </w:r>
      <w:r>
        <w:t>die unerlässlichen Maßnahmen zu treffen, um Zuwiderhandlungen gegen innerstaatliche Rechts- und Verwaltungsvorschriften, insbesondere auf dem Gebiet des Steuerrechts und der Aufsicht über Finanzinstitute, zu verhindern, sowie Meldeverfahren für den Kapitalverkehr zwecks administrativer oder statistischer Information vorzusehen oder Maßnahmen zu ergreifen, die aus Gründen der öffentlichen Ordnung oder Sicherheit gerechtfertigt sind.</w:t>
      </w:r>
    </w:p>
    <w:p>
      <w:r>
        <w:t>(2) Dieses Kapitel berührt nicht die Anwendbarkeit von Beschränkungen des Niederlassungsrechts, die mit den Verträgen vereinbar sind.</w:t>
      </w:r>
    </w:p>
    <w:p>
      <w:r>
        <w:t xml:space="preserve">(3) Die in den Absätzen 1 und 2 genannten Maßnahmen und Verfahren dürfen weder ein Mittel zur willkürlichen Diskriminierung noch eine verschleierte Beschränkung des freien Kapital- und Zahlungsverkehrs im Sinne des </w:t>
      </w:r>
      <w:hyperlink w:anchor="b79" w:history="1">
        <w:r>
          <w:rPr>
            <w:color w:val="0A3A8C"/>
            <w:u w:val="single"/>
          </w:rPr>
          <w:t xml:space="preserve">Artikels 63</w:t>
        </w:r>
      </w:hyperlink>
      <w:r>
        <w:t xml:space="preserve"> darstellen.</w:t>
      </w:r>
    </w:p>
    <w:p>
      <w:r>
        <w:t xml:space="preserve">(4) </w:t>
      </w:r>
      <w:r>
        <w:rPr>
          <w:rStyle w:val="Satznummer"/>
        </w:rPr>
        <w:t>1</w:t>
      </w:r>
      <w:r>
        <w:t xml:space="preserve">Sind keine Maßnahmen nach </w:t>
      </w:r>
      <w:hyperlink w:anchor="b80" w:history="1">
        <w:r>
          <w:rPr>
            <w:color w:val="0A3A8C"/>
            <w:u w:val="single"/>
          </w:rPr>
          <w:t xml:space="preserve">Artikel 64</w:t>
        </w:r>
      </w:hyperlink>
      <w:r>
        <w:t xml:space="preserve"> Absatz 3 erlassen worden, so kann die Kommission oder, wenn diese binnen drei Monaten nach der Vorlage eines entsprechenden Antrags des betreffenden Mitgliedstaats keinen Beschluss erlassen hat, der Rat einen Beschluss erlassen, mit dem festgelegt wird, dass die von einem Mitgliedstaat in Bezug auf ein oder mehrere Drittländer getroffenen restriktiven steuerlichen Maßnahmen insofern als mit den Verträgen vereinbar anzusehen sind, als sie durch eines der Ziele der Union gerechtfertigt und mit dem ordnungsgemäßen Funktionieren des Binnenmarkts vereinbar sind. </w:t>
      </w:r>
      <w:r>
        <w:rPr>
          <w:rStyle w:val="Satznummer"/>
        </w:rPr>
        <w:t>2</w:t>
      </w:r>
      <w:r>
        <w:t>Der Rat beschließt einstimmig auf Antrag eines Mitgliedstaats.</w:t>
      </w:r>
    </w:p>
    <w:p>
      <w:pPr>
        <w:pStyle w:val="Heading4"/>
      </w:pPr>
      <w:bookmarkStart w:id="85" w:name="b82"/>
      <w:r>
        <w:t>Art 66</w:t>
      </w:r>
      <w:r>
        <w:t xml:space="preserve"> </w:t>
      </w:r>
      <w:r>
        <w:rPr>
          <w:rStyle w:val="Suchmarke"/>
        </w:rPr>
        <w:t>#66.#</w:t>
      </w:r>
      <w:bookmarkEnd w:id="85"/>
    </w:p>
    <w:p>
      <w:r>
        <w:rPr>
          <w:color w:val="404040"/>
          <w:sz w:val="21"/>
        </w:rPr>
        <w:t>(ex-Artikel 59 EGV)</w:t>
      </w:r>
    </w:p>
    <w:p>
      <w:r>
        <w:t>Falls Kapitalbewegungen nach oder aus dritten Ländern unter außergewöhnlichen Umständen das Funktionieren der Wirtschafts- und Währungsunion schwerwiegend stören oder zu stören drohen, kann der Rat auf Vorschlag der Kommission und nach Anhörung der Europäischen Zentralbank gegenüber dritten Ländern Schutzmaßnahmen mit einer Geltungsdauer von höchstens sechs Monaten treffen, wenn diese unbedingt erforderlich sind.</w:t>
      </w:r>
    </w:p>
    <w:p>
      <w:pPr>
        <w:pStyle w:val="Heading2"/>
      </w:pPr>
      <w:bookmarkStart w:id="86" w:name="b83"/>
      <w:r>
        <w:t>TITEL V DER RAUM DER FREIHEIT, DER SICHERHEIT UND DES RECHTS</w:t>
      </w:r>
      <w:bookmarkEnd w:id="86"/>
    </w:p>
    <w:p>
      <w:pPr>
        <w:pStyle w:val="Heading3"/>
      </w:pPr>
      <w:bookmarkStart w:id="87" w:name="b84"/>
      <w:r>
        <w:t>KAPITEL 1 ALLGEMEINE BESTIMMUNGEN</w:t>
      </w:r>
      <w:bookmarkEnd w:id="87"/>
    </w:p>
    <w:p>
      <w:pPr>
        <w:pStyle w:val="Heading4"/>
      </w:pPr>
      <w:bookmarkStart w:id="88" w:name="b85"/>
      <w:r>
        <w:t>Art 67</w:t>
      </w:r>
      <w:r>
        <w:t xml:space="preserve"> </w:t>
      </w:r>
      <w:r>
        <w:rPr>
          <w:rStyle w:val="Suchmarke"/>
        </w:rPr>
        <w:t>#67.#</w:t>
      </w:r>
      <w:bookmarkEnd w:id="88"/>
    </w:p>
    <w:p>
      <w:r>
        <w:rPr>
          <w:color w:val="404040"/>
          <w:sz w:val="21"/>
        </w:rPr>
        <w:t>(ex-Artikel 61 EGV und ex-Artikel 29 EUV)</w:t>
      </w:r>
    </w:p>
    <w:p>
      <w:r>
        <w:t>(1) Die Union bildet einen Raum der Freiheit, der Sicherheit und des Rechts, in dem die Grundrechte und die verschiedenen Rechtsordnungen und -traditionen der Mitgliedstaaten geachtet werden.</w:t>
      </w:r>
    </w:p>
    <w:p>
      <w:r>
        <w:t xml:space="preserve">(2) </w:t>
      </w:r>
      <w:r>
        <w:rPr>
          <w:rStyle w:val="Satznummer"/>
        </w:rPr>
        <w:t>1</w:t>
      </w:r>
      <w:r>
        <w:t xml:space="preserve">Sie stellt sicher, dass Personen an den Binnengrenzen nicht kontrolliert werden, und entwickelt eine gemeinsame Politik in den Bereichen Asyl, Einwanderung und Kontrollen an den Außengrenzen, die sich auf die Solidarität der Mitgliedstaaten gründet und gegenüber Drittstaatsangehörigen angemessen ist. </w:t>
      </w:r>
      <w:r>
        <w:rPr>
          <w:rStyle w:val="Satznummer"/>
        </w:rPr>
        <w:t>2</w:t>
      </w:r>
      <w:r>
        <w:t>Für die Zwecke dieses Titels werden Staatenlose den Drittstaatsangehörigen gleichgestellt.</w:t>
      </w:r>
    </w:p>
    <w:p>
      <w:r>
        <w:t>(3) Die Union wirkt darauf hin, durch Maßnahmen zur Verhütung und Bekämpfung von Kriminalität sowie von Rassismus und Fremdenfeindlichkeit, zur Koordinierung und Zusammenarbeit von Polizeibehörden und Organen der Strafrechtspflege und den anderen zuständigen Behörden sowie durch die gegenseitige Anerkennung strafrechtlicher Entscheidungen und erforderlichenfalls durch die Angleichung der strafrechtlichen Rechtsvorschriften ein hohes Maß an Sicherheit zu gewährleisten.</w:t>
      </w:r>
    </w:p>
    <w:p>
      <w:r>
        <w:t>(4) Die Union erleichtert den Zugang zum Recht, insbesondere durch den Grundsatz der gegenseitigen Anerkennung gerichtlicher und außergerichtlicher Entscheidungen in Zivilsachen.</w:t>
      </w:r>
    </w:p>
    <w:p>
      <w:pPr>
        <w:pStyle w:val="Heading4"/>
      </w:pPr>
      <w:bookmarkStart w:id="89" w:name="b86"/>
      <w:r>
        <w:t>Art 68</w:t>
      </w:r>
      <w:r>
        <w:t xml:space="preserve"> </w:t>
      </w:r>
      <w:r>
        <w:rPr>
          <w:rStyle w:val="Suchmarke"/>
        </w:rPr>
        <w:t>#68.#</w:t>
      </w:r>
      <w:bookmarkEnd w:id="89"/>
    </w:p>
    <w:p>
      <w:r>
        <w:t>Der Europäische Rat legt die strategischen Leitlinien für die gesetzgeberische und operative Programmplanung im Raum der Freiheit, der Sicherheit und des Rechts fest.</w:t>
      </w:r>
    </w:p>
    <w:p>
      <w:pPr>
        <w:pStyle w:val="Heading4"/>
      </w:pPr>
      <w:bookmarkStart w:id="90" w:name="b87"/>
      <w:r>
        <w:t>Art 69</w:t>
      </w:r>
      <w:r>
        <w:t xml:space="preserve"> </w:t>
      </w:r>
      <w:r>
        <w:rPr>
          <w:rStyle w:val="Suchmarke"/>
        </w:rPr>
        <w:t>#69.#</w:t>
      </w:r>
      <w:bookmarkEnd w:id="90"/>
    </w:p>
    <w:p>
      <w:r>
        <w:t>Die nationalen Parlamente tragen bei Gesetzgebungsvorschlägen und -initiativen, die im Rahmen der Kapitel 4 und 5 vorgelegt werden, Sorge für die Achtung des Subsidiaritätsprinzips nach Maßgabe des Protokolls über die Anwendung der Grundsätze der Subsidiarität und der Verhältnismäßigkeit.</w:t>
      </w:r>
    </w:p>
    <w:p>
      <w:pPr>
        <w:pStyle w:val="Heading4"/>
      </w:pPr>
      <w:bookmarkStart w:id="91" w:name="b88"/>
      <w:r>
        <w:t>Art 70</w:t>
      </w:r>
      <w:r>
        <w:t xml:space="preserve"> </w:t>
      </w:r>
      <w:r>
        <w:rPr>
          <w:rStyle w:val="Suchmarke"/>
        </w:rPr>
        <w:t>#70.#</w:t>
      </w:r>
      <w:bookmarkEnd w:id="91"/>
    </w:p>
    <w:p>
      <w:r>
        <w:rPr>
          <w:rStyle w:val="Satznummer"/>
        </w:rPr>
        <w:t>1</w:t>
      </w:r>
      <w:r>
        <w:t xml:space="preserve">Unbeschadet der </w:t>
      </w:r>
      <w:hyperlink w:anchor="b329" w:history="1">
        <w:r>
          <w:rPr>
            <w:color w:val="0A3A8C"/>
            <w:u w:val="single"/>
          </w:rPr>
          <w:t xml:space="preserve">Artikel 258</w:t>
        </w:r>
      </w:hyperlink>
      <w:r>
        <w:t xml:space="preserve">, </w:t>
      </w:r>
      <w:hyperlink w:anchor="b330" w:history="1">
        <w:r>
          <w:rPr>
            <w:color w:val="0A3A8C"/>
            <w:u w:val="single"/>
          </w:rPr>
          <w:t xml:space="preserve">259</w:t>
        </w:r>
      </w:hyperlink>
      <w:r>
        <w:t xml:space="preserve"> und </w:t>
      </w:r>
      <w:hyperlink w:anchor="b331" w:history="1">
        <w:r>
          <w:rPr>
            <w:color w:val="0A3A8C"/>
            <w:u w:val="single"/>
          </w:rPr>
          <w:t xml:space="preserve">260</w:t>
        </w:r>
      </w:hyperlink>
      <w:r>
        <w:t xml:space="preserve"> kann der Rat auf Vorschlag der Kommission Maßnahmen erlassen, mit denen Einzelheiten festgelegt werden, nach denen die Mitgliedstaaten in Zusammenarbeit mit der Kommission eine objektive und unparteiische Bewertung der Durchführung der unter diesen Titel fallenden Unionspolitik durch die Behörden der Mitgliedstaaten vornehmen, insbesondere um die umfassende Anwendung des Grundsatzes der gegenseitigen Anerkennung zu fördern. </w:t>
      </w:r>
      <w:r>
        <w:rPr>
          <w:rStyle w:val="Satznummer"/>
        </w:rPr>
        <w:t>2</w:t>
      </w:r>
      <w:r>
        <w:t>Das Europäische Parlament und die nationalen Parlamente werden vom Inhalt und den Ergebnissen dieser Bewertung unterrichtet.</w:t>
      </w:r>
    </w:p>
    <w:p>
      <w:pPr>
        <w:pStyle w:val="Heading4"/>
      </w:pPr>
      <w:bookmarkStart w:id="92" w:name="b89"/>
      <w:r>
        <w:t>Art 71</w:t>
      </w:r>
      <w:r>
        <w:t xml:space="preserve"> </w:t>
      </w:r>
      <w:r>
        <w:rPr>
          <w:rStyle w:val="Suchmarke"/>
        </w:rPr>
        <w:t>#71.#</w:t>
      </w:r>
      <w:bookmarkEnd w:id="92"/>
    </w:p>
    <w:p>
      <w:r>
        <w:rPr>
          <w:color w:val="404040"/>
          <w:sz w:val="21"/>
        </w:rPr>
        <w:t>(ex-Artikel 36 EUV)</w:t>
      </w:r>
    </w:p>
    <w:p>
      <w:r>
        <w:rPr>
          <w:rStyle w:val="Satznummer"/>
        </w:rPr>
        <w:t>1</w:t>
      </w:r>
      <w:r>
        <w:t xml:space="preserve">Im Rat wird ein ständiger Ausschuss eingesetzt, um sicherzustellen, dass innerhalb der Union die operative Zusammenarbeit im Bereich der inneren Sicherheit gefördert und verstärkt wird. </w:t>
      </w:r>
      <w:r>
        <w:rPr>
          <w:rStyle w:val="Satznummer"/>
        </w:rPr>
        <w:t>2</w:t>
      </w:r>
      <w:r>
        <w:t xml:space="preserve">Er fördert unbeschadet des </w:t>
      </w:r>
      <w:hyperlink w:anchor="b309" w:history="1">
        <w:r>
          <w:rPr>
            <w:color w:val="0A3A8C"/>
            <w:u w:val="single"/>
          </w:rPr>
          <w:t xml:space="preserve">Artikels 240</w:t>
        </w:r>
      </w:hyperlink>
      <w:r>
        <w:t xml:space="preserve"> die Koordinierung der Maßnahmen der zuständigen Behörden der Mitgliedstaaten. </w:t>
      </w:r>
      <w:r>
        <w:rPr>
          <w:rStyle w:val="Satznummer"/>
        </w:rPr>
        <w:t>3</w:t>
      </w:r>
      <w:r>
        <w:t xml:space="preserve">Die Vertreter der betroffenen Einrichtungen und sonstigen Stellen der Union können an den Arbeiten des Ausschusses beteiligt werden. </w:t>
      </w:r>
      <w:r>
        <w:rPr>
          <w:rStyle w:val="Satznummer"/>
        </w:rPr>
        <w:t>4</w:t>
      </w:r>
      <w:r>
        <w:t>Das Europäische Parlament und die nationalen Parlamente werden über die Arbeiten des Ausschusses auf dem Laufenden gehalten.</w:t>
      </w:r>
    </w:p>
    <w:p>
      <w:pPr>
        <w:pStyle w:val="Heading4"/>
      </w:pPr>
      <w:bookmarkStart w:id="93" w:name="b90"/>
      <w:r>
        <w:t>Art 72</w:t>
      </w:r>
      <w:r>
        <w:t xml:space="preserve"> </w:t>
      </w:r>
      <w:r>
        <w:rPr>
          <w:rStyle w:val="Suchmarke"/>
        </w:rPr>
        <w:t>#72.#</w:t>
      </w:r>
      <w:bookmarkEnd w:id="93"/>
    </w:p>
    <w:p>
      <w:r>
        <w:rPr>
          <w:color w:val="404040"/>
          <w:sz w:val="21"/>
        </w:rPr>
        <w:t>(ex-Artikel 64 Absatz 1 EGV und ex-Artikel 33 EUV)</w:t>
      </w:r>
    </w:p>
    <w:p>
      <w:r>
        <w:t>Dieser Titel berührt nicht die Wahrnehmung der Zuständigkeiten der Mitgliedstaaten für die Aufrechterhaltung der öffentlichen Ordnung und den Schutz der inneren Sicherheit.</w:t>
      </w:r>
    </w:p>
    <w:p>
      <w:pPr>
        <w:pStyle w:val="Heading4"/>
      </w:pPr>
      <w:bookmarkStart w:id="94" w:name="b91"/>
      <w:r>
        <w:t>Art 73</w:t>
      </w:r>
      <w:r>
        <w:t xml:space="preserve"> </w:t>
      </w:r>
      <w:r>
        <w:rPr>
          <w:rStyle w:val="Suchmarke"/>
        </w:rPr>
        <w:t>#73.#</w:t>
      </w:r>
      <w:bookmarkEnd w:id="94"/>
    </w:p>
    <w:p>
      <w:r>
        <w:t>Es steht den Mitgliedstaaten frei, untereinander und in eigener Verantwortung Formen der Zusammenarbeit und Koordinierung zwischen den zuständigen Dienststellen ihrer für den Schutz der nationalen Sicherheit verantwortlichen Verwaltungen einzurichten, die sie für geeignet halten.</w:t>
      </w:r>
    </w:p>
    <w:p>
      <w:pPr>
        <w:pStyle w:val="Heading4"/>
      </w:pPr>
      <w:bookmarkStart w:id="95" w:name="b92"/>
      <w:r>
        <w:t>Art 74</w:t>
      </w:r>
      <w:r>
        <w:t xml:space="preserve"> </w:t>
      </w:r>
      <w:r>
        <w:rPr>
          <w:rStyle w:val="Suchmarke"/>
        </w:rPr>
        <w:t>#74.#</w:t>
      </w:r>
      <w:bookmarkEnd w:id="95"/>
    </w:p>
    <w:p>
      <w:r>
        <w:rPr>
          <w:color w:val="404040"/>
          <w:sz w:val="21"/>
        </w:rPr>
        <w:t>(ex-Artikel 66 EGV)</w:t>
      </w:r>
    </w:p>
    <w:p>
      <w:r>
        <w:rPr>
          <w:rStyle w:val="Satznummer"/>
        </w:rPr>
        <w:t>1</w:t>
      </w:r>
      <w:r>
        <w:t xml:space="preserve">Der Rat erlässt Maßnahmen, um die Verwaltungszusammenarbeit zwischen den zuständigen Dienststellen der Mitgliedstaaten in den Bereichen dieses Titels sowie die Zusammenarbeit zwischen diesen Dienststellen und der Kommission zu gewährleisten. </w:t>
      </w:r>
      <w:r>
        <w:rPr>
          <w:rStyle w:val="Satznummer"/>
        </w:rPr>
        <w:t>2</w:t>
      </w:r>
      <w:r>
        <w:t xml:space="preserve">Dabei beschließt er auf Vorschlag der Kommission vorbehaltlich des </w:t>
      </w:r>
      <w:hyperlink w:anchor="b94" w:history="1">
        <w:r>
          <w:rPr>
            <w:color w:val="0A3A8C"/>
            <w:u w:val="single"/>
          </w:rPr>
          <w:t xml:space="preserve">Artikels 76</w:t>
        </w:r>
      </w:hyperlink>
      <w:r>
        <w:t xml:space="preserve"> und nach Anhörung des Europäischen Parlaments.</w:t>
      </w:r>
    </w:p>
    <w:p>
      <w:pPr>
        <w:pStyle w:val="Heading4"/>
      </w:pPr>
      <w:bookmarkStart w:id="96" w:name="b93"/>
      <w:r>
        <w:t>Art 75</w:t>
      </w:r>
      <w:r>
        <w:t xml:space="preserve"> </w:t>
      </w:r>
      <w:r>
        <w:rPr>
          <w:rStyle w:val="Suchmarke"/>
        </w:rPr>
        <w:t>#75.#</w:t>
      </w:r>
      <w:bookmarkEnd w:id="96"/>
    </w:p>
    <w:p>
      <w:r>
        <w:rPr>
          <w:color w:val="404040"/>
          <w:sz w:val="21"/>
        </w:rPr>
        <w:t>(ex-Artikel 60 EGV)</w:t>
      </w:r>
    </w:p>
    <w:p>
      <w:r>
        <w:t>Sofern dies notwendig ist, um die Ziele des Artikels 67 in Bezug auf die Verhütung und Bekämpfung von Terrorismus und damit verbundener Aktivitäten zu verwirklichen, schaffen das Europäische Parlament und der Rat gemäß dem ordentlichen Gesetzgebungsverfahren durch Verordnungen einen Rahmen für Verwaltungsmaßnahmen in Bezug auf Kapitalbewegungen und Zahlungen, wozu das Einfrieren von Geldern, finanziellen Vermögenswerten oder wirtschaftlichen Erträgen gehören kann, deren Eigentümer oder Besitzer natürliche oder juristische Personen, Gruppierungen oder nichtstaatliche Einheiten sind.</w:t>
      </w:r>
    </w:p>
    <w:p>
      <w:r>
        <w:t>Der Rat erlässt auf Vorschlag der Kommission Maßnahmen zur Umsetzung des in Absatz 1 genannten Rahmens.</w:t>
      </w:r>
    </w:p>
    <w:p>
      <w:r>
        <w:t>In den Rechtsakten nach diesem Artikel müssen die erforderlichen Bestimmungen über den Rechtsschutz vorgesehen sein.</w:t>
      </w:r>
    </w:p>
    <w:p>
      <w:pPr>
        <w:pStyle w:val="Heading4"/>
      </w:pPr>
      <w:bookmarkStart w:id="97" w:name="b94"/>
      <w:r>
        <w:t>Art 76</w:t>
      </w:r>
      <w:r>
        <w:t xml:space="preserve"> </w:t>
      </w:r>
      <w:r>
        <w:rPr>
          <w:rStyle w:val="Suchmarke"/>
        </w:rPr>
        <w:t>#76.#</w:t>
      </w:r>
      <w:bookmarkEnd w:id="97"/>
    </w:p>
    <w:p>
      <w:r>
        <w:t xml:space="preserve">Die in den Kapiteln 4 und 5 genannten Rechtsakte sowie die in </w:t>
      </w:r>
      <w:hyperlink w:anchor="b92" w:history="1">
        <w:r>
          <w:rPr>
            <w:color w:val="0A3A8C"/>
            <w:u w:val="single"/>
          </w:rPr>
          <w:t xml:space="preserve">Artikel 74</w:t>
        </w:r>
      </w:hyperlink>
      <w:r>
        <w:t xml:space="preserve"> genannten Maßnahmen, mit denen die Verwaltungszusammenarbeit in den Bereichen der genannten Kapitel gewährleistet wird, werden wie folgt erlassen:</w:t>
      </w:r>
    </w:p>
    <w:p>
      <w:pPr>
        <w:tabs>
          <w:tab w:pos="567" w:val="left"/>
        </w:tabs>
        <w:ind w:left="567" w:hanging="567"/>
      </w:pPr>
      <w:r>
        <w:t>a)</w:t>
      </w:r>
      <w:r>
        <w:tab/>
      </w:r>
      <w:r>
        <w:t>auf Vorschlag der Kommission oder</w:t>
      </w:r>
    </w:p>
    <w:p>
      <w:pPr>
        <w:tabs>
          <w:tab w:pos="567" w:val="left"/>
        </w:tabs>
        <w:ind w:left="567" w:hanging="567"/>
      </w:pPr>
      <w:r>
        <w:t>b)</w:t>
      </w:r>
      <w:r>
        <w:tab/>
      </w:r>
      <w:r>
        <w:t>auf Initiative eines Viertels der Mitgliedstaaten.</w:t>
      </w:r>
    </w:p>
    <w:p>
      <w:pPr>
        <w:pStyle w:val="Heading3"/>
      </w:pPr>
      <w:bookmarkStart w:id="98" w:name="b95"/>
      <w:r>
        <w:t>KAPITEL 2 POLITIK IM BEREICH GRENZKONTROLLEN, ASYL UND EINWANDERUNG</w:t>
      </w:r>
      <w:bookmarkEnd w:id="98"/>
    </w:p>
    <w:p>
      <w:pPr>
        <w:pStyle w:val="Heading4"/>
      </w:pPr>
      <w:bookmarkStart w:id="99" w:name="b96"/>
      <w:r>
        <w:t>Art 77</w:t>
      </w:r>
      <w:r>
        <w:t xml:space="preserve"> </w:t>
      </w:r>
      <w:r>
        <w:rPr>
          <w:rStyle w:val="Suchmarke"/>
        </w:rPr>
        <w:t>#77.#</w:t>
      </w:r>
      <w:bookmarkEnd w:id="99"/>
    </w:p>
    <w:p>
      <w:r>
        <w:rPr>
          <w:color w:val="404040"/>
          <w:sz w:val="21"/>
        </w:rPr>
        <w:t>(ex-Artikel 62 EGV)</w:t>
      </w:r>
    </w:p>
    <w:p>
      <w:r>
        <w:t>(1) Die Union entwickelt eine Politik, mit der</w:t>
      </w:r>
    </w:p>
    <w:p>
      <w:pPr>
        <w:tabs>
          <w:tab w:pos="567" w:val="left"/>
        </w:tabs>
        <w:ind w:left="567" w:hanging="567"/>
      </w:pPr>
      <w:r>
        <w:t>a)</w:t>
      </w:r>
      <w:r>
        <w:tab/>
      </w:r>
      <w:r>
        <w:t>sichergestellt werden soll, dass Personen unabhängig von ihrer Staatsangehörigkeit beim Überschreiten der Binnengrenzen nicht kontrolliert werden;</w:t>
      </w:r>
    </w:p>
    <w:p>
      <w:pPr>
        <w:tabs>
          <w:tab w:pos="567" w:val="left"/>
        </w:tabs>
        <w:ind w:left="567" w:hanging="567"/>
      </w:pPr>
      <w:r>
        <w:t>b)</w:t>
      </w:r>
      <w:r>
        <w:tab/>
      </w:r>
      <w:r>
        <w:t>die Personenkontrolle und die wirksame Überwachung des Grenzübertritts an den Außengrenzen sichergestellt werden soll;</w:t>
      </w:r>
    </w:p>
    <w:p>
      <w:pPr>
        <w:tabs>
          <w:tab w:pos="567" w:val="left"/>
        </w:tabs>
        <w:ind w:left="567" w:hanging="567"/>
      </w:pPr>
      <w:r>
        <w:t>c)</w:t>
      </w:r>
      <w:r>
        <w:tab/>
      </w:r>
      <w:r>
        <w:t>schrittweise ein integriertes Grenzschutzsystem an den Außengrenzen eingeführt werden soll.</w:t>
      </w:r>
    </w:p>
    <w:p>
      <w:r>
        <w:t>(2) Für die Zwecke des Absatzes 1 erlassen das Europäische Parlament und der Rat gemäß dem ordentlichen Gesetzgebungsverfahren Maßnahmen, die folgende Bereiche betreffen:</w:t>
      </w:r>
    </w:p>
    <w:p>
      <w:pPr>
        <w:tabs>
          <w:tab w:pos="567" w:val="left"/>
        </w:tabs>
        <w:ind w:left="567" w:hanging="567"/>
      </w:pPr>
      <w:r>
        <w:t>a)</w:t>
      </w:r>
      <w:r>
        <w:tab/>
      </w:r>
      <w:r>
        <w:t>die gemeinsame Politik in Bezug auf Visa und andere kurzfristige Aufenthaltstitel;</w:t>
      </w:r>
    </w:p>
    <w:p>
      <w:pPr>
        <w:tabs>
          <w:tab w:pos="567" w:val="left"/>
        </w:tabs>
        <w:ind w:left="567" w:hanging="567"/>
      </w:pPr>
      <w:r>
        <w:t>b)</w:t>
      </w:r>
      <w:r>
        <w:tab/>
      </w:r>
      <w:r>
        <w:t>die Kontrollen, denen Personen beim Überschreiten der Außengrenzen unterzogen werden;</w:t>
      </w:r>
    </w:p>
    <w:p>
      <w:pPr>
        <w:tabs>
          <w:tab w:pos="567" w:val="left"/>
        </w:tabs>
        <w:ind w:left="567" w:hanging="567"/>
      </w:pPr>
      <w:r>
        <w:t>c)</w:t>
      </w:r>
      <w:r>
        <w:tab/>
      </w:r>
      <w:r>
        <w:t>die Voraussetzungen, unter denen sich Drittstaatsangehörige innerhalb der Union während eines kurzen Zeitraums frei bewegen können;</w:t>
      </w:r>
    </w:p>
    <w:p>
      <w:pPr>
        <w:tabs>
          <w:tab w:pos="567" w:val="left"/>
        </w:tabs>
        <w:ind w:left="567" w:hanging="567"/>
      </w:pPr>
      <w:r>
        <w:t>d)</w:t>
      </w:r>
      <w:r>
        <w:tab/>
      </w:r>
      <w:r>
        <w:t>alle Maßnahmen, die für die schrittweise Einführung eines integrierten Grenzschutzsystems an den Außengrenzen erforderlich sind;</w:t>
      </w:r>
    </w:p>
    <w:p>
      <w:pPr>
        <w:tabs>
          <w:tab w:pos="567" w:val="left"/>
        </w:tabs>
        <w:ind w:left="567" w:hanging="567"/>
      </w:pPr>
      <w:r>
        <w:t>e)</w:t>
      </w:r>
      <w:r>
        <w:tab/>
      </w:r>
      <w:r>
        <w:t>die Abschaffung der Kontrolle von Personen gleich welcher Staatsangehörigkeit beim Überschreiten der Binnengrenzen.</w:t>
      </w:r>
    </w:p>
    <w:p>
      <w:r>
        <w:t xml:space="preserve">(3) </w:t>
      </w:r>
      <w:r>
        <w:rPr>
          <w:rStyle w:val="Satznummer"/>
        </w:rPr>
        <w:t>1</w:t>
      </w:r>
      <w:r>
        <w:t xml:space="preserve">Erscheint zur Erleichterung der Ausübung des in Artikel 20 Absatz 2 Buchstabe a genannten Rechts ein Tätigwerden der Union erforderlich, so kann der Rat gemäß einem besonderen Gesetzgebungsverfahren Bestimmungen betreffend Pässe, Personalausweise, Aufenthaltstitel oder diesen gleichgestellte Dokumente erlassen, sofern die Verträge hierfür anderweitig keine Befugnisse vorsehen. </w:t>
      </w:r>
      <w:r>
        <w:rPr>
          <w:rStyle w:val="Satznummer"/>
        </w:rPr>
        <w:t>2</w:t>
      </w:r>
      <w:r>
        <w:t>Der Rat beschließt einstimmig nach Anhörung des Europäischen Parlaments.</w:t>
      </w:r>
    </w:p>
    <w:p>
      <w:r>
        <w:t>(4) Dieser Artikel berührt nicht die Zuständigkeit der Mitgliedstaaten für die geografische Festlegung ihrer Grenzen nach dem Völkerrecht.</w:t>
      </w:r>
    </w:p>
    <w:p>
      <w:pPr>
        <w:pStyle w:val="Heading4"/>
      </w:pPr>
      <w:bookmarkStart w:id="100" w:name="b97"/>
      <w:r>
        <w:t>Art 78</w:t>
      </w:r>
      <w:r>
        <w:t xml:space="preserve"> </w:t>
      </w:r>
      <w:r>
        <w:rPr>
          <w:rStyle w:val="Suchmarke"/>
        </w:rPr>
        <w:t>#78.#</w:t>
      </w:r>
      <w:bookmarkEnd w:id="100"/>
    </w:p>
    <w:p>
      <w:r>
        <w:rPr>
          <w:color w:val="404040"/>
          <w:sz w:val="21"/>
        </w:rPr>
        <w:t>(ex-</w:t>
      </w:r>
      <w:hyperlink w:anchor="b79" w:history="1">
        <w:r>
          <w:rPr>
            <w:color w:val="404040"/>
            <w:sz w:val="21"/>
            <w:u w:val="single"/>
          </w:rPr>
          <w:t xml:space="preserve">Artikel 63</w:t>
        </w:r>
      </w:hyperlink>
      <w:r>
        <w:rPr>
          <w:color w:val="404040"/>
          <w:sz w:val="21"/>
        </w:rPr>
        <w:t xml:space="preserve"> Nummern 1 und 2 und ex-Artikel 64 Absatz 2 EGV)</w:t>
      </w:r>
    </w:p>
    <w:p>
      <w:r>
        <w:t xml:space="preserve">(1) </w:t>
      </w:r>
      <w:r>
        <w:rPr>
          <w:rStyle w:val="Satznummer"/>
        </w:rPr>
        <w:t>1</w:t>
      </w:r>
      <w:r>
        <w:t xml:space="preserve">Die Union entwickelt eine gemeinsame Politik im Bereich Asyl, subsidiärer Schutz und vorübergehender Schutz, mit der jedem Drittstaatsangehörigen, der internationalen Schutz benötigt, ein angemessener Status angeboten und die Einhaltung des Grundsatzes der Nicht-Zurückweisung gewährleistet werden soll. </w:t>
      </w:r>
      <w:r>
        <w:rPr>
          <w:rStyle w:val="Satznummer"/>
        </w:rPr>
        <w:t>2</w:t>
      </w:r>
      <w:r>
        <w:t>Diese Politik muss mit dem Genfer Abkommen vom 28. Juli 1951 und dem Protokoll vom 31. Januar 1967 über die Rechtsstellung der Flüchtlinge sowie den anderen einschlägigen Verträgen im Einklang stehen.</w:t>
      </w:r>
    </w:p>
    <w:p>
      <w:r>
        <w:t>(2) Für die Zwecke des Absatzes 1 erlassen das Europäische Parlament und der Rat gemäß dem ordentlichen Gesetzgebungsverfahren Maßnahmen in Bezug auf ein gemeinsames europäisches Asylsystem, das Folgendes umfasst:</w:t>
      </w:r>
    </w:p>
    <w:p>
      <w:pPr>
        <w:tabs>
          <w:tab w:pos="567" w:val="left"/>
        </w:tabs>
        <w:ind w:left="567" w:hanging="567"/>
      </w:pPr>
      <w:r>
        <w:t>a)</w:t>
      </w:r>
      <w:r>
        <w:tab/>
      </w:r>
      <w:r>
        <w:t>einen in der ganzen Union gültigen einheitlichen Asylstatus für Drittstaatsangehörige;</w:t>
      </w:r>
    </w:p>
    <w:p>
      <w:pPr>
        <w:tabs>
          <w:tab w:pos="567" w:val="left"/>
        </w:tabs>
        <w:ind w:left="567" w:hanging="567"/>
      </w:pPr>
      <w:r>
        <w:t>b)</w:t>
      </w:r>
      <w:r>
        <w:tab/>
      </w:r>
      <w:r>
        <w:t>einen einheitlichen subsidiären Schutzstatus für Drittstaatsangehörige, die keinen europäischen Asylstatus erhalten, aber internationalen Schutz benötigen;</w:t>
      </w:r>
    </w:p>
    <w:p>
      <w:pPr>
        <w:tabs>
          <w:tab w:pos="567" w:val="left"/>
        </w:tabs>
        <w:ind w:left="567" w:hanging="567"/>
      </w:pPr>
      <w:r>
        <w:t>c)</w:t>
      </w:r>
      <w:r>
        <w:tab/>
      </w:r>
      <w:r>
        <w:t>eine gemeinsame Regelung für den vorübergehenden Schutz von Vertriebenen im Falle eines Massenzustroms;</w:t>
      </w:r>
    </w:p>
    <w:p>
      <w:pPr>
        <w:tabs>
          <w:tab w:pos="567" w:val="left"/>
        </w:tabs>
        <w:ind w:left="567" w:hanging="567"/>
      </w:pPr>
      <w:r>
        <w:t>d)</w:t>
      </w:r>
      <w:r>
        <w:tab/>
      </w:r>
      <w:r>
        <w:t>gemeinsame Verfahren für die Gewährung und den Entzug des einheitlichen Asylstatus beziehungsweise des subsidiären Schutzstatus;</w:t>
      </w:r>
    </w:p>
    <w:p>
      <w:pPr>
        <w:tabs>
          <w:tab w:pos="567" w:val="left"/>
        </w:tabs>
        <w:ind w:left="567" w:hanging="567"/>
      </w:pPr>
      <w:r>
        <w:t>e)</w:t>
      </w:r>
      <w:r>
        <w:tab/>
      </w:r>
      <w:r>
        <w:t>Kriterien und Verfahren zur Bestimmung des Mitgliedstaats, der für die Prüfung eines Antrags auf Asyl oder subsidiären Schutz zuständig ist;</w:t>
      </w:r>
    </w:p>
    <w:p>
      <w:pPr>
        <w:tabs>
          <w:tab w:pos="567" w:val="left"/>
        </w:tabs>
        <w:ind w:left="567" w:hanging="567"/>
      </w:pPr>
      <w:r>
        <w:t>f)</w:t>
      </w:r>
      <w:r>
        <w:tab/>
      </w:r>
      <w:r>
        <w:t>Normen über die Aufnahmebedingungen von Personen, die Asyl oder subsidiären Schutz beantragen;</w:t>
      </w:r>
    </w:p>
    <w:p>
      <w:pPr>
        <w:tabs>
          <w:tab w:pos="567" w:val="left"/>
        </w:tabs>
        <w:ind w:left="567" w:hanging="567"/>
      </w:pPr>
      <w:r>
        <w:t>g)</w:t>
      </w:r>
      <w:r>
        <w:tab/>
      </w:r>
      <w:r>
        <w:t>Partnerschaft und Zusammenarbeit mit Drittländern zur Steuerung des Zustroms von Personen, die Asyl oder subsidiären beziehungsweise vorübergehenden Schutz beantragen.</w:t>
      </w:r>
    </w:p>
    <w:p>
      <w:r>
        <w:t xml:space="preserve">(3) </w:t>
      </w:r>
      <w:r>
        <w:rPr>
          <w:rStyle w:val="Satznummer"/>
        </w:rPr>
        <w:t>1</w:t>
      </w:r>
      <w:r>
        <w:t xml:space="preserve">Befinden sich ein oder mehrere Mitgliedstaaten aufgrund eines plötzlichen Zustroms von Drittstaatsangehörigen in einer Notlage, so kann der Rat auf Vorschlag der Kommission vorläufige Maßnahmen zugunsten der betreffenden Mitgliedstaaten erlassen. </w:t>
      </w:r>
      <w:r>
        <w:rPr>
          <w:rStyle w:val="Satznummer"/>
        </w:rPr>
        <w:t>2</w:t>
      </w:r>
      <w:r>
        <w:t>Er beschließt nach Anhörung des Europäischen Parlaments.</w:t>
      </w:r>
    </w:p>
    <w:p>
      <w:pPr>
        <w:pStyle w:val="Heading4"/>
      </w:pPr>
      <w:bookmarkStart w:id="101" w:name="b98"/>
      <w:r>
        <w:t>Art 79</w:t>
      </w:r>
      <w:r>
        <w:t xml:space="preserve"> </w:t>
      </w:r>
      <w:r>
        <w:rPr>
          <w:rStyle w:val="Suchmarke"/>
        </w:rPr>
        <w:t>#79.#</w:t>
      </w:r>
      <w:bookmarkEnd w:id="101"/>
    </w:p>
    <w:p>
      <w:r>
        <w:rPr>
          <w:color w:val="404040"/>
          <w:sz w:val="21"/>
        </w:rPr>
        <w:t>(ex-Artikel 63 Nummern 3 und 4 EGV)</w:t>
      </w:r>
    </w:p>
    <w:p>
      <w:r>
        <w:t>(1) Die Union entwickelt eine gemeinsame Einwanderungspolitik, die in allen Phasen eine wirksame Steuerung der Migrationsströme, eine angemessene Behandlung von Drittstaatsangehörigen, die sich rechtmäßig in einem Mitgliedstaat aufhalten, sowie die Verhütung und verstärkte Bekämpfung von illegaler Einwanderung und Menschenhandel gewährleisten soll.</w:t>
      </w:r>
    </w:p>
    <w:p>
      <w:r>
        <w:t>(2) Für die Zwecke des Absatzes 1 erlassen das Europäische Parlament und der Rat gemäß dem ordentlichen Gesetzgebungsverfahren Maßnahmen in folgenden Bereichen:</w:t>
      </w:r>
    </w:p>
    <w:p>
      <w:pPr>
        <w:tabs>
          <w:tab w:pos="567" w:val="left"/>
        </w:tabs>
        <w:ind w:left="567" w:hanging="567"/>
      </w:pPr>
      <w:r>
        <w:t>a)</w:t>
      </w:r>
      <w:r>
        <w:tab/>
      </w:r>
      <w:r>
        <w:t>Einreise- und Aufenthaltsvoraussetzungen sowie Normen für die Erteilung von Visa und Aufenthaltstiteln für einen langfristigen Aufenthalt, einschließlich solcher zur Familienzusammenführung, durch die Mitgliedstaaten;</w:t>
      </w:r>
    </w:p>
    <w:p>
      <w:pPr>
        <w:tabs>
          <w:tab w:pos="567" w:val="left"/>
        </w:tabs>
        <w:ind w:left="567" w:hanging="567"/>
      </w:pPr>
      <w:r>
        <w:t>b)</w:t>
      </w:r>
      <w:r>
        <w:tab/>
      </w:r>
      <w:r>
        <w:t>Festlegung der Rechte von Drittstaatsangehörigen, die sich rechtmäßig in einem Mitgliedstaat aufhalten, einschließlich der Bedingungen, unter denen sie sich in den anderen Mitgliedstaaten frei bewegen und aufhalten dürfen;</w:t>
      </w:r>
    </w:p>
    <w:p>
      <w:pPr>
        <w:tabs>
          <w:tab w:pos="567" w:val="left"/>
        </w:tabs>
        <w:ind w:left="567" w:hanging="567"/>
      </w:pPr>
      <w:r>
        <w:t>c)</w:t>
      </w:r>
      <w:r>
        <w:tab/>
      </w:r>
      <w:r>
        <w:t>illegale Einwanderung und illegaler Aufenthalt, einschließlich Abschiebung und Rückführung solcher Personen, die sich illegal in einem Mitgliedstaat aufhalten;</w:t>
      </w:r>
    </w:p>
    <w:p>
      <w:pPr>
        <w:tabs>
          <w:tab w:pos="567" w:val="left"/>
        </w:tabs>
        <w:ind w:left="567" w:hanging="567"/>
      </w:pPr>
      <w:r>
        <w:t>d)</w:t>
      </w:r>
      <w:r>
        <w:tab/>
      </w:r>
      <w:r>
        <w:t>Bekämpfung des Menschenhandels, insbesondere des Handels mit Frauen und Kindern.</w:t>
      </w:r>
    </w:p>
    <w:p>
      <w:r>
        <w:t>(3) Die Union kann mit Drittländern Übereinkünfte über eine Rückübernahme von Drittstaatsangehörigen in ihr Ursprungs- oder Herkunftsland schließen, die die Voraussetzungen für die Einreise in das Hoheitsgebiet eines der Mitgliedstaaten oder die Anwesenheit oder den Aufenthalt in diesem Gebiet nicht oder nicht mehr erfüllen.</w:t>
      </w:r>
    </w:p>
    <w:p>
      <w:r>
        <w:t>(4) Das Europäische Parlament und der Rat können gemäß dem ordentlichen Gesetzgebungsverfahren unter Ausschluss jeglicher Harmonisierung der Rechtsvorschriften der Mitgliedstaaten Maßnahmen festlegen, mit denen die Bemühungen der Mitgliedstaaten um die Integration der sich rechtmäßig in ihrem Hoheitsgebiet aufhaltenden Drittstaatsangehörigen gefördert und unterstützt werden.</w:t>
      </w:r>
    </w:p>
    <w:p>
      <w:r>
        <w:t>(5) Dieser Artikel berührt nicht das Recht der Mitgliedstaaten, festzulegen, wie viele Drittstaatsangehörige aus Drittländern in ihr Hoheitsgebiet einreisen dürfen, um dort als Arbeitnehmer oder Selbstständige Arbeit zu suchen.</w:t>
      </w:r>
    </w:p>
    <w:p>
      <w:pPr>
        <w:pStyle w:val="Heading4"/>
      </w:pPr>
      <w:bookmarkStart w:id="102" w:name="b99"/>
      <w:r>
        <w:t>Art 80</w:t>
      </w:r>
      <w:r>
        <w:t xml:space="preserve"> </w:t>
      </w:r>
      <w:r>
        <w:rPr>
          <w:rStyle w:val="Suchmarke"/>
        </w:rPr>
        <w:t>#80.#</w:t>
      </w:r>
      <w:bookmarkEnd w:id="102"/>
    </w:p>
    <w:p>
      <w:r>
        <w:rPr>
          <w:rStyle w:val="Satznummer"/>
        </w:rPr>
        <w:t>1</w:t>
      </w:r>
      <w:r>
        <w:t xml:space="preserve">Für die unter dieses Kapitel fallende Politik der Union und ihre Umsetzung gilt der Grundsatz der Solidarität und der gerechten Aufteilung der Verantwortlichkeiten unter den Mitgliedstaaten, einschließlich in finanzieller Hinsicht. </w:t>
      </w:r>
      <w:r>
        <w:rPr>
          <w:rStyle w:val="Satznummer"/>
        </w:rPr>
        <w:t>2</w:t>
      </w:r>
      <w:r>
        <w:t>Die aufgrund dieses Kapitels erlassenen Rechtsakte der Union enthalten, immer wenn dies erforderlich ist, entsprechende Maßnahmen für die Anwendung dieses Grundsatzes.</w:t>
      </w:r>
    </w:p>
    <w:p>
      <w:pPr>
        <w:pStyle w:val="Heading3"/>
      </w:pPr>
      <w:bookmarkStart w:id="103" w:name="b100"/>
      <w:r>
        <w:t>KAPITEL 3 JUSTIZIELLE ZUSAMMENARBEIT IN ZIVILSACHEN</w:t>
      </w:r>
      <w:bookmarkEnd w:id="103"/>
    </w:p>
    <w:p>
      <w:pPr>
        <w:pStyle w:val="Heading4"/>
      </w:pPr>
      <w:bookmarkStart w:id="104" w:name="b101"/>
      <w:r>
        <w:t>Art 81</w:t>
      </w:r>
      <w:r>
        <w:t xml:space="preserve"> </w:t>
      </w:r>
      <w:r>
        <w:rPr>
          <w:rStyle w:val="Suchmarke"/>
        </w:rPr>
        <w:t>#81.#</w:t>
      </w:r>
      <w:bookmarkEnd w:id="104"/>
    </w:p>
    <w:p>
      <w:r>
        <w:rPr>
          <w:color w:val="404040"/>
          <w:sz w:val="21"/>
        </w:rPr>
        <w:t>(ex-Artikel 65 EGV)</w:t>
      </w:r>
    </w:p>
    <w:p>
      <w:r>
        <w:t xml:space="preserve">(1) </w:t>
      </w:r>
      <w:r>
        <w:rPr>
          <w:rStyle w:val="Satznummer"/>
        </w:rPr>
        <w:t>1</w:t>
      </w:r>
      <w:r>
        <w:t xml:space="preserve">Die Union entwickelt eine justizielle Zusammenarbeit in Zivilsachen mit grenzüberschreitendem Bezug, die auf dem Grundsatz der gegenseitigen Anerkennung gerichtlicher und außergerichtlicher Entscheidungen beruht. </w:t>
      </w:r>
      <w:r>
        <w:rPr>
          <w:rStyle w:val="Satznummer"/>
        </w:rPr>
        <w:t>2</w:t>
      </w:r>
      <w:r>
        <w:t>Diese Zusammenarbeit kann den Erlass von Maßnahmen zur Angleichung der Rechtsvorschriften der Mitgliedstaaten umfassen.</w:t>
      </w:r>
    </w:p>
    <w:p>
      <w:r>
        <w:t>(2) Für die Zwecke des Absatzes 1 erlassen das Europäische Parlament und der Rat, insbesondere wenn dies für das reibungslose Funktionieren des Binnenmarkts erforderlich ist, gemäß dem ordentlichen Gesetzgebungsverfahren Maßnahmen, die Folgendes sicherstellen sollen:</w:t>
      </w:r>
    </w:p>
    <w:p>
      <w:pPr>
        <w:tabs>
          <w:tab w:pos="567" w:val="left"/>
        </w:tabs>
        <w:ind w:left="567" w:hanging="567"/>
      </w:pPr>
      <w:r>
        <w:t>a)</w:t>
      </w:r>
      <w:r>
        <w:tab/>
      </w:r>
      <w:r>
        <w:t>die gegenseitige Anerkennung und die Vollstreckung gerichtlicher und außergerichtlicher Entscheidungen zwischen den Mitgliedstaaten;</w:t>
      </w:r>
    </w:p>
    <w:p>
      <w:pPr>
        <w:tabs>
          <w:tab w:pos="567" w:val="left"/>
        </w:tabs>
        <w:ind w:left="567" w:hanging="567"/>
      </w:pPr>
      <w:r>
        <w:t>b)</w:t>
      </w:r>
      <w:r>
        <w:tab/>
      </w:r>
      <w:r>
        <w:t>die grenzüberschreitende Zustellung gerichtlicher und außergerichtlicher Schriftstücke;</w:t>
      </w:r>
    </w:p>
    <w:p>
      <w:pPr>
        <w:tabs>
          <w:tab w:pos="567" w:val="left"/>
        </w:tabs>
        <w:ind w:left="567" w:hanging="567"/>
      </w:pPr>
      <w:r>
        <w:t>c)</w:t>
      </w:r>
      <w:r>
        <w:tab/>
      </w:r>
      <w:r>
        <w:t>die Vereinbarkeit der in den Mitgliedstaaten geltenden Kollisionsnormen und Vorschriften zur Vermeidung von Kompetenzkonflikten;</w:t>
      </w:r>
    </w:p>
    <w:p>
      <w:pPr>
        <w:tabs>
          <w:tab w:pos="567" w:val="left"/>
        </w:tabs>
        <w:ind w:left="567" w:hanging="567"/>
      </w:pPr>
      <w:r>
        <w:t>d)</w:t>
      </w:r>
      <w:r>
        <w:tab/>
      </w:r>
      <w:r>
        <w:t>die Zusammenarbeit bei der Erhebung von Beweismitteln;</w:t>
      </w:r>
    </w:p>
    <w:p>
      <w:pPr>
        <w:tabs>
          <w:tab w:pos="567" w:val="left"/>
        </w:tabs>
        <w:ind w:left="567" w:hanging="567"/>
      </w:pPr>
      <w:r>
        <w:t>e)</w:t>
      </w:r>
      <w:r>
        <w:tab/>
      </w:r>
      <w:r>
        <w:t>einen effektiven Zugang zum Recht;</w:t>
      </w:r>
    </w:p>
    <w:p>
      <w:pPr>
        <w:tabs>
          <w:tab w:pos="567" w:val="left"/>
        </w:tabs>
        <w:ind w:left="567" w:hanging="567"/>
      </w:pPr>
      <w:r>
        <w:t>f)</w:t>
      </w:r>
      <w:r>
        <w:tab/>
      </w:r>
      <w:r>
        <w:t>die Beseitigung von Hindernissen für die reibungslose Abwicklung von Zivilverfahren, erforderlichenfalls durch Förderung der Vereinbarkeit der in den Mitgliedstaaten geltenden zivilrechtlichen Verfahrensvorschriften;</w:t>
      </w:r>
    </w:p>
    <w:p>
      <w:pPr>
        <w:tabs>
          <w:tab w:pos="567" w:val="left"/>
        </w:tabs>
        <w:ind w:left="567" w:hanging="567"/>
      </w:pPr>
      <w:r>
        <w:t>g)</w:t>
      </w:r>
      <w:r>
        <w:tab/>
      </w:r>
      <w:r>
        <w:t>die Entwicklung von alternativen Methoden für die Beilegung von Streitigkeiten;</w:t>
      </w:r>
    </w:p>
    <w:p>
      <w:pPr>
        <w:tabs>
          <w:tab w:pos="567" w:val="left"/>
        </w:tabs>
        <w:ind w:left="567" w:hanging="567"/>
      </w:pPr>
      <w:r>
        <w:t>h)</w:t>
      </w:r>
      <w:r>
        <w:tab/>
      </w:r>
      <w:r>
        <w:t>die Förderung der Weiterbildung von Richtern und Justizbediensteten.</w:t>
      </w:r>
    </w:p>
    <w:p>
      <w:r>
        <w:t xml:space="preserve">(3) </w:t>
      </w:r>
      <w:r>
        <w:rPr>
          <w:rStyle w:val="Satznummer"/>
        </w:rPr>
        <w:t>1</w:t>
      </w:r>
      <w:r>
        <w:t xml:space="preserve">Abweichend von Absatz 2 werden Maßnahmen zum Familienrecht mit grenzüberschreitendem Bezug vom Rat gemäß einem besonderen Gesetzgebungsverfahren festgelegt. </w:t>
      </w:r>
      <w:r>
        <w:rPr>
          <w:rStyle w:val="Satznummer"/>
        </w:rPr>
        <w:t>2</w:t>
      </w:r>
      <w:r>
        <w:t>Dieser beschließt einstimmig nach Anhörung des Europäischen Parlaments.</w:t>
      </w:r>
    </w:p>
    <w:p>
      <w:r>
        <w:rPr>
          <w:rStyle w:val="Satznummer"/>
        </w:rPr>
        <w:t>1</w:t>
      </w:r>
      <w:r>
        <w:t xml:space="preserve">Der Rat kann auf Vorschlag der Kommission einen Beschluss erlassen, durch den die Aspekte des Familienrechts mit grenzüberschreitendem Bezug bestimmt werden, die Gegenstand von Rechtsakten sein können, die gemäß dem ordentlichen Gesetzgebungsverfahren erlassen werden. </w:t>
      </w:r>
      <w:r>
        <w:rPr>
          <w:rStyle w:val="Satznummer"/>
        </w:rPr>
        <w:t>2</w:t>
      </w:r>
      <w:r>
        <w:t>Der Rat beschließt einstimmig nach Anhörung des Europäischen Parlaments.</w:t>
      </w:r>
    </w:p>
    <w:p>
      <w:r>
        <w:rPr>
          <w:rStyle w:val="Satznummer"/>
        </w:rPr>
        <w:t>1</w:t>
      </w:r>
      <w:r>
        <w:t xml:space="preserve">Der in Unterabsatz 2 genannte Vorschlag wird den nationalen Parlamenten übermittelt. </w:t>
      </w:r>
      <w:r>
        <w:rPr>
          <w:rStyle w:val="Satznummer"/>
        </w:rPr>
        <w:t>2</w:t>
      </w:r>
      <w:r>
        <w:t xml:space="preserve">Wird dieser Vorschlag innerhalb von sechs Monaten nach der Übermittlung von einem nationalen Parlament abgelehnt, so wird der Beschluss nicht erlassen. </w:t>
      </w:r>
      <w:r>
        <w:rPr>
          <w:rStyle w:val="Satznummer"/>
        </w:rPr>
        <w:t>3</w:t>
      </w:r>
      <w:r>
        <w:t>Wird der Vorschlag nicht abgelehnt, so kann der Rat den Beschluss erlassen.</w:t>
      </w:r>
    </w:p>
    <w:p>
      <w:pPr>
        <w:pStyle w:val="Heading3"/>
      </w:pPr>
      <w:bookmarkStart w:id="105" w:name="b102"/>
      <w:r>
        <w:t>KAPITEL 4 JUSTIZIELLE ZUSAMMENARBEIT IN STRAFSACHEN</w:t>
      </w:r>
      <w:bookmarkEnd w:id="105"/>
    </w:p>
    <w:p>
      <w:pPr>
        <w:pStyle w:val="Heading4"/>
      </w:pPr>
      <w:bookmarkStart w:id="106" w:name="b103"/>
      <w:r>
        <w:t>Art 82</w:t>
      </w:r>
      <w:r>
        <w:t xml:space="preserve"> </w:t>
      </w:r>
      <w:r>
        <w:rPr>
          <w:rStyle w:val="Suchmarke"/>
        </w:rPr>
        <w:t>#82.#</w:t>
      </w:r>
      <w:bookmarkEnd w:id="106"/>
    </w:p>
    <w:p>
      <w:r>
        <w:rPr>
          <w:color w:val="404040"/>
          <w:sz w:val="21"/>
        </w:rPr>
        <w:t>(ex-Artikel 31 EUV)</w:t>
      </w:r>
    </w:p>
    <w:p>
      <w:r>
        <w:t xml:space="preserve">(1) Die justizielle Zusammenarbeit in Strafsachen in der Union beruht auf dem Grundsatz der gegenseitigen Anerkennung gerichtlicher Urteile und Entscheidungen und umfasst die Angleichung der Rechtsvorschriften der Mitgliedstaaten in den in Absatz 2 und in </w:t>
      </w:r>
      <w:hyperlink w:anchor="b104" w:history="1">
        <w:r>
          <w:rPr>
            <w:color w:val="0A3A8C"/>
            <w:u w:val="single"/>
          </w:rPr>
          <w:t xml:space="preserve">Artikel 83</w:t>
        </w:r>
      </w:hyperlink>
      <w:r>
        <w:t xml:space="preserve"> genannten Bereichen.</w:t>
      </w:r>
    </w:p>
    <w:p>
      <w:r>
        <w:t>Das Europäische Parlament und der Rat erlassen gemäß dem ordentlichen Gesetzgebungsverfahren Maßnahmen, um</w:t>
      </w:r>
    </w:p>
    <w:p>
      <w:pPr>
        <w:tabs>
          <w:tab w:pos="567" w:val="left"/>
        </w:tabs>
        <w:ind w:left="567" w:hanging="567"/>
      </w:pPr>
      <w:r>
        <w:t>a)</w:t>
      </w:r>
      <w:r>
        <w:tab/>
      </w:r>
      <w:r>
        <w:t>Regeln und Verfahren festzulegen, mit denen die Anerkennung aller Arten von Urteilen und gerichtlichen Entscheidungen in der gesamten Union sichergestellt wird;</w:t>
      </w:r>
    </w:p>
    <w:p>
      <w:pPr>
        <w:tabs>
          <w:tab w:pos="567" w:val="left"/>
        </w:tabs>
        <w:ind w:left="567" w:hanging="567"/>
      </w:pPr>
      <w:r>
        <w:t>b)</w:t>
      </w:r>
      <w:r>
        <w:tab/>
      </w:r>
      <w:r>
        <w:t>Kompetenzkonflikte zwischen den Mitgliedstaaten zu verhindern und beizulegen;</w:t>
      </w:r>
    </w:p>
    <w:p>
      <w:pPr>
        <w:tabs>
          <w:tab w:pos="567" w:val="left"/>
        </w:tabs>
        <w:ind w:left="567" w:hanging="567"/>
      </w:pPr>
      <w:r>
        <w:t>c)</w:t>
      </w:r>
      <w:r>
        <w:tab/>
      </w:r>
      <w:r>
        <w:t>die Weiterbildung von Richtern und Staatsanwälten sowie Justizbediensteten zu fördern;</w:t>
      </w:r>
    </w:p>
    <w:p>
      <w:pPr>
        <w:tabs>
          <w:tab w:pos="567" w:val="left"/>
        </w:tabs>
        <w:ind w:left="567" w:hanging="567"/>
      </w:pPr>
      <w:r>
        <w:t>d)</w:t>
      </w:r>
      <w:r>
        <w:tab/>
      </w:r>
      <w:r>
        <w:t>die Zusammenarbeit zwischen den Justizbehörden oder entsprechenden Behörden der Mitgliedstaaten im Rahmen der Strafverfolgung sowie des Vollzugs und der Vollstreckung von Entscheidungen zu erleichtern.</w:t>
      </w:r>
    </w:p>
    <w:p>
      <w:r>
        <w:t xml:space="preserve">(2) </w:t>
      </w:r>
      <w:r>
        <w:rPr>
          <w:rStyle w:val="Satznummer"/>
        </w:rPr>
        <w:t>1</w:t>
      </w:r>
      <w:r>
        <w:t xml:space="preserve">Soweit dies zur Erleichterung der gegenseitigen Anerkennung gerichtlicher Urteile und Entscheidungen und der polizeilichen und justiziellen Zusammenarbeit in Strafsachen mit grenzüberschreitender Dimension erforderlich ist, können das Europäische Parlament und der Rat gemäß dem ordentlichen Gesetzgebungsverfahren durch Richtlinien Mindestvorschriften festlegen. </w:t>
      </w:r>
      <w:r>
        <w:rPr>
          <w:rStyle w:val="Satznummer"/>
        </w:rPr>
        <w:t>2</w:t>
      </w:r>
      <w:r>
        <w:t>Bei diesen Mindestvorschriften werden die Unterschiede zwischen den Rechtsordnungen und -traditionen der Mitgliedstaaten berücksichtigt.</w:t>
      </w:r>
    </w:p>
    <w:p>
      <w:r>
        <w:t>Die Vorschriften betreffen Folgendes:</w:t>
      </w:r>
    </w:p>
    <w:p>
      <w:pPr>
        <w:tabs>
          <w:tab w:pos="567" w:val="left"/>
        </w:tabs>
        <w:ind w:left="567" w:hanging="567"/>
      </w:pPr>
      <w:r>
        <w:t>a)</w:t>
      </w:r>
      <w:r>
        <w:tab/>
      </w:r>
      <w:r>
        <w:t>die Zulässigkeit von Beweismitteln auf gegenseitiger Basis zwischen den Mitgliedstaaten;</w:t>
      </w:r>
    </w:p>
    <w:p>
      <w:pPr>
        <w:tabs>
          <w:tab w:pos="567" w:val="left"/>
        </w:tabs>
        <w:ind w:left="567" w:hanging="567"/>
      </w:pPr>
      <w:r>
        <w:t>b)</w:t>
      </w:r>
      <w:r>
        <w:tab/>
      </w:r>
      <w:r>
        <w:t>die Rechte des Einzelnen im Strafverfahren;</w:t>
      </w:r>
    </w:p>
    <w:p>
      <w:pPr>
        <w:tabs>
          <w:tab w:pos="567" w:val="left"/>
        </w:tabs>
        <w:ind w:left="567" w:hanging="567"/>
      </w:pPr>
      <w:r>
        <w:t>c)</w:t>
      </w:r>
      <w:r>
        <w:tab/>
      </w:r>
      <w:r>
        <w:t>die Rechte der Opfer von Straftaten;</w:t>
      </w:r>
    </w:p>
    <w:p>
      <w:pPr>
        <w:tabs>
          <w:tab w:pos="567" w:val="left"/>
        </w:tabs>
        <w:ind w:left="567" w:hanging="567"/>
      </w:pPr>
      <w:r>
        <w:t>d)</w:t>
      </w:r>
      <w:r>
        <w:tab/>
      </w:r>
      <w:r>
        <w:t>sonstige spezifische Aspekte des Strafverfahrens, die zuvor vom Rat durch Beschluss bestimmt worden sind; dieser Beschluss wird vom Rat einstimmig nach Zustimmung des Europäischen Parlaments erlassen.</w:t>
      </w:r>
    </w:p>
    <w:p>
      <w:r>
        <w:t>Der Erlass von Mindestvorschriften nach diesem Absatz hindert die Mitgliedstaaten nicht daran, ein höheres Schutzniveau für den Einzelnen beizubehalten oder einzuführen.</w:t>
      </w:r>
    </w:p>
    <w:p>
      <w:r>
        <w:t xml:space="preserve">(3) </w:t>
      </w:r>
      <w:r>
        <w:rPr>
          <w:rStyle w:val="Satznummer"/>
        </w:rPr>
        <w:t>1</w:t>
      </w:r>
      <w:r>
        <w:t xml:space="preserve">Ist ein Mitglied des Rates der Auffassung, dass ein Entwurf einer Richtlinie nach Absatz 2 grundlegende Aspekte seiner Strafrechtsordnung berühren würde, so kann es beantragen, dass der Europäische Rat befasst wird. </w:t>
      </w:r>
      <w:r>
        <w:rPr>
          <w:rStyle w:val="Satznummer"/>
        </w:rPr>
        <w:t>2</w:t>
      </w:r>
      <w:r>
        <w:t xml:space="preserve">In diesem Fall wird das ordentliche Gesetzgebungsverfahren ausgesetzt. </w:t>
      </w:r>
      <w:r>
        <w:rPr>
          <w:rStyle w:val="Satznummer"/>
        </w:rPr>
        <w:t>3</w:t>
      </w:r>
      <w:r>
        <w:t>Nach einer Aussprache verweist der Europäische Rat im Falle eines Einvernehmens den Entwurf binnen vier Monaten nach Aussetzung des Verfahrens an den Rat zurück, wodurch die Aussetzung des ordentlichen Gesetzgebungsverfahrens beendet wird.</w:t>
      </w:r>
    </w:p>
    <w:p>
      <w:r>
        <w:rPr>
          <w:rStyle w:val="Satznummer"/>
        </w:rPr>
        <w:t>1</w:t>
      </w:r>
      <w:r>
        <w:t xml:space="preserve">Sofern kein Einvernehmen erzielt wird, mindestens neun Mitgliedstaaten aber eine Verstärkte Zusammenarbeit auf der Grundlage des betreffenden Entwurfs einer Richtlinie begründen möchten, teilen diese Mitgliedstaaten dies binnen derselben Frist dem Europäischen Parlament, dem Rat und der Kommission mit. </w:t>
      </w:r>
      <w:r>
        <w:rPr>
          <w:rStyle w:val="Satznummer"/>
        </w:rPr>
        <w:t>2</w:t>
      </w:r>
      <w:r>
        <w:t xml:space="preserve">In diesem Fall gilt die Ermächtigung zu einer Verstärkten Zusammenarbeit nach Artikel 20 Absatz 2 des Vertrags über die Europäische Union und </w:t>
      </w:r>
      <w:hyperlink w:anchor="b417" w:history="1">
        <w:r>
          <w:rPr>
            <w:color w:val="0A3A8C"/>
            <w:u w:val="single"/>
          </w:rPr>
          <w:t xml:space="preserve">Artikel 329</w:t>
        </w:r>
      </w:hyperlink>
      <w:r>
        <w:t xml:space="preserve"> Absatz 1 dieses Vertrags als erteilt, und die Bestimmungen über die Verstärkte Zusammenarbeit finden Anwendung.</w:t>
      </w:r>
    </w:p>
    <w:p>
      <w:pPr>
        <w:pStyle w:val="Heading4"/>
      </w:pPr>
      <w:bookmarkStart w:id="107" w:name="b104"/>
      <w:r>
        <w:t>Art 83</w:t>
      </w:r>
      <w:r>
        <w:t xml:space="preserve"> </w:t>
      </w:r>
      <w:r>
        <w:rPr>
          <w:rStyle w:val="Suchmarke"/>
        </w:rPr>
        <w:t>#83.#</w:t>
      </w:r>
      <w:bookmarkEnd w:id="107"/>
    </w:p>
    <w:p>
      <w:r>
        <w:rPr>
          <w:color w:val="404040"/>
          <w:sz w:val="21"/>
        </w:rPr>
        <w:t>(ex-Artikel 31 EUV)</w:t>
      </w:r>
    </w:p>
    <w:p>
      <w:r>
        <w:t>(1) Das Europäische Parlament und der Rat können gemäß dem ordentlichen Gesetzgebungsverfahren durch Richtlinien Mindestvorschriften zur Festlegung von Straftaten und Strafen in Bereichen besonders schwerer Kriminalität festlegen, die aufgrund der Art oder der Auswirkungen der Straftaten oder aufgrund einer besonderen Notwendigkeit, sie auf einer gemeinsamen Grundlage zu bekämpfen, eine grenzüberschreitende Dimension haben.</w:t>
      </w:r>
    </w:p>
    <w:p>
      <w:r>
        <w:t>Derartige Kriminalitätsbereiche sind: Terrorismus, Menschenhandel und sexuelle Ausbeutung von Frauen und Kindern, illegaler Drogenhandel, illegaler Waffenhandel, Geldwäsche, Korruption, Fälschung von Zahlungsmitteln, Computerkriminalität und organisierte Kriminalität.</w:t>
      </w:r>
    </w:p>
    <w:p>
      <w:r>
        <w:rPr>
          <w:rStyle w:val="Satznummer"/>
        </w:rPr>
        <w:t>1</w:t>
      </w:r>
      <w:r>
        <w:t xml:space="preserve">Je nach Entwicklung der Kriminalität kann der Rat einen Beschluss erlassen, in dem andere Kriminalitätsbereiche bestimmt werden, die die Kriterien dieses Absatzes erfüllen. </w:t>
      </w:r>
      <w:r>
        <w:rPr>
          <w:rStyle w:val="Satznummer"/>
        </w:rPr>
        <w:t>2</w:t>
      </w:r>
      <w:r>
        <w:t>Er beschließt einstimmig nach Zustimmung des Europäischen Parlaments.</w:t>
      </w:r>
    </w:p>
    <w:p>
      <w:r>
        <w:t xml:space="preserve">(2) </w:t>
      </w:r>
      <w:r>
        <w:rPr>
          <w:rStyle w:val="Satznummer"/>
        </w:rPr>
        <w:t>1</w:t>
      </w:r>
      <w:r>
        <w:t xml:space="preserve">Erweist sich die Angleichung der strafrechtlichen Rechtsvorschriften der Mitgliedstaaten als unerlässlich für die wirksame Durchführung der Politik der Union auf einem Gebiet, auf dem Harmonisierungsmaßnahmen erfolgt sind, so können durch Richtlinien Mindestvorschriften für die Festlegung von Straftaten und Strafen auf dem betreffenden Gebiet festgelegt werden. </w:t>
      </w:r>
      <w:r>
        <w:rPr>
          <w:rStyle w:val="Satznummer"/>
        </w:rPr>
        <w:t>2</w:t>
      </w:r>
      <w:r>
        <w:t xml:space="preserve">Diese Richtlinien werden unbeschadet des </w:t>
      </w:r>
      <w:hyperlink w:anchor="b94" w:history="1">
        <w:r>
          <w:rPr>
            <w:color w:val="0A3A8C"/>
            <w:u w:val="single"/>
          </w:rPr>
          <w:t xml:space="preserve">Artikels 76</w:t>
        </w:r>
      </w:hyperlink>
      <w:r>
        <w:t xml:space="preserve"> gemäß dem gleichen ordentlichen oder besonderen Gesetzgebungsverfahren wie die betreffenden Harmonisierungsmaßnahmen erlassen.</w:t>
      </w:r>
    </w:p>
    <w:p>
      <w:r>
        <w:t xml:space="preserve">(3) </w:t>
      </w:r>
      <w:r>
        <w:rPr>
          <w:rStyle w:val="Satznummer"/>
        </w:rPr>
        <w:t>1</w:t>
      </w:r>
      <w:r>
        <w:t xml:space="preserve">Ist ein Mitglied des Rates der Auffassung, dass der Entwurf einer Richtlinie nach den Absätzen 1 oder 2 grundlegende Aspekte seiner Strafrechtsordnung berühren würde, so kann es beantragen, dass der Europäische Rat befasst wird. </w:t>
      </w:r>
      <w:r>
        <w:rPr>
          <w:rStyle w:val="Satznummer"/>
        </w:rPr>
        <w:t>2</w:t>
      </w:r>
      <w:r>
        <w:t xml:space="preserve">In diesem Fall wird das ordentliche Gesetzgebungsverfahren ausgesetzt. </w:t>
      </w:r>
      <w:r>
        <w:rPr>
          <w:rStyle w:val="Satznummer"/>
        </w:rPr>
        <w:t>3</w:t>
      </w:r>
      <w:r>
        <w:t>Nach einer Aussprache verweist der Europäische Rat im Falle eines Einvernehmens den Entwurf binnen vier Monaten nach Aussetzung des Verfahrens an den Rat zurück, wodurch die Aussetzung des ordentlichen Gesetzgebungsverfahrens beendet wird.</w:t>
      </w:r>
    </w:p>
    <w:p>
      <w:r>
        <w:rPr>
          <w:rStyle w:val="Satznummer"/>
        </w:rPr>
        <w:t>1</w:t>
      </w:r>
      <w:r>
        <w:t xml:space="preserve">Sofern kein Einvernehmen erzielt wird, mindestens neun Mitgliedstaaten aber eine Verstärkte Zusammenarbeit auf der Grundlage des betreffenden Entwurfs einer Richtlinie begründen möchten, teilen diese Mitgliedstaaten dies binnen derselben Frist dem Europäischen Parlament, dem Rat und der Kommission mit. </w:t>
      </w:r>
      <w:r>
        <w:rPr>
          <w:rStyle w:val="Satznummer"/>
        </w:rPr>
        <w:t>2</w:t>
      </w:r>
      <w:r>
        <w:t xml:space="preserve">In diesem Fall gilt die Ermächtigung zu einer Verstärkten Zusammenarbeit nach Artikel 20 Absatz 2 des Vertrags über die Europäische Union und </w:t>
      </w:r>
      <w:hyperlink w:anchor="b417" w:history="1">
        <w:r>
          <w:rPr>
            <w:color w:val="0A3A8C"/>
            <w:u w:val="single"/>
          </w:rPr>
          <w:t xml:space="preserve">Artikel 329</w:t>
        </w:r>
      </w:hyperlink>
      <w:r>
        <w:t xml:space="preserve"> Absatz 1 dieses Vertrags als erteilt, und die Bestimmungen über die Verstärkte Zusammenarbeit finden Anwendung.</w:t>
      </w:r>
    </w:p>
    <w:p>
      <w:pPr>
        <w:pStyle w:val="Heading4"/>
      </w:pPr>
      <w:bookmarkStart w:id="108" w:name="b105"/>
      <w:r>
        <w:t>Art 84</w:t>
      </w:r>
      <w:r>
        <w:t xml:space="preserve"> </w:t>
      </w:r>
      <w:r>
        <w:rPr>
          <w:rStyle w:val="Suchmarke"/>
        </w:rPr>
        <w:t>#84.#</w:t>
      </w:r>
      <w:bookmarkEnd w:id="108"/>
    </w:p>
    <w:p>
      <w:r>
        <w:t>Das Europäische Parlament und der Rat können gemäß dem ordentlichen Gesetzgebungsverfahren unter Ausschluss jeglicher Harmonisierung der Rechtsvorschriften der Mitgliedstaaten Maßnahmen festlegen, um das Vorgehen der Mitgliedstaaten im Bereich der Kriminalprävention zu fördern und zu unterstützen.</w:t>
      </w:r>
    </w:p>
    <w:p>
      <w:pPr>
        <w:pStyle w:val="Heading4"/>
      </w:pPr>
      <w:bookmarkStart w:id="109" w:name="b106"/>
      <w:r>
        <w:t>Art 85</w:t>
      </w:r>
      <w:r>
        <w:t xml:space="preserve"> </w:t>
      </w:r>
      <w:r>
        <w:rPr>
          <w:rStyle w:val="Suchmarke"/>
        </w:rPr>
        <w:t>#85.#</w:t>
      </w:r>
      <w:bookmarkEnd w:id="109"/>
    </w:p>
    <w:p>
      <w:r>
        <w:rPr>
          <w:color w:val="404040"/>
          <w:sz w:val="21"/>
        </w:rPr>
        <w:t>(ex-Artikel 31 EUV)</w:t>
      </w:r>
    </w:p>
    <w:p>
      <w:r>
        <w:t>(1) Eurojust hat den Auftrag, die Koordinierung und Zusammenarbeit zwischen den nationalen Behörden zu unterstützen und zu verstärken, die für die Ermittlung und Verfolgung von schwerer Kriminalität zuständig sind, wenn zwei oder mehr Mitgliedstaaten betroffen sind oder eine Verfolgung auf gemeinsamer Grundlage erforderlich ist; Eurojust stützt sich dabei auf die von den Behörden der Mitgliedstaaten und von Europol durchgeführten Operationen und gelieferten Informationen.</w:t>
      </w:r>
    </w:p>
    <w:p>
      <w:r>
        <w:rPr>
          <w:rStyle w:val="Satznummer"/>
        </w:rPr>
        <w:t>1</w:t>
      </w:r>
      <w:r>
        <w:t xml:space="preserve">Zu diesem Zweck legen das Europäische Parlament und der Rat gemäß dem ordentlichen Gesetzgebungsverfahren durch Verordnungen den Aufbau, die Arbeitsweise, den Tätigkeitsbereich und die Aufgaben von Eurojust fest. </w:t>
      </w:r>
      <w:r>
        <w:rPr>
          <w:rStyle w:val="Satznummer"/>
        </w:rPr>
        <w:t>2</w:t>
      </w:r>
      <w:r>
        <w:t>Zu diesen Aufgaben kann Folgendes gehören:</w:t>
      </w:r>
    </w:p>
    <w:p>
      <w:pPr>
        <w:tabs>
          <w:tab w:pos="567" w:val="left"/>
        </w:tabs>
        <w:ind w:left="567" w:hanging="567"/>
      </w:pPr>
      <w:r>
        <w:t>a)</w:t>
      </w:r>
      <w:r>
        <w:tab/>
      </w:r>
      <w:r>
        <w:t>Einleitung von strafrechtlichen Ermittlungsmaßnahmen sowie Vorschläge zur Einleitung von strafrechtlichen Verfolgungsmaßnahmen, die von den zuständigen nationalen Behörden durchgeführt werden, insbesondere bei Straftaten zum Nachteil der finanziellen Interessen der Union;</w:t>
      </w:r>
    </w:p>
    <w:p>
      <w:pPr>
        <w:tabs>
          <w:tab w:pos="567" w:val="left"/>
        </w:tabs>
        <w:ind w:left="567" w:hanging="567"/>
      </w:pPr>
      <w:r>
        <w:t>b)</w:t>
      </w:r>
      <w:r>
        <w:tab/>
      </w:r>
      <w:r>
        <w:t>Koordinierung der unter Buchstabe a genannten Ermittlungs- und Verfolgungsmaßnahmen;</w:t>
      </w:r>
    </w:p>
    <w:p>
      <w:pPr>
        <w:tabs>
          <w:tab w:pos="567" w:val="left"/>
        </w:tabs>
        <w:ind w:left="567" w:hanging="567"/>
      </w:pPr>
      <w:r>
        <w:t>c)</w:t>
      </w:r>
      <w:r>
        <w:tab/>
      </w:r>
      <w:r>
        <w:t>Verstärkung der justiziellen Zusammenarbeit, unter anderem auch durch die Beilegung von Kompetenzkonflikten und eine enge Zusammenarbeit mit dem Europäischen Justiziellen Netz.</w:t>
      </w:r>
    </w:p>
    <w:p>
      <w:r>
        <w:t>Durch diese Verordnungen werden ferner die Einzelheiten für die Beteiligung des Europäischen Parlaments und der nationalen Parlamente an der Bewertung der Tätigkeit von Eurojust festgelegt.</w:t>
      </w:r>
    </w:p>
    <w:p>
      <w:r>
        <w:t xml:space="preserve">(2) Im Rahmen der Strafverfolgungsmaßnahmen nach Absatz 1 werden die förmlichen Prozesshandlungen unbeschadet des </w:t>
      </w:r>
      <w:hyperlink w:anchor="b107" w:history="1">
        <w:r>
          <w:rPr>
            <w:color w:val="0A3A8C"/>
            <w:u w:val="single"/>
          </w:rPr>
          <w:t xml:space="preserve">Artikels 86</w:t>
        </w:r>
      </w:hyperlink>
      <w:r>
        <w:t xml:space="preserve"> durch die zuständigen einzelstaatlichen Bediensteten vorgenommen.</w:t>
      </w:r>
    </w:p>
    <w:p>
      <w:pPr>
        <w:pStyle w:val="Heading4"/>
      </w:pPr>
      <w:bookmarkStart w:id="110" w:name="b107"/>
      <w:r>
        <w:t>Art 86</w:t>
      </w:r>
      <w:r>
        <w:t xml:space="preserve"> </w:t>
      </w:r>
      <w:r>
        <w:rPr>
          <w:rStyle w:val="Suchmarke"/>
        </w:rPr>
        <w:t>#86.#</w:t>
      </w:r>
      <w:bookmarkEnd w:id="110"/>
    </w:p>
    <w:p>
      <w:r>
        <w:t xml:space="preserve">(1) </w:t>
      </w:r>
      <w:r>
        <w:rPr>
          <w:rStyle w:val="Satznummer"/>
        </w:rPr>
        <w:t>1</w:t>
      </w:r>
      <w:r>
        <w:t xml:space="preserve">Zur Bekämpfung von Straftaten zum Nachteil der finanziellen Interessen der Union kann der Rat gemäß einem besonderen Gesetzgebungsverfahren durch Verordnungen ausgehend von Eurojust eine Europäische Staatsanwaltschaft einsetzen. </w:t>
      </w:r>
      <w:r>
        <w:rPr>
          <w:rStyle w:val="Satznummer"/>
        </w:rPr>
        <w:t>2</w:t>
      </w:r>
      <w:r>
        <w:t>Der Rat beschließt einstimmig nach Zustimmung des Europäischen Parlaments.</w:t>
      </w:r>
    </w:p>
    <w:p>
      <w:r>
        <w:rPr>
          <w:rStyle w:val="Satznummer"/>
        </w:rPr>
        <w:t>1</w:t>
      </w:r>
      <w:r>
        <w:t xml:space="preserve">Sofern keine Einstimmigkeit besteht, kann eine Gruppe von mindestens neun Mitgliedstaaten beantragen, dass der Europäische Rat mit dem Entwurf einer Verordnung befasst wird. </w:t>
      </w:r>
      <w:r>
        <w:rPr>
          <w:rStyle w:val="Satznummer"/>
        </w:rPr>
        <w:t>2</w:t>
      </w:r>
      <w:r>
        <w:t xml:space="preserve">In diesem Fall wird das Verfahren im Rat ausgesetzt. </w:t>
      </w:r>
      <w:r>
        <w:rPr>
          <w:rStyle w:val="Satznummer"/>
        </w:rPr>
        <w:t>3</w:t>
      </w:r>
      <w:r>
        <w:t>Nach einer Aussprache verweist der Europäische Rat im Falle eines Einvernehmens den Entwurf binnen vier Monaten nach Aussetzung des Verfahrens an den Rat zur Annahme zurück.</w:t>
      </w:r>
    </w:p>
    <w:p>
      <w:r>
        <w:rPr>
          <w:rStyle w:val="Satznummer"/>
        </w:rPr>
        <w:t>1</w:t>
      </w:r>
      <w:r>
        <w:t xml:space="preserve">Sofern kein Einvernehmen erzielt wird, mindestens neun Mitgliedstaaten aber eine Verstärkte Zusammenarbeit auf der Grundlage des betreffenden Entwurfs einer Verordnung begründen möchten, teilen diese Mitgliedstaaten dies binnen derselben Frist dem Europäischen Parlament, dem Rat und der Kommission mit. </w:t>
      </w:r>
      <w:r>
        <w:rPr>
          <w:rStyle w:val="Satznummer"/>
        </w:rPr>
        <w:t>2</w:t>
      </w:r>
      <w:r>
        <w:t xml:space="preserve">In diesem Fall gilt die Ermächtigung zu einer Verstärkten Zusammenarbeit nach Artikel 20 Absatz 2 des Vertrags über die Europäische Union und </w:t>
      </w:r>
      <w:hyperlink w:anchor="b417" w:history="1">
        <w:r>
          <w:rPr>
            <w:color w:val="0A3A8C"/>
            <w:u w:val="single"/>
          </w:rPr>
          <w:t xml:space="preserve">Artikel 329</w:t>
        </w:r>
      </w:hyperlink>
      <w:r>
        <w:t xml:space="preserve"> Absatz 1 dieses Vertrags als erteilt, und die Bestimmungen über die Verstärkte Zusammenarbeit finden Anwendung.</w:t>
      </w:r>
    </w:p>
    <w:p>
      <w:r>
        <w:t xml:space="preserve">(2) </w:t>
      </w:r>
      <w:r>
        <w:rPr>
          <w:rStyle w:val="Satznummer"/>
        </w:rPr>
        <w:t>1</w:t>
      </w:r>
      <w:r>
        <w:t xml:space="preserve">Die Europäische Staatsanwaltschaft ist, gegebenenfalls in Verbindung mit Europol, zuständig für die strafrechtliche Untersuchung und Verfolgung sowie die Anklageerhebung in Bezug auf Personen, die als Täter oder Teilnehmer Straftaten zum Nachteil der finanziellen Interessen der Union begangen haben, die in der Verordnung nach Absatz 1 festgelegt sind. </w:t>
      </w:r>
      <w:r>
        <w:rPr>
          <w:rStyle w:val="Satznummer"/>
        </w:rPr>
        <w:t>2</w:t>
      </w:r>
      <w:r>
        <w:t>Die Europäische Staatsanwaltschaft nimmt bei diesen Straftaten vor den zuständigen Gerichten der Mitgliedstaaten die Aufgaben der Staatsanwaltschaft wahr.</w:t>
      </w:r>
    </w:p>
    <w:p>
      <w:r>
        <w:t>(3) Die in Absatz 1 genannte Verordnung legt die Satzung der Europäischen Staatsanwaltschaft, die Einzelheiten für die Erfüllung ihrer Aufgaben, die für ihre Tätigkeit geltenden Verfahrensvorschriften sowie die Regeln für die Zulässigkeit von Beweismitteln und für die gerichtliche Kontrolle der von der Europäischen Staatsanwaltschaft bei der Erfüllung ihrer Aufgaben vorgenommenen Prozesshandlungen fest.</w:t>
      </w:r>
    </w:p>
    <w:p>
      <w:r>
        <w:t xml:space="preserve">(4) </w:t>
      </w:r>
      <w:r>
        <w:rPr>
          <w:rStyle w:val="Satznummer"/>
        </w:rPr>
        <w:t>1</w:t>
      </w:r>
      <w:r>
        <w:t xml:space="preserve">Der Europäische Rat kann gleichzeitig mit der Annahme der Verordnung oder im Anschluss daran einen Beschluss zur Änderung des Absatzes 1 mit dem Ziel einer Ausdehnung der Befugnisse der Europäischen Staatsanwaltschaft auf die Bekämpfung der schweren Kriminalität mit grenzüberschreitender Dimension und zur entsprechenden Änderung des Absatzes 2 hinsichtlich Personen, die als Täter oder Teilnehmer schwere, mehr als einen Mitgliedstaat betreffende Straftaten begangen haben, erlassen. </w:t>
      </w:r>
      <w:r>
        <w:rPr>
          <w:rStyle w:val="Satznummer"/>
        </w:rPr>
        <w:t>2</w:t>
      </w:r>
      <w:r>
        <w:t>Der Europäische Rat beschließt einstimmig nach Zustimmung des Europäischen Parlaments und nach Anhörung der Kommission.</w:t>
      </w:r>
    </w:p>
    <w:p>
      <w:pPr>
        <w:pStyle w:val="Heading3"/>
      </w:pPr>
      <w:bookmarkStart w:id="111" w:name="b108"/>
      <w:r>
        <w:t>KAPITEL 5 POLIZEILICHE ZUSAMMENARBEIT</w:t>
      </w:r>
      <w:bookmarkEnd w:id="111"/>
    </w:p>
    <w:p>
      <w:pPr>
        <w:pStyle w:val="Heading4"/>
      </w:pPr>
      <w:bookmarkStart w:id="112" w:name="b109"/>
      <w:r>
        <w:t>Art 87</w:t>
      </w:r>
      <w:r>
        <w:t xml:space="preserve"> </w:t>
      </w:r>
      <w:r>
        <w:rPr>
          <w:rStyle w:val="Suchmarke"/>
        </w:rPr>
        <w:t>#87.#</w:t>
      </w:r>
      <w:bookmarkEnd w:id="112"/>
    </w:p>
    <w:p>
      <w:r>
        <w:rPr>
          <w:color w:val="404040"/>
          <w:sz w:val="21"/>
        </w:rPr>
        <w:t>(ex-Artikel 30 EUV)</w:t>
      </w:r>
    </w:p>
    <w:p>
      <w:r>
        <w:t>(1) Die Union entwickelt eine polizeiliche Zusammenarbeit zwischen allen zuständigen Behörden der Mitgliedstaaten, einschließlich der Polizei, des Zolls und anderer auf die Verhütung oder die Aufdeckung von Straftaten sowie entsprechende Ermittlungen spezialisierter Strafverfolgungsbehörden.</w:t>
      </w:r>
    </w:p>
    <w:p>
      <w:r>
        <w:t>(2) Für die Zwecke des Absatzes 1 können das Europäische Parlament und der Rat gemäß dem ordentlichen Gesetzgebungsverfahren Maßnahmen erlassen, die Folgendes betreffen:</w:t>
      </w:r>
    </w:p>
    <w:p>
      <w:pPr>
        <w:tabs>
          <w:tab w:pos="567" w:val="left"/>
        </w:tabs>
        <w:ind w:left="567" w:hanging="567"/>
      </w:pPr>
      <w:r>
        <w:t>a)</w:t>
      </w:r>
      <w:r>
        <w:tab/>
      </w:r>
      <w:r>
        <w:t>Einholen, Speichern, Verarbeiten, Analysieren und Austauschen sachdienlicher Informationen;</w:t>
      </w:r>
    </w:p>
    <w:p>
      <w:pPr>
        <w:tabs>
          <w:tab w:pos="567" w:val="left"/>
        </w:tabs>
        <w:ind w:left="567" w:hanging="567"/>
      </w:pPr>
      <w:r>
        <w:t>b)</w:t>
      </w:r>
      <w:r>
        <w:tab/>
      </w:r>
      <w:r>
        <w:t>Unterstützung bei der Aus- und Weiterbildung von Personal sowie Zusammenarbeit in Bezug auf den Austausch von Personal, die Ausrüstungsgegenstände und die kriminaltechnische Forschung;</w:t>
      </w:r>
    </w:p>
    <w:p>
      <w:pPr>
        <w:tabs>
          <w:tab w:pos="567" w:val="left"/>
        </w:tabs>
        <w:ind w:left="567" w:hanging="567"/>
      </w:pPr>
      <w:r>
        <w:t>c)</w:t>
      </w:r>
      <w:r>
        <w:tab/>
      </w:r>
      <w:r>
        <w:t>gemeinsame Ermittlungstechniken zur Aufdeckung schwerwiegender Formen der organisierten Kriminalität.</w:t>
      </w:r>
    </w:p>
    <w:p>
      <w:r>
        <w:t xml:space="preserve">(3) </w:t>
      </w:r>
      <w:r>
        <w:rPr>
          <w:rStyle w:val="Satznummer"/>
        </w:rPr>
        <w:t>1</w:t>
      </w:r>
      <w:r>
        <w:t xml:space="preserve">Der Rat kann gemäß einem besonderen Gesetzgebungsverfahren Maßnahmen erlassen, die die operative Zusammenarbeit zwischen den in diesem Artikel genannten Behörden betreffen. </w:t>
      </w:r>
      <w:r>
        <w:rPr>
          <w:rStyle w:val="Satznummer"/>
        </w:rPr>
        <w:t>2</w:t>
      </w:r>
      <w:r>
        <w:t>Der Rat beschließt einstimmig nach Anhörung des Europäischen Parlaments.</w:t>
      </w:r>
    </w:p>
    <w:p>
      <w:r>
        <w:rPr>
          <w:rStyle w:val="Satznummer"/>
        </w:rPr>
        <w:t>1</w:t>
      </w:r>
      <w:r>
        <w:t xml:space="preserve">Sofern keine Einstimmigkeit besteht, kann eine Gruppe von mindestens neun Mitgliedstaaten beantragen, dass der Europäische Rat mit dem Entwurf von Maßnahmen befasst wird. </w:t>
      </w:r>
      <w:r>
        <w:rPr>
          <w:rStyle w:val="Satznummer"/>
        </w:rPr>
        <w:t>2</w:t>
      </w:r>
      <w:r>
        <w:t xml:space="preserve">In diesem Fall wird das Verfahren im Rat ausgesetzt. </w:t>
      </w:r>
      <w:r>
        <w:rPr>
          <w:rStyle w:val="Satznummer"/>
        </w:rPr>
        <w:t>3</w:t>
      </w:r>
      <w:r>
        <w:t>Nach einer Aussprache verweist der Europäische Rat im Falle eines Einvernehmens den Entwurf binnen vier Monaten nach Aussetzung des Verfahrens an den Rat zur Annahme zurück.</w:t>
      </w:r>
    </w:p>
    <w:p>
      <w:r>
        <w:rPr>
          <w:rStyle w:val="Satznummer"/>
        </w:rPr>
        <w:t>1</w:t>
      </w:r>
      <w:r>
        <w:t xml:space="preserve">Sofern kein Einvernehmen erzielt wird, mindestens neun Mitgliedstaaten aber eine Verstärkte Zusammenarbeit auf der Grundlage des betreffenden Entwurfs von Maßnahmen begründen möchten, teilen diese Mitgliedstaaten dies binnen derselben Frist dem Europäischen Parlament, dem Rat und der Kommission mit. </w:t>
      </w:r>
      <w:r>
        <w:rPr>
          <w:rStyle w:val="Satznummer"/>
        </w:rPr>
        <w:t>2</w:t>
      </w:r>
      <w:r>
        <w:t xml:space="preserve">In diesem Fall gilt die Ermächtigung zu einer Verstärkten Zusammenarbeit nach Artikel 20 Absatz 2 des Vertrags über die Europäische Union und </w:t>
      </w:r>
      <w:hyperlink w:anchor="b417" w:history="1">
        <w:r>
          <w:rPr>
            <w:color w:val="0A3A8C"/>
            <w:u w:val="single"/>
          </w:rPr>
          <w:t xml:space="preserve">Artikel 329</w:t>
        </w:r>
      </w:hyperlink>
      <w:r>
        <w:t xml:space="preserve"> Absatz 1 dieses Vertrags als erteilt, und die Bestimmungen über die Verstärkte Zusammenarbeit finden Anwendung.</w:t>
      </w:r>
    </w:p>
    <w:p>
      <w:r>
        <w:t>Das besondere Verfahren nach den Unterabsätzen 2 und 3 gilt nicht für Rechtsakte, die eine Weiterentwicklung des Schengen-Besitzstands darstellen.</w:t>
      </w:r>
    </w:p>
    <w:p>
      <w:pPr>
        <w:pStyle w:val="Heading4"/>
      </w:pPr>
      <w:bookmarkStart w:id="113" w:name="b110"/>
      <w:r>
        <w:t>Art 88</w:t>
      </w:r>
      <w:r>
        <w:t xml:space="preserve"> </w:t>
      </w:r>
      <w:r>
        <w:rPr>
          <w:rStyle w:val="Suchmarke"/>
        </w:rPr>
        <w:t>#88.#</w:t>
      </w:r>
      <w:bookmarkEnd w:id="113"/>
    </w:p>
    <w:p>
      <w:r>
        <w:rPr>
          <w:color w:val="404040"/>
          <w:sz w:val="21"/>
        </w:rPr>
        <w:t>(ex-Artikel 30 EUV)</w:t>
      </w:r>
    </w:p>
    <w:p>
      <w:r>
        <w:t>(1) Europol hat den Auftrag, die Tätigkeit der Polizeibehörden und der anderen Strafverfolgungsbehörden der Mitgliedstaaten sowie deren gegenseitige Zusammenarbeit bei der Verhütung und Bekämpfung der zwei oder mehr Mitgliedstaaten betreffenden schweren Kriminalität, des Terrorismus und der Kriminalitätsformen, die ein gemeinsames Interesse verletzen, das Gegenstand einer Politik der Union ist, zu unterstützen und zu verstärken.</w:t>
      </w:r>
    </w:p>
    <w:p>
      <w:r>
        <w:t xml:space="preserve">(2) </w:t>
      </w:r>
      <w:r>
        <w:rPr>
          <w:rStyle w:val="Satznummer"/>
        </w:rPr>
        <w:t>1</w:t>
      </w:r>
      <w:r>
        <w:t xml:space="preserve">Das Europäische Parlament und der Rat legen gemäß dem ordentlichen Gesetzgebungsverfahren durch Verordnungen den Aufbau, die Arbeitsweise, den Tätigkeitsbereich und die Aufgaben von Europol fest. </w:t>
      </w:r>
      <w:r>
        <w:rPr>
          <w:rStyle w:val="Satznummer"/>
        </w:rPr>
        <w:t>2</w:t>
      </w:r>
      <w:r>
        <w:t>Zu diesen Aufgaben kann Folgendes gehören:</w:t>
      </w:r>
    </w:p>
    <w:p>
      <w:pPr>
        <w:tabs>
          <w:tab w:pos="567" w:val="left"/>
        </w:tabs>
        <w:ind w:left="567" w:hanging="567"/>
      </w:pPr>
      <w:r>
        <w:t>a)</w:t>
      </w:r>
      <w:r>
        <w:tab/>
      </w:r>
      <w:r>
        <w:t>Einholen, Speichern, Verarbeiten, Analysieren und Austauschen von Informationen, die insbesondere von den Behörden der Mitgliedstaaten oder Drittländern beziehungsweise Stellen außerhalb der Union übermittelt werden;</w:t>
      </w:r>
    </w:p>
    <w:p>
      <w:pPr>
        <w:tabs>
          <w:tab w:pos="567" w:val="left"/>
        </w:tabs>
        <w:ind w:left="567" w:hanging="567"/>
      </w:pPr>
      <w:r>
        <w:t>b)</w:t>
      </w:r>
      <w:r>
        <w:tab/>
      </w:r>
      <w:r>
        <w:t>Koordinierung, Organisation und Durchführung von Ermittlungen und von operativen Maßnahmen, die gemeinsam mit den zuständigen Behörden der Mitgliedstaaten oder im Rahmen gemeinsamer Ermittlungsgruppen durchgeführt werden, gegebenenfalls in Verbindung mit Eurojust.</w:t>
      </w:r>
    </w:p>
    <w:p>
      <w:r>
        <w:t>Durch diese Verordnungen werden ferner die Einzelheiten für die Kontrolle der Tätigkeiten von Europol durch das Europäische Parlament festgelegt; an dieser Kontrolle werden die nationalen Parlamente beteiligt.</w:t>
      </w:r>
    </w:p>
    <w:p>
      <w:r>
        <w:t xml:space="preserve">(3) </w:t>
      </w:r>
      <w:r>
        <w:rPr>
          <w:rStyle w:val="Satznummer"/>
        </w:rPr>
        <w:t>1</w:t>
      </w:r>
      <w:r>
        <w:t xml:space="preserve">Europol darf operative Maßnahmen nur in Verbindung und in Absprache mit den Behörden des Mitgliedstaats oder der Mitgliedstaaten ergreifen, deren Hoheitsgebiet betroffen ist. </w:t>
      </w:r>
      <w:r>
        <w:rPr>
          <w:rStyle w:val="Satznummer"/>
        </w:rPr>
        <w:t>2</w:t>
      </w:r>
      <w:r>
        <w:t>Die Anwendung von Zwangsmaßnahmen bleibt ausschließlich den zuständigen einzelstaatlichen Behörden vorbehalten.</w:t>
      </w:r>
    </w:p>
    <w:p>
      <w:pPr>
        <w:pStyle w:val="Heading4"/>
      </w:pPr>
      <w:bookmarkStart w:id="114" w:name="b111"/>
      <w:r>
        <w:t>Art 89</w:t>
      </w:r>
      <w:r>
        <w:t xml:space="preserve"> </w:t>
      </w:r>
      <w:r>
        <w:rPr>
          <w:rStyle w:val="Suchmarke"/>
        </w:rPr>
        <w:t>#89.#</w:t>
      </w:r>
      <w:bookmarkEnd w:id="114"/>
    </w:p>
    <w:p>
      <w:r>
        <w:rPr>
          <w:color w:val="404040"/>
          <w:sz w:val="21"/>
        </w:rPr>
        <w:t>(ex-Artikel 32 EUV)</w:t>
      </w:r>
    </w:p>
    <w:p>
      <w:r>
        <w:rPr>
          <w:rStyle w:val="Satznummer"/>
        </w:rPr>
        <w:t>1</w:t>
      </w:r>
      <w:r>
        <w:t xml:space="preserve">Der Rat legt gemäß einem besonderen Gesetzgebungsverfahren fest, unter welchen Bedingungen und innerhalb welcher Grenzen die in den </w:t>
      </w:r>
      <w:hyperlink w:anchor="b103" w:history="1">
        <w:r>
          <w:rPr>
            <w:color w:val="0A3A8C"/>
            <w:u w:val="single"/>
          </w:rPr>
          <w:t xml:space="preserve">Artikeln 82</w:t>
        </w:r>
      </w:hyperlink>
      <w:r>
        <w:t xml:space="preserve"> und </w:t>
      </w:r>
      <w:hyperlink w:anchor="b109" w:history="1">
        <w:r>
          <w:rPr>
            <w:color w:val="0A3A8C"/>
            <w:u w:val="single"/>
          </w:rPr>
          <w:t xml:space="preserve">87</w:t>
        </w:r>
      </w:hyperlink>
      <w:r>
        <w:t xml:space="preserve"> genannten zuständigen Behörden der Mitgliedstaaten im Hoheitsgebiet eines anderen Mitgliedstaats in Verbindung und in Absprache mit dessen Behörden tätig werden dürfen. </w:t>
      </w:r>
      <w:r>
        <w:rPr>
          <w:rStyle w:val="Satznummer"/>
        </w:rPr>
        <w:t>2</w:t>
      </w:r>
      <w:r>
        <w:t>Der Rat beschließt einstimmig nach Anhörung des Europäischen Parlaments.</w:t>
      </w:r>
    </w:p>
    <w:p>
      <w:pPr>
        <w:pStyle w:val="Heading2"/>
      </w:pPr>
      <w:bookmarkStart w:id="115" w:name="b112"/>
      <w:r>
        <w:t>TITEL VI DER VERKEHR</w:t>
      </w:r>
      <w:bookmarkEnd w:id="115"/>
    </w:p>
    <w:p>
      <w:pPr>
        <w:pStyle w:val="Heading3"/>
      </w:pPr>
      <w:bookmarkStart w:id="116" w:name="b113"/>
      <w:r>
        <w:t>Art 90</w:t>
      </w:r>
      <w:r>
        <w:t xml:space="preserve"> </w:t>
      </w:r>
      <w:r>
        <w:rPr>
          <w:rStyle w:val="Suchmarke"/>
        </w:rPr>
        <w:t>#90.#</w:t>
      </w:r>
      <w:bookmarkEnd w:id="116"/>
    </w:p>
    <w:p>
      <w:r>
        <w:rPr>
          <w:color w:val="404040"/>
          <w:sz w:val="21"/>
        </w:rPr>
        <w:t>(ex-Artikel 70 EGV)</w:t>
      </w:r>
    </w:p>
    <w:p>
      <w:r>
        <w:t>Auf dem in diesem Titel geregelten Sachgebiet werden die Ziele der Verträge im Rahmen einer gemeinsamen Verkehrspolitik verfolgt.</w:t>
      </w:r>
    </w:p>
    <w:p>
      <w:pPr>
        <w:pStyle w:val="Heading3"/>
      </w:pPr>
      <w:bookmarkStart w:id="117" w:name="b114"/>
      <w:r>
        <w:t>Art 91</w:t>
      </w:r>
      <w:r>
        <w:t xml:space="preserve"> </w:t>
      </w:r>
      <w:r>
        <w:rPr>
          <w:rStyle w:val="Suchmarke"/>
        </w:rPr>
        <w:t>#91.#</w:t>
      </w:r>
      <w:bookmarkEnd w:id="117"/>
    </w:p>
    <w:p>
      <w:r>
        <w:rPr>
          <w:color w:val="404040"/>
          <w:sz w:val="21"/>
        </w:rPr>
        <w:t>(ex-Artikel 71 EGV)</w:t>
      </w:r>
    </w:p>
    <w:p>
      <w:r>
        <w:t xml:space="preserve">(1) Zur Durchführung des </w:t>
      </w:r>
      <w:hyperlink w:anchor="b113" w:history="1">
        <w:r>
          <w:rPr>
            <w:color w:val="0A3A8C"/>
            <w:u w:val="single"/>
          </w:rPr>
          <w:t xml:space="preserve">Artikels 90</w:t>
        </w:r>
      </w:hyperlink>
      <w:r>
        <w:t xml:space="preserve"> werden das Europäische Parlament und der Rat unter Berücksichtigung der Besonderheiten des Verkehrs gemäß dem ordentlichen Gesetzgebungs-verfahren und nach Anhörung des Wirtschafts- und Sozialausschusses sowie des Ausschusses der Regionen</w:t>
      </w:r>
    </w:p>
    <w:p>
      <w:pPr>
        <w:tabs>
          <w:tab w:pos="567" w:val="left"/>
        </w:tabs>
        <w:ind w:left="567" w:hanging="567"/>
      </w:pPr>
      <w:r>
        <w:t>a)</w:t>
      </w:r>
      <w:r>
        <w:tab/>
      </w:r>
      <w:r>
        <w:t>für den internationalen Verkehr aus oder nach dem Hoheitsgebiet eines Mitgliedstaats oder für den Durchgangsverkehr durch das Hoheitsgebiet eines oder mehrerer Mitgliedstaaten gemeinsame Regeln aufstellen;</w:t>
      </w:r>
    </w:p>
    <w:p>
      <w:pPr>
        <w:tabs>
          <w:tab w:pos="567" w:val="left"/>
        </w:tabs>
        <w:ind w:left="567" w:hanging="567"/>
      </w:pPr>
      <w:r>
        <w:t>b)</w:t>
      </w:r>
      <w:r>
        <w:tab/>
      </w:r>
      <w:r>
        <w:t>für die Zulassung von Verkehrsunternehmern zum Verkehr innerhalb eines Mitgliedstaats, in dem sie nicht ansässig sind, die Bedingungen festlegen;</w:t>
      </w:r>
    </w:p>
    <w:p>
      <w:pPr>
        <w:tabs>
          <w:tab w:pos="567" w:val="left"/>
        </w:tabs>
        <w:ind w:left="567" w:hanging="567"/>
      </w:pPr>
      <w:r>
        <w:t>c)</w:t>
      </w:r>
      <w:r>
        <w:tab/>
      </w:r>
      <w:r>
        <w:t>Maßnahmen zur Verbesserung der Verkehrssicherheit erlassen;</w:t>
      </w:r>
    </w:p>
    <w:p>
      <w:pPr>
        <w:tabs>
          <w:tab w:pos="567" w:val="left"/>
        </w:tabs>
        <w:ind w:left="567" w:hanging="567"/>
      </w:pPr>
      <w:r>
        <w:t>d)</w:t>
      </w:r>
      <w:r>
        <w:tab/>
      </w:r>
      <w:r>
        <w:t>alle sonstigen zweckdienlichen Vorschriften erlassen.</w:t>
      </w:r>
    </w:p>
    <w:p>
      <w:r>
        <w:t>(2) Beim Erlass von Maßnahmen nach Absatz 1 wird den Fällen Rechnung getragen, in denen die Anwendung den Lebensstandard und die Beschäftigungslage in bestimmten Regionen sowie den Betrieb der Verkehrseinrichtungen ernstlich beeinträchtigen könnte.</w:t>
      </w:r>
    </w:p>
    <w:p>
      <w:pPr>
        <w:pStyle w:val="Heading3"/>
      </w:pPr>
      <w:bookmarkStart w:id="118" w:name="b115"/>
      <w:r>
        <w:t>Art 92</w:t>
      </w:r>
      <w:r>
        <w:t xml:space="preserve"> </w:t>
      </w:r>
      <w:r>
        <w:rPr>
          <w:rStyle w:val="Suchmarke"/>
        </w:rPr>
        <w:t>#92.#</w:t>
      </w:r>
      <w:bookmarkEnd w:id="118"/>
    </w:p>
    <w:p>
      <w:r>
        <w:rPr>
          <w:color w:val="404040"/>
          <w:sz w:val="21"/>
        </w:rPr>
        <w:t>(ex-Artikel 72 EGV)</w:t>
      </w:r>
    </w:p>
    <w:p>
      <w:r>
        <w:t xml:space="preserve">Bis zum Erlass der in </w:t>
      </w:r>
      <w:hyperlink w:anchor="b114" w:history="1">
        <w:r>
          <w:rPr>
            <w:color w:val="0A3A8C"/>
            <w:u w:val="single"/>
          </w:rPr>
          <w:t xml:space="preserve">Artikel 91</w:t>
        </w:r>
      </w:hyperlink>
      <w:r>
        <w:t xml:space="preserve"> Absatz 1 genannten Vorschriften darf ein Mitgliedstaat die verschiedenen, am 1. Januar 1958 oder, im Falle später beigetretener Staaten, zum Zeitpunkt ihres Beitritts auf diesem Gebiet geltenden Vorschriften in ihren unmittelbaren oder mittelbaren Auswirkungen auf die Verkehrsunternehmer anderer Mitgliedstaaten im Vergleich zu den inländischen Verkehrsunternehmern nicht ungünstiger gestalten, es sei denn, dass der Rat einstimmig eine Maßnahme billigt, die eine Ausnahmeregelung gewährt.</w:t>
      </w:r>
    </w:p>
    <w:p>
      <w:pPr>
        <w:pStyle w:val="Heading3"/>
      </w:pPr>
      <w:bookmarkStart w:id="119" w:name="b116"/>
      <w:r>
        <w:t>Art 93</w:t>
      </w:r>
      <w:r>
        <w:t xml:space="preserve"> </w:t>
      </w:r>
      <w:r>
        <w:rPr>
          <w:rStyle w:val="Suchmarke"/>
        </w:rPr>
        <w:t>#93.#</w:t>
      </w:r>
      <w:bookmarkEnd w:id="119"/>
    </w:p>
    <w:p>
      <w:r>
        <w:rPr>
          <w:color w:val="404040"/>
          <w:sz w:val="21"/>
        </w:rPr>
        <w:t>(ex-Artikel 73 EGV)</w:t>
      </w:r>
    </w:p>
    <w:p>
      <w:r>
        <w:t>Mit den Verträgen vereinbar sind Beihilfen, die den Erfordernissen der Koordinierung des Verkehrs oder der Abgeltung bestimmter, mit dem Begriff des öffentlichen Dienstes zusammenhängender Leistungen entsprechen.</w:t>
      </w:r>
    </w:p>
    <w:p>
      <w:pPr>
        <w:pStyle w:val="Heading3"/>
      </w:pPr>
      <w:bookmarkStart w:id="120" w:name="b117"/>
      <w:r>
        <w:t>Art 94</w:t>
      </w:r>
      <w:r>
        <w:t xml:space="preserve"> </w:t>
      </w:r>
      <w:r>
        <w:rPr>
          <w:rStyle w:val="Suchmarke"/>
        </w:rPr>
        <w:t>#94.#</w:t>
      </w:r>
      <w:bookmarkEnd w:id="120"/>
    </w:p>
    <w:p>
      <w:r>
        <w:rPr>
          <w:color w:val="404040"/>
          <w:sz w:val="21"/>
        </w:rPr>
        <w:t>(ex-Artikel 74 EGV)</w:t>
      </w:r>
    </w:p>
    <w:p>
      <w:r>
        <w:t>Jede Maßnahme auf dem Gebiet der Beförderungsentgelte und -bedingungen, die im Rahmen der Verträge getroffen wird, hat der wirtschaftlichen Lage der Verkehrsunternehmer Rechnung zu tragen.</w:t>
      </w:r>
    </w:p>
    <w:p>
      <w:pPr>
        <w:pStyle w:val="Heading3"/>
      </w:pPr>
      <w:bookmarkStart w:id="121" w:name="b118"/>
      <w:r>
        <w:t>Art 95</w:t>
      </w:r>
      <w:r>
        <w:t xml:space="preserve"> </w:t>
      </w:r>
      <w:r>
        <w:rPr>
          <w:rStyle w:val="Suchmarke"/>
        </w:rPr>
        <w:t>#95.#</w:t>
      </w:r>
      <w:bookmarkEnd w:id="121"/>
    </w:p>
    <w:p>
      <w:r>
        <w:rPr>
          <w:color w:val="404040"/>
          <w:sz w:val="21"/>
        </w:rPr>
        <w:t>(ex-Artikel 75 EGV)</w:t>
      </w:r>
    </w:p>
    <w:p>
      <w:r>
        <w:t>(1) Im Verkehr innerhalb der Union sind Diskriminierungen verboten, die darin bestehen, dass ein Verkehrsunternehmer in denselben Verkehrsverbindungen für die gleichen Güter je nach ihrem Herkunfts- oder Bestimmungsland unterschiedliche Frachten und Beförderungsbedingungen anwendet.</w:t>
      </w:r>
    </w:p>
    <w:p>
      <w:r>
        <w:t xml:space="preserve">(2) Absatz 1 schließt sonstige Maßnahmen nicht aus, die das Europäische Parlament und der Rat gemäß </w:t>
      </w:r>
      <w:hyperlink w:anchor="b114" w:history="1">
        <w:r>
          <w:rPr>
            <w:color w:val="0A3A8C"/>
            <w:u w:val="single"/>
          </w:rPr>
          <w:t xml:space="preserve">Artikel 91</w:t>
        </w:r>
      </w:hyperlink>
      <w:r>
        <w:t xml:space="preserve"> Absatz 1 treffen können.</w:t>
      </w:r>
    </w:p>
    <w:p>
      <w:r>
        <w:t>(3) Der Rat trifft auf Vorschlag der Kommission und nach Anhörung des Europäischen Parlaments und des Wirtschafts- und Sozialausschusses eine Regelung zur Durchführung des Absatzes 1.</w:t>
      </w:r>
    </w:p>
    <w:p>
      <w:r>
        <w:t>Er kann insbesondere die erforderlichen Vorschriften erlassen, um es den Organen der Union zu ermöglichen, für die Beachtung des Absatzes 1 Sorge zu tragen, und um den Verkehrsnutzern die Vorteile dieser Bestimmung voll zukommen zu lassen.</w:t>
      </w:r>
    </w:p>
    <w:p>
      <w:r>
        <w:t>(4) Die Kommission prüft von sich aus oder auf Antrag eines Mitgliedstaats die Diskriminierungsfälle des Absatzes 1 und erlässt nach Beratung mit jedem in Betracht kommenden Mitgliedstaat die erforderlichen Beschlüsse im Rahmen der gemäß Absatz 3 getroffenen Regelung.</w:t>
      </w:r>
    </w:p>
    <w:p>
      <w:pPr>
        <w:pStyle w:val="Heading3"/>
      </w:pPr>
      <w:bookmarkStart w:id="122" w:name="b119"/>
      <w:r>
        <w:t>Art 96</w:t>
      </w:r>
      <w:r>
        <w:t xml:space="preserve"> </w:t>
      </w:r>
      <w:r>
        <w:rPr>
          <w:rStyle w:val="Suchmarke"/>
        </w:rPr>
        <w:t>#96.#</w:t>
      </w:r>
      <w:bookmarkEnd w:id="122"/>
    </w:p>
    <w:p>
      <w:r>
        <w:rPr>
          <w:color w:val="404040"/>
          <w:sz w:val="21"/>
        </w:rPr>
        <w:t>(ex-Artikel 76 EGV)</w:t>
      </w:r>
    </w:p>
    <w:p>
      <w:r>
        <w:t>(1) Im Verkehr innerhalb der Union sind die von einem Mitgliedstaat auferlegten Frachten und Beförderungsbedingungen verboten, die in irgendeiner Weise der Unterstützung oder dem Schutz eines oder mehrerer bestimmter Unternehmen oder Industrien dienen, es sei denn, dass die Kommission die Genehmigung hierzu erteilt.</w:t>
      </w:r>
    </w:p>
    <w:p>
      <w:r>
        <w:t>(2) Die Kommission prüft von sich aus oder auf Antrag eines Mitgliedstaats die in Absatz 1 bezeichneten Frachten und Beförderungsbedingungen; hierbei berücksichtigt sie insbesondere sowohl die Erfordernisse einer angemessenen Standortpolitik, die Bedürfnisse der unterentwickelten Gebiete und die Probleme der durch politische Umstände schwer betroffenen Gebiete als auch die Auswirkungen dieser Frachten und Beförderungsbedingungen auf den Wettbewerb zwischen den Verkehrsarten.</w:t>
      </w:r>
    </w:p>
    <w:p>
      <w:r>
        <w:t>Die Kommission erlässt die erforderlichen Beschlüsse nach Beratung mit jedem in Betracht kommenden Mitgliedstaat.</w:t>
      </w:r>
    </w:p>
    <w:p>
      <w:r>
        <w:t>(3) Das in Absatz 1 genannte Verbot trifft nicht die Wettbewerbstarife.</w:t>
      </w:r>
    </w:p>
    <w:p>
      <w:pPr>
        <w:pStyle w:val="Heading3"/>
      </w:pPr>
      <w:bookmarkStart w:id="123" w:name="b120"/>
      <w:r>
        <w:t>Art 97</w:t>
      </w:r>
      <w:r>
        <w:t xml:space="preserve"> </w:t>
      </w:r>
      <w:r>
        <w:rPr>
          <w:rStyle w:val="Suchmarke"/>
        </w:rPr>
        <w:t>#97.#</w:t>
      </w:r>
      <w:bookmarkEnd w:id="123"/>
    </w:p>
    <w:p>
      <w:r>
        <w:rPr>
          <w:color w:val="404040"/>
          <w:sz w:val="21"/>
        </w:rPr>
        <w:t>(ex-Artikel 77 EGV)</w:t>
      </w:r>
    </w:p>
    <w:p>
      <w:r>
        <w:t>Die Abgaben oder Gebühren, die ein Verkehrsunternehmer neben den Frachten beim Grenzübergang in Rechnung stellt, dürfen unter Berücksichtigung der hierdurch tatsächlich verursachten Kosten eine angemessene Höhe nicht übersteigen.</w:t>
      </w:r>
    </w:p>
    <w:p>
      <w:r>
        <w:t>Die Mitgliedstaaten werden bemüht sein, diese Kosten schrittweise zu verringern.</w:t>
      </w:r>
    </w:p>
    <w:p>
      <w:r>
        <w:t>Die Kommission kann zur Durchführung dieses Artikels Empfehlungen an die Mitgliedstaaten richten.</w:t>
      </w:r>
    </w:p>
    <w:p>
      <w:pPr>
        <w:pStyle w:val="Heading3"/>
      </w:pPr>
      <w:bookmarkStart w:id="124" w:name="b121"/>
      <w:r>
        <w:t>Art 98</w:t>
      </w:r>
      <w:r>
        <w:t xml:space="preserve"> </w:t>
      </w:r>
      <w:r>
        <w:rPr>
          <w:rStyle w:val="Suchmarke"/>
        </w:rPr>
        <w:t>#98.#</w:t>
      </w:r>
      <w:bookmarkEnd w:id="124"/>
    </w:p>
    <w:p>
      <w:r>
        <w:rPr>
          <w:color w:val="404040"/>
          <w:sz w:val="21"/>
        </w:rPr>
        <w:t>(ex-Artikel 78 EGV)</w:t>
      </w:r>
    </w:p>
    <w:p>
      <w:r>
        <w:rPr>
          <w:rStyle w:val="Satznummer"/>
        </w:rPr>
        <w:t>1</w:t>
      </w:r>
      <w:r>
        <w:t xml:space="preserve">Die Bestimmungen dieses Titels stehen Maßnahmen in der Bundesrepublik Deutschland nicht entgegen, soweit sie erforderlich sind, um die wirtschaftlichen Nachteile auszugleichen, die der Wirtschaft bestimmter, von der Teilung Deutschlands betroffener Gebiete der Bundesrepublik aus dieser Teilung entstehen. </w:t>
      </w:r>
      <w:r>
        <w:rPr>
          <w:rStyle w:val="Satznummer"/>
        </w:rPr>
        <w:t>2</w:t>
      </w:r>
      <w:r>
        <w:t>Der Rat kann fünf Jahre nach dem Inkrafttreten des Vertrags von Lissabon auf Vorschlag der Kommission einen Beschluss erlassen, mit dem dieser Artikel aufgehoben wird.</w:t>
      </w:r>
    </w:p>
    <w:p>
      <w:pPr>
        <w:pStyle w:val="Heading3"/>
      </w:pPr>
      <w:bookmarkStart w:id="125" w:name="b122"/>
      <w:r>
        <w:t>Art 99</w:t>
      </w:r>
      <w:r>
        <w:t xml:space="preserve"> </w:t>
      </w:r>
      <w:r>
        <w:rPr>
          <w:rStyle w:val="Suchmarke"/>
        </w:rPr>
        <w:t>#99.#</w:t>
      </w:r>
      <w:bookmarkEnd w:id="125"/>
    </w:p>
    <w:p>
      <w:r>
        <w:rPr>
          <w:color w:val="404040"/>
          <w:sz w:val="21"/>
        </w:rPr>
        <w:t>(ex-Artikel 79 EGV)</w:t>
      </w:r>
    </w:p>
    <w:p>
      <w:r>
        <w:rPr>
          <w:rStyle w:val="Satznummer"/>
        </w:rPr>
        <w:t>1</w:t>
      </w:r>
      <w:r>
        <w:t xml:space="preserve">Bei der Kommission wird ein beratender Ausschuss gebildet; er besteht aus Sachverständigen, die von den Regierungen der Mitgliedstaaten ernannt werden. </w:t>
      </w:r>
      <w:r>
        <w:rPr>
          <w:rStyle w:val="Satznummer"/>
        </w:rPr>
        <w:t>2</w:t>
      </w:r>
      <w:r>
        <w:t>Die Kommission hört den Ausschuss je nach Bedarf in Verkehrsfragen an.</w:t>
      </w:r>
    </w:p>
    <w:p>
      <w:pPr>
        <w:pStyle w:val="Heading3"/>
      </w:pPr>
      <w:bookmarkStart w:id="126" w:name="b123"/>
      <w:r>
        <w:t>Art 100</w:t>
      </w:r>
      <w:r>
        <w:t xml:space="preserve"> </w:t>
      </w:r>
      <w:r>
        <w:rPr>
          <w:rStyle w:val="Suchmarke"/>
        </w:rPr>
        <w:t>#100.#</w:t>
      </w:r>
      <w:bookmarkEnd w:id="126"/>
    </w:p>
    <w:p>
      <w:r>
        <w:rPr>
          <w:color w:val="404040"/>
          <w:sz w:val="21"/>
        </w:rPr>
        <w:t>(ex-Artikel 80 EGV)</w:t>
      </w:r>
    </w:p>
    <w:p>
      <w:r>
        <w:t>(1) Dieser Titel gilt für die Beförderungen im Eisenbahn-, Straßen- und Binnenschiffsverkehr.</w:t>
      </w:r>
    </w:p>
    <w:p>
      <w:r>
        <w:t xml:space="preserve">(2) </w:t>
      </w:r>
      <w:r>
        <w:rPr>
          <w:rStyle w:val="Satznummer"/>
        </w:rPr>
        <w:t>1</w:t>
      </w:r>
      <w:r>
        <w:t xml:space="preserve">Das Europäische Parlament und der Rat können gemäß dem ordentlichen Gesetzgebungsverfahren geeignete Vorschriften für die Seeschifffahrt und die Luftfahrt erlassen. </w:t>
      </w:r>
      <w:r>
        <w:rPr>
          <w:rStyle w:val="Satznummer"/>
        </w:rPr>
        <w:t>2</w:t>
      </w:r>
      <w:r>
        <w:t>Sie beschließen nach Anhörung des Wirtschafts- und Sozialausschusses und des Ausschusses der Regionen.</w:t>
      </w:r>
    </w:p>
    <w:p>
      <w:pPr>
        <w:pStyle w:val="Heading2"/>
      </w:pPr>
      <w:bookmarkStart w:id="127" w:name="b124"/>
      <w:r>
        <w:t>TITEL VII GEMEINSAME REGELN BETREFFEND WETTBEWERB, STEUERFRAGEN UND ANGLEICHUNG DER RECHTSVORSCHRIFTEN</w:t>
      </w:r>
      <w:bookmarkEnd w:id="127"/>
    </w:p>
    <w:p>
      <w:pPr>
        <w:pStyle w:val="Heading3"/>
      </w:pPr>
      <w:bookmarkStart w:id="128" w:name="b125"/>
      <w:r>
        <w:t>KAPITEL 1 WETTBEWERBSREGELN</w:t>
      </w:r>
      <w:bookmarkEnd w:id="128"/>
    </w:p>
    <w:p>
      <w:pPr>
        <w:pStyle w:val="Heading4"/>
      </w:pPr>
      <w:bookmarkStart w:id="129" w:name="b126"/>
      <w:r>
        <w:t>ABSCHNITT 1 VORSCHRIFTEN FÜR UNTERNEHMEN</w:t>
      </w:r>
      <w:bookmarkEnd w:id="129"/>
    </w:p>
    <w:p>
      <w:pPr>
        <w:pStyle w:val="Heading5"/>
      </w:pPr>
      <w:bookmarkStart w:id="130" w:name="b127"/>
      <w:r>
        <w:t>Art 101</w:t>
      </w:r>
      <w:r>
        <w:t xml:space="preserve"> </w:t>
      </w:r>
      <w:r>
        <w:rPr>
          <w:rStyle w:val="Suchmarke"/>
        </w:rPr>
        <w:t>#101.#</w:t>
      </w:r>
      <w:bookmarkEnd w:id="130"/>
    </w:p>
    <w:p>
      <w:r>
        <w:rPr>
          <w:color w:val="404040"/>
          <w:sz w:val="21"/>
        </w:rPr>
        <w:t>(ex-Artikel 81 EGV)</w:t>
      </w:r>
    </w:p>
    <w:p>
      <w:r>
        <w:t>(1) Mit dem Binnenmarkt unvereinbar und verboten sind alle Vereinbarungen zwischen Unternehmen, Beschlüsse von Unternehmensvereinigungen und aufeinander abgestimmte Verhaltensweisen, welche den Handel zwischen Mitgliedstaaten zu beeinträchtigen geeignet sind und eine Verhinderung, Einschränkung oder Verfälschung des Wettbewerbs innerhalb des Binnenmarkts bezwecken oder bewirken, insbesondere</w:t>
      </w:r>
    </w:p>
    <w:p>
      <w:pPr>
        <w:tabs>
          <w:tab w:pos="567" w:val="left"/>
        </w:tabs>
        <w:ind w:left="567" w:hanging="567"/>
      </w:pPr>
      <w:r>
        <w:t>a)</w:t>
      </w:r>
      <w:r>
        <w:tab/>
      </w:r>
      <w:r>
        <w:t>die unmittelbare oder mittelbare Festsetzung der An- oder Verkaufspreise oder sonstiger Geschäftsbedingungen;</w:t>
      </w:r>
    </w:p>
    <w:p>
      <w:pPr>
        <w:tabs>
          <w:tab w:pos="567" w:val="left"/>
        </w:tabs>
        <w:ind w:left="567" w:hanging="567"/>
      </w:pPr>
      <w:r>
        <w:t>b)</w:t>
      </w:r>
      <w:r>
        <w:tab/>
      </w:r>
      <w:r>
        <w:t>die Einschränkung oder Kontrolle der Erzeugung, des Absatzes, der technischen Entwicklung oder der Investitionen;</w:t>
      </w:r>
    </w:p>
    <w:p>
      <w:pPr>
        <w:tabs>
          <w:tab w:pos="567" w:val="left"/>
        </w:tabs>
        <w:ind w:left="567" w:hanging="567"/>
      </w:pPr>
      <w:r>
        <w:t>c)</w:t>
      </w:r>
      <w:r>
        <w:tab/>
      </w:r>
      <w:r>
        <w:t>die Aufteilung der Märkte oder Versorgungsquellen;</w:t>
      </w:r>
    </w:p>
    <w:p>
      <w:pPr>
        <w:tabs>
          <w:tab w:pos="567" w:val="left"/>
        </w:tabs>
        <w:ind w:left="567" w:hanging="567"/>
      </w:pPr>
      <w:r>
        <w:t>d)</w:t>
      </w:r>
      <w:r>
        <w:tab/>
      </w:r>
      <w:r>
        <w:t>die Anwendung unterschiedlicher Bedingungen bei gleichwertigen Leistungen gegenüber Handelspartnern, wodurch diese im Wettbewerb benachteiligt werden;</w:t>
      </w:r>
    </w:p>
    <w:p>
      <w:pPr>
        <w:tabs>
          <w:tab w:pos="567" w:val="left"/>
        </w:tabs>
        <w:ind w:left="567" w:hanging="567"/>
      </w:pPr>
      <w:r>
        <w:t>e)</w:t>
      </w:r>
      <w:r>
        <w:tab/>
      </w:r>
      <w:r>
        <w:t>die an den Abschluss von Verträgen geknüpfte Bedingung, dass die Vertragspartner zusätzliche Leistungen annehmen, die weder sachlich noch nach Handelsbrauch in Beziehung zum Vertragsgegenstand stehen.</w:t>
      </w:r>
    </w:p>
    <w:p>
      <w:r>
        <w:t>(2) Die nach diesem Artikel verbotenen Vereinbarungen oder Beschlüsse sind nichtig.</w:t>
      </w:r>
    </w:p>
    <w:p>
      <w:r>
        <w:t>(3) Die Bestimmungen des Absatzes 1 können für nicht anwendbar erklärt werden auf</w:t>
      </w:r>
    </w:p>
    <w:p>
      <w:pPr>
        <w:tabs>
          <w:tab w:pos="567" w:val="left"/>
        </w:tabs>
        <w:ind w:left="567" w:hanging="567"/>
      </w:pPr>
      <w:r>
        <w:t>—</w:t>
      </w:r>
      <w:r>
        <w:tab/>
      </w:r>
      <w:r>
        <w:t>Vereinbarungen oder Gruppen von Vereinbarungen zwischen Unternehmen,</w:t>
      </w:r>
    </w:p>
    <w:p>
      <w:pPr>
        <w:tabs>
          <w:tab w:pos="567" w:val="left"/>
        </w:tabs>
        <w:ind w:left="567" w:hanging="567"/>
      </w:pPr>
      <w:r>
        <w:t>—</w:t>
      </w:r>
      <w:r>
        <w:tab/>
      </w:r>
      <w:r>
        <w:t>Beschlüsse oder Gruppen von Beschlüssen von Unternehmensvereinigungen,</w:t>
      </w:r>
    </w:p>
    <w:p>
      <w:pPr>
        <w:tabs>
          <w:tab w:pos="567" w:val="left"/>
        </w:tabs>
        <w:ind w:left="567" w:hanging="567"/>
      </w:pPr>
      <w:r>
        <w:t>—</w:t>
      </w:r>
      <w:r>
        <w:tab/>
      </w:r>
      <w:r>
        <w:t>aufeinander abgestimmte Verhaltensweisen oder Gruppen von solchen,</w:t>
      </w:r>
    </w:p>
    <w:p>
      <w:r>
        <w:t>die unter angemessener Beteiligung der Verbraucher an dem entstehenden Gewinn zur Verbesserung der Warenerzeugung oder -verteilung oder zur Förderung des technischen oder wirtschaftlichen Fortschritts beitragen, ohne dass den beteiligten Unternehmen</w:t>
      </w:r>
    </w:p>
    <w:p>
      <w:pPr>
        <w:tabs>
          <w:tab w:pos="567" w:val="left"/>
        </w:tabs>
        <w:ind w:left="567" w:hanging="567"/>
      </w:pPr>
      <w:r>
        <w:t>a)</w:t>
      </w:r>
      <w:r>
        <w:tab/>
      </w:r>
      <w:r>
        <w:t>Beschränkungen auferlegt werden, die für die Verwirklichung dieser Ziele nicht unerlässlich sind, oder</w:t>
      </w:r>
    </w:p>
    <w:p>
      <w:pPr>
        <w:tabs>
          <w:tab w:pos="567" w:val="left"/>
        </w:tabs>
        <w:ind w:left="567" w:hanging="567"/>
      </w:pPr>
      <w:r>
        <w:t>b)</w:t>
      </w:r>
      <w:r>
        <w:tab/>
      </w:r>
      <w:r>
        <w:t>Möglichkeiten eröffnet werden, für einen wesentlichen Teil der betreffenden Waren den Wettbewerb auszuschalten.</w:t>
      </w:r>
    </w:p>
    <w:p>
      <w:pPr>
        <w:pStyle w:val="Heading5"/>
      </w:pPr>
      <w:bookmarkStart w:id="131" w:name="b128"/>
      <w:r>
        <w:t>Art 102</w:t>
      </w:r>
      <w:r>
        <w:t xml:space="preserve"> </w:t>
      </w:r>
      <w:r>
        <w:rPr>
          <w:rStyle w:val="Suchmarke"/>
        </w:rPr>
        <w:t>#102.#</w:t>
      </w:r>
      <w:bookmarkEnd w:id="131"/>
    </w:p>
    <w:p>
      <w:r>
        <w:rPr>
          <w:color w:val="404040"/>
          <w:sz w:val="21"/>
        </w:rPr>
        <w:t>(ex-Artikel 82 EGV)</w:t>
      </w:r>
    </w:p>
    <w:p>
      <w:r>
        <w:t>Mit dem Binnenmarkt unvereinbar und verboten ist die missbräuchliche Ausnutzung einer beherrschenden Stellung auf dem Binnenmarkt oder auf einem wesentlichen Teil desselben durch ein oder mehrere Unternehmen, soweit dies dazu führen kann, den Handel zwischen Mitgliedstaaten zu beeinträchtigen.</w:t>
      </w:r>
    </w:p>
    <w:p>
      <w:r>
        <w:t>Dieser Missbrauch kann insbesondere in Folgendem bestehen:</w:t>
      </w:r>
    </w:p>
    <w:p>
      <w:pPr>
        <w:tabs>
          <w:tab w:pos="567" w:val="left"/>
        </w:tabs>
        <w:ind w:left="567" w:hanging="567"/>
      </w:pPr>
      <w:r>
        <w:t>a)</w:t>
      </w:r>
      <w:r>
        <w:tab/>
      </w:r>
      <w:r>
        <w:t>der unmittelbaren oder mittelbaren Erzwingung von unangemessenen Einkaufs- oder Verkaufspreisen oder sonstigen Geschäftsbedingungen;</w:t>
      </w:r>
    </w:p>
    <w:p>
      <w:pPr>
        <w:tabs>
          <w:tab w:pos="567" w:val="left"/>
        </w:tabs>
        <w:ind w:left="567" w:hanging="567"/>
      </w:pPr>
      <w:r>
        <w:t>b)</w:t>
      </w:r>
      <w:r>
        <w:tab/>
      </w:r>
      <w:r>
        <w:t>der Einschränkung der Erzeugung, des Absatzes oder der technischen Entwicklung zum Schaden der Verbraucher;</w:t>
      </w:r>
    </w:p>
    <w:p>
      <w:pPr>
        <w:tabs>
          <w:tab w:pos="567" w:val="left"/>
        </w:tabs>
        <w:ind w:left="567" w:hanging="567"/>
      </w:pPr>
      <w:r>
        <w:t>c)</w:t>
      </w:r>
      <w:r>
        <w:tab/>
      </w:r>
      <w:r>
        <w:t>der Anwendung unterschiedlicher Bedingungen bei gleichwertigen Leistungen gegenüber Handelspartnern, wodurch diese im Wettbewerb benachteiligt werden;</w:t>
      </w:r>
    </w:p>
    <w:p>
      <w:pPr>
        <w:tabs>
          <w:tab w:pos="567" w:val="left"/>
        </w:tabs>
        <w:ind w:left="567" w:hanging="567"/>
      </w:pPr>
      <w:r>
        <w:t>d)</w:t>
      </w:r>
      <w:r>
        <w:tab/>
      </w:r>
      <w:r>
        <w:t>der an den Abschluss von Verträgen geknüpften Bedingung, dass die Vertragspartner zusätzliche Leistungen annehmen, die weder sachlich noch nach Handelsbrauch in Beziehung zum Vertragsgegenstand stehen.</w:t>
      </w:r>
    </w:p>
    <w:p>
      <w:pPr>
        <w:pStyle w:val="Heading5"/>
      </w:pPr>
      <w:bookmarkStart w:id="132" w:name="b129"/>
      <w:r>
        <w:t>Art 103</w:t>
      </w:r>
      <w:r>
        <w:t xml:space="preserve"> </w:t>
      </w:r>
      <w:r>
        <w:rPr>
          <w:rStyle w:val="Suchmarke"/>
        </w:rPr>
        <w:t>#103.#</w:t>
      </w:r>
      <w:bookmarkEnd w:id="132"/>
    </w:p>
    <w:p>
      <w:r>
        <w:rPr>
          <w:color w:val="404040"/>
          <w:sz w:val="21"/>
        </w:rPr>
        <w:t>(ex-Artikel 83 EGV)</w:t>
      </w:r>
    </w:p>
    <w:p>
      <w:r>
        <w:t xml:space="preserve">(1) Die zweckdienlichen Verordnungen oder Richtlinien zur Verwirklichung der in den </w:t>
      </w:r>
      <w:hyperlink w:anchor="b127" w:history="1">
        <w:r>
          <w:rPr>
            <w:color w:val="0A3A8C"/>
            <w:u w:val="single"/>
          </w:rPr>
          <w:t xml:space="preserve">Artikeln 101</w:t>
        </w:r>
      </w:hyperlink>
      <w:r>
        <w:t xml:space="preserve"> und </w:t>
      </w:r>
      <w:hyperlink w:anchor="b128" w:history="1">
        <w:r>
          <w:rPr>
            <w:color w:val="0A3A8C"/>
            <w:u w:val="single"/>
          </w:rPr>
          <w:t xml:space="preserve">102</w:t>
        </w:r>
      </w:hyperlink>
      <w:r>
        <w:t xml:space="preserve"> niedergelegten Grundsätze werden vom Rat auf Vorschlag der Kommission und nach Anhörung des Europäischen Parlaments beschlossen.</w:t>
      </w:r>
    </w:p>
    <w:p>
      <w:r>
        <w:t>(2) Die in Absatz 1 vorgesehenen Vorschriften bezwecken insbesondere,</w:t>
      </w:r>
    </w:p>
    <w:p>
      <w:pPr>
        <w:tabs>
          <w:tab w:pos="567" w:val="left"/>
        </w:tabs>
        <w:ind w:left="567" w:hanging="567"/>
      </w:pPr>
      <w:r>
        <w:t>a)</w:t>
      </w:r>
      <w:r>
        <w:tab/>
      </w:r>
      <w:r>
        <w:t xml:space="preserve">die Beachtung der in </w:t>
      </w:r>
      <w:hyperlink w:anchor="b127" w:history="1">
        <w:r>
          <w:rPr>
            <w:color w:val="0A3A8C"/>
            <w:u w:val="single"/>
          </w:rPr>
          <w:t xml:space="preserve">Artikel 101</w:t>
        </w:r>
      </w:hyperlink>
      <w:r>
        <w:t xml:space="preserve"> Absatz 1 und </w:t>
      </w:r>
      <w:hyperlink w:anchor="b128" w:history="1">
        <w:r>
          <w:rPr>
            <w:color w:val="0A3A8C"/>
            <w:u w:val="single"/>
          </w:rPr>
          <w:t xml:space="preserve">Artikel 102</w:t>
        </w:r>
      </w:hyperlink>
      <w:r>
        <w:t xml:space="preserve"> genannten Verbote durch die Einführung von Geldbußen und Zwangsgeldern zu gewährleisten;</w:t>
      </w:r>
    </w:p>
    <w:p>
      <w:pPr>
        <w:tabs>
          <w:tab w:pos="567" w:val="left"/>
        </w:tabs>
        <w:ind w:left="567" w:hanging="567"/>
      </w:pPr>
      <w:r>
        <w:t>b)</w:t>
      </w:r>
      <w:r>
        <w:tab/>
      </w:r>
      <w:r>
        <w:t xml:space="preserve">die Einzelheiten der Anwendung des </w:t>
      </w:r>
      <w:hyperlink w:anchor="b127" w:history="1">
        <w:r>
          <w:rPr>
            <w:color w:val="0A3A8C"/>
            <w:u w:val="single"/>
          </w:rPr>
          <w:t xml:space="preserve">Artikels 101</w:t>
        </w:r>
      </w:hyperlink>
      <w:r>
        <w:t xml:space="preserve"> Absatz 3 festzulegen; dabei ist dem Erfordernis einer wirksamen Überwachung bei möglichst einfacher Verwaltungskontrolle Rechnung zu tragen;</w:t>
      </w:r>
    </w:p>
    <w:p>
      <w:pPr>
        <w:tabs>
          <w:tab w:pos="567" w:val="left"/>
        </w:tabs>
        <w:ind w:left="567" w:hanging="567"/>
      </w:pPr>
      <w:r>
        <w:t>c)</w:t>
      </w:r>
      <w:r>
        <w:tab/>
      </w:r>
      <w:r>
        <w:t xml:space="preserve">gegebenenfalls den Anwendungsbereich der </w:t>
      </w:r>
      <w:hyperlink w:anchor="b127" w:history="1">
        <w:r>
          <w:rPr>
            <w:color w:val="0A3A8C"/>
            <w:u w:val="single"/>
          </w:rPr>
          <w:t xml:space="preserve">Artikel 101</w:t>
        </w:r>
      </w:hyperlink>
      <w:r>
        <w:t xml:space="preserve"> und </w:t>
      </w:r>
      <w:hyperlink w:anchor="b128" w:history="1">
        <w:r>
          <w:rPr>
            <w:color w:val="0A3A8C"/>
            <w:u w:val="single"/>
          </w:rPr>
          <w:t xml:space="preserve">102</w:t>
        </w:r>
      </w:hyperlink>
      <w:r>
        <w:t xml:space="preserve"> für die einzelnen Wirtschaftszweige näher zu bestimmen;</w:t>
      </w:r>
    </w:p>
    <w:p>
      <w:pPr>
        <w:tabs>
          <w:tab w:pos="567" w:val="left"/>
        </w:tabs>
        <w:ind w:left="567" w:hanging="567"/>
      </w:pPr>
      <w:r>
        <w:t>d)</w:t>
      </w:r>
      <w:r>
        <w:tab/>
      </w:r>
      <w:r>
        <w:t>die Aufgaben der Kommission und des Gerichtshofs der Europäischen Union bei der Anwendung der in diesem Absatz vorgesehenen Vorschriften gegeneinander abzugrenzen;</w:t>
      </w:r>
    </w:p>
    <w:p>
      <w:pPr>
        <w:tabs>
          <w:tab w:pos="567" w:val="left"/>
        </w:tabs>
        <w:ind w:left="567" w:hanging="567"/>
      </w:pPr>
      <w:r>
        <w:t>e)</w:t>
      </w:r>
      <w:r>
        <w:tab/>
      </w:r>
      <w:r>
        <w:t>das Verhältnis zwischen den innerstaatlichen Rechtsvorschriften einerseits und den in diesem Abschnitt enthaltenen oder aufgrund dieses Artikels getroffenen Bestimmungen andererseits festzulegen.</w:t>
      </w:r>
    </w:p>
    <w:p>
      <w:pPr>
        <w:pStyle w:val="Heading5"/>
      </w:pPr>
      <w:bookmarkStart w:id="133" w:name="b130"/>
      <w:r>
        <w:t>Art 104</w:t>
      </w:r>
      <w:r>
        <w:t xml:space="preserve"> </w:t>
      </w:r>
      <w:r>
        <w:rPr>
          <w:rStyle w:val="Suchmarke"/>
        </w:rPr>
        <w:t>#104.#</w:t>
      </w:r>
      <w:bookmarkEnd w:id="133"/>
    </w:p>
    <w:p>
      <w:r>
        <w:rPr>
          <w:color w:val="404040"/>
          <w:sz w:val="21"/>
        </w:rPr>
        <w:t>(ex-Artikel 84 EGV)</w:t>
      </w:r>
    </w:p>
    <w:p>
      <w:r>
        <w:t xml:space="preserve">Bis zum Inkrafttreten der gemäß </w:t>
      </w:r>
      <w:hyperlink w:anchor="b129" w:history="1">
        <w:r>
          <w:rPr>
            <w:color w:val="0A3A8C"/>
            <w:u w:val="single"/>
          </w:rPr>
          <w:t xml:space="preserve">Artikel 103</w:t>
        </w:r>
      </w:hyperlink>
      <w:r>
        <w:t xml:space="preserve"> erlassenen Vorschriften entscheiden die Behörden der Mitgliedstaaten im Einklang mit ihren eigenen Rechtsvorschriften und den Bestimmungen der </w:t>
      </w:r>
      <w:hyperlink w:anchor="b127" w:history="1">
        <w:r>
          <w:rPr>
            <w:color w:val="0A3A8C"/>
            <w:u w:val="single"/>
          </w:rPr>
          <w:t xml:space="preserve">Artikel 101</w:t>
        </w:r>
      </w:hyperlink>
      <w:r>
        <w:t>, insbesondere Absatz 3, und 102 über die Zulässigkeit von Vereinbarungen, Beschlüssen und aufeinander abgestimmten Verhaltensweisen sowie über die missbräuchliche Ausnutzung einer beherrschenden Stellung auf dem Binnenmarkt.</w:t>
      </w:r>
    </w:p>
    <w:p>
      <w:pPr>
        <w:pStyle w:val="Heading5"/>
      </w:pPr>
      <w:bookmarkStart w:id="134" w:name="b131"/>
      <w:r>
        <w:t>Art 105</w:t>
      </w:r>
      <w:r>
        <w:t xml:space="preserve"> </w:t>
      </w:r>
      <w:r>
        <w:rPr>
          <w:rStyle w:val="Suchmarke"/>
        </w:rPr>
        <w:t>#105.#</w:t>
      </w:r>
      <w:bookmarkEnd w:id="134"/>
    </w:p>
    <w:p>
      <w:r>
        <w:rPr>
          <w:color w:val="404040"/>
          <w:sz w:val="21"/>
        </w:rPr>
        <w:t>(ex-Artikel 85 EGV)</w:t>
      </w:r>
    </w:p>
    <w:p>
      <w:r>
        <w:t xml:space="preserve">(1) </w:t>
      </w:r>
      <w:r>
        <w:rPr>
          <w:rStyle w:val="Satznummer"/>
        </w:rPr>
        <w:t>1</w:t>
      </w:r>
      <w:r>
        <w:t xml:space="preserve">Unbeschadet des </w:t>
      </w:r>
      <w:hyperlink w:anchor="b130" w:history="1">
        <w:r>
          <w:rPr>
            <w:color w:val="0A3A8C"/>
            <w:u w:val="single"/>
          </w:rPr>
          <w:t xml:space="preserve">Artikels 104</w:t>
        </w:r>
      </w:hyperlink>
      <w:r>
        <w:t xml:space="preserve"> achtet die Kommission auf die Verwirklichung der in den </w:t>
      </w:r>
      <w:hyperlink w:anchor="b127" w:history="1">
        <w:r>
          <w:rPr>
            <w:color w:val="0A3A8C"/>
            <w:u w:val="single"/>
          </w:rPr>
          <w:t xml:space="preserve">Artikeln 101</w:t>
        </w:r>
      </w:hyperlink>
      <w:r>
        <w:t xml:space="preserve"> und </w:t>
      </w:r>
      <w:hyperlink w:anchor="b128" w:history="1">
        <w:r>
          <w:rPr>
            <w:color w:val="0A3A8C"/>
            <w:u w:val="single"/>
          </w:rPr>
          <w:t xml:space="preserve">102</w:t>
        </w:r>
      </w:hyperlink>
      <w:r>
        <w:t xml:space="preserve"> niedergelegten Grundsätze. </w:t>
      </w:r>
      <w:r>
        <w:rPr>
          <w:rStyle w:val="Satznummer"/>
        </w:rPr>
        <w:t>2</w:t>
      </w:r>
      <w:r>
        <w:t xml:space="preserve">Sie untersucht auf Antrag eines Mitgliedstaats oder von Amts wegen in Verbindung mit den zuständigen Behörden der Mitgliedstaaten, die ihr Amtshilfe zu leisten haben, die Fälle, in denen Zuwiderhandlungen gegen diese Grundsätze vermutet werden. </w:t>
      </w:r>
      <w:r>
        <w:rPr>
          <w:rStyle w:val="Satznummer"/>
        </w:rPr>
        <w:t>3</w:t>
      </w:r>
      <w:r>
        <w:t>Stellt sie eine Zuwiderhandlung fest, so schlägt sie geeignete Mittel vor, um diese abzustellen.</w:t>
      </w:r>
    </w:p>
    <w:p>
      <w:r>
        <w:t xml:space="preserve">(2) </w:t>
      </w:r>
      <w:r>
        <w:rPr>
          <w:rStyle w:val="Satznummer"/>
        </w:rPr>
        <w:t>1</w:t>
      </w:r>
      <w:r>
        <w:t xml:space="preserve">Wird die Zuwiderhandlung nicht abgestellt, so trifft die Kommission in einem mit Gründen versehenen Beschluss die Feststellung, dass eine derartige Zuwiderhandlung vorliegt. </w:t>
      </w:r>
      <w:r>
        <w:rPr>
          <w:rStyle w:val="Satznummer"/>
        </w:rPr>
        <w:t>2</w:t>
      </w:r>
      <w:r>
        <w:t>Sie kann den Beschluss veröffentlichen und die Mitgliedstaaten ermächtigen, die erforderlichen Abhilfemaßnahmen zu treffen, deren Bedingungen und Einzelheiten sie festlegt.</w:t>
      </w:r>
    </w:p>
    <w:p>
      <w:r>
        <w:t>(3) Die Kommission kann Verordnungen zu den Gruppen von Vereinbarungen erlassen, zu denen der Rat nach Artikel 103 Absatz 2 Buchstabe b eine Verordnung oder Richtlinie erlassen hat.</w:t>
      </w:r>
    </w:p>
    <w:p>
      <w:pPr>
        <w:pStyle w:val="Heading5"/>
      </w:pPr>
      <w:bookmarkStart w:id="135" w:name="b132"/>
      <w:r>
        <w:t>Art 106</w:t>
      </w:r>
      <w:r>
        <w:t xml:space="preserve"> </w:t>
      </w:r>
      <w:r>
        <w:rPr>
          <w:rStyle w:val="Suchmarke"/>
        </w:rPr>
        <w:t>#106.#</w:t>
      </w:r>
      <w:bookmarkEnd w:id="135"/>
    </w:p>
    <w:p>
      <w:r>
        <w:rPr>
          <w:color w:val="404040"/>
          <w:sz w:val="21"/>
        </w:rPr>
        <w:t>(ex-Artikel 86 EGV)</w:t>
      </w:r>
    </w:p>
    <w:p>
      <w:r>
        <w:t xml:space="preserve">(1) Die Mitgliedstaaten werden in Bezug auf öffentliche Unternehmen und auf Unternehmen, denen sie besondere oder ausschließliche Rechte gewähren, keine den Verträgen und insbesondere den </w:t>
      </w:r>
      <w:hyperlink w:anchor="b22" w:history="1">
        <w:r>
          <w:rPr>
            <w:color w:val="0A3A8C"/>
            <w:u w:val="single"/>
          </w:rPr>
          <w:t xml:space="preserve">Artikeln 18</w:t>
        </w:r>
      </w:hyperlink>
      <w:r>
        <w:t xml:space="preserve"> und </w:t>
      </w:r>
      <w:hyperlink w:anchor="b127" w:history="1">
        <w:r>
          <w:rPr>
            <w:color w:val="0A3A8C"/>
            <w:u w:val="single"/>
          </w:rPr>
          <w:t xml:space="preserve">101</w:t>
        </w:r>
      </w:hyperlink>
      <w:r>
        <w:t xml:space="preserve"> bis </w:t>
      </w:r>
      <w:hyperlink w:anchor="b136" w:history="1">
        <w:r>
          <w:rPr>
            <w:color w:val="0A3A8C"/>
            <w:u w:val="single"/>
          </w:rPr>
          <w:t xml:space="preserve">109</w:t>
        </w:r>
      </w:hyperlink>
      <w:r>
        <w:t xml:space="preserve"> widersprechende Maßnahmen treffen oder beibehalten.</w:t>
      </w:r>
    </w:p>
    <w:p>
      <w:r>
        <w:t xml:space="preserve">(2) </w:t>
      </w:r>
      <w:r>
        <w:rPr>
          <w:rStyle w:val="Satznummer"/>
        </w:rPr>
        <w:t>1</w:t>
      </w:r>
      <w:r>
        <w:t xml:space="preserve">Für Unternehmen, die mit Dienstleistungen von allgemeinem wirtschaftlichem Interesse betraut sind oder den Charakter eines Finanzmonopols haben, gelten die Vorschriften der Verträge, insbesondere die Wettbewerbsregeln, soweit die Anwendung dieser Vorschriften nicht die Erfüllung der ihnen übertragenen besonderen Aufgabe rechtlich oder tatsächlich verhindert. </w:t>
      </w:r>
      <w:r>
        <w:rPr>
          <w:rStyle w:val="Satznummer"/>
        </w:rPr>
        <w:t>2</w:t>
      </w:r>
      <w:r>
        <w:t>Die Entwicklung des Handelsverkehrs darf nicht in einem Ausmaß beeinträchtigt werden, das dem Interesse der Union zuwiderläuft.</w:t>
      </w:r>
    </w:p>
    <w:p>
      <w:r>
        <w:t>(3) Die Kommission achtet auf die Anwendung dieses Artikels und richtet erforderlichenfalls geeignete Richtlinien oder Beschlüsse an die Mitgliedstaaten.</w:t>
      </w:r>
    </w:p>
    <w:p>
      <w:pPr>
        <w:pStyle w:val="Heading4"/>
      </w:pPr>
      <w:bookmarkStart w:id="136" w:name="b133"/>
      <w:r>
        <w:t>ABSCHNITT 2 STAATLICHE BEIHILFEN</w:t>
      </w:r>
      <w:bookmarkEnd w:id="136"/>
    </w:p>
    <w:p>
      <w:pPr>
        <w:pStyle w:val="Heading5"/>
      </w:pPr>
      <w:bookmarkStart w:id="137" w:name="b134"/>
      <w:r>
        <w:t>Art 107</w:t>
      </w:r>
      <w:r>
        <w:t xml:space="preserve"> </w:t>
      </w:r>
      <w:r>
        <w:rPr>
          <w:rStyle w:val="Suchmarke"/>
        </w:rPr>
        <w:t>#107.#</w:t>
      </w:r>
      <w:bookmarkEnd w:id="137"/>
    </w:p>
    <w:p>
      <w:r>
        <w:rPr>
          <w:color w:val="404040"/>
          <w:sz w:val="21"/>
        </w:rPr>
        <w:t>(ex-Artikel 87 EGV)</w:t>
      </w:r>
    </w:p>
    <w:p>
      <w:r>
        <w:t>(1) Soweit in den Verträgen nicht etwas anderes bestimmt ist, sind staatliche oder aus staatlichen Mitteln gewährte Beihilfen gleich welcher Art, die durch die Begünstigung bestimmter Unternehmen oder Produktionszweige den Wettbewerb verfälschen oder zu verfälschen drohen, mit dem Binnenmarkt unvereinbar, soweit sie den Handel zwischen Mitgliedstaaten beeinträchtigen.</w:t>
      </w:r>
    </w:p>
    <w:p>
      <w:r>
        <w:t>(2) Mit dem Binnenmarkt vereinbar sind:</w:t>
      </w:r>
    </w:p>
    <w:p>
      <w:pPr>
        <w:tabs>
          <w:tab w:pos="567" w:val="left"/>
        </w:tabs>
        <w:ind w:left="567" w:hanging="567"/>
      </w:pPr>
      <w:r>
        <w:t>a)</w:t>
      </w:r>
      <w:r>
        <w:tab/>
      </w:r>
      <w:r>
        <w:t>Beihilfen sozialer Art an einzelne Verbraucher, wenn sie ohne Diskriminierung nach der Herkunft der Waren gewährt werden;</w:t>
      </w:r>
    </w:p>
    <w:p>
      <w:pPr>
        <w:tabs>
          <w:tab w:pos="567" w:val="left"/>
        </w:tabs>
        <w:ind w:left="567" w:hanging="567"/>
      </w:pPr>
      <w:r>
        <w:t>b)</w:t>
      </w:r>
      <w:r>
        <w:tab/>
      </w:r>
      <w:r>
        <w:t>Beihilfen zur Beseitigung von Schäden, die durch Naturkatastrophen oder sonstige außergewöhnliche Ereignisse entstanden sind;</w:t>
      </w:r>
    </w:p>
    <w:p>
      <w:pPr>
        <w:tabs>
          <w:tab w:pos="567" w:val="left"/>
        </w:tabs>
        <w:ind w:left="567" w:hanging="567"/>
      </w:pPr>
      <w:r>
        <w:t>c)</w:t>
      </w:r>
      <w:r>
        <w:tab/>
      </w:r>
      <w:r>
        <w:t xml:space="preserve">Beihilfen für die Wirtschaft bestimmter, durch die Teilung Deutschlands betroffener Gebiete der Bundesrepublik Deutschland, soweit sie zum Ausgleich der durch die Teilung verursachten wirtschaftlichen Nachteile erforderlich sind. </w:t>
      </w:r>
      <w:r>
        <w:rPr>
          <w:rStyle w:val="Satznummer"/>
        </w:rPr>
        <w:t>2</w:t>
      </w:r>
      <w:r>
        <w:t>Der Rat kann fünf Jahre nach dem Inkrafttreten des Vertrags von Lissabon auf Vorschlag der Kommission einen Beschluss erlassen, mit dem dieser Buchstabe aufgehoben wird.</w:t>
      </w:r>
    </w:p>
    <w:p>
      <w:r>
        <w:t>(3) Als mit dem Binnenmarkt vereinbar können angesehen werden:</w:t>
      </w:r>
    </w:p>
    <w:p>
      <w:pPr>
        <w:tabs>
          <w:tab w:pos="567" w:val="left"/>
        </w:tabs>
        <w:ind w:left="567" w:hanging="567"/>
      </w:pPr>
      <w:r>
        <w:t>a)</w:t>
      </w:r>
      <w:r>
        <w:tab/>
      </w:r>
      <w:r>
        <w:t xml:space="preserve">Beihilfen zur Förderung der wirtschaftlichen Entwicklung von Gebieten, in denen die Lebenshaltung außergewöhnlich niedrig ist oder eine erhebliche Unterbeschäftigung herrscht, sowie der in </w:t>
      </w:r>
      <w:hyperlink w:anchor="b438" w:history="1">
        <w:r>
          <w:rPr>
            <w:color w:val="0A3A8C"/>
            <w:u w:val="single"/>
          </w:rPr>
          <w:t xml:space="preserve">Artikel 349</w:t>
        </w:r>
      </w:hyperlink>
      <w:r>
        <w:t xml:space="preserve"> genannten Gebiete unter Berücksichtigung ihrer strukturellen, wirtschaftlichen und sozialen Lage;</w:t>
      </w:r>
    </w:p>
    <w:p>
      <w:pPr>
        <w:tabs>
          <w:tab w:pos="567" w:val="left"/>
        </w:tabs>
        <w:ind w:left="567" w:hanging="567"/>
      </w:pPr>
      <w:r>
        <w:t>b)</w:t>
      </w:r>
      <w:r>
        <w:tab/>
      </w:r>
      <w:r>
        <w:t>Beihilfen zur Förderung wichtiger Vorhaben von gemeinsamem europäischem Interesse oder zur Behebung einer beträchtlichen Störung im Wirtschaftsleben eines Mitgliedstaats;</w:t>
      </w:r>
    </w:p>
    <w:p>
      <w:pPr>
        <w:tabs>
          <w:tab w:pos="567" w:val="left"/>
        </w:tabs>
        <w:ind w:left="567" w:hanging="567"/>
      </w:pPr>
      <w:r>
        <w:t>c)</w:t>
      </w:r>
      <w:r>
        <w:tab/>
      </w:r>
      <w:r>
        <w:t>Beihilfen zur Förderung der Entwicklung gewisser Wirtschaftszweige oder Wirtschaftsgebiete, soweit sie die Handelsbedingungen nicht in einer Weise verändern, die dem gemeinsamen Interesse zuwiderläuft;</w:t>
      </w:r>
    </w:p>
    <w:p>
      <w:pPr>
        <w:tabs>
          <w:tab w:pos="567" w:val="left"/>
        </w:tabs>
        <w:ind w:left="567" w:hanging="567"/>
      </w:pPr>
      <w:r>
        <w:t>d)</w:t>
      </w:r>
      <w:r>
        <w:tab/>
      </w:r>
      <w:r>
        <w:t>Beihilfen zur Förderung der Kultur und der Erhaltung des kulturellen Erbes, soweit sie die Handels- und Wettbewerbsbedingungen in der Union nicht in einem Maß beeinträchtigen, das dem gemeinsamen Interesse zuwiderläuft;</w:t>
      </w:r>
    </w:p>
    <w:p>
      <w:pPr>
        <w:tabs>
          <w:tab w:pos="567" w:val="left"/>
        </w:tabs>
        <w:ind w:left="567" w:hanging="567"/>
      </w:pPr>
      <w:r>
        <w:t>e)</w:t>
      </w:r>
      <w:r>
        <w:tab/>
      </w:r>
      <w:r>
        <w:t>sonstige Arten von Beihilfen, die der Rat durch einen Beschluss auf Vorschlag der Kommission bestimmt.</w:t>
      </w:r>
    </w:p>
    <w:p>
      <w:pPr>
        <w:pStyle w:val="Heading5"/>
      </w:pPr>
      <w:bookmarkStart w:id="138" w:name="b135"/>
      <w:r>
        <w:t>Art 108</w:t>
      </w:r>
      <w:r>
        <w:t xml:space="preserve"> </w:t>
      </w:r>
      <w:r>
        <w:rPr>
          <w:rStyle w:val="Suchmarke"/>
        </w:rPr>
        <w:t>#108.#</w:t>
      </w:r>
      <w:bookmarkEnd w:id="138"/>
    </w:p>
    <w:p>
      <w:r>
        <w:rPr>
          <w:color w:val="404040"/>
          <w:sz w:val="21"/>
        </w:rPr>
        <w:t>(ex-Artikel 88 EGV)</w:t>
      </w:r>
    </w:p>
    <w:p>
      <w:r>
        <w:t xml:space="preserve">(1) </w:t>
      </w:r>
      <w:r>
        <w:rPr>
          <w:rStyle w:val="Satznummer"/>
        </w:rPr>
        <w:t>1</w:t>
      </w:r>
      <w:r>
        <w:t xml:space="preserve">Die Kommission überprüft fortlaufend in Zusammenarbeit mit den Mitgliedstaaten die in diesen bestehenden Beihilferegelungen. </w:t>
      </w:r>
      <w:r>
        <w:rPr>
          <w:rStyle w:val="Satznummer"/>
        </w:rPr>
        <w:t>2</w:t>
      </w:r>
      <w:r>
        <w:t>Sie schlägt ihnen die zweckdienlichen Maßnahmen vor, welche die fortschreitende Entwicklung und das Funktionieren des Binnenmarkts erfordern.</w:t>
      </w:r>
    </w:p>
    <w:p>
      <w:r>
        <w:t xml:space="preserve">(2) Stellt die Kommission fest, nachdem sie den Beteiligten eine Frist zur Äußerung gesetzt hat, dass eine von einem Staat oder aus staatlichen Mitteln gewährte Beihilfe mit dem Binnenmarkt nach </w:t>
      </w:r>
      <w:hyperlink w:anchor="b134" w:history="1">
        <w:r>
          <w:rPr>
            <w:color w:val="0A3A8C"/>
            <w:u w:val="single"/>
          </w:rPr>
          <w:t xml:space="preserve">Artikel 107</w:t>
        </w:r>
      </w:hyperlink>
      <w:r>
        <w:t xml:space="preserve"> unvereinbar ist oder dass sie missbräuchlich angewandt wird, so beschließt sie, dass der betreffende Staat sie binnen einer von ihr bestimmten Frist aufzuheben oder umzugestalten hat.</w:t>
      </w:r>
    </w:p>
    <w:p>
      <w:r>
        <w:t>Kommt der betreffende Staat diesem Beschluss innerhalb der festgesetzten Frist nicht nach, so kann die Kommission oder jeder betroffene Staat in Abweichung von den Artikeln 258 und 259 den Gerichtshof der Europäischen Union unmittelbar anrufen.</w:t>
      </w:r>
    </w:p>
    <w:p>
      <w:r>
        <w:rPr>
          <w:rStyle w:val="Satznummer"/>
        </w:rPr>
        <w:t>1</w:t>
      </w:r>
      <w:r>
        <w:t xml:space="preserve">Der Rat kann einstimmig auf Antrag eines Mitgliedstaats beschließen, dass eine von diesem Staat gewährte oder geplante Beihilfe in Abweichung von </w:t>
      </w:r>
      <w:hyperlink w:anchor="b134" w:history="1">
        <w:r>
          <w:rPr>
            <w:color w:val="0A3A8C"/>
            <w:u w:val="single"/>
          </w:rPr>
          <w:t xml:space="preserve">Artikel 107</w:t>
        </w:r>
      </w:hyperlink>
      <w:r>
        <w:t xml:space="preserve"> oder von den nach </w:t>
      </w:r>
      <w:hyperlink w:anchor="b136" w:history="1">
        <w:r>
          <w:rPr>
            <w:color w:val="0A3A8C"/>
            <w:u w:val="single"/>
          </w:rPr>
          <w:t xml:space="preserve">Artikel 109</w:t>
        </w:r>
      </w:hyperlink>
      <w:r>
        <w:t xml:space="preserve"> erlassenen Verordnungen als mit dem Binnenmarkt vereinbar gilt, wenn außergewöhnliche Umstände einen solchen Beschluss rechtfertigen. </w:t>
      </w:r>
      <w:r>
        <w:rPr>
          <w:rStyle w:val="Satznummer"/>
        </w:rPr>
        <w:t>2</w:t>
      </w:r>
      <w:r>
        <w:t>Hat die Kommission bezüglich dieser Beihilfe das in Unterabsatz 1 dieses Absatzes vorgesehene Verfahren bereits eingeleitet, so bewirkt der Antrag des betreffenden Staates an den Rat die Aussetzung dieses Verfahrens, bis der Rat sich geäußert hat.</w:t>
      </w:r>
    </w:p>
    <w:p>
      <w:r>
        <w:t>Äußert sich der Rat nicht binnen drei Monaten nach Antragstellung, so beschließt die Kommission.</w:t>
      </w:r>
    </w:p>
    <w:p>
      <w:r>
        <w:t xml:space="preserve">(3) </w:t>
      </w:r>
      <w:r>
        <w:rPr>
          <w:rStyle w:val="Satznummer"/>
        </w:rPr>
        <w:t>1</w:t>
      </w:r>
      <w:r>
        <w:t xml:space="preserve">Die Kommission wird von jeder beabsichtigten Einführung oder Umgestaltung von Beihilfen so rechtzeitig unterrichtet, dass sie sich dazu äußern kann. </w:t>
      </w:r>
      <w:r>
        <w:rPr>
          <w:rStyle w:val="Satznummer"/>
        </w:rPr>
        <w:t>2</w:t>
      </w:r>
      <w:r>
        <w:t xml:space="preserve">Ist sie der Auffassung, dass ein derartiges Vorhaben nach </w:t>
      </w:r>
      <w:hyperlink w:anchor="b134" w:history="1">
        <w:r>
          <w:rPr>
            <w:color w:val="0A3A8C"/>
            <w:u w:val="single"/>
          </w:rPr>
          <w:t xml:space="preserve">Artikel 107</w:t>
        </w:r>
      </w:hyperlink>
      <w:r>
        <w:t xml:space="preserve"> mit dem Binnenmarkt unvereinbar ist, so leitet sie unverzüglich das in Absatz 2 vorgesehene Verfahren ein. </w:t>
      </w:r>
      <w:r>
        <w:rPr>
          <w:rStyle w:val="Satznummer"/>
        </w:rPr>
        <w:t>3</w:t>
      </w:r>
      <w:r>
        <w:t>Der betreffende Mitgliedstaat darf die beabsichtigte Maßnahme nicht durchführen, bevor die Kommission einen abschließenden Beschluss erlassen hat.</w:t>
      </w:r>
    </w:p>
    <w:p>
      <w:r>
        <w:t xml:space="preserve">(4) Die Kommission kann Verordnungen zu den Arten von staatlichen Beihilfen erlassen, für die der Rat nach </w:t>
      </w:r>
      <w:hyperlink w:anchor="b136" w:history="1">
        <w:r>
          <w:rPr>
            <w:color w:val="0A3A8C"/>
            <w:u w:val="single"/>
          </w:rPr>
          <w:t xml:space="preserve">Artikel 109</w:t>
        </w:r>
      </w:hyperlink>
      <w:r>
        <w:t xml:space="preserve"> festgelegt hat, dass sie von dem Verfahren nach Absatz 3 ausgenommen werden können.</w:t>
      </w:r>
    </w:p>
    <w:p>
      <w:pPr>
        <w:pStyle w:val="Heading5"/>
      </w:pPr>
      <w:bookmarkStart w:id="139" w:name="b136"/>
      <w:r>
        <w:t>Art 109</w:t>
      </w:r>
      <w:r>
        <w:t xml:space="preserve"> </w:t>
      </w:r>
      <w:r>
        <w:rPr>
          <w:rStyle w:val="Suchmarke"/>
        </w:rPr>
        <w:t>#109.#</w:t>
      </w:r>
      <w:bookmarkEnd w:id="139"/>
    </w:p>
    <w:p>
      <w:r>
        <w:rPr>
          <w:color w:val="404040"/>
          <w:sz w:val="21"/>
        </w:rPr>
        <w:t>(ex-Artikel 89 EGV)</w:t>
      </w:r>
    </w:p>
    <w:p>
      <w:r>
        <w:t xml:space="preserve">Der Rat kann auf Vorschlag der Kommission und nach Anhörung des Europäischen Parlaments alle zweckdienlichen Durchführungsverordnungen zu den </w:t>
      </w:r>
      <w:hyperlink w:anchor="b134" w:history="1">
        <w:r>
          <w:rPr>
            <w:color w:val="0A3A8C"/>
            <w:u w:val="single"/>
          </w:rPr>
          <w:t xml:space="preserve">Artikeln 107</w:t>
        </w:r>
      </w:hyperlink>
      <w:r>
        <w:t xml:space="preserve"> und </w:t>
      </w:r>
      <w:hyperlink w:anchor="b135" w:history="1">
        <w:r>
          <w:rPr>
            <w:color w:val="0A3A8C"/>
            <w:u w:val="single"/>
          </w:rPr>
          <w:t xml:space="preserve">108</w:t>
        </w:r>
      </w:hyperlink>
      <w:r>
        <w:t xml:space="preserve"> erlassen und insbesondere die Bedingungen für die Anwendung des </w:t>
      </w:r>
      <w:hyperlink w:anchor="b135" w:history="1">
        <w:r>
          <w:rPr>
            <w:color w:val="0A3A8C"/>
            <w:u w:val="single"/>
          </w:rPr>
          <w:t xml:space="preserve">Artikels 108</w:t>
        </w:r>
      </w:hyperlink>
      <w:r>
        <w:t xml:space="preserve"> Absatz 3 sowie diejenigen Arten von Beihilfen festlegen, die von diesem Verfahren ausgenommen sind.</w:t>
      </w:r>
    </w:p>
    <w:p>
      <w:pPr>
        <w:pStyle w:val="Heading3"/>
      </w:pPr>
      <w:bookmarkStart w:id="140" w:name="b137"/>
      <w:r>
        <w:t>KAPITEL 2 STEUERLICHE VORSCHRIFTEN</w:t>
      </w:r>
      <w:bookmarkEnd w:id="140"/>
    </w:p>
    <w:p>
      <w:pPr>
        <w:pStyle w:val="Heading4"/>
      </w:pPr>
      <w:bookmarkStart w:id="141" w:name="b138"/>
      <w:r>
        <w:t>Art 110</w:t>
      </w:r>
      <w:r>
        <w:t xml:space="preserve"> </w:t>
      </w:r>
      <w:r>
        <w:rPr>
          <w:rStyle w:val="Suchmarke"/>
        </w:rPr>
        <w:t>#110.#</w:t>
      </w:r>
      <w:bookmarkEnd w:id="141"/>
    </w:p>
    <w:p>
      <w:r>
        <w:rPr>
          <w:color w:val="404040"/>
          <w:sz w:val="21"/>
        </w:rPr>
        <w:t>(ex-Artikel 90 EGV)</w:t>
      </w:r>
    </w:p>
    <w:p>
      <w:r>
        <w:t>Die Mitgliedstaaten erheben auf Waren aus anderen Mitgliedstaaten weder unmittelbar noch mittelbar höhere inländische Abgaben gleich welcher Art, als gleichartige inländische Waren unmittelbar oder mittelbar zu tragen haben.</w:t>
      </w:r>
    </w:p>
    <w:p>
      <w:r>
        <w:t>Die Mitgliedstaaten erheben auf Waren aus anderen Mitgliedstaaten keine inländischen Abgaben, die geeignet sind, andere Produktionen mittelbar zu schützen.</w:t>
      </w:r>
    </w:p>
    <w:p>
      <w:pPr>
        <w:pStyle w:val="Heading4"/>
      </w:pPr>
      <w:bookmarkStart w:id="142" w:name="b139"/>
      <w:r>
        <w:t>Art 111</w:t>
      </w:r>
      <w:r>
        <w:t xml:space="preserve"> </w:t>
      </w:r>
      <w:r>
        <w:rPr>
          <w:rStyle w:val="Suchmarke"/>
        </w:rPr>
        <w:t>#111.#</w:t>
      </w:r>
      <w:bookmarkEnd w:id="142"/>
    </w:p>
    <w:p>
      <w:r>
        <w:rPr>
          <w:color w:val="404040"/>
          <w:sz w:val="21"/>
        </w:rPr>
        <w:t>(ex-Artikel 91 EGV)</w:t>
      </w:r>
    </w:p>
    <w:p>
      <w:r>
        <w:t>Werden Waren in das Hoheitsgebiet eines Mitgliedstaats ausgeführt, so darf die Rückvergütung für inländische Abgaben nicht höher sein als die auf die ausgeführten Waren mittelbar oder unmittelbar erhobenen inländischen Abgaben.</w:t>
      </w:r>
    </w:p>
    <w:p>
      <w:pPr>
        <w:pStyle w:val="Heading4"/>
      </w:pPr>
      <w:bookmarkStart w:id="143" w:name="b140"/>
      <w:r>
        <w:t>Art 112</w:t>
      </w:r>
      <w:r>
        <w:t xml:space="preserve"> </w:t>
      </w:r>
      <w:r>
        <w:rPr>
          <w:rStyle w:val="Suchmarke"/>
        </w:rPr>
        <w:t>#112.#</w:t>
      </w:r>
      <w:bookmarkEnd w:id="143"/>
    </w:p>
    <w:p>
      <w:r>
        <w:rPr>
          <w:color w:val="404040"/>
          <w:sz w:val="21"/>
        </w:rPr>
        <w:t>(ex-Artikel 92 EGV)</w:t>
      </w:r>
    </w:p>
    <w:p>
      <w:r>
        <w:t>Für Abgaben außer Umsatzsteuern, Verbrauchsabgaben und sonstigen indirekten Steuern sind Entlastungen und Rückvergütungen bei der Ausfuhr nach anderen Mitgliedstaaten sowie Ausgleichsabgaben bei der Einfuhr aus den Mitgliedstaaten nur zulässig, soweit der Rat sie vorher auf Vorschlag der Kommission für eine begrenzte Frist genehmigt hat.</w:t>
      </w:r>
    </w:p>
    <w:p>
      <w:pPr>
        <w:pStyle w:val="Heading4"/>
      </w:pPr>
      <w:bookmarkStart w:id="144" w:name="b141"/>
      <w:r>
        <w:t>Art 113</w:t>
      </w:r>
      <w:r>
        <w:t xml:space="preserve"> </w:t>
      </w:r>
      <w:r>
        <w:rPr>
          <w:rStyle w:val="Suchmarke"/>
        </w:rPr>
        <w:t>#113.#</w:t>
      </w:r>
      <w:bookmarkEnd w:id="144"/>
    </w:p>
    <w:p>
      <w:r>
        <w:rPr>
          <w:color w:val="404040"/>
          <w:sz w:val="21"/>
        </w:rPr>
        <w:t>(ex-Artikel 93 EGV)</w:t>
      </w:r>
    </w:p>
    <w:p>
      <w:r>
        <w:t>Der Rat erlässt gemäß einem besonderen Gesetzgebungsverfahren und nach Anhörung des Europäischen Parlaments und des Wirtschafts- und Sozialausschusses einstimmig die Bestimmungen zur Harmonisierung der Rechtsvorschriften über die Umsatzsteuern, die Verbrauchsabgaben und sonstige indirekte Steuern, soweit diese Harmonisierung für die Errichtung und das Funktionieren des Binnenmarkts und die Vermeidung von Wettbewerbsverzerrungen notwendig ist.</w:t>
      </w:r>
    </w:p>
    <w:p>
      <w:pPr>
        <w:pStyle w:val="Heading3"/>
      </w:pPr>
      <w:bookmarkStart w:id="145" w:name="b142"/>
      <w:r>
        <w:t>KAPITEL 3 ANGLEICHUNG DER RECHTSVORSCHRIFTEN</w:t>
      </w:r>
      <w:bookmarkEnd w:id="145"/>
    </w:p>
    <w:p>
      <w:pPr>
        <w:pStyle w:val="Heading4"/>
      </w:pPr>
      <w:bookmarkStart w:id="146" w:name="b143"/>
      <w:r>
        <w:t>Art 114</w:t>
      </w:r>
      <w:r>
        <w:t xml:space="preserve"> </w:t>
      </w:r>
      <w:r>
        <w:rPr>
          <w:rStyle w:val="Suchmarke"/>
        </w:rPr>
        <w:t>#114.#</w:t>
      </w:r>
      <w:bookmarkEnd w:id="146"/>
    </w:p>
    <w:p>
      <w:r>
        <w:rPr>
          <w:color w:val="404040"/>
          <w:sz w:val="21"/>
        </w:rPr>
        <w:t>(ex-Artikel 95 EGV)</w:t>
      </w:r>
    </w:p>
    <w:p>
      <w:r>
        <w:t xml:space="preserve">(1) </w:t>
      </w:r>
      <w:r>
        <w:rPr>
          <w:rStyle w:val="Satznummer"/>
        </w:rPr>
        <w:t>1</w:t>
      </w:r>
      <w:r>
        <w:t xml:space="preserve">Soweit in den Verträgen nichts anderes bestimmt ist, gilt für die Verwirklichung der Ziele des </w:t>
      </w:r>
      <w:hyperlink w:anchor="b32" w:history="1">
        <w:r>
          <w:rPr>
            <w:color w:val="0A3A8C"/>
            <w:u w:val="single"/>
          </w:rPr>
          <w:t xml:space="preserve">Artikels 26</w:t>
        </w:r>
      </w:hyperlink>
      <w:r>
        <w:t xml:space="preserve"> die nachstehende Regelung. </w:t>
      </w:r>
      <w:r>
        <w:rPr>
          <w:rStyle w:val="Satznummer"/>
        </w:rPr>
        <w:t>2</w:t>
      </w:r>
      <w:r>
        <w:t>Das Europäische Parlament und der Rat erlassen gemäß dem ordentlichen Gesetzgebungsverfahren und nach Anhörung des Wirtschafts- und Sozialausschusses die Maßnahmen zur Angleichung der Rechts- und Verwaltungsvorschriften der Mitgliedstaaten, welche die Errichtung und das Funktionieren des Binnenmarkts zum Gegenstand haben.</w:t>
      </w:r>
    </w:p>
    <w:p>
      <w:r>
        <w:t>(2) Absatz 1 gilt nicht für die Bestimmungen über die Steuern, die Bestimmungen über die Freizügigkeit und die Bestimmungen über die Rechte und Interessen der Arbeitnehmer.</w:t>
      </w:r>
    </w:p>
    <w:p>
      <w:r>
        <w:t xml:space="preserve">(3) </w:t>
      </w:r>
      <w:r>
        <w:rPr>
          <w:rStyle w:val="Satznummer"/>
        </w:rPr>
        <w:t>1</w:t>
      </w:r>
      <w:r>
        <w:t xml:space="preserve">Die Kommission geht in ihren Vorschlägen nach Absatz 1 in den Bereichen Gesundheit, Sicherheit, Umweltschutz und Verbraucherschutz von einem hohen Schutzniveau aus und berücksichtigt dabei insbesondere alle auf wissenschaftliche Ergebnisse gestützten neuen Entwicklungen. </w:t>
      </w:r>
      <w:r>
        <w:rPr>
          <w:rStyle w:val="Satznummer"/>
        </w:rPr>
        <w:t>2</w:t>
      </w:r>
      <w:r>
        <w:t>Im Rahmen ihrer jeweiligen Befugnisse streben das Europäische Parlament und der Rat dieses Ziel ebenfalls an.</w:t>
      </w:r>
    </w:p>
    <w:p>
      <w:r>
        <w:t xml:space="preserve">(4) Hält es ein Mitgliedstaat nach dem Erlass einer Harmonisierungsmaßnahme durch das Europäische Parlament und den Rat beziehungsweise durch den Rat oder die Kommission für erforderlich, einzelstaatliche Bestimmungen beizubehalten, die durch wichtige Erfordernisse im Sinne des </w:t>
      </w:r>
      <w:hyperlink w:anchor="b46" w:history="1">
        <w:r>
          <w:rPr>
            <w:color w:val="0A3A8C"/>
            <w:u w:val="single"/>
          </w:rPr>
          <w:t xml:space="preserve">Artikels 36</w:t>
        </w:r>
      </w:hyperlink>
      <w:r>
        <w:t xml:space="preserve"> oder in Bezug auf den Schutz der Arbeitsumwelt oder den Umweltschutz gerechtfertigt sind, so teilt er diese Bestimmungen sowie die Gründe für ihre Beibehaltung der Kommission mit.</w:t>
      </w:r>
    </w:p>
    <w:p>
      <w:r>
        <w:t>(5) Unbeschadet des Absatzes 4 teilt ferner ein Mitgliedstaat, der es nach dem Erlass einer Harmonisierungsmaßnahme durch das Europäische Parlament und den Rat beziehungsweise durch den Rat oder die Kommission für erforderlich hält, auf neue wissenschaftliche Erkenntnisse gestützte einzelstaatliche Bestimmungen zum Schutz der Umwelt oder der Arbeitsumwelt aufgrund eines spezifischen Problems für diesen Mitgliedstaat, das sich nach dem Erlass der Harmonisierungsmaßnahme ergibt, einzuführen, die in Aussicht genommenen Bestimmungen sowie die Gründe für ihre Einführung der Kommission mit.</w:t>
      </w:r>
    </w:p>
    <w:p>
      <w:r>
        <w:t>(6) Die Kommission beschließt binnen sechs Monaten nach den Mitteilungen nach den Absätzen 4 und 5, die betreffenden einzelstaatlichen Bestimmungen zu billigen oder abzulehnen, nachdem sie geprüft hat, ob sie ein Mittel zur willkürlichen Diskriminierung und eine verschleierte Beschränkung des Handels zwischen den Mitgliedstaaten darstellen und ob sie das Funktionieren des Binnenmarkts behindern.</w:t>
      </w:r>
    </w:p>
    <w:p>
      <w:r>
        <w:t>Erlässt die Kommission innerhalb dieses Zeitraums keinen Beschluss, so gelten die in den Absätzen 4 und 5 genannten einzelstaatlichen Bestimmungen als gebilligt.</w:t>
      </w:r>
    </w:p>
    <w:p>
      <w:r>
        <w:t>Die Kommission kann, sofern dies aufgrund des schwierigen Sachverhalts gerechtfertigt ist und keine Gefahr für die menschliche Gesundheit besteht, dem betreffenden Mitgliedstaat mitteilen, dass der in diesem Absatz genannte Zeitraum gegebenenfalls um einen weiteren Zeitraum von bis zu sechs Monaten verlängert wird.</w:t>
      </w:r>
    </w:p>
    <w:p>
      <w:r>
        <w:t>(7) Wird es einem Mitgliedstaat nach Absatz 6 gestattet, von der Harmonisierungsmaßnahme abweichende einzelstaatliche Bestimmungen beizubehalten oder einzuführen, so prüft die Kommission unverzüglich, ob sie eine Anpassung dieser Maßnahme vorschlägt.</w:t>
      </w:r>
    </w:p>
    <w:p>
      <w:r>
        <w:t>(8) Wirft ein Mitgliedstaat in einem Bereich, der zuvor bereits Gegenstand von Harmonisierungsmaßnahmen war, ein spezielles Gesundheitsproblem auf, so teilt er dies der Kommission mit, die dann umgehend prüft, ob sie dem Rat entsprechende Maßnahmen vorschlägt.</w:t>
      </w:r>
    </w:p>
    <w:p>
      <w:r>
        <w:t xml:space="preserve">(9) In Abweichung von dem Verfahren der </w:t>
      </w:r>
      <w:hyperlink w:anchor="b329" w:history="1">
        <w:r>
          <w:rPr>
            <w:color w:val="0A3A8C"/>
            <w:u w:val="single"/>
          </w:rPr>
          <w:t xml:space="preserve">Artikel 258</w:t>
        </w:r>
      </w:hyperlink>
      <w:r>
        <w:t xml:space="preserve"> und </w:t>
      </w:r>
      <w:hyperlink w:anchor="b330" w:history="1">
        <w:r>
          <w:rPr>
            <w:color w:val="0A3A8C"/>
            <w:u w:val="single"/>
          </w:rPr>
          <w:t xml:space="preserve">259</w:t>
        </w:r>
      </w:hyperlink>
      <w:r>
        <w:t xml:space="preserve"> kann die Kommission oder ein Mitgliedstaat den Gerichtshof der Europäischen Union unmittelbar anrufen, wenn die Kommission oder der Staat der Auffassung ist, dass ein anderer Mitgliedstaat die in diesem Artikel vorgesehenen Befugnisse missbraucht.</w:t>
      </w:r>
    </w:p>
    <w:p>
      <w:r>
        <w:t xml:space="preserve">(10) Die vorgenannten Harmonisierungsmaßnahmen sind in geeigneten Fällen mit einer Schutzklausel verbunden, welche die Mitgliedstaaten ermächtigt, aus einem oder mehreren der in </w:t>
      </w:r>
      <w:hyperlink w:anchor="b46" w:history="1">
        <w:r>
          <w:rPr>
            <w:color w:val="0A3A8C"/>
            <w:u w:val="single"/>
          </w:rPr>
          <w:t xml:space="preserve">Artikel 36</w:t>
        </w:r>
      </w:hyperlink>
      <w:r>
        <w:t xml:space="preserve"> genannten nicht wirtschaftlichen Gründe vorläufige Maßnahmen zu treffen, die einem Kontrollverfahren der Union unterliegen.</w:t>
      </w:r>
    </w:p>
    <w:p>
      <w:pPr>
        <w:pStyle w:val="Heading4"/>
      </w:pPr>
      <w:bookmarkStart w:id="147" w:name="b144"/>
      <w:r>
        <w:t>Art 115</w:t>
      </w:r>
      <w:r>
        <w:t xml:space="preserve"> </w:t>
      </w:r>
      <w:r>
        <w:rPr>
          <w:rStyle w:val="Suchmarke"/>
        </w:rPr>
        <w:t>#115.#</w:t>
      </w:r>
      <w:bookmarkEnd w:id="147"/>
    </w:p>
    <w:p>
      <w:r>
        <w:rPr>
          <w:color w:val="404040"/>
          <w:sz w:val="21"/>
        </w:rPr>
        <w:t>(ex-Artikel 94 EGV)</w:t>
      </w:r>
    </w:p>
    <w:p>
      <w:r>
        <w:t xml:space="preserve">Unbeschadet des </w:t>
      </w:r>
      <w:hyperlink w:anchor="b143" w:history="1">
        <w:r>
          <w:rPr>
            <w:color w:val="0A3A8C"/>
            <w:u w:val="single"/>
          </w:rPr>
          <w:t xml:space="preserve">Artikels 114</w:t>
        </w:r>
      </w:hyperlink>
      <w:r>
        <w:t xml:space="preserve"> erlässt der Rat gemäß einem besonderen Gesetzgebungsverfahren einstimmig und nach Anhörung des Europäischen Parlaments und des Wirtschafts- und Sozialausschusses Richtlinien für die Angleichung derjenigen Rechts- und Verwaltungsvorschriften der Mitgliedstaaten, die sich unmittelbar auf die Errichtung oder das Funktionieren des Binnenmarkts auswirken.</w:t>
      </w:r>
    </w:p>
    <w:p>
      <w:pPr>
        <w:pStyle w:val="Heading4"/>
      </w:pPr>
      <w:bookmarkStart w:id="148" w:name="b145"/>
      <w:r>
        <w:t>Art 116</w:t>
      </w:r>
      <w:r>
        <w:t xml:space="preserve"> </w:t>
      </w:r>
      <w:r>
        <w:rPr>
          <w:rStyle w:val="Suchmarke"/>
        </w:rPr>
        <w:t>#116.#</w:t>
      </w:r>
      <w:bookmarkEnd w:id="148"/>
    </w:p>
    <w:p>
      <w:r>
        <w:rPr>
          <w:color w:val="404040"/>
          <w:sz w:val="21"/>
        </w:rPr>
        <w:t>(ex-Artikel 96 EGV)</w:t>
      </w:r>
    </w:p>
    <w:p>
      <w:r>
        <w:t>Stellt die Kommission fest, dass vorhandene Unterschiede in den Rechts- und Verwaltungsvorschriften der Mitgliedstaaten die Wettbewerbsbedingungen auf dem Binnenmarkt verfälschen und dadurch eine Verzerrung hervorrufen, die zu beseitigen ist, so tritt sie mit den betreffenden Mitgliedstaaten in Beratungen ein.</w:t>
      </w:r>
    </w:p>
    <w:p>
      <w:r>
        <w:rPr>
          <w:rStyle w:val="Satznummer"/>
        </w:rPr>
        <w:t>1</w:t>
      </w:r>
      <w:r>
        <w:t xml:space="preserve">Führen diese Beratungen nicht zur Beseitigung dieser Verzerrung, so erlassen das Europäische Parlament und der Rat gemäß dem ordentlichen Gesetzgebungsverfahren die erforderlichen Richtlinien. </w:t>
      </w:r>
      <w:r>
        <w:rPr>
          <w:rStyle w:val="Satznummer"/>
        </w:rPr>
        <w:t>2</w:t>
      </w:r>
      <w:r>
        <w:t>Es können alle sonstigen in den Verträgen vorgesehenen zweckdienlichen Maßnahmen erlassen werden.</w:t>
      </w:r>
    </w:p>
    <w:p>
      <w:pPr>
        <w:pStyle w:val="Heading4"/>
      </w:pPr>
      <w:bookmarkStart w:id="149" w:name="b146"/>
      <w:r>
        <w:t>Art 117</w:t>
      </w:r>
      <w:r>
        <w:t xml:space="preserve"> </w:t>
      </w:r>
      <w:r>
        <w:rPr>
          <w:rStyle w:val="Suchmarke"/>
        </w:rPr>
        <w:t>#117.#</w:t>
      </w:r>
      <w:bookmarkEnd w:id="149"/>
    </w:p>
    <w:p>
      <w:r>
        <w:rPr>
          <w:color w:val="404040"/>
          <w:sz w:val="21"/>
        </w:rPr>
        <w:t>(ex-Artikel 97 EGV)</w:t>
      </w:r>
    </w:p>
    <w:p>
      <w:r>
        <w:t xml:space="preserve">(1) </w:t>
      </w:r>
      <w:r>
        <w:rPr>
          <w:rStyle w:val="Satznummer"/>
        </w:rPr>
        <w:t>1</w:t>
      </w:r>
      <w:r>
        <w:t xml:space="preserve">Ist zu befürchten, dass der Erlass oder die Änderung einer Rechts- oder Verwaltungsvorschrift eine Verzerrung im Sinne des </w:t>
      </w:r>
      <w:hyperlink w:anchor="b145" w:history="1">
        <w:r>
          <w:rPr>
            <w:color w:val="0A3A8C"/>
            <w:u w:val="single"/>
          </w:rPr>
          <w:t xml:space="preserve">Artikels 116</w:t>
        </w:r>
      </w:hyperlink>
      <w:r>
        <w:t xml:space="preserve"> verursacht, so setzt sich der Mitgliedstaat, der diese Maßnahme beabsichtigt, mit der Kommission ins Benehmen. </w:t>
      </w:r>
      <w:r>
        <w:rPr>
          <w:rStyle w:val="Satznummer"/>
        </w:rPr>
        <w:t>2</w:t>
      </w:r>
      <w:r>
        <w:t>Diese empfiehlt nach Beratung mit den Mitgliedstaaten den beteiligten Staaten die zur Vermeidung dieser Verzerrung geeigneten Maßnahmen.</w:t>
      </w:r>
    </w:p>
    <w:p>
      <w:r>
        <w:t xml:space="preserve">(2) </w:t>
      </w:r>
      <w:r>
        <w:rPr>
          <w:rStyle w:val="Satznummer"/>
        </w:rPr>
        <w:t>1</w:t>
      </w:r>
      <w:r>
        <w:t xml:space="preserve">Kommt der Staat, der innerstaatliche Vorschriften erlassen oder ändern will, der an ihn gerichteten Empfehlung der Kommission nicht nach, so kann nicht gemäß </w:t>
      </w:r>
      <w:hyperlink w:anchor="b145" w:history="1">
        <w:r>
          <w:rPr>
            <w:color w:val="0A3A8C"/>
            <w:u w:val="single"/>
          </w:rPr>
          <w:t xml:space="preserve">Artikel 116</w:t>
        </w:r>
      </w:hyperlink>
      <w:r>
        <w:t xml:space="preserve"> verlangt werden, dass die anderen Mitgliedstaaten ihre innerstaatlichen Vorschriften ändern, um die Verzerrung zu beseitigen. </w:t>
      </w:r>
      <w:r>
        <w:rPr>
          <w:rStyle w:val="Satznummer"/>
        </w:rPr>
        <w:t>2</w:t>
      </w:r>
      <w:r>
        <w:t xml:space="preserve">Verursacht ein Mitgliedstaat, der die Empfehlung der Kommission außer Acht lässt, eine Verzerrung lediglich zu seinem eigenen Nachteil, so findet </w:t>
      </w:r>
      <w:hyperlink w:anchor="b145" w:history="1">
        <w:r>
          <w:rPr>
            <w:color w:val="0A3A8C"/>
            <w:u w:val="single"/>
          </w:rPr>
          <w:t xml:space="preserve">Artikel 116</w:t>
        </w:r>
      </w:hyperlink>
      <w:r>
        <w:t xml:space="preserve"> keine Anwendung.</w:t>
      </w:r>
    </w:p>
    <w:p>
      <w:pPr>
        <w:pStyle w:val="Heading4"/>
      </w:pPr>
      <w:bookmarkStart w:id="150" w:name="b147"/>
      <w:r>
        <w:t>Art 118</w:t>
      </w:r>
      <w:r>
        <w:t xml:space="preserve"> </w:t>
      </w:r>
      <w:r>
        <w:rPr>
          <w:rStyle w:val="Suchmarke"/>
        </w:rPr>
        <w:t>#118.#</w:t>
      </w:r>
      <w:bookmarkEnd w:id="150"/>
    </w:p>
    <w:p>
      <w:r>
        <w:t>Im Rahmen der Verwirklichung oder des Funktionierens des Binnenmarkts erlassen das Europäische Parlament und der Rat gemäß dem ordentlichen Gesetzgebungsverfahren Maßnahmen zur Schaffung europäischer Rechtstitel über einen einheitlichen Schutz der Rechte des geistigen Eigentums in der Union sowie zur Einführung von zentralisierten Zulassungs-, Koordinierungs- und Kontrollregelungen auf Unionsebene.</w:t>
      </w:r>
    </w:p>
    <w:p>
      <w:r>
        <w:rPr>
          <w:rStyle w:val="Satznummer"/>
        </w:rPr>
        <w:t>1</w:t>
      </w:r>
      <w:r>
        <w:t xml:space="preserve">Der Rat legt gemäß einem besonderen Gesetzgebungsverfahren durch Verordnungen die Sprachenregelungen für die europäischen Rechtstitel fest. </w:t>
      </w:r>
      <w:r>
        <w:rPr>
          <w:rStyle w:val="Satznummer"/>
        </w:rPr>
        <w:t>2</w:t>
      </w:r>
      <w:r>
        <w:t>Der Rat beschließt einstimmig nach Anhörung des Europäischen Parlaments.</w:t>
      </w:r>
    </w:p>
    <w:p>
      <w:pPr>
        <w:pStyle w:val="Heading2"/>
      </w:pPr>
      <w:bookmarkStart w:id="151" w:name="b148"/>
      <w:r>
        <w:t>TITEL VIII DIE WIRTSCHAFTS- UND WÄHRUNGSPOLITIK</w:t>
      </w:r>
      <w:bookmarkEnd w:id="151"/>
    </w:p>
    <w:p>
      <w:pPr>
        <w:pStyle w:val="Heading3"/>
      </w:pPr>
      <w:bookmarkStart w:id="152" w:name="b149"/>
      <w:r>
        <w:t>Art 119</w:t>
      </w:r>
      <w:r>
        <w:t xml:space="preserve"> </w:t>
      </w:r>
      <w:r>
        <w:rPr>
          <w:rStyle w:val="Suchmarke"/>
        </w:rPr>
        <w:t>#119.#</w:t>
      </w:r>
      <w:bookmarkEnd w:id="152"/>
    </w:p>
    <w:p>
      <w:r>
        <w:rPr>
          <w:color w:val="404040"/>
          <w:sz w:val="21"/>
        </w:rPr>
        <w:t>(ex-Artikel 4 EGV)</w:t>
      </w:r>
    </w:p>
    <w:p>
      <w:r>
        <w:t>(1) Die Tätigkeit der Mitgliedstaaten und der Union im Sinne des Artikels 3 des Vertrags über die Europäische Union umfasst nach Maßgabe der Verträge die Einführung einer Wirtschaftspolitik, die auf einer engen Koordinierung der Wirtschaftspolitik der Mitgliedstaaten, dem Binnenmarkt und der Festlegung gemeinsamer Ziele beruht und dem Grundsatz einer offenen Marktwirtschaft mit freiem Wettbewerb verpflichtet ist.</w:t>
      </w:r>
    </w:p>
    <w:p>
      <w:r>
        <w:t>(2) Parallel dazu umfasst diese Tätigkeit nach Maßgabe der Verträge und der darin vorgesehenen Verfahren eine einheitliche Währung, den Euro, sowie die Festlegung und Durchführung einer einheitlichen Geld- sowie Wechselkurspolitik, die beide vorrangig das Ziel der Preisstabilität verfolgen und unbeschadet dieses Zieles die allgemeine Wirtschaftspolitik in der Union unter Beachtung des Grundsatzes einer offenen Marktwirtschaft mit freiem Wettbewerb unterstützen sollen.</w:t>
      </w:r>
    </w:p>
    <w:p>
      <w:r>
        <w:t>(3) Diese Tätigkeit der Mitgliedstaaten und der Union setzt die Einhaltung der folgenden richtungweisenden Grundsätze voraus: stabile Preise, gesunde öffentliche Finanzen und monetäre Rahmenbedingungen sowie eine tragfähige Zahlungsbilanz.</w:t>
      </w:r>
    </w:p>
    <w:p>
      <w:pPr>
        <w:pStyle w:val="Heading3"/>
      </w:pPr>
      <w:bookmarkStart w:id="153" w:name="b150"/>
      <w:r>
        <w:t>KAPITEL 1 DIE WIRTSCHAFTSPOLITIK</w:t>
      </w:r>
      <w:bookmarkEnd w:id="153"/>
    </w:p>
    <w:p>
      <w:pPr>
        <w:pStyle w:val="Heading4"/>
      </w:pPr>
      <w:bookmarkStart w:id="154" w:name="b151"/>
      <w:r>
        <w:t>Art 120</w:t>
      </w:r>
      <w:r>
        <w:t xml:space="preserve"> </w:t>
      </w:r>
      <w:r>
        <w:rPr>
          <w:rStyle w:val="Suchmarke"/>
        </w:rPr>
        <w:t>#120.#</w:t>
      </w:r>
      <w:bookmarkEnd w:id="154"/>
    </w:p>
    <w:p>
      <w:r>
        <w:rPr>
          <w:color w:val="404040"/>
          <w:sz w:val="21"/>
        </w:rPr>
        <w:t>(ex-Artikel 98 EGV)</w:t>
      </w:r>
    </w:p>
    <w:p>
      <w:r>
        <w:rPr>
          <w:rStyle w:val="Satznummer"/>
        </w:rPr>
        <w:t>1</w:t>
      </w:r>
      <w:r>
        <w:t xml:space="preserve">Die Mitgliedstaaten richten ihre Wirtschaftspolitik so aus, dass sie im Rahmen der in </w:t>
      </w:r>
      <w:hyperlink w:anchor="b152" w:history="1">
        <w:r>
          <w:rPr>
            <w:color w:val="0A3A8C"/>
            <w:u w:val="single"/>
          </w:rPr>
          <w:t xml:space="preserve">Artikel 121</w:t>
        </w:r>
      </w:hyperlink>
      <w:r>
        <w:t xml:space="preserve"> Absatz 2 genannten Grundzüge zur Verwirklichung der Ziele der Union im Sinne des Artikels 3 des Vertrags über die Europäische Union beitragen. </w:t>
      </w:r>
      <w:r>
        <w:rPr>
          <w:rStyle w:val="Satznummer"/>
        </w:rPr>
        <w:t>2</w:t>
      </w:r>
      <w:r>
        <w:t xml:space="preserve">Die Mitgliedstaaten und die Union handeln im Einklang mit dem Grundsatz einer offenen Marktwirtschaft mit freiem Wettbewerb, wodurch ein effizienter Einsatz der Ressourcen gefördert wird, und halten sich dabei an die in </w:t>
      </w:r>
      <w:hyperlink w:anchor="b149" w:history="1">
        <w:r>
          <w:rPr>
            <w:color w:val="0A3A8C"/>
            <w:u w:val="single"/>
          </w:rPr>
          <w:t xml:space="preserve">Artikel 119</w:t>
        </w:r>
      </w:hyperlink>
      <w:r>
        <w:t xml:space="preserve"> genannten Grundsätze.</w:t>
      </w:r>
    </w:p>
    <w:p>
      <w:pPr>
        <w:pStyle w:val="Heading4"/>
      </w:pPr>
      <w:bookmarkStart w:id="155" w:name="b152"/>
      <w:r>
        <w:t>Art 121</w:t>
      </w:r>
      <w:r>
        <w:t xml:space="preserve"> </w:t>
      </w:r>
      <w:r>
        <w:rPr>
          <w:rStyle w:val="Suchmarke"/>
        </w:rPr>
        <w:t>#121.#</w:t>
      </w:r>
      <w:bookmarkEnd w:id="155"/>
    </w:p>
    <w:p>
      <w:r>
        <w:rPr>
          <w:color w:val="404040"/>
          <w:sz w:val="21"/>
        </w:rPr>
        <w:t>(ex-Artikel 99 EGV)</w:t>
      </w:r>
    </w:p>
    <w:p>
      <w:r>
        <w:t xml:space="preserve">(1) Die Mitgliedstaaten betrachten ihre Wirtschaftspolitik als eine Angelegenheit von gemeinsamem Interesse und koordinieren sie im Rat nach Maßgabe des </w:t>
      </w:r>
      <w:hyperlink w:anchor="b151" w:history="1">
        <w:r>
          <w:rPr>
            <w:color w:val="0A3A8C"/>
            <w:u w:val="single"/>
          </w:rPr>
          <w:t xml:space="preserve">Artikels 120</w:t>
        </w:r>
      </w:hyperlink>
      <w:r>
        <w:t>.</w:t>
      </w:r>
    </w:p>
    <w:p>
      <w:r>
        <w:t>(2) Der Rat erstellt auf Empfehlung der Kommission einen Entwurf für die Grundzüge der Wirtschaftspolitik der Mitgliedstaaten und der Union und erstattet dem Europäischen Rat hierüber Bericht.</w:t>
      </w:r>
    </w:p>
    <w:p>
      <w:r>
        <w:t>Der Europäische Rat erörtert auf der Grundlage dieses Berichtes des Rates eine Schlussfolgerung zu den Grundzügen der Wirtschaftspolitik der Mitgliedstaaten und der Union.</w:t>
      </w:r>
    </w:p>
    <w:p>
      <w:r>
        <w:rPr>
          <w:rStyle w:val="Satznummer"/>
        </w:rPr>
        <w:t>1</w:t>
      </w:r>
      <w:r>
        <w:t xml:space="preserve">Auf der Grundlage dieser Schlussfolgerung verabschiedet der Rat eine Empfehlung, in der diese Grundzüge dargelegt werden. </w:t>
      </w:r>
      <w:r>
        <w:rPr>
          <w:rStyle w:val="Satznummer"/>
        </w:rPr>
        <w:t>2</w:t>
      </w:r>
      <w:r>
        <w:t>Der Rat unterrichtet das Europäische Parlament über seine Empfehlung.</w:t>
      </w:r>
    </w:p>
    <w:p>
      <w:r>
        <w:t>(3) Um eine engere Koordinierung der Wirtschaftspolitik und eine dauerhafte Konvergenz der Wirtschaftsleistungen der Mitgliedstaaten zu gewährleisten, überwacht der Rat anhand von Berichten der Kommission die wirtschaftliche Entwicklung in jedem Mitgliedstaat und in der Union sowie die Vereinbarkeit der Wirtschaftspolitik mit den in Absatz 2 genannten Grundzügen und nimmt in regelmäßigen Abständen eine Gesamtbewertung vor.</w:t>
      </w:r>
    </w:p>
    <w:p>
      <w:r>
        <w:t>Zum Zwecke dieser multilateralen Überwachung übermitteln die Mitgliedstaaten der Kommission Angaben zu wichtigen einzelstaatlichen Maßnahmen auf dem Gebiet ihrer Wirtschaftspolitik sowie weitere von ihnen für erforderlich erachtete Angaben.</w:t>
      </w:r>
    </w:p>
    <w:p>
      <w:r>
        <w:t xml:space="preserve">(4) </w:t>
      </w:r>
      <w:r>
        <w:rPr>
          <w:rStyle w:val="Satznummer"/>
        </w:rPr>
        <w:t>1</w:t>
      </w:r>
      <w:r>
        <w:t xml:space="preserve">Wird im Rahmen des Verfahrens nach Absatz 3 festgestellt, dass die Wirtschaftspolitik eines Mitgliedstaats nicht mit den in Absatz 2 genannten Grundzügen vereinbar ist oder das ordnungsgemäße Funktionieren der Wirtschafts- und Währungsunion zu gefährden droht, so kann die Kommission eine Verwarnung an den betreffenden Mitgliedstaat richten. </w:t>
      </w:r>
      <w:r>
        <w:rPr>
          <w:rStyle w:val="Satznummer"/>
        </w:rPr>
        <w:t>2</w:t>
      </w:r>
      <w:r>
        <w:t xml:space="preserve">Der Rat kann auf Empfehlung der Kommission die erforderlichen Empfehlungen an den betreffenden Mitgliedstaat richten. </w:t>
      </w:r>
      <w:r>
        <w:rPr>
          <w:rStyle w:val="Satznummer"/>
        </w:rPr>
        <w:t>3</w:t>
      </w:r>
      <w:r>
        <w:t>Der Rat kann auf Vorschlag der Kommission beschließen, seine Empfehlungen zu veröffentlichen.</w:t>
      </w:r>
    </w:p>
    <w:p>
      <w:r>
        <w:t>Der Rat beschließt im Rahmen dieses Absatzes ohne Berücksichtigung der Stimme des den betreffenden Mitgliedstaat vertretenden Mitglieds des Rates.</w:t>
      </w:r>
    </w:p>
    <w:p>
      <w:r>
        <w:t>Die qualifizierte Mehrheit der übrigen Mitglieder des Rates bestimmt sich nach Artikel 238 Absatz 3 Buchstabe a.</w:t>
      </w:r>
    </w:p>
    <w:p>
      <w:r>
        <w:t xml:space="preserve">(5) </w:t>
      </w:r>
      <w:r>
        <w:rPr>
          <w:rStyle w:val="Satznummer"/>
        </w:rPr>
        <w:t>1</w:t>
      </w:r>
      <w:r>
        <w:t xml:space="preserve">Der Präsident des Rates und die Kommission erstatten dem Europäischen Parlament über die Ergebnisse der multilateralen Überwachung Bericht. </w:t>
      </w:r>
      <w:r>
        <w:rPr>
          <w:rStyle w:val="Satznummer"/>
        </w:rPr>
        <w:t>2</w:t>
      </w:r>
      <w:r>
        <w:t>Der Präsident des Rates kann ersucht werden, vor dem zuständigen Ausschuss des Europäischen Parlaments zu erscheinen, wenn der Rat seine Empfehlungen veröffentlicht hat.</w:t>
      </w:r>
    </w:p>
    <w:p>
      <w:r>
        <w:t>(6) Das Europäische Parlament und der Rat können gemäß dem ordentlichen Gesetzgebungsverfahren durch Verordnungen die Einzelheiten des Verfahrens der multilateralen Überwachung im Sinne der Absätze 3 und 4 festlegen.</w:t>
      </w:r>
    </w:p>
    <w:p>
      <w:pPr>
        <w:pStyle w:val="Heading4"/>
      </w:pPr>
      <w:bookmarkStart w:id="156" w:name="b153"/>
      <w:r>
        <w:t>Art 122</w:t>
      </w:r>
      <w:r>
        <w:t xml:space="preserve"> </w:t>
      </w:r>
      <w:r>
        <w:rPr>
          <w:rStyle w:val="Suchmarke"/>
        </w:rPr>
        <w:t>#122.#</w:t>
      </w:r>
      <w:bookmarkEnd w:id="156"/>
    </w:p>
    <w:p>
      <w:r>
        <w:rPr>
          <w:color w:val="404040"/>
          <w:sz w:val="21"/>
        </w:rPr>
        <w:t>(ex-Artikel 100 EGV)</w:t>
      </w:r>
    </w:p>
    <w:p>
      <w:r>
        <w:t>(1) Der Rat kann auf Vorschlag der Kommission unbeschadet der sonstigen in den Verträgen vorgesehenen Verfahren im Geiste der Solidarität zwischen den Mitgliedstaaten über die der Wirtschaftslage angemessenen Maßnahmen beschließen, insbesondere falls gravierende Schwierigkeiten in der Versorgung mit bestimmten Waren, vor allem im Energiebereich, auftreten.</w:t>
      </w:r>
    </w:p>
    <w:p>
      <w:r>
        <w:t xml:space="preserve">(2) </w:t>
      </w:r>
      <w:r>
        <w:rPr>
          <w:rStyle w:val="Satznummer"/>
        </w:rPr>
        <w:t>1</w:t>
      </w:r>
      <w:r>
        <w:t xml:space="preserve">Ist ein Mitgliedstaat aufgrund von Naturkatastrophen oder außergewöhnlichen Ereignissen, die sich seiner Kontrolle entziehen, von Schwierigkeiten betroffen oder von gravierenden Schwierigkeiten ernstlich bedroht, so kann der Rat auf Vorschlag der Kommission beschließen, dem betreffenden Mitgliedstaat unter bestimmten Bedingungen einen finanziellen Beistand der Union zu gewähren. </w:t>
      </w:r>
      <w:r>
        <w:rPr>
          <w:rStyle w:val="Satznummer"/>
        </w:rPr>
        <w:t>2</w:t>
      </w:r>
      <w:r>
        <w:t>Der Präsident des Rates unterrichtet das Europäische Parlament über den Beschluss.</w:t>
      </w:r>
    </w:p>
    <w:p>
      <w:pPr>
        <w:pStyle w:val="Heading4"/>
      </w:pPr>
      <w:bookmarkStart w:id="157" w:name="b154"/>
      <w:r>
        <w:t>Art 123</w:t>
      </w:r>
      <w:r>
        <w:t xml:space="preserve"> </w:t>
      </w:r>
      <w:r>
        <w:rPr>
          <w:rStyle w:val="Suchmarke"/>
        </w:rPr>
        <w:t>#123.#</w:t>
      </w:r>
      <w:bookmarkEnd w:id="157"/>
    </w:p>
    <w:p>
      <w:r>
        <w:rPr>
          <w:color w:val="404040"/>
          <w:sz w:val="21"/>
        </w:rPr>
        <w:t>(ex-Artikel 101 EGV)</w:t>
      </w:r>
    </w:p>
    <w:p>
      <w:r>
        <w:t>(1) Überziehungs- oder andere Kreditfazilitäten bei der Europäischen Zentralbank oder den Zentralbanken der Mitgliedstaaten (im Folgenden als "nationale Zentralbanken" bezeichnet) für Organe, Einrichtungen oder sonstige Stellen der Union, Zentralregierungen, regionale oder lokale Gebietskörperschaften oder andere öffentlich-rechtliche Körperschaften, sonstige Einrichtungen des öffentlichen Rechts oder öffentliche Unternehmen der Mitgliedstaaten sind ebenso verboten wie der unmittelbare Erwerb von Schuldtiteln von diesen durch die Europäische Zentralbank oder die nationalen Zentralbanken.</w:t>
      </w:r>
    </w:p>
    <w:p>
      <w:r>
        <w:t>(2) Die Bestimmungen des Absatzes 1 gelten nicht für Kreditinstitute in öffentlichem Eigentum; diese werden von der jeweiligen nationalen Zentralbank und der Europäischen Zentralbank, was die Bereitstellung von Zentralbankgeld betrifft, wie private Kreditinstitute behandelt.</w:t>
      </w:r>
    </w:p>
    <w:p>
      <w:pPr>
        <w:pStyle w:val="Heading4"/>
      </w:pPr>
      <w:bookmarkStart w:id="158" w:name="b155"/>
      <w:r>
        <w:t>Art 124</w:t>
      </w:r>
      <w:r>
        <w:t xml:space="preserve"> </w:t>
      </w:r>
      <w:r>
        <w:rPr>
          <w:rStyle w:val="Suchmarke"/>
        </w:rPr>
        <w:t>#124.#</w:t>
      </w:r>
      <w:bookmarkEnd w:id="158"/>
    </w:p>
    <w:p>
      <w:r>
        <w:rPr>
          <w:color w:val="404040"/>
          <w:sz w:val="21"/>
        </w:rPr>
        <w:t>(ex-Artikel 102 EGV)</w:t>
      </w:r>
    </w:p>
    <w:p>
      <w:r>
        <w:t>Maßnahmen, die nicht aus aufsichtsrechtlichen Gründen getroffen werden und einen bevorrechtigten Zugang der Organe, Einrichtungen oder sonstigen Stellen der Union, der Zentralregierungen, der regionalen oder lokalen Gebietskörperschaften oder anderen öffentlich-rechtlichen Körperschaften, sonstiger Einrichtungen des öffentlichen Rechts oder öffentlicher Unternehmen der Mitgliedstaaten zu den Finanzinstituten schaffen, sind verboten.</w:t>
      </w:r>
    </w:p>
    <w:p>
      <w:pPr>
        <w:pStyle w:val="Heading4"/>
      </w:pPr>
      <w:bookmarkStart w:id="159" w:name="b156"/>
      <w:r>
        <w:t>Art 125</w:t>
      </w:r>
      <w:r>
        <w:t xml:space="preserve"> </w:t>
      </w:r>
      <w:r>
        <w:rPr>
          <w:rStyle w:val="Suchmarke"/>
        </w:rPr>
        <w:t>#125.#</w:t>
      </w:r>
      <w:bookmarkEnd w:id="159"/>
    </w:p>
    <w:p>
      <w:r>
        <w:rPr>
          <w:color w:val="404040"/>
          <w:sz w:val="21"/>
        </w:rPr>
        <w:t>(ex-Artikel 103 EGV)</w:t>
      </w:r>
    </w:p>
    <w:p>
      <w:r>
        <w:t xml:space="preserve">(1) </w:t>
      </w:r>
      <w:r>
        <w:rPr>
          <w:rStyle w:val="Satznummer"/>
        </w:rPr>
        <w:t>1</w:t>
      </w:r>
      <w:r>
        <w:t xml:space="preserve">Die Union haftet nicht für die Verbindlichkeiten der Zentralregierungen, der regionalen oder lokalen Gebietskörperschaften oder anderen öffentlich-rechtlichen Körperschaften, sonstiger Einrichtungen des öffentlichen Rechts oder öffentlicher Unternehmen von Mitgliedstaaten und tritt nicht für derartige Verbindlichkeiten ein; dies gilt unbeschadet der gegenseitigen finanziellen Garantien für die gemeinsame Durchführung eines bestimmten Vorhabens. </w:t>
      </w:r>
      <w:r>
        <w:rPr>
          <w:rStyle w:val="Satznummer"/>
        </w:rPr>
        <w:t>2</w:t>
      </w:r>
      <w:r>
        <w:t>Ein Mitgliedstaat haftet nicht für die Verbindlichkeiten der Zentralregierungen, der regionalen oder lokalen Gebietskörperschaften oder anderen öffentlich-rechtlichen Körperschaften, sonstiger Einrichtungen des öffentlichen Rechts oder öffentlicher Unternehmen eines anderen Mitgliedstaats und tritt nicht für derartige Verbindlichkeiten ein; dies gilt unbeschadet der gegenseitigen finanziellen Garantien für die gemeinsame Durchführung eines bestimmten Vorhabens.</w:t>
      </w:r>
    </w:p>
    <w:p>
      <w:r>
        <w:t xml:space="preserve">(2) Der Rat kann erforderlichenfalls auf Vorschlag der Kommission und nach Anhörung des Europäischen Parlaments die Definitionen für die Anwendung der in den </w:t>
      </w:r>
      <w:hyperlink w:anchor="b154" w:history="1">
        <w:r>
          <w:rPr>
            <w:color w:val="0A3A8C"/>
            <w:u w:val="single"/>
          </w:rPr>
          <w:t xml:space="preserve">Artikeln 123</w:t>
        </w:r>
      </w:hyperlink>
      <w:r>
        <w:t xml:space="preserve"> und </w:t>
      </w:r>
      <w:hyperlink w:anchor="b155" w:history="1">
        <w:r>
          <w:rPr>
            <w:color w:val="0A3A8C"/>
            <w:u w:val="single"/>
          </w:rPr>
          <w:t xml:space="preserve">124</w:t>
        </w:r>
      </w:hyperlink>
      <w:r>
        <w:t xml:space="preserve"> sowie in diesem Artikel vorgesehenen Verbote näher bestimmen.</w:t>
      </w:r>
    </w:p>
    <w:p>
      <w:pPr>
        <w:pStyle w:val="Heading4"/>
      </w:pPr>
      <w:bookmarkStart w:id="160" w:name="b157"/>
      <w:r>
        <w:t>Art 126</w:t>
      </w:r>
      <w:r>
        <w:t xml:space="preserve"> </w:t>
      </w:r>
      <w:r>
        <w:rPr>
          <w:rStyle w:val="Suchmarke"/>
        </w:rPr>
        <w:t>#126.#</w:t>
      </w:r>
      <w:bookmarkEnd w:id="160"/>
    </w:p>
    <w:p>
      <w:r>
        <w:rPr>
          <w:color w:val="404040"/>
          <w:sz w:val="21"/>
        </w:rPr>
        <w:t>(ex-Artikel 104 EGV)</w:t>
      </w:r>
    </w:p>
    <w:p>
      <w:r>
        <w:t>(1) Die Mitgliedstaaten vermeiden übermäßige öffentliche Defizite.</w:t>
      </w:r>
    </w:p>
    <w:p>
      <w:r>
        <w:t xml:space="preserve">(2) </w:t>
      </w:r>
      <w:r>
        <w:rPr>
          <w:rStyle w:val="Satznummer"/>
        </w:rPr>
        <w:t>1</w:t>
      </w:r>
      <w:r>
        <w:t xml:space="preserve">Die Kommission überwacht die Entwicklung der Haushaltslage und der Höhe des öffentlichen Schuldenstands in den Mitgliedstaaten im Hinblick auf die Feststellung schwerwiegender Fehler. </w:t>
      </w:r>
      <w:r>
        <w:rPr>
          <w:rStyle w:val="Satznummer"/>
        </w:rPr>
        <w:t>2</w:t>
      </w:r>
      <w:r>
        <w:t>Insbesondere prüft sie die Einhaltung der Haushaltsdisziplin anhand von zwei Kriterien, nämlich daran,</w:t>
      </w:r>
    </w:p>
    <w:p>
      <w:pPr>
        <w:tabs>
          <w:tab w:pos="567" w:val="left"/>
        </w:tabs>
        <w:ind w:left="567" w:hanging="567"/>
      </w:pPr>
      <w:r>
        <w:t>a)</w:t>
      </w:r>
      <w:r>
        <w:tab/>
      </w:r>
      <w:r>
        <w:t>ob das Verhältnis des geplanten oder tatsächlichen öffentlichen Defizits zum Bruttoinlandsprodukt einen bestimmten Referenzwert überschreitet, es sei denn, dass</w:t>
      </w:r>
    </w:p>
    <w:p>
      <w:pPr>
        <w:tabs>
          <w:tab w:pos="1134" w:val="left"/>
        </w:tabs>
        <w:ind w:left="1134" w:hanging="567"/>
      </w:pPr>
      <w:r>
        <w:t>—</w:t>
      </w:r>
      <w:r>
        <w:tab/>
      </w:r>
      <w:r>
        <w:t>entweder das Verhältnis erheblich und laufend zurückgegangen ist und einen Wert in der Nähe des Referenzwerts erreicht hat</w:t>
      </w:r>
    </w:p>
    <w:p>
      <w:pPr>
        <w:tabs>
          <w:tab w:pos="1134" w:val="left"/>
        </w:tabs>
        <w:ind w:left="1134" w:hanging="567"/>
      </w:pPr>
      <w:r>
        <w:t>—</w:t>
      </w:r>
      <w:r>
        <w:tab/>
      </w:r>
      <w:r>
        <w:t>oder der Referenzwert nur ausnahmsweise und vorübergehend überschritten wird und das Verhältnis in der Nähe des Referenzwerts bleibt,</w:t>
      </w:r>
    </w:p>
    <w:p>
      <w:pPr>
        <w:tabs>
          <w:tab w:pos="567" w:val="left"/>
        </w:tabs>
        <w:ind w:left="567" w:hanging="567"/>
      </w:pPr>
      <w:r>
        <w:t>b)</w:t>
      </w:r>
      <w:r>
        <w:tab/>
      </w:r>
      <w:r>
        <w:t>ob das Verhältnis des öffentlichen Schuldenstands zum Bruttoinlandsprodukt einen bestimmten Referenzwert überschreitet, es sei denn, dass das Verhältnis hinreichend rückläufig ist und sich rasch genug dem Referenzwert nähert.</w:t>
      </w:r>
    </w:p>
    <w:p>
      <w:r>
        <w:t>Die Referenzwerte werden in einem den Verträgen beigefügten Protokoll über das Verfahren bei einem übermäßigen Defizit im Einzelnen festgelegt.</w:t>
      </w:r>
    </w:p>
    <w:p>
      <w:r>
        <w:t xml:space="preserve">(3) </w:t>
      </w:r>
      <w:r>
        <w:rPr>
          <w:rStyle w:val="Satznummer"/>
        </w:rPr>
        <w:t>1</w:t>
      </w:r>
      <w:r>
        <w:t xml:space="preserve">Erfüllt ein Mitgliedstaat keines oder nur eines dieser Kriterien, so erstellt die Kommission einen Bericht. </w:t>
      </w:r>
      <w:r>
        <w:rPr>
          <w:rStyle w:val="Satznummer"/>
        </w:rPr>
        <w:t>2</w:t>
      </w:r>
      <w:r>
        <w:t>In diesem Bericht wird berücksichtigt, ob das öffentliche Defizit die öffentlichen Ausgaben für Investitionen übertrifft; berücksichtigt werden ferner alle sonstigen einschlägigen Faktoren, einschließlich der mittelfristigen Wirtschafts- und Haushaltslage des Mitgliedstaats.</w:t>
      </w:r>
    </w:p>
    <w:p>
      <w:r>
        <w:t>Die Kommission kann ferner einen Bericht erstellen, wenn sie ungeachtet der Erfüllung der Kriterien der Auffassung ist, dass in einem Mitgliedstaat die Gefahr eines übermäßigen Defizits besteht.</w:t>
      </w:r>
    </w:p>
    <w:p>
      <w:r>
        <w:t>(4) Der Wirtschafts- und Finanzausschuss gibt eine Stellungnahme zu dem Bericht der Kommission ab.</w:t>
      </w:r>
    </w:p>
    <w:p>
      <w:r>
        <w:t>(5) Ist die Kommission der Auffassung, dass in einem Mitgliedstaat ein übermäßiges Defizit besteht oder sich ergeben könnte, so legt sie dem betreffenden Mitgliedstaat eine Stellungnahme vor und unterrichtet den Rat.</w:t>
      </w:r>
    </w:p>
    <w:p>
      <w:r>
        <w:t>(6) Der Rat beschließt auf Vorschlag der Kommission und unter Berücksichtigung der Bemerkungen, die der betreffende Mitgliedstaat gegebenenfalls abzugeben wünscht, nach Prüfung der Gesamtlage, ob ein übermäßiges Defizit besteht.</w:t>
      </w:r>
    </w:p>
    <w:p>
      <w:r>
        <w:t xml:space="preserve">(7) </w:t>
      </w:r>
      <w:r>
        <w:rPr>
          <w:rStyle w:val="Satznummer"/>
        </w:rPr>
        <w:t>1</w:t>
      </w:r>
      <w:r>
        <w:t xml:space="preserve">Stellt der Rat nach Absatz 6 ein übermäßiges Defizit fest, so richtet er auf Empfehlung der Kommission unverzüglich Empfehlungen an den betreffenden Mitgliedstaat mit dem Ziel, dieser Lage innerhalb einer bestimmten Frist abzuhelfen. </w:t>
      </w:r>
      <w:r>
        <w:rPr>
          <w:rStyle w:val="Satznummer"/>
        </w:rPr>
        <w:t>2</w:t>
      </w:r>
      <w:r>
        <w:t>Vorbehaltlich des Absatzes 8 werden diese Empfehlungen nicht veröffentlicht.</w:t>
      </w:r>
    </w:p>
    <w:p>
      <w:r>
        <w:t>(8) Stellt der Rat fest, dass seine Empfehlungen innerhalb der gesetzten Frist keine wirksamen Maßnahmen ausgelöst haben, so kann er seine Empfehlungen veröffentlichen.</w:t>
      </w:r>
    </w:p>
    <w:p>
      <w:r>
        <w:t>(9) Falls ein Mitgliedstaat den Empfehlungen des Rates weiterhin nicht Folge leistet, kann der Rat beschließen, den Mitgliedstaat mit der Maßgabe in Verzug zu setzen, innerhalb einer bestimmten Frist Maßnahmen für den nach Auffassung des Rates zur Sanierung erforderlichen Defizitabbau zu treffen.</w:t>
      </w:r>
    </w:p>
    <w:p>
      <w:r>
        <w:t>Der Rat kann in diesem Fall den betreffenden Mitgliedstaat ersuchen, nach einem konkreten Zeitplan Berichte vorzulegen, um die Anpassungsbemühungen des Mitgliedstaats überprüfen zu können.</w:t>
      </w:r>
    </w:p>
    <w:p>
      <w:r>
        <w:t xml:space="preserve">(10) Das Recht auf Klageerhebung nach den </w:t>
      </w:r>
      <w:hyperlink w:anchor="b329" w:history="1">
        <w:r>
          <w:rPr>
            <w:color w:val="0A3A8C"/>
            <w:u w:val="single"/>
          </w:rPr>
          <w:t xml:space="preserve">Artikeln 258</w:t>
        </w:r>
      </w:hyperlink>
      <w:r>
        <w:t xml:space="preserve"> und </w:t>
      </w:r>
      <w:hyperlink w:anchor="b330" w:history="1">
        <w:r>
          <w:rPr>
            <w:color w:val="0A3A8C"/>
            <w:u w:val="single"/>
          </w:rPr>
          <w:t xml:space="preserve">259</w:t>
        </w:r>
      </w:hyperlink>
      <w:r>
        <w:t xml:space="preserve"> kann im Rahmen der Absätze 1 bis 9 dieses Artikels nicht ausgeübt werden.</w:t>
      </w:r>
    </w:p>
    <w:p>
      <w:r>
        <w:t>(11) Solange ein Mitgliedstaat einen Beschluss nach Absatz 9 nicht befolgt, kann der Rat beschließen, eine oder mehrere der nachstehenden Maßnahmen anzuwenden oder gegebenenfalls zu verschärfen, nämlich</w:t>
      </w:r>
    </w:p>
    <w:p>
      <w:pPr>
        <w:tabs>
          <w:tab w:pos="567" w:val="left"/>
        </w:tabs>
        <w:ind w:left="567" w:hanging="567"/>
      </w:pPr>
      <w:r>
        <w:t>—</w:t>
      </w:r>
      <w:r>
        <w:tab/>
      </w:r>
      <w:r>
        <w:t>von dem betreffenden Mitgliedstaat verlangen, vor der Emission von Schuldverschreibungen und sonstigen Wertpapieren vom Rat näher zu bezeichnende zusätzliche Angaben zu veröffentlichen,</w:t>
      </w:r>
    </w:p>
    <w:p>
      <w:pPr>
        <w:tabs>
          <w:tab w:pos="567" w:val="left"/>
        </w:tabs>
        <w:ind w:left="567" w:hanging="567"/>
      </w:pPr>
      <w:r>
        <w:t>—</w:t>
      </w:r>
      <w:r>
        <w:tab/>
      </w:r>
      <w:r>
        <w:t>die Europäische Investitionsbank ersuchen, ihre Darlehenspolitik gegenüber dem Mitgliedstaat zu überprüfen,</w:t>
      </w:r>
    </w:p>
    <w:p>
      <w:pPr>
        <w:tabs>
          <w:tab w:pos="567" w:val="left"/>
        </w:tabs>
        <w:ind w:left="567" w:hanging="567"/>
      </w:pPr>
      <w:r>
        <w:t>—</w:t>
      </w:r>
      <w:r>
        <w:tab/>
      </w:r>
      <w:r>
        <w:t>von dem Mitgliedstaat verlangen, eine unverzinsliche Einlage in angemessener Höhe bei der Union zu hinterlegen, bis das übermäßige Defizit nach Ansicht des Rates korrigiert worden ist,</w:t>
      </w:r>
    </w:p>
    <w:p>
      <w:pPr>
        <w:tabs>
          <w:tab w:pos="567" w:val="left"/>
        </w:tabs>
        <w:ind w:left="567" w:hanging="567"/>
      </w:pPr>
      <w:r>
        <w:t>—</w:t>
      </w:r>
      <w:r>
        <w:tab/>
      </w:r>
      <w:r>
        <w:t>Geldbußen in angemessener Höhe verhängen.</w:t>
      </w:r>
    </w:p>
    <w:p>
      <w:r>
        <w:t>Der Präsident des Rates unterrichtet das Europäische Parlament von den Beschlüssen.</w:t>
      </w:r>
    </w:p>
    <w:p>
      <w:r>
        <w:t xml:space="preserve">(12) </w:t>
      </w:r>
      <w:r>
        <w:rPr>
          <w:rStyle w:val="Satznummer"/>
        </w:rPr>
        <w:t>1</w:t>
      </w:r>
      <w:r>
        <w:t xml:space="preserve">Der Rat hebt einige oder sämtliche Beschlüsse oder Empfehlungen nach den Absätzen 6 bis 9 und 11 so weit auf, wie das übermäßige Defizit in dem betreffenden Mitgliedstaat nach Ansicht des Rates korrigiert worden ist. </w:t>
      </w:r>
      <w:r>
        <w:rPr>
          <w:rStyle w:val="Satznummer"/>
        </w:rPr>
        <w:t>2</w:t>
      </w:r>
      <w:r>
        <w:t>Hat der Rat zuvor Empfehlungen veröffentlicht, so stellt er, sobald der Beschluss nach Absatz 8 aufgehoben worden ist, in einer öffentlichen Erklärung fest, dass in dem betreffenden Mitgliedstaat kein übermäßiges Defizit mehr besteht.</w:t>
      </w:r>
    </w:p>
    <w:p>
      <w:r>
        <w:t>(13) Die Beschlussfassung und die Empfehlungen des Rates nach den Absätzen 8, 9, 11 und 12 erfolgen auf Empfehlung der Kommission.</w:t>
      </w:r>
    </w:p>
    <w:p>
      <w:r>
        <w:t>Erlässt der Rat Maßnahmen nach den Absätzen 6 bis 9 sowie den Absätzen 11 und 12, so beschließt er ohne Berücksichtigung der Stimme des den betreffenden Mitgliedstaat vertretenden Mitglieds des Rates.</w:t>
      </w:r>
    </w:p>
    <w:p>
      <w:r>
        <w:t>Die qualifizierte Mehrheit der übrigen Mitglieder des Rates bestimmt sich nach Artikel 238 Absatz 3 Buchstabe a.</w:t>
      </w:r>
    </w:p>
    <w:p>
      <w:r>
        <w:t>(14) Weitere Bestimmungen über die Durchführung des in diesem Artikel beschriebenen Verfahrens sind in dem den Verträgen beigefügten Protokoll über das Verfahren bei einem übermäßigen Defizit enthalten.</w:t>
      </w:r>
    </w:p>
    <w:p>
      <w:r>
        <w:t>Der Rat verabschiedet gemäß einem besonderen Gesetzgebungsverfahren einstimmig und nach Anhörung des Europäischen Parlaments sowie der Europäischen Zentralbank die geeigneten Bestimmungen, die sodann das genannte Protokoll ablösen.</w:t>
      </w:r>
    </w:p>
    <w:p>
      <w:r>
        <w:t>Der Rat beschließt vorbehaltlich der sonstigen Bestimmungen dieses Absatzes auf Vorschlag der Kommission und nach Anhörung des Europäischen Parlaments nähere Einzelheiten und Begriffsbestimmungen für die Durchführung des genannten Protokolls.</w:t>
      </w:r>
    </w:p>
    <w:p>
      <w:pPr>
        <w:pStyle w:val="Heading3"/>
      </w:pPr>
      <w:bookmarkStart w:id="161" w:name="b158"/>
      <w:r>
        <w:t>KAPITEL 2 DIE WÄHRUNGSPOLITIK</w:t>
      </w:r>
      <w:bookmarkEnd w:id="161"/>
    </w:p>
    <w:p>
      <w:pPr>
        <w:pStyle w:val="Heading4"/>
      </w:pPr>
      <w:bookmarkStart w:id="162" w:name="b159"/>
      <w:r>
        <w:t>Art 127</w:t>
      </w:r>
      <w:r>
        <w:t xml:space="preserve"> </w:t>
      </w:r>
      <w:r>
        <w:rPr>
          <w:rStyle w:val="Suchmarke"/>
        </w:rPr>
        <w:t>#127.#</w:t>
      </w:r>
      <w:bookmarkEnd w:id="162"/>
    </w:p>
    <w:p>
      <w:r>
        <w:rPr>
          <w:color w:val="404040"/>
          <w:sz w:val="21"/>
        </w:rPr>
        <w:t>(ex-Artikel 105 EGV)</w:t>
      </w:r>
    </w:p>
    <w:p>
      <w:r>
        <w:t xml:space="preserve">(1) </w:t>
      </w:r>
      <w:r>
        <w:rPr>
          <w:rStyle w:val="Satznummer"/>
        </w:rPr>
        <w:t>1</w:t>
      </w:r>
      <w:r>
        <w:t xml:space="preserve">Das vorrangige Ziel des Europäischen Systems der Zentralbanken (im Folgenden "ESZB") ist es, die Preisstabilität zu gewährleisten. </w:t>
      </w:r>
      <w:r>
        <w:rPr>
          <w:rStyle w:val="Satznummer"/>
        </w:rPr>
        <w:t>2</w:t>
      </w:r>
      <w:r>
        <w:t xml:space="preserve">Soweit dies ohne Beeinträchtigung des Zieles der Preisstabilität möglich ist, unterstützt das ESZB die allgemeine Wirtschaftspolitik in der Union, um zur Verwirklichung der in Artikel 3 des Vertrags über die Europäische Union festgelegten Ziele der Union beizutragen. </w:t>
      </w:r>
      <w:r>
        <w:rPr>
          <w:rStyle w:val="Satznummer"/>
        </w:rPr>
        <w:t>3</w:t>
      </w:r>
      <w:r>
        <w:t xml:space="preserve">Das ESZB handelt im Einklang mit dem Grundsatz einer offenen Marktwirtschaft mit freiem Wettbewerb, wodurch ein effizienter Einsatz der Ressourcen gefördert wird, und hält sich dabei an die in </w:t>
      </w:r>
      <w:hyperlink w:anchor="b149" w:history="1">
        <w:r>
          <w:rPr>
            <w:color w:val="0A3A8C"/>
            <w:u w:val="single"/>
          </w:rPr>
          <w:t xml:space="preserve">Artikel 119</w:t>
        </w:r>
      </w:hyperlink>
      <w:r>
        <w:t xml:space="preserve"> genannten Grundsätze.</w:t>
      </w:r>
    </w:p>
    <w:p>
      <w:r>
        <w:t>(2) Die grundlegenden Aufgaben des ESZB bestehen darin,</w:t>
      </w:r>
    </w:p>
    <w:p>
      <w:pPr>
        <w:tabs>
          <w:tab w:pos="567" w:val="left"/>
        </w:tabs>
        <w:ind w:left="567" w:hanging="567"/>
      </w:pPr>
      <w:r>
        <w:t>—</w:t>
      </w:r>
      <w:r>
        <w:tab/>
      </w:r>
      <w:r>
        <w:t>die Geldpolitik der Union festzulegen und auszuführen,</w:t>
      </w:r>
    </w:p>
    <w:p>
      <w:pPr>
        <w:tabs>
          <w:tab w:pos="567" w:val="left"/>
        </w:tabs>
        <w:ind w:left="567" w:hanging="567"/>
      </w:pPr>
      <w:r>
        <w:t>—</w:t>
      </w:r>
      <w:r>
        <w:tab/>
      </w:r>
      <w:r>
        <w:t xml:space="preserve">Devisengeschäfte im Einklang mit </w:t>
      </w:r>
      <w:hyperlink w:anchor="b280" w:history="1">
        <w:r>
          <w:rPr>
            <w:color w:val="0A3A8C"/>
            <w:u w:val="single"/>
          </w:rPr>
          <w:t xml:space="preserve">Artikel 219</w:t>
        </w:r>
      </w:hyperlink>
      <w:r>
        <w:t xml:space="preserve"> durchzuführen,</w:t>
      </w:r>
    </w:p>
    <w:p>
      <w:pPr>
        <w:tabs>
          <w:tab w:pos="567" w:val="left"/>
        </w:tabs>
        <w:ind w:left="567" w:hanging="567"/>
      </w:pPr>
      <w:r>
        <w:t>—</w:t>
      </w:r>
      <w:r>
        <w:tab/>
      </w:r>
      <w:r>
        <w:t>die offiziellen Währungsreserven der Mitgliedstaaten zu halten und zu verwalten,</w:t>
      </w:r>
    </w:p>
    <w:p>
      <w:pPr>
        <w:tabs>
          <w:tab w:pos="567" w:val="left"/>
        </w:tabs>
        <w:ind w:left="567" w:hanging="567"/>
      </w:pPr>
      <w:r>
        <w:t>—</w:t>
      </w:r>
      <w:r>
        <w:tab/>
      </w:r>
      <w:r>
        <w:t>das reibungslose Funktionieren der Zahlungssysteme zu fördern.</w:t>
      </w:r>
    </w:p>
    <w:p>
      <w:r>
        <w:t>(3) Absatz 2 dritter Gedankenstrich berührt nicht die Haltung und Verwaltung von Arbeitsguthaben in Fremdwährungen durch die Regierungen der Mitgliedstaaten.</w:t>
      </w:r>
    </w:p>
    <w:p>
      <w:r>
        <w:t>(4) Die Europäische Zentralbank wird gehört</w:t>
      </w:r>
    </w:p>
    <w:p>
      <w:pPr>
        <w:tabs>
          <w:tab w:pos="567" w:val="left"/>
        </w:tabs>
        <w:ind w:left="567" w:hanging="567"/>
      </w:pPr>
      <w:r>
        <w:t>—</w:t>
      </w:r>
      <w:r>
        <w:tab/>
      </w:r>
      <w:r>
        <w:t>zu allen Vorschlägen für Rechtsakte der Union im Zuständigkeitsbereich der Europäischen Zentralbank,</w:t>
      </w:r>
    </w:p>
    <w:p>
      <w:pPr>
        <w:tabs>
          <w:tab w:pos="567" w:val="left"/>
        </w:tabs>
        <w:ind w:left="567" w:hanging="567"/>
      </w:pPr>
      <w:r>
        <w:t>—</w:t>
      </w:r>
      <w:r>
        <w:tab/>
      </w:r>
      <w:r>
        <w:t xml:space="preserve">von den nationalen Behörden zu allen Entwürfen für Rechtsvorschriften im Zuständigkeitsbereich der Europäischen Zentralbank, und zwar innerhalb der Grenzen und unter den Bedingungen, die der Rat nach dem Verfahren des </w:t>
      </w:r>
      <w:hyperlink w:anchor="b161" w:history="1">
        <w:r>
          <w:rPr>
            <w:color w:val="0A3A8C"/>
            <w:u w:val="single"/>
          </w:rPr>
          <w:t xml:space="preserve">Artikels 129</w:t>
        </w:r>
      </w:hyperlink>
      <w:r>
        <w:t xml:space="preserve"> Absatz 4 festlegt.</w:t>
      </w:r>
    </w:p>
    <w:p>
      <w:r>
        <w:t>Die Europäische Zentralbank kann gegenüber den zuständigen Organen, Einrichtungen oder sonstigen Stellen der Union und gegenüber den nationalen Behörden Stellungnahmen zu in ihren Zuständigkeitsbereich fallenden Fragen abgeben.</w:t>
      </w:r>
    </w:p>
    <w:p>
      <w:r>
        <w:t>(5) Das ESZB trägt zur reibungslosen Durchführung der von den zuständigen Behörden auf dem Gebiet der Aufsicht über die Kreditinstitute und der Stabilität des Finanzsystems ergriffenen Maßnahmen bei.</w:t>
      </w:r>
    </w:p>
    <w:p>
      <w:r>
        <w:t>(6) Der Rat kann einstimmig durch Verordnungen gemäß einem besonderen Gesetzgebungsverfahren und nach Anhörung des Europäischen Parlaments und der Europäischen Zentralbank besondere Aufgaben im Zusammenhang mit der Aufsicht über Kreditinstitute und sonstige Finanzinstitute mit Ausnahme von Versicherungsunternehmen der Europäischen Zentralbank übertragen.</w:t>
      </w:r>
    </w:p>
    <w:p>
      <w:pPr>
        <w:pStyle w:val="Heading4"/>
      </w:pPr>
      <w:bookmarkStart w:id="163" w:name="b160"/>
      <w:r>
        <w:t>Art 128</w:t>
      </w:r>
      <w:r>
        <w:t xml:space="preserve"> </w:t>
      </w:r>
      <w:r>
        <w:rPr>
          <w:rStyle w:val="Suchmarke"/>
        </w:rPr>
        <w:t>#128.#</w:t>
      </w:r>
      <w:bookmarkEnd w:id="163"/>
    </w:p>
    <w:p>
      <w:r>
        <w:rPr>
          <w:color w:val="404040"/>
          <w:sz w:val="21"/>
        </w:rPr>
        <w:t>(ex-Artikel 106 EGV)</w:t>
      </w:r>
    </w:p>
    <w:p>
      <w:r>
        <w:t xml:space="preserve">(1) </w:t>
      </w:r>
      <w:r>
        <w:rPr>
          <w:rStyle w:val="Satznummer"/>
        </w:rPr>
        <w:t>1</w:t>
      </w:r>
      <w:r>
        <w:t xml:space="preserve">Die Europäische Zentralbank hat das ausschließliche Recht, die Ausgabe von Euro-Banknoten innerhalb der Union zu genehmigen. </w:t>
      </w:r>
      <w:r>
        <w:rPr>
          <w:rStyle w:val="Satznummer"/>
        </w:rPr>
        <w:t>2</w:t>
      </w:r>
      <w:r>
        <w:t xml:space="preserve">Die Europäische Zentralbank und die nationalen Zentralbanken sind zur Ausgabe dieser Banknoten berechtigt. </w:t>
      </w:r>
      <w:r>
        <w:rPr>
          <w:rStyle w:val="Satznummer"/>
        </w:rPr>
        <w:t>3</w:t>
      </w:r>
      <w:r>
        <w:t>Die von der Europäischen Zentralbank und den nationalen Zentralbanken ausgegebenen Banknoten sind die einzigen Banknoten, die in der Union als gesetzliches Zahlungsmittel gelten.</w:t>
      </w:r>
    </w:p>
    <w:p>
      <w:r>
        <w:t xml:space="preserve">(2) </w:t>
      </w:r>
      <w:r>
        <w:rPr>
          <w:rStyle w:val="Satznummer"/>
        </w:rPr>
        <w:t>1</w:t>
      </w:r>
      <w:r>
        <w:t xml:space="preserve">Die Mitgliedstaaten haben das Recht zur Ausgabe von Euro-Münzen, wobei der Umfang dieser Ausgabe der Genehmigung durch die Europäische Zentralbank bedarf. </w:t>
      </w:r>
      <w:r>
        <w:rPr>
          <w:rStyle w:val="Satznummer"/>
        </w:rPr>
        <w:t>2</w:t>
      </w:r>
      <w:r>
        <w:t>Der Rat kann auf Vorschlag der Kommission und nach Anhörung des Europäischen Parlaments und der Europäischen Zentralbank Maßnahmen erlassen, um die Stückelung und die technischen Merkmale aller für den Umlauf bestimmten Münzen so weit zu harmonisieren, wie dies für deren reibungslosen Umlauf innerhalb der Union erforderlich ist.</w:t>
      </w:r>
    </w:p>
    <w:p>
      <w:pPr>
        <w:pStyle w:val="Heading4"/>
      </w:pPr>
      <w:bookmarkStart w:id="164" w:name="b161"/>
      <w:r>
        <w:t>Art 129</w:t>
      </w:r>
      <w:r>
        <w:t xml:space="preserve"> </w:t>
      </w:r>
      <w:r>
        <w:rPr>
          <w:rStyle w:val="Suchmarke"/>
        </w:rPr>
        <w:t>#129.#</w:t>
      </w:r>
      <w:bookmarkEnd w:id="164"/>
    </w:p>
    <w:p>
      <w:r>
        <w:rPr>
          <w:color w:val="404040"/>
          <w:sz w:val="21"/>
        </w:rPr>
        <w:t>(ex-Artikel 107 EGV)</w:t>
      </w:r>
    </w:p>
    <w:p>
      <w:r>
        <w:t>(1) Das ESZB wird von den Beschlussorganen der Europäischen Zentralbank, nämlich dem Rat der Europäischen Zentralbank und dem Direktorium, geleitet.</w:t>
      </w:r>
    </w:p>
    <w:p>
      <w:r>
        <w:t>(2) Die Satzung des Europäischen Systems der Zentralbanken und der Europäischen Zentralbank (im Folgenden "Satzung des ESZB und der EZB") ist in einem den Verträgen beigefügten Protokoll festgelegt.</w:t>
      </w:r>
    </w:p>
    <w:p>
      <w:r>
        <w:t xml:space="preserve">(3) </w:t>
      </w:r>
      <w:r>
        <w:rPr>
          <w:rStyle w:val="Satznummer"/>
        </w:rPr>
        <w:t>1</w:t>
      </w:r>
      <w:r>
        <w:t xml:space="preserve">Das Europäische Parlament und der Rat können die </w:t>
      </w:r>
      <w:hyperlink w:anchor="b7" w:history="1">
        <w:r>
          <w:rPr>
            <w:color w:val="0A3A8C"/>
            <w:u w:val="single"/>
          </w:rPr>
          <w:t xml:space="preserve">Artikel 5</w:t>
        </w:r>
      </w:hyperlink>
      <w:r>
        <w:t xml:space="preserve">.1, 5.2, 5.3, 17, 18, 19.1, 22, 23, 24, 26, 32.2, 32.3, 32.4, 32.6, 33.1 Buchstabe a und 36 der Satzung des ESZB und der EZB gemäß dem ordentlichen Gesetzgebungsverfahren ändern. </w:t>
      </w:r>
      <w:r>
        <w:rPr>
          <w:rStyle w:val="Satznummer"/>
        </w:rPr>
        <w:t>2</w:t>
      </w:r>
      <w:r>
        <w:t>Sie beschließen entweder auf Empfehlung der Europäischen Zentralbank nach Anhörung der Kommission oder auf Empfehlung der Kommission nach Anhörung der Europäischen Zentralbank.</w:t>
      </w:r>
    </w:p>
    <w:p>
      <w:r>
        <w:t xml:space="preserve">(4) Der Rat erlässt entweder auf Vorschlag der Kommission und nach Anhörung des Europäischen Parlaments und der Europäischen Zentralbank oder auf Empfehlung der Europäischen Zentralbank und nach Anhörung des Europäischen Parlaments und der Kommission die in den </w:t>
      </w:r>
      <w:hyperlink w:anchor="b6" w:history="1">
        <w:r>
          <w:rPr>
            <w:color w:val="0A3A8C"/>
            <w:u w:val="single"/>
          </w:rPr>
          <w:t xml:space="preserve">Artikeln 4</w:t>
        </w:r>
      </w:hyperlink>
      <w:r>
        <w:t xml:space="preserve">, </w:t>
      </w:r>
      <w:hyperlink w:anchor="b7" w:history="1">
        <w:r>
          <w:rPr>
            <w:color w:val="0A3A8C"/>
            <w:u w:val="single"/>
          </w:rPr>
          <w:t xml:space="preserve">5</w:t>
        </w:r>
      </w:hyperlink>
      <w:r>
        <w:t>.4, 19.2, 20, 28.1, 29.2, 30.4 und 34.3 der Satzung des ESZB und der EZB genannten Bestimmungen.</w:t>
      </w:r>
    </w:p>
    <w:p>
      <w:pPr>
        <w:pStyle w:val="Heading4"/>
      </w:pPr>
      <w:bookmarkStart w:id="165" w:name="b162"/>
      <w:r>
        <w:t>Art 130</w:t>
      </w:r>
      <w:r>
        <w:t xml:space="preserve"> </w:t>
      </w:r>
      <w:r>
        <w:rPr>
          <w:rStyle w:val="Suchmarke"/>
        </w:rPr>
        <w:t>#130.#</w:t>
      </w:r>
      <w:bookmarkEnd w:id="165"/>
    </w:p>
    <w:p>
      <w:r>
        <w:rPr>
          <w:color w:val="404040"/>
          <w:sz w:val="21"/>
        </w:rPr>
        <w:t>(ex-Artikel 108 EGV)</w:t>
      </w:r>
    </w:p>
    <w:p>
      <w:r>
        <w:rPr>
          <w:rStyle w:val="Satznummer"/>
        </w:rPr>
        <w:t>1</w:t>
      </w:r>
      <w:r>
        <w:t xml:space="preserve">Bei der Wahrnehmung der ihnen durch die Verträge und die Satzung des ESZB und der EZB übertragenen Befugnisse, Aufgaben und Pflichten darf weder die Europäische Zentralbank noch eine nationale Zentralbank noch ein Mitglied ihrer Beschlussorgane Weisungen von Organen, Einrichtungen oder sonstigen Stellen der Union, Regierungen der Mitgliedstaaten oder anderen Stellen einholen oder entgegennehmen. </w:t>
      </w:r>
      <w:r>
        <w:rPr>
          <w:rStyle w:val="Satznummer"/>
        </w:rPr>
        <w:t>2</w:t>
      </w:r>
      <w:r>
        <w:t>Die Organe, Einrichtungen oder sonstigen Stellen der Union sowie die Regierungen der Mitgliedstaaten verpflichten sich, diesen Grundsatz zu beachten und nicht zu versuchen, die Mitglieder der Beschlussorgane der Europäischen Zentralbank oder der nationalen Zentralbanken bei der Wahrnehmung ihrer Aufgaben zu beeinflussen.</w:t>
      </w:r>
    </w:p>
    <w:p>
      <w:pPr>
        <w:pStyle w:val="Heading4"/>
      </w:pPr>
      <w:bookmarkStart w:id="166" w:name="b163"/>
      <w:r>
        <w:t>Art 131</w:t>
      </w:r>
      <w:r>
        <w:t xml:space="preserve"> </w:t>
      </w:r>
      <w:r>
        <w:rPr>
          <w:rStyle w:val="Suchmarke"/>
        </w:rPr>
        <w:t>#131.#</w:t>
      </w:r>
      <w:bookmarkEnd w:id="166"/>
    </w:p>
    <w:p>
      <w:r>
        <w:rPr>
          <w:color w:val="404040"/>
          <w:sz w:val="21"/>
        </w:rPr>
        <w:t>(ex-Artikel 109 EGV)</w:t>
      </w:r>
    </w:p>
    <w:p>
      <w:r>
        <w:t>Jeder Mitgliedstaat stellt sicher, dass seine innerstaatlichen Rechtsvorschriften einschließlich der Satzung seiner nationalen Zentralbank mit den Verträgen sowie mit der Satzung des ESZB und der EZB im Einklang stehen.</w:t>
      </w:r>
    </w:p>
    <w:p>
      <w:pPr>
        <w:pStyle w:val="Heading4"/>
      </w:pPr>
      <w:bookmarkStart w:id="167" w:name="b164"/>
      <w:r>
        <w:t>Art 132</w:t>
      </w:r>
      <w:r>
        <w:t xml:space="preserve"> </w:t>
      </w:r>
      <w:r>
        <w:rPr>
          <w:rStyle w:val="Suchmarke"/>
        </w:rPr>
        <w:t>#132.#</w:t>
      </w:r>
      <w:bookmarkEnd w:id="167"/>
    </w:p>
    <w:p>
      <w:r>
        <w:rPr>
          <w:color w:val="404040"/>
          <w:sz w:val="21"/>
        </w:rPr>
        <w:t>(ex-Artikel 110 EGV)</w:t>
      </w:r>
    </w:p>
    <w:p>
      <w:r>
        <w:t>(1) Zur Erfüllung der dem ESZB übertragenen Aufgaben werden von der Europäischen Zentralbank gemäß den Verträgen und unter den in der Satzung des ESZB und der EZB vorgesehenen Bedingungen</w:t>
      </w:r>
    </w:p>
    <w:p>
      <w:pPr>
        <w:tabs>
          <w:tab w:pos="567" w:val="left"/>
        </w:tabs>
        <w:ind w:left="567" w:hanging="567"/>
      </w:pPr>
      <w:r>
        <w:t>—</w:t>
      </w:r>
      <w:r>
        <w:tab/>
      </w:r>
      <w:r>
        <w:t xml:space="preserve">Verordnungen erlassen, insoweit dies für die Erfüllung der in </w:t>
      </w:r>
      <w:hyperlink w:anchor="b5" w:history="1">
        <w:r>
          <w:rPr>
            <w:color w:val="0A3A8C"/>
            <w:u w:val="single"/>
          </w:rPr>
          <w:t xml:space="preserve">Artikel 3</w:t>
        </w:r>
      </w:hyperlink>
      <w:r>
        <w:t xml:space="preserve">.1 erster Gedankenstrich, </w:t>
      </w:r>
      <w:hyperlink w:anchor="b23" w:history="1">
        <w:r>
          <w:rPr>
            <w:color w:val="0A3A8C"/>
            <w:u w:val="single"/>
          </w:rPr>
          <w:t xml:space="preserve">Artikel 19</w:t>
        </w:r>
      </w:hyperlink>
      <w:r>
        <w:t xml:space="preserve">.1, </w:t>
      </w:r>
      <w:hyperlink w:anchor="b26" w:history="1">
        <w:r>
          <w:rPr>
            <w:color w:val="0A3A8C"/>
            <w:u w:val="single"/>
          </w:rPr>
          <w:t xml:space="preserve">Artikel 22</w:t>
        </w:r>
      </w:hyperlink>
      <w:r>
        <w:t xml:space="preserve"> oder </w:t>
      </w:r>
      <w:hyperlink w:anchor="b29" w:history="1">
        <w:r>
          <w:rPr>
            <w:color w:val="0A3A8C"/>
            <w:u w:val="single"/>
          </w:rPr>
          <w:t xml:space="preserve">Artikel 25</w:t>
        </w:r>
      </w:hyperlink>
      <w:r>
        <w:t xml:space="preserve">.2 der Satzung des ESZB und der EZB festgelegten Aufgaben erforderlich ist; sie erlässt Verordnungen ferner in den Fällen, die in den Rechtsakten des Rates nach </w:t>
      </w:r>
      <w:hyperlink w:anchor="b161" w:history="1">
        <w:r>
          <w:rPr>
            <w:color w:val="0A3A8C"/>
            <w:u w:val="single"/>
          </w:rPr>
          <w:t xml:space="preserve">Artikel 129</w:t>
        </w:r>
      </w:hyperlink>
      <w:r>
        <w:t xml:space="preserve"> Absatz 4 vorgesehen werden,</w:t>
      </w:r>
    </w:p>
    <w:p>
      <w:pPr>
        <w:tabs>
          <w:tab w:pos="567" w:val="left"/>
        </w:tabs>
        <w:ind w:left="567" w:hanging="567"/>
      </w:pPr>
      <w:r>
        <w:t>—</w:t>
      </w:r>
      <w:r>
        <w:tab/>
      </w:r>
      <w:r>
        <w:t>Beschlüsse erlassen, die zur Erfüllung der dem ESZB nach den Verträgen und der Satzung des ESZB und der EZB übertragenen Aufgaben erforderlich sind,</w:t>
      </w:r>
    </w:p>
    <w:p>
      <w:pPr>
        <w:tabs>
          <w:tab w:pos="567" w:val="left"/>
        </w:tabs>
        <w:ind w:left="567" w:hanging="567"/>
      </w:pPr>
      <w:r>
        <w:t>—</w:t>
      </w:r>
      <w:r>
        <w:tab/>
      </w:r>
      <w:r>
        <w:t>Empfehlungen und Stellungnahmen abgegeben.</w:t>
      </w:r>
    </w:p>
    <w:p>
      <w:r>
        <w:t>(2) Die Europäische Zentralbank kann die Veröffentlichung ihrer Beschlüsse, Empfehlungen und Stellungnahmen beschließen.</w:t>
      </w:r>
    </w:p>
    <w:p>
      <w:r>
        <w:t xml:space="preserve">(3) Innerhalb der Grenzen und unter den Bedingungen, die der Rat nach dem Verfahren des </w:t>
      </w:r>
      <w:hyperlink w:anchor="b161" w:history="1">
        <w:r>
          <w:rPr>
            <w:color w:val="0A3A8C"/>
            <w:u w:val="single"/>
          </w:rPr>
          <w:t xml:space="preserve">Artikels 129</w:t>
        </w:r>
      </w:hyperlink>
      <w:r>
        <w:t xml:space="preserve"> Absatz 4 festlegt, ist die Europäische Zentralbank befugt, Unternehmen bei Nichteinhaltung der Verpflichtungen, die sich aus ihren Verordnungen und Beschlüssen ergeben, mit Geldbußen oder in regelmäßigen Abständen zu zahlenden Zwangsgeldern zu belegen.</w:t>
      </w:r>
    </w:p>
    <w:p>
      <w:pPr>
        <w:pStyle w:val="Heading4"/>
      </w:pPr>
      <w:bookmarkStart w:id="168" w:name="b165"/>
      <w:r>
        <w:t>Art 133</w:t>
      </w:r>
      <w:r>
        <w:t xml:space="preserve"> </w:t>
      </w:r>
      <w:r>
        <w:rPr>
          <w:rStyle w:val="Suchmarke"/>
        </w:rPr>
        <w:t>#133.#</w:t>
      </w:r>
      <w:bookmarkEnd w:id="168"/>
    </w:p>
    <w:p>
      <w:r>
        <w:rPr>
          <w:rStyle w:val="Satznummer"/>
        </w:rPr>
        <w:t>1</w:t>
      </w:r>
      <w:r>
        <w:t xml:space="preserve">Unbeschadet der Befugnisse der Europäischen Zentralbank erlassen das Europäische Parlament und der Rat gemäß dem ordentlichen Gesetzgebungsverfahren die Maßnahmen, die für die Verwendung des Euro als einheitliche Währung erforderlich sind. </w:t>
      </w:r>
      <w:r>
        <w:rPr>
          <w:rStyle w:val="Satznummer"/>
        </w:rPr>
        <w:t>2</w:t>
      </w:r>
      <w:r>
        <w:t>Diese Maßnahmen werden nach Anhörung der Europäischen Zentralbank erlassen.</w:t>
      </w:r>
    </w:p>
    <w:p>
      <w:pPr>
        <w:pStyle w:val="Heading3"/>
      </w:pPr>
      <w:bookmarkStart w:id="169" w:name="b166"/>
      <w:r>
        <w:t>KAPITEL 3 INSTITUTIONELLE BESTIMMUNGEN</w:t>
      </w:r>
      <w:bookmarkEnd w:id="169"/>
    </w:p>
    <w:p>
      <w:pPr>
        <w:pStyle w:val="Heading4"/>
      </w:pPr>
      <w:bookmarkStart w:id="170" w:name="b167"/>
      <w:r>
        <w:t>Art 134</w:t>
      </w:r>
      <w:r>
        <w:t xml:space="preserve"> </w:t>
      </w:r>
      <w:r>
        <w:rPr>
          <w:rStyle w:val="Suchmarke"/>
        </w:rPr>
        <w:t>#134.#</w:t>
      </w:r>
      <w:bookmarkEnd w:id="170"/>
    </w:p>
    <w:p>
      <w:r>
        <w:rPr>
          <w:color w:val="404040"/>
          <w:sz w:val="21"/>
        </w:rPr>
        <w:t>(ex-Artikel 114 EGV)</w:t>
      </w:r>
    </w:p>
    <w:p>
      <w:r>
        <w:t>(1) Um die Koordinierung der Politiken der Mitgliedstaaten in dem für das Funktionieren des Binnenmarkts erforderlichen Umfang zu fördern, wird ein Wirtschafts- und Finanzausschuss eingesetzt.</w:t>
      </w:r>
    </w:p>
    <w:p>
      <w:r>
        <w:t>(2) Der Wirtschafts- und Finanzausschuss hat die Aufgabe,</w:t>
      </w:r>
    </w:p>
    <w:p>
      <w:pPr>
        <w:tabs>
          <w:tab w:pos="567" w:val="left"/>
        </w:tabs>
        <w:ind w:left="567" w:hanging="567"/>
      </w:pPr>
      <w:r>
        <w:t>—</w:t>
      </w:r>
      <w:r>
        <w:tab/>
      </w:r>
      <w:r>
        <w:t>auf Ersuchen des Rates oder der Kommission oder von sich aus Stellungnahmen an diese Organe abzugeben;</w:t>
      </w:r>
    </w:p>
    <w:p>
      <w:pPr>
        <w:tabs>
          <w:tab w:pos="567" w:val="left"/>
        </w:tabs>
        <w:ind w:left="567" w:hanging="567"/>
      </w:pPr>
      <w:r>
        <w:t>—</w:t>
      </w:r>
      <w:r>
        <w:tab/>
      </w:r>
      <w:r>
        <w:t>die Wirtschafts- und Finanzlage der Mitgliedstaaten und der Union zu beobachten und dem Rat und der Kommission regelmäßig darüber Bericht zu erstatten, insbesondere über die finanziellen Beziehungen zu dritten Ländern und internationalen Einrichtungen;</w:t>
      </w:r>
    </w:p>
    <w:p>
      <w:pPr>
        <w:tabs>
          <w:tab w:pos="567" w:val="left"/>
        </w:tabs>
        <w:ind w:left="567" w:hanging="567"/>
      </w:pPr>
      <w:r>
        <w:t>—</w:t>
      </w:r>
      <w:r>
        <w:tab/>
      </w:r>
      <w:r>
        <w:t xml:space="preserve">unbeschadet des </w:t>
      </w:r>
      <w:hyperlink w:anchor="b309" w:history="1">
        <w:r>
          <w:rPr>
            <w:color w:val="0A3A8C"/>
            <w:u w:val="single"/>
          </w:rPr>
          <w:t xml:space="preserve">Artikels 240</w:t>
        </w:r>
      </w:hyperlink>
      <w:r>
        <w:t xml:space="preserve"> an der Vorbereitung der in </w:t>
      </w:r>
      <w:hyperlink w:anchor="b82" w:history="1">
        <w:r>
          <w:rPr>
            <w:color w:val="0A3A8C"/>
            <w:u w:val="single"/>
          </w:rPr>
          <w:t xml:space="preserve">Artikel 66</w:t>
        </w:r>
      </w:hyperlink>
      <w:r>
        <w:t xml:space="preserve">, </w:t>
      </w:r>
      <w:hyperlink w:anchor="b93" w:history="1">
        <w:r>
          <w:rPr>
            <w:color w:val="0A3A8C"/>
            <w:u w:val="single"/>
          </w:rPr>
          <w:t xml:space="preserve">Artikel 75</w:t>
        </w:r>
      </w:hyperlink>
      <w:r>
        <w:t xml:space="preserve">, </w:t>
      </w:r>
      <w:hyperlink w:anchor="b152" w:history="1">
        <w:r>
          <w:rPr>
            <w:color w:val="0A3A8C"/>
            <w:u w:val="single"/>
          </w:rPr>
          <w:t xml:space="preserve">Artikel 121</w:t>
        </w:r>
      </w:hyperlink>
      <w:r>
        <w:t xml:space="preserve"> Absätze 2, 3, 4 und 6, </w:t>
      </w:r>
      <w:hyperlink w:anchor="b153" w:history="1">
        <w:r>
          <w:rPr>
            <w:color w:val="0A3A8C"/>
            <w:u w:val="single"/>
          </w:rPr>
          <w:t xml:space="preserve">Artikel 122</w:t>
        </w:r>
      </w:hyperlink>
      <w:r>
        <w:t xml:space="preserve">, </w:t>
      </w:r>
      <w:hyperlink w:anchor="b155" w:history="1">
        <w:r>
          <w:rPr>
            <w:color w:val="0A3A8C"/>
            <w:u w:val="single"/>
          </w:rPr>
          <w:t xml:space="preserve">Artikel 124</w:t>
        </w:r>
      </w:hyperlink>
      <w:r>
        <w:t xml:space="preserve">, </w:t>
      </w:r>
      <w:hyperlink w:anchor="b156" w:history="1">
        <w:r>
          <w:rPr>
            <w:color w:val="0A3A8C"/>
            <w:u w:val="single"/>
          </w:rPr>
          <w:t xml:space="preserve">Artikel 125</w:t>
        </w:r>
      </w:hyperlink>
      <w:r>
        <w:t xml:space="preserve">, </w:t>
      </w:r>
      <w:hyperlink w:anchor="b157" w:history="1">
        <w:r>
          <w:rPr>
            <w:color w:val="0A3A8C"/>
            <w:u w:val="single"/>
          </w:rPr>
          <w:t xml:space="preserve">Artikel 126</w:t>
        </w:r>
      </w:hyperlink>
      <w:r>
        <w:t xml:space="preserve">, </w:t>
      </w:r>
      <w:hyperlink w:anchor="b159" w:history="1">
        <w:r>
          <w:rPr>
            <w:color w:val="0A3A8C"/>
            <w:u w:val="single"/>
          </w:rPr>
          <w:t xml:space="preserve">Artikel 127</w:t>
        </w:r>
      </w:hyperlink>
      <w:r>
        <w:t xml:space="preserve"> Absatz 6, </w:t>
      </w:r>
      <w:hyperlink w:anchor="b160" w:history="1">
        <w:r>
          <w:rPr>
            <w:color w:val="0A3A8C"/>
            <w:u w:val="single"/>
          </w:rPr>
          <w:t xml:space="preserve">Artikel 128</w:t>
        </w:r>
      </w:hyperlink>
      <w:r>
        <w:t xml:space="preserve"> Absatz 2, </w:t>
      </w:r>
      <w:hyperlink w:anchor="b161" w:history="1">
        <w:r>
          <w:rPr>
            <w:color w:val="0A3A8C"/>
            <w:u w:val="single"/>
          </w:rPr>
          <w:t xml:space="preserve">Artikel 129</w:t>
        </w:r>
      </w:hyperlink>
      <w:r>
        <w:t xml:space="preserve"> Absätze 3 und 4, </w:t>
      </w:r>
      <w:hyperlink w:anchor="b172" w:history="1">
        <w:r>
          <w:rPr>
            <w:color w:val="0A3A8C"/>
            <w:u w:val="single"/>
          </w:rPr>
          <w:t xml:space="preserve">Artikel 138</w:t>
        </w:r>
      </w:hyperlink>
      <w:r>
        <w:t xml:space="preserve">, </w:t>
      </w:r>
      <w:hyperlink w:anchor="b175" w:history="1">
        <w:r>
          <w:rPr>
            <w:color w:val="0A3A8C"/>
            <w:u w:val="single"/>
          </w:rPr>
          <w:t xml:space="preserve">Artikel 140</w:t>
        </w:r>
      </w:hyperlink>
      <w:r>
        <w:t xml:space="preserve"> Absätze 2 und 3, </w:t>
      </w:r>
      <w:hyperlink w:anchor="b178" w:history="1">
        <w:r>
          <w:rPr>
            <w:color w:val="0A3A8C"/>
            <w:u w:val="single"/>
          </w:rPr>
          <w:t xml:space="preserve">Artikel 143</w:t>
        </w:r>
      </w:hyperlink>
      <w:r>
        <w:t xml:space="preserve">, </w:t>
      </w:r>
      <w:hyperlink w:anchor="b179" w:history="1">
        <w:r>
          <w:rPr>
            <w:color w:val="0A3A8C"/>
            <w:u w:val="single"/>
          </w:rPr>
          <w:t xml:space="preserve">Artikel 144</w:t>
        </w:r>
      </w:hyperlink>
      <w:r>
        <w:t xml:space="preserve"> Absätze 2 und 3 und </w:t>
      </w:r>
      <w:hyperlink w:anchor="b280" w:history="1">
        <w:r>
          <w:rPr>
            <w:color w:val="0A3A8C"/>
            <w:u w:val="single"/>
          </w:rPr>
          <w:t xml:space="preserve">Artikel 219</w:t>
        </w:r>
      </w:hyperlink>
      <w:r>
        <w:t xml:space="preserve"> genannten Arbeiten des Rates mitzuwirken und die sonstigen ihm vom Rat übertragenen Beratungsaufgaben und vorbereitenden Arbeiten auszuführen;</w:t>
      </w:r>
    </w:p>
    <w:p>
      <w:pPr>
        <w:tabs>
          <w:tab w:pos="567" w:val="left"/>
        </w:tabs>
        <w:ind w:left="567" w:hanging="567"/>
      </w:pPr>
      <w:r>
        <w:t>—</w:t>
      </w:r>
      <w:r>
        <w:tab/>
      </w:r>
      <w:r>
        <w:t>mindestens einmal jährlich die Lage hinsichtlich des Kapitalverkehrs und der Freiheit des Zahlungsverkehrs, wie sie sich aus der Anwendung der Verträge und der Maßnahmen des Rates ergeben, zu prüfen; die Prüfung erstreckt sich auf alle Maßnahmen im Zusammenhang mit dem Kapital- und Zahlungsverkehr; der Ausschuss erstattet der Kommission und dem Rat Bericht über das Ergebnis dieser Prüfung.</w:t>
      </w:r>
    </w:p>
    <w:p>
      <w:r>
        <w:t>Jeder Mitgliedstaat sowie die Kommission und die Europäische Zentralbank ernennen jeweils höchstens zwei Mitglieder des Ausschusses.</w:t>
      </w:r>
    </w:p>
    <w:p>
      <w:r>
        <w:t xml:space="preserve">(3) </w:t>
      </w:r>
      <w:r>
        <w:rPr>
          <w:rStyle w:val="Satznummer"/>
        </w:rPr>
        <w:t>1</w:t>
      </w:r>
      <w:r>
        <w:t xml:space="preserve">Der Rat legt auf Vorschlag der Kommission und nach Anhörung der Europäischen Zentralbank und des in diesem Artikel genannten Ausschusses im Einzelnen fest, wie sich der Wirtschafts- und Finanzausschuss zusammensetzt. </w:t>
      </w:r>
      <w:r>
        <w:rPr>
          <w:rStyle w:val="Satznummer"/>
        </w:rPr>
        <w:t>2</w:t>
      </w:r>
      <w:r>
        <w:t>Der Präsident des Rates unterrichtet das Europäische Parlament über diesen Beschluss.</w:t>
      </w:r>
    </w:p>
    <w:p>
      <w:r>
        <w:t xml:space="preserve">(4) Sofern und solange es Mitgliedstaaten gibt, für die eine Ausnahmeregelung nach </w:t>
      </w:r>
      <w:hyperlink w:anchor="b174" w:history="1">
        <w:r>
          <w:rPr>
            <w:color w:val="0A3A8C"/>
            <w:u w:val="single"/>
          </w:rPr>
          <w:t xml:space="preserve">Artikel 139</w:t>
        </w:r>
      </w:hyperlink>
      <w:r>
        <w:t xml:space="preserve"> gilt, hat der Ausschuss zusätzlich zu den in Absatz 2 beschriebenen Aufgaben die Währungs- und Finanzlage sowie den allgemeinen Zahlungsverkehr der betreffenden Mitgliedstaaten zu beobachten und dem Rat und der Kommission regelmäßig darüber Bericht zu erstatten.</w:t>
      </w:r>
    </w:p>
    <w:p>
      <w:pPr>
        <w:pStyle w:val="Heading4"/>
      </w:pPr>
      <w:bookmarkStart w:id="171" w:name="b168"/>
      <w:r>
        <w:t>Art 135</w:t>
      </w:r>
      <w:r>
        <w:t xml:space="preserve"> </w:t>
      </w:r>
      <w:r>
        <w:rPr>
          <w:rStyle w:val="Suchmarke"/>
        </w:rPr>
        <w:t>#135.#</w:t>
      </w:r>
      <w:bookmarkEnd w:id="171"/>
    </w:p>
    <w:p>
      <w:r>
        <w:rPr>
          <w:color w:val="404040"/>
          <w:sz w:val="21"/>
        </w:rPr>
        <w:t>(ex-Artikel 115 EGV)</w:t>
      </w:r>
    </w:p>
    <w:p>
      <w:r>
        <w:rPr>
          <w:rStyle w:val="Satznummer"/>
        </w:rPr>
        <w:t>1</w:t>
      </w:r>
      <w:r>
        <w:t xml:space="preserve">Bei Fragen, die in den Geltungsbereich von </w:t>
      </w:r>
      <w:hyperlink w:anchor="b152" w:history="1">
        <w:r>
          <w:rPr>
            <w:color w:val="0A3A8C"/>
            <w:u w:val="single"/>
          </w:rPr>
          <w:t xml:space="preserve">Artikel 121</w:t>
        </w:r>
      </w:hyperlink>
      <w:r>
        <w:t xml:space="preserve"> Absatz 4, </w:t>
      </w:r>
      <w:hyperlink w:anchor="b157" w:history="1">
        <w:r>
          <w:rPr>
            <w:color w:val="0A3A8C"/>
            <w:u w:val="single"/>
          </w:rPr>
          <w:t xml:space="preserve">Artikel 126</w:t>
        </w:r>
      </w:hyperlink>
      <w:r>
        <w:t xml:space="preserve"> mit Ausnahme von Absatz 14, </w:t>
      </w:r>
      <w:hyperlink w:anchor="b172" w:history="1">
        <w:r>
          <w:rPr>
            <w:color w:val="0A3A8C"/>
            <w:u w:val="single"/>
          </w:rPr>
          <w:t xml:space="preserve">Artikel 138</w:t>
        </w:r>
      </w:hyperlink>
      <w:r>
        <w:t xml:space="preserve">, </w:t>
      </w:r>
      <w:hyperlink w:anchor="b175" w:history="1">
        <w:r>
          <w:rPr>
            <w:color w:val="0A3A8C"/>
            <w:u w:val="single"/>
          </w:rPr>
          <w:t xml:space="preserve">Artikel 140</w:t>
        </w:r>
      </w:hyperlink>
      <w:r>
        <w:t xml:space="preserve"> Absatz 1, </w:t>
      </w:r>
      <w:hyperlink w:anchor="b175" w:history="1">
        <w:r>
          <w:rPr>
            <w:color w:val="0A3A8C"/>
            <w:u w:val="single"/>
          </w:rPr>
          <w:t xml:space="preserve">Artikel 140</w:t>
        </w:r>
      </w:hyperlink>
      <w:r>
        <w:t xml:space="preserve"> Absatz 2 Unterabsatz 1, </w:t>
      </w:r>
      <w:hyperlink w:anchor="b175" w:history="1">
        <w:r>
          <w:rPr>
            <w:color w:val="0A3A8C"/>
            <w:u w:val="single"/>
          </w:rPr>
          <w:t xml:space="preserve">Artikel 140</w:t>
        </w:r>
      </w:hyperlink>
      <w:r>
        <w:t xml:space="preserve"> Absatz 3 und </w:t>
      </w:r>
      <w:hyperlink w:anchor="b280" w:history="1">
        <w:r>
          <w:rPr>
            <w:color w:val="0A3A8C"/>
            <w:u w:val="single"/>
          </w:rPr>
          <w:t xml:space="preserve">Artikel 219</w:t>
        </w:r>
      </w:hyperlink>
      <w:r>
        <w:t xml:space="preserve"> fallen, kann der Rat oder ein Mitgliedstaat die Kommission ersuchen, je nach Zweckmäßigkeit eine Empfehlung oder einen Vorschlag zu unterbreiten. </w:t>
      </w:r>
      <w:r>
        <w:rPr>
          <w:rStyle w:val="Satznummer"/>
        </w:rPr>
        <w:t>2</w:t>
      </w:r>
      <w:r>
        <w:t>Die Kommission prüft dieses Ersuchen und unterbreitet dem Rat umgehend ihre Schlussfolgerungen.</w:t>
      </w:r>
    </w:p>
    <w:p>
      <w:pPr>
        <w:pStyle w:val="Heading3"/>
      </w:pPr>
      <w:bookmarkStart w:id="172" w:name="b169"/>
      <w:r>
        <w:t>KAPITEL 4 BESONDERE BESTIMMUNGEN FÜR DIE MITGLIEDSTAATEN, DEREN WÄHRUNG DER EURO IST</w:t>
      </w:r>
      <w:bookmarkEnd w:id="172"/>
    </w:p>
    <w:p>
      <w:pPr>
        <w:pStyle w:val="Heading4"/>
      </w:pPr>
      <w:bookmarkStart w:id="173" w:name="b170"/>
      <w:r>
        <w:t>Art 136</w:t>
      </w:r>
      <w:r>
        <w:t xml:space="preserve"> </w:t>
      </w:r>
      <w:r>
        <w:rPr>
          <w:rStyle w:val="Suchmarke"/>
        </w:rPr>
        <w:t>#136.#</w:t>
      </w:r>
      <w:bookmarkEnd w:id="173"/>
    </w:p>
    <w:p>
      <w:r>
        <w:t xml:space="preserve">(1) Im Hinblick auf das reibungslose Funktionieren der Wirtschafts- und Währungsunion erlässt der Rat für die Mitgliedstaaten, deren Währung der Euro ist, Maßnahmen nach den einschlägigen Bestimmungen der Verträge und dem entsprechenden Verfahren unter den in den </w:t>
      </w:r>
      <w:hyperlink w:anchor="b152" w:history="1">
        <w:r>
          <w:rPr>
            <w:color w:val="0A3A8C"/>
            <w:u w:val="single"/>
          </w:rPr>
          <w:t xml:space="preserve">Artikeln 121</w:t>
        </w:r>
      </w:hyperlink>
      <w:r>
        <w:t xml:space="preserve"> und </w:t>
      </w:r>
      <w:hyperlink w:anchor="b157" w:history="1">
        <w:r>
          <w:rPr>
            <w:color w:val="0A3A8C"/>
            <w:u w:val="single"/>
          </w:rPr>
          <w:t xml:space="preserve">126</w:t>
        </w:r>
      </w:hyperlink>
      <w:r>
        <w:t xml:space="preserve"> genannten Verfahren, mit Ausnahme des in </w:t>
      </w:r>
      <w:hyperlink w:anchor="b157" w:history="1">
        <w:r>
          <w:rPr>
            <w:color w:val="0A3A8C"/>
            <w:u w:val="single"/>
          </w:rPr>
          <w:t xml:space="preserve">Artikel 126</w:t>
        </w:r>
      </w:hyperlink>
      <w:r>
        <w:t xml:space="preserve"> Absatz 14 genannten Verfahrens, um</w:t>
      </w:r>
    </w:p>
    <w:p>
      <w:pPr>
        <w:tabs>
          <w:tab w:pos="567" w:val="left"/>
        </w:tabs>
        <w:ind w:left="567" w:hanging="567"/>
      </w:pPr>
      <w:r>
        <w:t>a)</w:t>
      </w:r>
      <w:r>
        <w:tab/>
      </w:r>
      <w:r>
        <w:t>die Koordinierung und Überwachung ihrer Haushaltsdisziplin zu verstärken,</w:t>
      </w:r>
    </w:p>
    <w:p>
      <w:pPr>
        <w:tabs>
          <w:tab w:pos="567" w:val="left"/>
        </w:tabs>
        <w:ind w:left="567" w:hanging="567"/>
      </w:pPr>
      <w:r>
        <w:t>b)</w:t>
      </w:r>
      <w:r>
        <w:tab/>
      </w:r>
      <w:r>
        <w:t>für diese Staaten Grundzüge der Wirtschaftspolitik auszuarbeiten, wobei darauf zu achten ist, dass diese mit den für die gesamte Union angenommenen Grundzügen der Wirtschaftspolitik vereinbar sind, und ihre Einhaltung zu überwachen.</w:t>
      </w:r>
    </w:p>
    <w:p>
      <w:r>
        <w:t>(2) Bei den in Absatz 1 genannten Maßnahmen sind nur die Mitglieder des Rates stimmberechtigt, die die Mitgliedstaaten vertreten, deren Währung der Euro ist.</w:t>
      </w:r>
    </w:p>
    <w:p>
      <w:r>
        <w:t>Die qualifizierte Mehrheit dieser Mitglieder bestimmt sich nach Artikel 238 Absatz 3 Buchstabe a.</w:t>
      </w:r>
    </w:p>
    <w:p>
      <w:r>
        <w:t xml:space="preserve">(3) </w:t>
      </w:r>
      <w:r>
        <w:rPr>
          <w:rStyle w:val="Satznummer"/>
        </w:rPr>
        <w:t>1</w:t>
      </w:r>
      <w:r>
        <w:t xml:space="preserve">Die Mitgliedstaaten, deren Währung der Euro ist, können einen Stabilitätsmechanismus einrichten, der aktiviert wird, wenn dies unabdingbar ist, um die Stabilität des Euro-Währungsgebiets insgesamt zu wahren. </w:t>
      </w:r>
      <w:r>
        <w:rPr>
          <w:rStyle w:val="Satznummer"/>
        </w:rPr>
        <w:t>2</w:t>
      </w:r>
      <w:r>
        <w:t>Die Gewährung aller erforderlichen Finanzhilfen im Rahmen des Mechanismus wird strengen Auflagen unterliegen.</w:t>
      </w:r>
    </w:p>
    <w:p>
      <w:pPr>
        <w:pStyle w:val="Heading4"/>
      </w:pPr>
      <w:bookmarkStart w:id="174" w:name="b171"/>
      <w:r>
        <w:t>Art 137</w:t>
      </w:r>
      <w:r>
        <w:t xml:space="preserve"> </w:t>
      </w:r>
      <w:r>
        <w:rPr>
          <w:rStyle w:val="Suchmarke"/>
        </w:rPr>
        <w:t>#137.#</w:t>
      </w:r>
      <w:bookmarkEnd w:id="174"/>
    </w:p>
    <w:p>
      <w:r>
        <w:t>Die Einzelheiten für die Tagungen der Minister der Mitgliedstaaten, deren Währung der Euro ist, sind in dem Protokoll betreffend die Euro-Gruppe festgelegt.</w:t>
      </w:r>
    </w:p>
    <w:p>
      <w:pPr>
        <w:pStyle w:val="Heading4"/>
      </w:pPr>
      <w:bookmarkStart w:id="175" w:name="b172"/>
      <w:r>
        <w:t>Art 138</w:t>
      </w:r>
      <w:r>
        <w:t xml:space="preserve"> </w:t>
      </w:r>
      <w:r>
        <w:rPr>
          <w:rStyle w:val="Suchmarke"/>
        </w:rPr>
        <w:t>#138.#</w:t>
      </w:r>
      <w:bookmarkEnd w:id="175"/>
    </w:p>
    <w:p>
      <w:r>
        <w:rPr>
          <w:color w:val="404040"/>
          <w:sz w:val="21"/>
        </w:rPr>
        <w:t>(ex-Artikel 111 Absatz 4 EGV)</w:t>
      </w:r>
    </w:p>
    <w:p>
      <w:r>
        <w:t xml:space="preserve">(1) </w:t>
      </w:r>
      <w:r>
        <w:rPr>
          <w:rStyle w:val="Satznummer"/>
        </w:rPr>
        <w:t>1</w:t>
      </w:r>
      <w:r>
        <w:t xml:space="preserve">Zur Gewährleistung der Stellung des Euro im internationalen Währungssystem erlässt der Rat auf Vorschlag der Kommission einen Beschluss zur Festlegung der innerhalb der zuständigen internationalen Einrichtungen und Konferenzen im Finanzbereich einzunehmenden gemeinsamen Standpunkte zu den Fragen, die von besonderer Bedeutung für die Wirtschafts- und Währungsunion sind. </w:t>
      </w:r>
      <w:r>
        <w:rPr>
          <w:rStyle w:val="Satznummer"/>
        </w:rPr>
        <w:t>2</w:t>
      </w:r>
      <w:r>
        <w:t>Der Rat beschließt nach Anhörung der Europäischen Zentralbank.</w:t>
      </w:r>
    </w:p>
    <w:p>
      <w:r>
        <w:t xml:space="preserve">(2) </w:t>
      </w:r>
      <w:r>
        <w:rPr>
          <w:rStyle w:val="Satznummer"/>
        </w:rPr>
        <w:t>1</w:t>
      </w:r>
      <w:r>
        <w:t xml:space="preserve">Der Rat kann auf Vorschlag der Kommission geeignete Maßnahmen mit dem Ziel erlassen, eine einheitliche Vertretung bei den internationalen Einrichtungen und Konferenzen im Finanzbereich sicherzustellen. </w:t>
      </w:r>
      <w:r>
        <w:rPr>
          <w:rStyle w:val="Satznummer"/>
        </w:rPr>
        <w:t>2</w:t>
      </w:r>
      <w:r>
        <w:t>Der Rat beschließt nach Anhörung der Europäischen Zentralbank.</w:t>
      </w:r>
    </w:p>
    <w:p>
      <w:r>
        <w:t>(3) Bei den in den Absätzen 1 und 2 genannten Maßnahmen sind nur die Mitglieder des Rates stimmberechtigt, die die Mitgliedstaaten vertreten, deren Währung der Euro ist.</w:t>
      </w:r>
    </w:p>
    <w:p>
      <w:r>
        <w:t>Die qualifizierte Mehrheit dieser Mitglieder bestimmt sich nach Artikel 238 Absatz 3 Buchstabe a.</w:t>
      </w:r>
    </w:p>
    <w:p>
      <w:pPr>
        <w:pStyle w:val="Heading3"/>
      </w:pPr>
      <w:bookmarkStart w:id="176" w:name="b173"/>
      <w:r>
        <w:t>KAPITEL 5 ÜBERGANGSBESTIMMUNGEN</w:t>
      </w:r>
      <w:bookmarkEnd w:id="176"/>
    </w:p>
    <w:p>
      <w:pPr>
        <w:pStyle w:val="Heading4"/>
      </w:pPr>
      <w:bookmarkStart w:id="177" w:name="b174"/>
      <w:r>
        <w:t>Art 139</w:t>
      </w:r>
      <w:r>
        <w:t xml:space="preserve"> </w:t>
      </w:r>
      <w:r>
        <w:rPr>
          <w:rStyle w:val="Suchmarke"/>
        </w:rPr>
        <w:t>#139.#</w:t>
      </w:r>
      <w:bookmarkEnd w:id="177"/>
    </w:p>
    <w:p>
      <w:r>
        <w:t>(1) Die Mitgliedstaaten, für die der Rat nicht beschlossen hat, dass sie die erforderlichen Voraussetzungen für die Einführung des Euro erfüllen, werden im Folgenden als "Mitgliedstaaten, für die eine Ausnahmeregelung gilt" oder "Mitgliedstaaten mit Ausnahmeregelung" bezeichnet.</w:t>
      </w:r>
    </w:p>
    <w:p>
      <w:r>
        <w:t>(2) Auf die Mitgliedstaaten, für die eine Ausnahmeregelung gilt, finden die im Folgenden aufgeführten Bestimmungen der Verträge keine Anwendung:</w:t>
      </w:r>
    </w:p>
    <w:p>
      <w:pPr>
        <w:tabs>
          <w:tab w:pos="567" w:val="left"/>
        </w:tabs>
        <w:ind w:left="567" w:hanging="567"/>
      </w:pPr>
      <w:r>
        <w:t>a)</w:t>
      </w:r>
      <w:r>
        <w:tab/>
      </w:r>
      <w:r>
        <w:t>Annahme der das Euro-Währungsgebiet generell betreffenden Teile der Grundzüge der Wirtschaftspolitik (</w:t>
      </w:r>
      <w:hyperlink w:anchor="b152" w:history="1">
        <w:r>
          <w:rPr>
            <w:color w:val="0A3A8C"/>
            <w:u w:val="single"/>
          </w:rPr>
          <w:t xml:space="preserve">Artikel 121</w:t>
        </w:r>
      </w:hyperlink>
      <w:r>
        <w:t xml:space="preserve"> Absatz 2);</w:t>
      </w:r>
    </w:p>
    <w:p>
      <w:pPr>
        <w:tabs>
          <w:tab w:pos="567" w:val="left"/>
        </w:tabs>
        <w:ind w:left="567" w:hanging="567"/>
      </w:pPr>
      <w:r>
        <w:t>b)</w:t>
      </w:r>
      <w:r>
        <w:tab/>
      </w:r>
      <w:r>
        <w:t>Zwangsmittel zum Abbau eines übermäßigen Defizits (</w:t>
      </w:r>
      <w:hyperlink w:anchor="b157" w:history="1">
        <w:r>
          <w:rPr>
            <w:color w:val="0A3A8C"/>
            <w:u w:val="single"/>
          </w:rPr>
          <w:t xml:space="preserve">Artikel 126</w:t>
        </w:r>
      </w:hyperlink>
      <w:r>
        <w:t xml:space="preserve"> Absätze 9 und 11);</w:t>
      </w:r>
    </w:p>
    <w:p>
      <w:pPr>
        <w:tabs>
          <w:tab w:pos="567" w:val="left"/>
        </w:tabs>
        <w:ind w:left="567" w:hanging="567"/>
      </w:pPr>
      <w:r>
        <w:t>c)</w:t>
      </w:r>
      <w:r>
        <w:tab/>
      </w:r>
      <w:r>
        <w:t>Ziele und Aufgaben des ESZB (</w:t>
      </w:r>
      <w:hyperlink w:anchor="b159" w:history="1">
        <w:r>
          <w:rPr>
            <w:color w:val="0A3A8C"/>
            <w:u w:val="single"/>
          </w:rPr>
          <w:t xml:space="preserve">Artikel 127</w:t>
        </w:r>
      </w:hyperlink>
      <w:r>
        <w:t xml:space="preserve"> Absätze 1, 2, 3 und 5);</w:t>
      </w:r>
    </w:p>
    <w:p>
      <w:pPr>
        <w:tabs>
          <w:tab w:pos="567" w:val="left"/>
        </w:tabs>
        <w:ind w:left="567" w:hanging="567"/>
      </w:pPr>
      <w:r>
        <w:t>d)</w:t>
      </w:r>
      <w:r>
        <w:tab/>
      </w:r>
      <w:r>
        <w:t>Ausgabe des Euro (</w:t>
      </w:r>
      <w:hyperlink w:anchor="b160" w:history="1">
        <w:r>
          <w:rPr>
            <w:color w:val="0A3A8C"/>
            <w:u w:val="single"/>
          </w:rPr>
          <w:t xml:space="preserve">Artikel 128</w:t>
        </w:r>
      </w:hyperlink>
      <w:r>
        <w:t>);</w:t>
      </w:r>
    </w:p>
    <w:p>
      <w:pPr>
        <w:tabs>
          <w:tab w:pos="567" w:val="left"/>
        </w:tabs>
        <w:ind w:left="567" w:hanging="567"/>
      </w:pPr>
      <w:r>
        <w:t>e)</w:t>
      </w:r>
      <w:r>
        <w:tab/>
      </w:r>
      <w:r>
        <w:t>Rechtsakte der Europäischen Zentralbank (</w:t>
      </w:r>
      <w:hyperlink w:anchor="b164" w:history="1">
        <w:r>
          <w:rPr>
            <w:color w:val="0A3A8C"/>
            <w:u w:val="single"/>
          </w:rPr>
          <w:t xml:space="preserve">Artikel 132</w:t>
        </w:r>
      </w:hyperlink>
      <w:r>
        <w:t>);</w:t>
      </w:r>
    </w:p>
    <w:p>
      <w:pPr>
        <w:tabs>
          <w:tab w:pos="567" w:val="left"/>
        </w:tabs>
        <w:ind w:left="567" w:hanging="567"/>
      </w:pPr>
      <w:r>
        <w:t>f)</w:t>
      </w:r>
      <w:r>
        <w:tab/>
      </w:r>
      <w:r>
        <w:t>Maßnahmen bezüglich der Verwendung des Euro (</w:t>
      </w:r>
      <w:hyperlink w:anchor="b165" w:history="1">
        <w:r>
          <w:rPr>
            <w:color w:val="0A3A8C"/>
            <w:u w:val="single"/>
          </w:rPr>
          <w:t xml:space="preserve">Artikel 133</w:t>
        </w:r>
      </w:hyperlink>
      <w:r>
        <w:t>);</w:t>
      </w:r>
    </w:p>
    <w:p>
      <w:pPr>
        <w:tabs>
          <w:tab w:pos="567" w:val="left"/>
        </w:tabs>
        <w:ind w:left="567" w:hanging="567"/>
      </w:pPr>
      <w:r>
        <w:t>g)</w:t>
      </w:r>
      <w:r>
        <w:tab/>
      </w:r>
      <w:r>
        <w:t>Währungsvereinbarungen und andere Maßnahmen bezüglich der Wechselkurspolitik (</w:t>
      </w:r>
      <w:hyperlink w:anchor="b280" w:history="1">
        <w:r>
          <w:rPr>
            <w:color w:val="0A3A8C"/>
            <w:u w:val="single"/>
          </w:rPr>
          <w:t xml:space="preserve">Artikel 219</w:t>
        </w:r>
      </w:hyperlink>
      <w:r>
        <w:t>);</w:t>
      </w:r>
    </w:p>
    <w:p>
      <w:pPr>
        <w:tabs>
          <w:tab w:pos="567" w:val="left"/>
        </w:tabs>
        <w:ind w:left="567" w:hanging="567"/>
      </w:pPr>
      <w:r>
        <w:t>h)</w:t>
      </w:r>
      <w:r>
        <w:tab/>
      </w:r>
      <w:r>
        <w:t>Ernennung der Mitglieder des Direktoriums der Europäischen Zentralbank (</w:t>
      </w:r>
      <w:hyperlink w:anchor="b355" w:history="1">
        <w:r>
          <w:rPr>
            <w:color w:val="0A3A8C"/>
            <w:u w:val="single"/>
          </w:rPr>
          <w:t xml:space="preserve">Artikel 283</w:t>
        </w:r>
      </w:hyperlink>
      <w:r>
        <w:t xml:space="preserve"> Absatz 2);</w:t>
      </w:r>
    </w:p>
    <w:p>
      <w:pPr>
        <w:tabs>
          <w:tab w:pos="567" w:val="left"/>
        </w:tabs>
        <w:ind w:left="567" w:hanging="567"/>
      </w:pPr>
      <w:r>
        <w:t>i)</w:t>
      </w:r>
      <w:r>
        <w:tab/>
      </w:r>
      <w:r>
        <w:t>Beschlüsse zur Festlegung der innerhalb der zuständigen internationalen Einrichtungen und Konferenzen im Finanzbereich einzunehmenden gemeinsamen Standpunkte zu den Fragen, die von besonderer Bedeutung für die Wirtschafts- und Währungsunion sind (</w:t>
      </w:r>
      <w:hyperlink w:anchor="b172" w:history="1">
        <w:r>
          <w:rPr>
            <w:color w:val="0A3A8C"/>
            <w:u w:val="single"/>
          </w:rPr>
          <w:t xml:space="preserve">Artikel 138</w:t>
        </w:r>
      </w:hyperlink>
      <w:r>
        <w:t xml:space="preserve"> Absatz 1);</w:t>
      </w:r>
    </w:p>
    <w:p>
      <w:pPr>
        <w:tabs>
          <w:tab w:pos="567" w:val="left"/>
        </w:tabs>
        <w:ind w:left="567" w:hanging="567"/>
      </w:pPr>
      <w:r>
        <w:t>j)</w:t>
      </w:r>
      <w:r>
        <w:tab/>
      </w:r>
      <w:r>
        <w:t>Maßnahmen zur Sicherstellung einer einheitlichen Vertretung bei den internationalen Einrichtungen und Konferenzen im Finanzbereich (</w:t>
      </w:r>
      <w:hyperlink w:anchor="b172" w:history="1">
        <w:r>
          <w:rPr>
            <w:color w:val="0A3A8C"/>
            <w:u w:val="single"/>
          </w:rPr>
          <w:t xml:space="preserve">Artikel 138</w:t>
        </w:r>
      </w:hyperlink>
      <w:r>
        <w:t xml:space="preserve"> Absatz 2).</w:t>
      </w:r>
    </w:p>
    <w:p>
      <w:r>
        <w:t>Somit sind "Mitgliedstaaten" im Sinne der in den Buchstaben a bis j genannten Artikel die Mitgliedstaaten, deren Währung der Euro ist.</w:t>
      </w:r>
    </w:p>
    <w:p>
      <w:r>
        <w:t>(3) Die Mitgliedstaaten, für die eine Ausnahmeregelung gilt, und deren nationale Zentralbanken sind nach Kapitel IX der Satzung des ESZB und der EZB von den Rechten und Pflichten im Rahmen des ESZB ausgeschlossen.</w:t>
      </w:r>
    </w:p>
    <w:p>
      <w:r>
        <w:t>(4) Das Stimmrecht der Mitglieder des Rates, die Mitgliedstaaten mit Ausnahmeregelung vertreten, ruht beim Erlass von Maßnahmen nach den in Absatz 2 genannten Artikeln durch den Rat sowie bei</w:t>
      </w:r>
    </w:p>
    <w:p>
      <w:pPr>
        <w:tabs>
          <w:tab w:pos="567" w:val="left"/>
        </w:tabs>
        <w:ind w:left="567" w:hanging="567"/>
      </w:pPr>
      <w:r>
        <w:t>a)</w:t>
      </w:r>
      <w:r>
        <w:tab/>
      </w:r>
      <w:r>
        <w:t>Empfehlungen an die Mitgliedstaaten, deren Währung der Euro ist, im Rahmen der multilateralen Überwachung, einschließlich Empfehlungen zu den Stabilitätsprogrammen und Verwarnungen (</w:t>
      </w:r>
      <w:hyperlink w:anchor="b152" w:history="1">
        <w:r>
          <w:rPr>
            <w:color w:val="0A3A8C"/>
            <w:u w:val="single"/>
          </w:rPr>
          <w:t xml:space="preserve">Artikel 121</w:t>
        </w:r>
      </w:hyperlink>
      <w:r>
        <w:t xml:space="preserve"> Absatz 4);</w:t>
      </w:r>
    </w:p>
    <w:p>
      <w:pPr>
        <w:tabs>
          <w:tab w:pos="567" w:val="left"/>
        </w:tabs>
        <w:ind w:left="567" w:hanging="567"/>
      </w:pPr>
      <w:r>
        <w:t>b)</w:t>
      </w:r>
      <w:r>
        <w:tab/>
      </w:r>
      <w:r>
        <w:t>Maßnahmen bei übermäßigem Defizit von Mitgliedstaaten, deren Währung der Euro ist (</w:t>
      </w:r>
      <w:hyperlink w:anchor="b157" w:history="1">
        <w:r>
          <w:rPr>
            <w:color w:val="0A3A8C"/>
            <w:u w:val="single"/>
          </w:rPr>
          <w:t xml:space="preserve">Artikel 126</w:t>
        </w:r>
      </w:hyperlink>
      <w:r>
        <w:t xml:space="preserve"> Absätze 6, 7, 8, 12 und 13).</w:t>
      </w:r>
    </w:p>
    <w:p>
      <w:r>
        <w:t>Die qualifizierte Mehrheit der übrigen Mitglieder des Rates bestimmt sich nach Artikel 238 Absatz 3 Buchstabe a.</w:t>
      </w:r>
    </w:p>
    <w:p>
      <w:pPr>
        <w:pStyle w:val="Heading4"/>
      </w:pPr>
      <w:bookmarkStart w:id="178" w:name="b175"/>
      <w:r>
        <w:t>Art 140</w:t>
      </w:r>
      <w:r>
        <w:t xml:space="preserve"> </w:t>
      </w:r>
      <w:r>
        <w:rPr>
          <w:rStyle w:val="Suchmarke"/>
        </w:rPr>
        <w:t>#140.#</w:t>
      </w:r>
      <w:bookmarkEnd w:id="178"/>
    </w:p>
    <w:p>
      <w:r>
        <w:rPr>
          <w:color w:val="404040"/>
          <w:sz w:val="21"/>
        </w:rPr>
        <w:t>(ex-</w:t>
      </w:r>
      <w:hyperlink w:anchor="b152" w:history="1">
        <w:r>
          <w:rPr>
            <w:color w:val="404040"/>
            <w:sz w:val="21"/>
            <w:u w:val="single"/>
          </w:rPr>
          <w:t xml:space="preserve">Artikel 121</w:t>
        </w:r>
      </w:hyperlink>
      <w:r>
        <w:rPr>
          <w:color w:val="404040"/>
          <w:sz w:val="21"/>
        </w:rPr>
        <w:t xml:space="preserve"> Absatz 1, ex-</w:t>
      </w:r>
      <w:hyperlink w:anchor="b153" w:history="1">
        <w:r>
          <w:rPr>
            <w:color w:val="404040"/>
            <w:sz w:val="21"/>
            <w:u w:val="single"/>
          </w:rPr>
          <w:t xml:space="preserve">Artikel 122</w:t>
        </w:r>
      </w:hyperlink>
      <w:r>
        <w:rPr>
          <w:color w:val="404040"/>
          <w:sz w:val="21"/>
        </w:rPr>
        <w:t xml:space="preserve"> Absatz 2 Satz 2 und ex-Artikel 123 Absatz 5 EGV))</w:t>
      </w:r>
    </w:p>
    <w:p>
      <w:r>
        <w:t xml:space="preserve">(1) </w:t>
      </w:r>
      <w:r>
        <w:rPr>
          <w:rStyle w:val="Satznummer"/>
        </w:rPr>
        <w:t>1</w:t>
      </w:r>
      <w:r>
        <w:t xml:space="preserve">Mindestens einmal alle zwei Jahre oder auf Antrag eines Mitgliedstaats, für den eine Ausnahmeregelung gilt, berichten die Kommission und die Europäische Zentralbank dem Rat, inwieweit die Mitgliedstaaten, für die eine Ausnahmeregelung gilt, bei der Verwirklichung der Wirtschafts- und Währungsunion ihren Verpflichtungen bereits nachgekommen sind. </w:t>
      </w:r>
      <w:r>
        <w:rPr>
          <w:rStyle w:val="Satznummer"/>
        </w:rPr>
        <w:t>2</w:t>
      </w:r>
      <w:r>
        <w:t xml:space="preserve">In ihren Berichten wird auch die Frage geprüft, inwieweit die innerstaatlichen Rechtsvorschriften jedes einzelnen dieser Mitgliedstaaten einschließlich der Satzung der jeweiligen nationalen Zentralbank mit </w:t>
      </w:r>
      <w:hyperlink w:anchor="b162" w:history="1">
        <w:r>
          <w:rPr>
            <w:color w:val="0A3A8C"/>
            <w:u w:val="single"/>
          </w:rPr>
          <w:t xml:space="preserve">Artikel 130</w:t>
        </w:r>
      </w:hyperlink>
      <w:r>
        <w:t xml:space="preserve"> und </w:t>
      </w:r>
      <w:hyperlink w:anchor="b163" w:history="1">
        <w:r>
          <w:rPr>
            <w:color w:val="0A3A8C"/>
            <w:u w:val="single"/>
          </w:rPr>
          <w:t xml:space="preserve">Artikel 131</w:t>
        </w:r>
      </w:hyperlink>
      <w:r>
        <w:t xml:space="preserve"> sowie der Satzung des ESZB und der EZB vereinbar sind. </w:t>
      </w:r>
      <w:r>
        <w:rPr>
          <w:rStyle w:val="Satznummer"/>
        </w:rPr>
        <w:t>3</w:t>
      </w:r>
      <w:r>
        <w:t>Ferner wird darin geprüft, ob ein hoher Grad an dauerhafter Konvergenz erreicht ist; Maßstab hierfür ist, ob die einzelnen Mitgliedstaaten folgende Kriterien erfüllen:</w:t>
      </w:r>
    </w:p>
    <w:p>
      <w:pPr>
        <w:tabs>
          <w:tab w:pos="567" w:val="left"/>
        </w:tabs>
        <w:ind w:left="567" w:hanging="567"/>
      </w:pPr>
      <w:r>
        <w:t>—</w:t>
      </w:r>
      <w:r>
        <w:tab/>
      </w:r>
      <w:r>
        <w:t>Erreichung eines hohen Grades an Preisstabilität, ersichtlich aus einer Inflationsrate, die der Inflationsrate jener – höchstens drei – Mitgliedstaaten nahe kommt, die auf dem Gebiet der Preisstabilität das beste Ergebnis erzielt haben;</w:t>
      </w:r>
    </w:p>
    <w:p>
      <w:pPr>
        <w:tabs>
          <w:tab w:pos="567" w:val="left"/>
        </w:tabs>
        <w:ind w:left="567" w:hanging="567"/>
      </w:pPr>
      <w:r>
        <w:t>—</w:t>
      </w:r>
      <w:r>
        <w:tab/>
      </w:r>
      <w:r>
        <w:t xml:space="preserve">eine auf Dauer tragbare Finanzlage der öffentlichen Hand, ersichtlich aus einer öffentlichen Haushaltslage ohne übermäßiges Defizit im Sinne des </w:t>
      </w:r>
      <w:hyperlink w:anchor="b157" w:history="1">
        <w:r>
          <w:rPr>
            <w:color w:val="0A3A8C"/>
            <w:u w:val="single"/>
          </w:rPr>
          <w:t xml:space="preserve">Artikels 126</w:t>
        </w:r>
      </w:hyperlink>
      <w:r>
        <w:t xml:space="preserve"> Absatz 6;</w:t>
      </w:r>
    </w:p>
    <w:p>
      <w:pPr>
        <w:tabs>
          <w:tab w:pos="567" w:val="left"/>
        </w:tabs>
        <w:ind w:left="567" w:hanging="567"/>
      </w:pPr>
      <w:r>
        <w:t>—</w:t>
      </w:r>
      <w:r>
        <w:tab/>
      </w:r>
      <w:r>
        <w:t>Einhaltung der normalen Bandbreiten des Wechselkursmechanismus des Europäischen Währungssystems seit mindestens zwei Jahren ohne Abwertung gegenüber dem Euro;</w:t>
      </w:r>
    </w:p>
    <w:p>
      <w:pPr>
        <w:tabs>
          <w:tab w:pos="567" w:val="left"/>
        </w:tabs>
        <w:ind w:left="567" w:hanging="567"/>
      </w:pPr>
      <w:r>
        <w:t>—</w:t>
      </w:r>
      <w:r>
        <w:tab/>
      </w:r>
      <w:r>
        <w:t>Dauerhaftigkeit der von dem Mitgliedstaat mit Ausnahmeregelung erreichten Konvergenz und seiner Teilnahme am Wechselkursmechanismus, die im Niveau der langfristigen Zinssätze zum Ausdruck kommt.</w:t>
      </w:r>
    </w:p>
    <w:p>
      <w:r>
        <w:rPr>
          <w:rStyle w:val="Satznummer"/>
        </w:rPr>
        <w:t>1</w:t>
      </w:r>
      <w:r>
        <w:t xml:space="preserve">Die vier Kriterien in diesem Absatz sowie die jeweils erforderliche Dauer ihrer Einhaltung sind in einem den Verträgen beigefügten Protokoll näher festgelegt. </w:t>
      </w:r>
      <w:r>
        <w:rPr>
          <w:rStyle w:val="Satznummer"/>
        </w:rPr>
        <w:t>2</w:t>
      </w:r>
      <w:r>
        <w:t>Die Berichte der Kommission und der Europäischen Zentralbank berücksichtigen auch die Ergebnisse bei der Integration der Märkte, den Stand und die Entwicklung der Leistungsbilanzen, die Entwicklung bei den Lohnstückkosten und andere Preisindizes.</w:t>
      </w:r>
    </w:p>
    <w:p>
      <w:r>
        <w:t>(2) Der Rat beschließt nach Anhörung des Europäischen Parlaments und nach Aussprache im Europäischen Rat auf Vorschlag der Kommission, welche der Mitgliedstaaten, für die eine Ausnahmeregelung gilt, die auf den Kriterien des Absatzes 1 beruhenden Voraussetzungen erfüllen, und hebt die Ausnahmeregelungen der betreffenden Mitgliedstaaten auf.</w:t>
      </w:r>
    </w:p>
    <w:p>
      <w:r>
        <w:rPr>
          <w:rStyle w:val="Satznummer"/>
        </w:rPr>
        <w:t>1</w:t>
      </w:r>
      <w:r>
        <w:t xml:space="preserve">Der Rat beschließt auf Empfehlung einer qualifizierten Mehrheit derjenigen seiner Mitglieder, die Mitgliedstaaten vertreten, deren Währung der Euro ist. </w:t>
      </w:r>
      <w:r>
        <w:rPr>
          <w:rStyle w:val="Satznummer"/>
        </w:rPr>
        <w:t>2</w:t>
      </w:r>
      <w:r>
        <w:t>Diese Mitglieder beschließen innerhalb von sechs Monaten nach Eingang des Vorschlags der Kommission beim Rat.</w:t>
      </w:r>
    </w:p>
    <w:p>
      <w:r>
        <w:t>Die in Unterabsatz 2 genannte qualifizierte Mehrheit dieser Mitglieder bestimmt sich nach Artikel 238 Absatz 3 Buchstabe a.</w:t>
      </w:r>
    </w:p>
    <w:p>
      <w:r>
        <w:t>(3) Wird nach dem Verfahren des Absatzes 2 beschlossen, eine Ausnahmeregelung aufzuheben, so legt der Rat aufgrund eines einstimmigen Beschlusses der Mitgliedstaaten, deren Währung der Euro ist, und des betreffenden Mitgliedstaats auf Vorschlag der Kommission und nach Anhörung der Europäischen Zentralbank den Kurs, zu dem dessen Währung durch den Euro ersetzt wird, unwiderruflich fest und ergreift die sonstigen erforderlichen Maßnahmen zur Einführung des Euro als einheitliche Währung in dem betreffenden Mitgliedstaat.</w:t>
      </w:r>
    </w:p>
    <w:p>
      <w:pPr>
        <w:pStyle w:val="Heading4"/>
      </w:pPr>
      <w:bookmarkStart w:id="179" w:name="b176"/>
      <w:r>
        <w:t>Art 141</w:t>
      </w:r>
      <w:r>
        <w:t xml:space="preserve"> </w:t>
      </w:r>
      <w:r>
        <w:rPr>
          <w:rStyle w:val="Suchmarke"/>
        </w:rPr>
        <w:t>#141.#</w:t>
      </w:r>
      <w:bookmarkEnd w:id="179"/>
    </w:p>
    <w:p>
      <w:r>
        <w:rPr>
          <w:color w:val="404040"/>
          <w:sz w:val="21"/>
        </w:rPr>
        <w:t>(ex-</w:t>
      </w:r>
      <w:hyperlink w:anchor="b154" w:history="1">
        <w:r>
          <w:rPr>
            <w:color w:val="404040"/>
            <w:sz w:val="21"/>
            <w:u w:val="single"/>
          </w:rPr>
          <w:t xml:space="preserve">Artikel 123</w:t>
        </w:r>
      </w:hyperlink>
      <w:r>
        <w:rPr>
          <w:color w:val="404040"/>
          <w:sz w:val="21"/>
        </w:rPr>
        <w:t xml:space="preserve"> Absatz 3 und ex-</w:t>
      </w:r>
      <w:hyperlink w:anchor="b146" w:history="1">
        <w:r>
          <w:rPr>
            <w:color w:val="404040"/>
            <w:sz w:val="21"/>
            <w:u w:val="single"/>
          </w:rPr>
          <w:t xml:space="preserve">Artikel 117</w:t>
        </w:r>
      </w:hyperlink>
      <w:r>
        <w:rPr>
          <w:color w:val="404040"/>
          <w:sz w:val="21"/>
        </w:rPr>
        <w:t xml:space="preserve"> Absatz 2 erster bis fünfter Gedankenstrich EGV)</w:t>
      </w:r>
    </w:p>
    <w:p>
      <w:r>
        <w:t>(1) Sofern und solange es Mitgliedstaaten gibt, für die eine Ausnahmeregelung gilt, wird unbeschadet des Artikels 129 Absatz 1 der in Artikel 44 der Satzung des ESZB und der EZB bezeichnete Erweiterte Rat der Europäischen Zentralbank als drittes Beschlussorgan der Europäischen Zentralbank errichtet.</w:t>
      </w:r>
    </w:p>
    <w:p>
      <w:r>
        <w:t>(2) Sofern und solange es Mitgliedstaaten gibt, für die eine Ausnahmeregelung gilt, ist es die Aufgabe der Europäischen Zentralbank, in Bezug auf diese Mitgliedstaaten</w:t>
      </w:r>
    </w:p>
    <w:p>
      <w:pPr>
        <w:tabs>
          <w:tab w:pos="567" w:val="left"/>
        </w:tabs>
        <w:ind w:left="567" w:hanging="567"/>
      </w:pPr>
      <w:r>
        <w:t>—</w:t>
      </w:r>
      <w:r>
        <w:tab/>
      </w:r>
      <w:r>
        <w:t>die Zusammenarbeit zwischen den nationalen Zentralbanken zu verstärken;</w:t>
      </w:r>
    </w:p>
    <w:p>
      <w:pPr>
        <w:tabs>
          <w:tab w:pos="567" w:val="left"/>
        </w:tabs>
        <w:ind w:left="567" w:hanging="567"/>
      </w:pPr>
      <w:r>
        <w:t>—</w:t>
      </w:r>
      <w:r>
        <w:tab/>
      </w:r>
      <w:r>
        <w:t>die Koordinierung der Geldpolitiken der Mitgliedstaaten mit dem Ziel zu verstärken, die Preisstabilität aufrechtzuerhalten;</w:t>
      </w:r>
    </w:p>
    <w:p>
      <w:pPr>
        <w:tabs>
          <w:tab w:pos="567" w:val="left"/>
        </w:tabs>
        <w:ind w:left="567" w:hanging="567"/>
      </w:pPr>
      <w:r>
        <w:t>—</w:t>
      </w:r>
      <w:r>
        <w:tab/>
      </w:r>
      <w:r>
        <w:t>das Funktionieren des Wechselkursmechanismus zu überwachen;</w:t>
      </w:r>
    </w:p>
    <w:p>
      <w:pPr>
        <w:tabs>
          <w:tab w:pos="567" w:val="left"/>
        </w:tabs>
        <w:ind w:left="567" w:hanging="567"/>
      </w:pPr>
      <w:r>
        <w:t>—</w:t>
      </w:r>
      <w:r>
        <w:tab/>
      </w:r>
      <w:r>
        <w:t>Konsultationen zu Fragen durchzuführen, die in die Zuständigkeit der nationalen Zentralbanken fallen und die Stabilität der Finanzinstitute und -märkte berühren;</w:t>
      </w:r>
    </w:p>
    <w:p>
      <w:pPr>
        <w:tabs>
          <w:tab w:pos="567" w:val="left"/>
        </w:tabs>
        <w:ind w:left="567" w:hanging="567"/>
      </w:pPr>
      <w:r>
        <w:t>—</w:t>
      </w:r>
      <w:r>
        <w:tab/>
      </w:r>
      <w:r>
        <w:t>die seinerzeitigen Aufgaben des Europäischen Fonds für währungspolitische Zusammenarbeit, die zuvor vom Europäischen Währungsinstitut übernommen worden waren, wahrzunehmen.</w:t>
      </w:r>
    </w:p>
    <w:p>
      <w:pPr>
        <w:pStyle w:val="Heading4"/>
      </w:pPr>
      <w:bookmarkStart w:id="180" w:name="b177"/>
      <w:r>
        <w:t>Art 142</w:t>
      </w:r>
      <w:r>
        <w:t xml:space="preserve"> </w:t>
      </w:r>
      <w:r>
        <w:rPr>
          <w:rStyle w:val="Suchmarke"/>
        </w:rPr>
        <w:t>#142.#</w:t>
      </w:r>
      <w:bookmarkEnd w:id="180"/>
    </w:p>
    <w:p>
      <w:r>
        <w:rPr>
          <w:color w:val="404040"/>
          <w:sz w:val="21"/>
        </w:rPr>
        <w:t>(ex-Artikel 124 Absatz 1 EGV)</w:t>
      </w:r>
    </w:p>
    <w:p>
      <w:r>
        <w:rPr>
          <w:rStyle w:val="Satznummer"/>
        </w:rPr>
        <w:t>1</w:t>
      </w:r>
      <w:r>
        <w:t xml:space="preserve">Jeder Mitgliedstaat, für den eine Ausnahmeregelung gilt, behandelt seine Wechselkurspolitik als eine Angelegenheit von gemeinsamem Interesse. </w:t>
      </w:r>
      <w:r>
        <w:rPr>
          <w:rStyle w:val="Satznummer"/>
        </w:rPr>
        <w:t>2</w:t>
      </w:r>
      <w:r>
        <w:t>Er berücksichtigt dabei die Erfahrungen, die bei der Zusammenarbeit im Rahmen des Wechselkursmechanismus gesammelt worden sind.</w:t>
      </w:r>
    </w:p>
    <w:p>
      <w:pPr>
        <w:pStyle w:val="Heading4"/>
      </w:pPr>
      <w:bookmarkStart w:id="181" w:name="b178"/>
      <w:r>
        <w:t>Art 143</w:t>
      </w:r>
      <w:r>
        <w:t xml:space="preserve"> </w:t>
      </w:r>
      <w:r>
        <w:rPr>
          <w:rStyle w:val="Suchmarke"/>
        </w:rPr>
        <w:t>#143.#</w:t>
      </w:r>
      <w:bookmarkEnd w:id="181"/>
    </w:p>
    <w:p>
      <w:r>
        <w:rPr>
          <w:color w:val="404040"/>
          <w:sz w:val="21"/>
        </w:rPr>
        <w:t>(ex-Artikel 119 EGV)</w:t>
      </w:r>
    </w:p>
    <w:p>
      <w:r>
        <w:t xml:space="preserve">(1) </w:t>
      </w:r>
      <w:r>
        <w:rPr>
          <w:rStyle w:val="Satznummer"/>
        </w:rPr>
        <w:t>1</w:t>
      </w:r>
      <w:r>
        <w:t xml:space="preserve">Ist ein Mitgliedstaat, für den eine Ausnahmeregelung gilt, hinsichtlich seiner Zahlungsbilanz von Schwierigkeiten betroffen oder ernstlich bedroht, die sich entweder aus einem Ungleichgewicht seiner Gesamtzahlungsbilanz oder aus der Art der ihm zur Verfügung stehenden Devisen ergeben, und sind diese Schwierigkeiten geeignet, insbesondere das Funktionieren des Binnenmarkts oder die Verwirklichung der gemeinsamen Handelspolitik zu gefährden, so prüft die Kommission unverzüglich die Lage dieses Staates sowie die Maßnahmen, die er getroffen hat oder unter Einsatz aller ihm zur Verfügung stehenden Mittel nach den Verträgen treffen kann. </w:t>
      </w:r>
      <w:r>
        <w:rPr>
          <w:rStyle w:val="Satznummer"/>
        </w:rPr>
        <w:t>2</w:t>
      </w:r>
      <w:r>
        <w:t>Die Kommission gibt die Maßnahmen an, die sie dem betreffenden Mitgliedstaat empfiehlt.</w:t>
      </w:r>
    </w:p>
    <w:p>
      <w:r>
        <w:t>Erweisen sich die von einem Mitgliedstaat mit Ausnahmeregelung ergriffenen und die von der Kommission angeregten Maßnahmen als unzureichend, die aufgetretenen oder drohenden Schwierigkeiten zu beheben, so empfiehlt die Kommission dem Rat nach Anhörung des Wirtschafts- und Finanzausschusses einen gegenseitigen Beistand und die dafür geeigneten Methoden.</w:t>
      </w:r>
    </w:p>
    <w:p>
      <w:r>
        <w:t>Die Kommission unterrichtet den Rat regelmäßig über die Lage und ihre Entwicklung.</w:t>
      </w:r>
    </w:p>
    <w:p>
      <w:r>
        <w:t xml:space="preserve">(2) </w:t>
      </w:r>
      <w:r>
        <w:rPr>
          <w:rStyle w:val="Satznummer"/>
        </w:rPr>
        <w:t>1</w:t>
      </w:r>
      <w:r>
        <w:t xml:space="preserve">Der Rat gewährt den gegenseitigen Beistand; er erlässt Richtlinien oder Beschlüsse, welche die Bedingungen und Einzelheiten hierfür festlegen. </w:t>
      </w:r>
      <w:r>
        <w:rPr>
          <w:rStyle w:val="Satznummer"/>
        </w:rPr>
        <w:t>2</w:t>
      </w:r>
      <w:r>
        <w:t>Der gegenseitige Beistand kann insbesondere erfolgen</w:t>
      </w:r>
    </w:p>
    <w:p>
      <w:pPr>
        <w:tabs>
          <w:tab w:pos="567" w:val="left"/>
        </w:tabs>
        <w:ind w:left="567" w:hanging="567"/>
      </w:pPr>
      <w:r>
        <w:t>a)</w:t>
      </w:r>
      <w:r>
        <w:tab/>
      </w:r>
      <w:r>
        <w:t>durch ein abgestimmtes Vorgehen bei anderen internationalen Organisationen, an die sich die Mitgliedstaaten, für die eine Ausnahmeregelung gilt, wenden können;</w:t>
      </w:r>
    </w:p>
    <w:p>
      <w:pPr>
        <w:tabs>
          <w:tab w:pos="567" w:val="left"/>
        </w:tabs>
        <w:ind w:left="567" w:hanging="567"/>
      </w:pPr>
      <w:r>
        <w:t>b)</w:t>
      </w:r>
      <w:r>
        <w:tab/>
      </w:r>
      <w:r>
        <w:t>durch Maßnahmen, die notwendig sind, um Verlagerungen von Handelsströmen zu vermeiden, falls der in Schwierigkeiten befindliche Mitgliedstaat mit Ausnahmeregelung mengenmäßige Beschränkungen gegenüber dritten Ländern beibehält oder wieder einführt;</w:t>
      </w:r>
    </w:p>
    <w:p>
      <w:pPr>
        <w:tabs>
          <w:tab w:pos="567" w:val="left"/>
        </w:tabs>
        <w:ind w:left="567" w:hanging="567"/>
      </w:pPr>
      <w:r>
        <w:t>c)</w:t>
      </w:r>
      <w:r>
        <w:tab/>
      </w:r>
      <w:r>
        <w:t>durch Bereitstellung von Krediten in begrenzter Höhe seitens anderer Mitgliedstaaten; hierzu ist ihr Einverständnis erforderlich.</w:t>
      </w:r>
    </w:p>
    <w:p>
      <w:r>
        <w:t>(3) Stimmt der Rat dem von der Kommission empfohlenen gegenseitigen Beistand nicht zu oder sind der gewährte Beistand und die getroffenen Maßnahmen unzureichend, so ermächtigt die Kommission den in Schwierigkeiten befindlichen Mitgliedstaat mit Ausnahmeregelung, Schutzmaßnahmen zu treffen, deren Bedingungen und Einzelheiten sie festlegt.</w:t>
      </w:r>
    </w:p>
    <w:p>
      <w:r>
        <w:t>Der Rat kann diese Ermächtigung aufheben und die Bedingungen und Einzelheiten ändern.</w:t>
      </w:r>
    </w:p>
    <w:p>
      <w:pPr>
        <w:pStyle w:val="Heading4"/>
      </w:pPr>
      <w:bookmarkStart w:id="182" w:name="b179"/>
      <w:r>
        <w:t>Art 144</w:t>
      </w:r>
      <w:r>
        <w:t xml:space="preserve"> </w:t>
      </w:r>
      <w:r>
        <w:rPr>
          <w:rStyle w:val="Suchmarke"/>
        </w:rPr>
        <w:t>#144.#</w:t>
      </w:r>
      <w:bookmarkEnd w:id="182"/>
    </w:p>
    <w:p>
      <w:r>
        <w:rPr>
          <w:color w:val="404040"/>
          <w:sz w:val="21"/>
        </w:rPr>
        <w:t>(ex-Artikel 120 EGV)</w:t>
      </w:r>
    </w:p>
    <w:p>
      <w:r>
        <w:t xml:space="preserve">(1) </w:t>
      </w:r>
      <w:r>
        <w:rPr>
          <w:rStyle w:val="Satznummer"/>
        </w:rPr>
        <w:t>1</w:t>
      </w:r>
      <w:r>
        <w:t xml:space="preserve">Gerät ein Mitgliedstaat, für den eine Ausnahmeregelung gilt, in eine plötzliche Zahlungsbilanzkrise und wird ein Beschluss im Sinne des </w:t>
      </w:r>
      <w:hyperlink w:anchor="b178" w:history="1">
        <w:r>
          <w:rPr>
            <w:color w:val="0A3A8C"/>
            <w:u w:val="single"/>
          </w:rPr>
          <w:t xml:space="preserve">Artikels 143</w:t>
        </w:r>
      </w:hyperlink>
      <w:r>
        <w:t xml:space="preserve"> Absatz 2 nicht unverzüglich getroffen, so kann der betreffende Staat vorsorglich die erforderlichen Schutzmaßnahmen ergreifen. </w:t>
      </w:r>
      <w:r>
        <w:rPr>
          <w:rStyle w:val="Satznummer"/>
        </w:rPr>
        <w:t>2</w:t>
      </w:r>
      <w:r>
        <w:t>Sie dürfen nur ein Mindestmaß an Störungen im Funktionieren des Binnenmarkts hervorrufen und nicht über das zur Behebung der plötzlich aufgetretenen Schwierigkeiten unbedingt erforderliche Ausmaß hinausgehen.</w:t>
      </w:r>
    </w:p>
    <w:p>
      <w:r>
        <w:t xml:space="preserve">(2) </w:t>
      </w:r>
      <w:r>
        <w:rPr>
          <w:rStyle w:val="Satznummer"/>
        </w:rPr>
        <w:t>1</w:t>
      </w:r>
      <w:r>
        <w:t xml:space="preserve">Die Kommission und die anderen Mitgliedstaaten werden über die Schutzmaßnahmen spätestens bei deren Inkrafttreten unterrichtet. </w:t>
      </w:r>
      <w:r>
        <w:rPr>
          <w:rStyle w:val="Satznummer"/>
        </w:rPr>
        <w:t>2</w:t>
      </w:r>
      <w:r>
        <w:t xml:space="preserve">Die Kommission kann dem Rat den gegenseitigen Beistand nach </w:t>
      </w:r>
      <w:hyperlink w:anchor="b178" w:history="1">
        <w:r>
          <w:rPr>
            <w:color w:val="0A3A8C"/>
            <w:u w:val="single"/>
          </w:rPr>
          <w:t xml:space="preserve">Artikel 143</w:t>
        </w:r>
      </w:hyperlink>
      <w:r>
        <w:t xml:space="preserve"> empfehlen.</w:t>
      </w:r>
    </w:p>
    <w:p>
      <w:r>
        <w:t>(3) Auf Empfehlung der Kommission und nach Anhörung des Wirtschafts- und Finanzausschusses kann der Rat beschließen, dass der betreffende Mitgliedstaat diese Schutzmaßnahmen zu ändern, auszusetzen oder aufzuheben hat.</w:t>
      </w:r>
    </w:p>
    <w:p>
      <w:pPr>
        <w:pStyle w:val="Heading2"/>
      </w:pPr>
      <w:bookmarkStart w:id="183" w:name="b180"/>
      <w:r>
        <w:t>TITEL IX BESCHÄFTIGUNG</w:t>
      </w:r>
      <w:bookmarkEnd w:id="183"/>
    </w:p>
    <w:p>
      <w:pPr>
        <w:pStyle w:val="Heading3"/>
      </w:pPr>
      <w:bookmarkStart w:id="184" w:name="b181"/>
      <w:r>
        <w:t>Art 145</w:t>
      </w:r>
      <w:r>
        <w:t xml:space="preserve"> </w:t>
      </w:r>
      <w:r>
        <w:rPr>
          <w:rStyle w:val="Suchmarke"/>
        </w:rPr>
        <w:t>#145.#</w:t>
      </w:r>
      <w:bookmarkEnd w:id="184"/>
    </w:p>
    <w:p>
      <w:r>
        <w:rPr>
          <w:color w:val="404040"/>
          <w:sz w:val="21"/>
        </w:rPr>
        <w:t>(ex-Artikel 125 EGV)</w:t>
      </w:r>
    </w:p>
    <w:p>
      <w:r>
        <w:t>Die Mitgliedstaaten und die Union arbeiten nach diesem Titel auf die Entwicklung einer koordinierten Beschäftigungsstrategie und insbesondere auf die Förderung der Qualifizierung, Ausbildung und Anpassungsfähigkeit der Arbeitnehmer sowie der Fähigkeit der Arbeitsmärkte hin, auf die Erfordernisse des wirtschaftlichen Wandels zu reagieren, um die Ziele des Artikels 3 des Vertrags über die Europäische Union zu erreichen.</w:t>
      </w:r>
    </w:p>
    <w:p>
      <w:pPr>
        <w:pStyle w:val="Heading3"/>
      </w:pPr>
      <w:bookmarkStart w:id="185" w:name="b182"/>
      <w:r>
        <w:t>Art 146</w:t>
      </w:r>
      <w:r>
        <w:t xml:space="preserve"> </w:t>
      </w:r>
      <w:r>
        <w:rPr>
          <w:rStyle w:val="Suchmarke"/>
        </w:rPr>
        <w:t>#146.#</w:t>
      </w:r>
      <w:bookmarkEnd w:id="185"/>
    </w:p>
    <w:p>
      <w:r>
        <w:rPr>
          <w:color w:val="404040"/>
          <w:sz w:val="21"/>
        </w:rPr>
        <w:t>(ex-Artikel 126 EGV)</w:t>
      </w:r>
    </w:p>
    <w:p>
      <w:r>
        <w:t xml:space="preserve">(1) Die Mitgliedstaaten tragen durch ihre Beschäftigungspolitik im Einklang mit den nach </w:t>
      </w:r>
      <w:hyperlink w:anchor="b152" w:history="1">
        <w:r>
          <w:rPr>
            <w:color w:val="0A3A8C"/>
            <w:u w:val="single"/>
          </w:rPr>
          <w:t xml:space="preserve">Artikel 121</w:t>
        </w:r>
      </w:hyperlink>
      <w:r>
        <w:t xml:space="preserve"> Absatz 2 verabschiedeten Grundzügen der Wirtschaftspolitik der Mitgliedstaaten und der Union zur Erreichung der in </w:t>
      </w:r>
      <w:hyperlink w:anchor="b181" w:history="1">
        <w:r>
          <w:rPr>
            <w:color w:val="0A3A8C"/>
            <w:u w:val="single"/>
          </w:rPr>
          <w:t xml:space="preserve">Artikel 145</w:t>
        </w:r>
      </w:hyperlink>
      <w:r>
        <w:t xml:space="preserve"> genannten Ziele bei.</w:t>
      </w:r>
    </w:p>
    <w:p>
      <w:r>
        <w:t>(2) Die Mitgliedstaaten betrachten die Förderung der Beschäftigung als Angelegenheit von gemeinsamem Interesse und stimmen ihre diesbezüglichen Tätigkeiten nach Maßgabe des Artikels 148 im Rat aufeinander ab, wobei die einzelstaatlichen Gepflogenheiten in Bezug auf die Verantwortung der Sozialpartner berücksichtigt werden.</w:t>
      </w:r>
    </w:p>
    <w:p>
      <w:pPr>
        <w:pStyle w:val="Heading3"/>
      </w:pPr>
      <w:bookmarkStart w:id="186" w:name="b183"/>
      <w:r>
        <w:t>Art 147</w:t>
      </w:r>
      <w:r>
        <w:t xml:space="preserve"> </w:t>
      </w:r>
      <w:r>
        <w:rPr>
          <w:rStyle w:val="Suchmarke"/>
        </w:rPr>
        <w:t>#147.#</w:t>
      </w:r>
      <w:bookmarkEnd w:id="186"/>
    </w:p>
    <w:p>
      <w:r>
        <w:rPr>
          <w:color w:val="404040"/>
          <w:sz w:val="21"/>
        </w:rPr>
        <w:t>(ex-Artikel 127 EGV)</w:t>
      </w:r>
    </w:p>
    <w:p>
      <w:r>
        <w:t xml:space="preserve">(1) </w:t>
      </w:r>
      <w:r>
        <w:rPr>
          <w:rStyle w:val="Satznummer"/>
        </w:rPr>
        <w:t>1</w:t>
      </w:r>
      <w:r>
        <w:t xml:space="preserve">Die Union trägt zu einem hohen Beschäftigungsniveau bei, indem sie die Zusammenarbeit zwischen den Mitgliedstaaten fördert und deren Maßnahmen in diesem Bereich unterstützt und erforderlichenfalls ergänzt. </w:t>
      </w:r>
      <w:r>
        <w:rPr>
          <w:rStyle w:val="Satznummer"/>
        </w:rPr>
        <w:t>2</w:t>
      </w:r>
      <w:r>
        <w:t>Hierbei wird die Zuständigkeit der Mitgliedstaaten beachtet.</w:t>
      </w:r>
    </w:p>
    <w:p>
      <w:r>
        <w:t>(2) Das Ziel eines hohen Beschäftigungsniveaus wird bei der Festlegung und Durchführung der Unionspolitiken und -maßnahmen berücksichtigt.</w:t>
      </w:r>
    </w:p>
    <w:p>
      <w:pPr>
        <w:pStyle w:val="Heading3"/>
      </w:pPr>
      <w:bookmarkStart w:id="187" w:name="b184"/>
      <w:r>
        <w:t>Art 148</w:t>
      </w:r>
      <w:r>
        <w:t xml:space="preserve"> </w:t>
      </w:r>
      <w:r>
        <w:rPr>
          <w:rStyle w:val="Suchmarke"/>
        </w:rPr>
        <w:t>#148.#</w:t>
      </w:r>
      <w:bookmarkEnd w:id="187"/>
    </w:p>
    <w:p>
      <w:r>
        <w:rPr>
          <w:color w:val="404040"/>
          <w:sz w:val="21"/>
        </w:rPr>
        <w:t>(ex-Artikel 128 EGV)</w:t>
      </w:r>
    </w:p>
    <w:p>
      <w:r>
        <w:t>(1) Anhand eines gemeinsamen Jahresberichts des Rates und der Kommission prüft der Europäische Rat jährlich die Beschäftigungslage in der Union und nimmt hierzu Schlussfolgerungen an.</w:t>
      </w:r>
    </w:p>
    <w:p>
      <w:r>
        <w:t xml:space="preserve">(2) </w:t>
      </w:r>
      <w:r>
        <w:rPr>
          <w:rStyle w:val="Satznummer"/>
        </w:rPr>
        <w:t>1</w:t>
      </w:r>
      <w:r>
        <w:t xml:space="preserve">Anhand der Schlussfolgerungen des Europäischen Rates legt der Rat auf Vorschlag der Kommission und nach Anhörung des Europäischen Parlaments, des Wirtschafts- und Sozialausschusses, des Ausschusses der Regionen und des in </w:t>
      </w:r>
      <w:hyperlink w:anchor="b186" w:history="1">
        <w:r>
          <w:rPr>
            <w:color w:val="0A3A8C"/>
            <w:u w:val="single"/>
          </w:rPr>
          <w:t xml:space="preserve">Artikel 150</w:t>
        </w:r>
      </w:hyperlink>
      <w:r>
        <w:t xml:space="preserve"> genannten Beschäftigungsausschusses jährlich Leitlinien fest, welche die Mitgliedstaaten in ihrer Beschäftigungspolitik berücksichtigen. </w:t>
      </w:r>
      <w:r>
        <w:rPr>
          <w:rStyle w:val="Satznummer"/>
        </w:rPr>
        <w:t>2</w:t>
      </w:r>
      <w:r>
        <w:t xml:space="preserve">Diese Leitlinien müssen mit den nach </w:t>
      </w:r>
      <w:hyperlink w:anchor="b152" w:history="1">
        <w:r>
          <w:rPr>
            <w:color w:val="0A3A8C"/>
            <w:u w:val="single"/>
          </w:rPr>
          <w:t xml:space="preserve">Artikel 121</w:t>
        </w:r>
      </w:hyperlink>
      <w:r>
        <w:t xml:space="preserve"> Absatz 2 verabschiedeten Grundzügen in Einklang stehen.</w:t>
      </w:r>
    </w:p>
    <w:p>
      <w:r>
        <w:t>(3) Jeder Mitgliedstaat übermittelt dem Rat und der Kommission jährlich einen Bericht über die wichtigsten Maßnahmen, die er zur Durchführung seiner Beschäftigungspolitik im Lichte der beschäftigungspolitischen Leitlinien nach Absatz 2 getroffen hat.</w:t>
      </w:r>
    </w:p>
    <w:p>
      <w:r>
        <w:t xml:space="preserve">(4) </w:t>
      </w:r>
      <w:r>
        <w:rPr>
          <w:rStyle w:val="Satznummer"/>
        </w:rPr>
        <w:t>1</w:t>
      </w:r>
      <w:r>
        <w:t xml:space="preserve">Anhand der in Absatz 3 genannten Berichte und nach Stellungnahme des Beschäftigungsausschusses unterzieht der Rat die Durchführung der Beschäftigungspolitik der Mitgliedstaaten im Lichte der beschäftigungspolitischen Leitlinien jährlich einer Prüfung. </w:t>
      </w:r>
      <w:r>
        <w:rPr>
          <w:rStyle w:val="Satznummer"/>
        </w:rPr>
        <w:t>2</w:t>
      </w:r>
      <w:r>
        <w:t>Der Rat kann dabei auf Empfehlung der Kommission Empfehlungen an die Mitgliedstaaten richten, wenn er dies aufgrund der Ergebnisse dieser Prüfung für angebracht hält.</w:t>
      </w:r>
    </w:p>
    <w:p>
      <w:r>
        <w:t>(5) Auf der Grundlage der Ergebnisse der genannten Prüfung erstellen der Rat und die Kommission einen gemeinsamen Jahresbericht für den Europäischen Rat über die Beschäftigungslage in der Union und über die Umsetzung der beschäftigungspolitischen Leitlinien.</w:t>
      </w:r>
    </w:p>
    <w:p>
      <w:pPr>
        <w:pStyle w:val="Heading3"/>
      </w:pPr>
      <w:bookmarkStart w:id="188" w:name="b185"/>
      <w:r>
        <w:t>Art 149</w:t>
      </w:r>
      <w:r>
        <w:t xml:space="preserve"> </w:t>
      </w:r>
      <w:r>
        <w:rPr>
          <w:rStyle w:val="Suchmarke"/>
        </w:rPr>
        <w:t>#149.#</w:t>
      </w:r>
      <w:bookmarkEnd w:id="188"/>
    </w:p>
    <w:p>
      <w:r>
        <w:rPr>
          <w:color w:val="404040"/>
          <w:sz w:val="21"/>
        </w:rPr>
        <w:t>(ex-Artikel 129 EGV)</w:t>
      </w:r>
    </w:p>
    <w:p>
      <w:r>
        <w:t>Das Europäische Parlament und der Rat können gemäß dem ordentlichen Gesetzgebungsverfahren und nach Anhörung des Wirtschafts- und Sozialausschusses sowie des Ausschusses der Regionen Anreizmaßnahmen zur Förderung der Zusammenarbeit zwischen den Mitgliedstaaten und zur Unterstützung ihrer Beschäftigungsmaßnahmen durch Initiativen beschließen, die darauf abzielen, den Austausch von Informationen und bewährten Verfahren zu entwickeln, vergleichende Analysen und Gutachten bereitzustellen sowie innovative Ansätze zu fördern und Erfahrungen zu bewerten, und zwar insbesondere durch den Rückgriff auf Pilotvorhaben.</w:t>
      </w:r>
    </w:p>
    <w:p>
      <w:r>
        <w:t>Diese Maßnahmen schließen keinerlei Harmonisierung der Rechts- und Verwaltungsvorschriften der Mitgliedstaaten ein.</w:t>
      </w:r>
    </w:p>
    <w:p>
      <w:pPr>
        <w:pStyle w:val="Heading3"/>
      </w:pPr>
      <w:bookmarkStart w:id="189" w:name="b186"/>
      <w:r>
        <w:t>Art 150</w:t>
      </w:r>
      <w:r>
        <w:t xml:space="preserve"> </w:t>
      </w:r>
      <w:r>
        <w:rPr>
          <w:rStyle w:val="Suchmarke"/>
        </w:rPr>
        <w:t>#150.#</w:t>
      </w:r>
      <w:bookmarkEnd w:id="189"/>
    </w:p>
    <w:p>
      <w:r>
        <w:rPr>
          <w:color w:val="404040"/>
          <w:sz w:val="21"/>
        </w:rPr>
        <w:t>(ex-Artikel 130 EGV)</w:t>
      </w:r>
    </w:p>
    <w:p>
      <w:r>
        <w:rPr>
          <w:rStyle w:val="Satznummer"/>
        </w:rPr>
        <w:t>1</w:t>
      </w:r>
      <w:r>
        <w:t xml:space="preserve">Der Rat, der mit einfacher Mehrheit beschließt, setzt nach Anhörung des Europäischen Parlaments einen Beschäftigungsausschuss mit beratender Funktion zur Förderung der Koordinierung der Beschäftigungs- und Arbeitsmarktpolitik der Mitgliedstaaten ein. </w:t>
      </w:r>
      <w:r>
        <w:rPr>
          <w:rStyle w:val="Satznummer"/>
        </w:rPr>
        <w:t>2</w:t>
      </w:r>
      <w:r>
        <w:t>Der Ausschuss hat folgende Aufgaben:</w:t>
      </w:r>
    </w:p>
    <w:p>
      <w:pPr>
        <w:tabs>
          <w:tab w:pos="567" w:val="left"/>
        </w:tabs>
        <w:ind w:left="567" w:hanging="567"/>
      </w:pPr>
      <w:r>
        <w:t>—</w:t>
      </w:r>
      <w:r>
        <w:tab/>
      </w:r>
      <w:r>
        <w:t>Er verfolgt die Beschäftigungslage und die Beschäftigungspolitik in den Mitgliedstaaten und der Union;</w:t>
      </w:r>
    </w:p>
    <w:p>
      <w:pPr>
        <w:tabs>
          <w:tab w:pos="567" w:val="left"/>
        </w:tabs>
        <w:ind w:left="567" w:hanging="567"/>
      </w:pPr>
      <w:r>
        <w:t>—</w:t>
      </w:r>
      <w:r>
        <w:tab/>
      </w:r>
      <w:r>
        <w:t xml:space="preserve">er gibt unbeschadet des </w:t>
      </w:r>
      <w:hyperlink w:anchor="b309" w:history="1">
        <w:r>
          <w:rPr>
            <w:color w:val="0A3A8C"/>
            <w:u w:val="single"/>
          </w:rPr>
          <w:t xml:space="preserve">Artikels 240</w:t>
        </w:r>
      </w:hyperlink>
      <w:r>
        <w:t xml:space="preserve"> auf Ersuchen des Rates oder der Kommission oder von sich aus Stellungnahmen ab und trägt zur Vorbereitung der in </w:t>
      </w:r>
      <w:hyperlink w:anchor="b184" w:history="1">
        <w:r>
          <w:rPr>
            <w:color w:val="0A3A8C"/>
            <w:u w:val="single"/>
          </w:rPr>
          <w:t xml:space="preserve">Artikel 148</w:t>
        </w:r>
      </w:hyperlink>
      <w:r>
        <w:t xml:space="preserve"> genannten Beratungen des Rates bei.</w:t>
      </w:r>
    </w:p>
    <w:p>
      <w:r>
        <w:t>Bei der Erfüllung seines Auftrags hört der Ausschuss die Sozialpartner.</w:t>
      </w:r>
    </w:p>
    <w:p>
      <w:r>
        <w:t>Jeder Mitgliedstaat und die Kommission entsenden zwei Mitglieder in den Ausschuss.</w:t>
      </w:r>
    </w:p>
    <w:p>
      <w:pPr>
        <w:pStyle w:val="Heading2"/>
      </w:pPr>
      <w:bookmarkStart w:id="190" w:name="b187"/>
      <w:r>
        <w:t>TITEL X SOZIALPOLITIK</w:t>
      </w:r>
      <w:bookmarkEnd w:id="190"/>
    </w:p>
    <w:p>
      <w:pPr>
        <w:pStyle w:val="Heading3"/>
      </w:pPr>
      <w:bookmarkStart w:id="191" w:name="b188"/>
      <w:r>
        <w:t>Art 151</w:t>
      </w:r>
      <w:r>
        <w:t xml:space="preserve"> </w:t>
      </w:r>
      <w:r>
        <w:rPr>
          <w:rStyle w:val="Suchmarke"/>
        </w:rPr>
        <w:t>#151.#</w:t>
      </w:r>
      <w:bookmarkEnd w:id="191"/>
    </w:p>
    <w:p>
      <w:r>
        <w:rPr>
          <w:color w:val="404040"/>
          <w:sz w:val="21"/>
        </w:rPr>
        <w:t>(ex-Artikel 136 EGV)</w:t>
      </w:r>
    </w:p>
    <w:p>
      <w:r>
        <w:t>Die Union und die Mitgliedstaaten verfolgen eingedenk der sozialen Grundrechte, wie sie in der am 18. Oktober 1961 in Turin unterzeichneten Europäischen Sozialcharta und in der Gemeinschaftscharta der sozialen Grundrechte der Arbeitnehmer von 1989 festgelegt sind, folgende Ziele: die Förderung der Beschäftigung, die Verbesserung der Lebens- und Arbeitsbedingungen, um dadurch auf dem Wege des Fortschritts ihre Angleichung zu ermöglichen, einen angemessenen sozialen Schutz, den sozialen Dialog, die Entwicklung des Arbeitskräftepotenzials im Hinblick auf ein dauerhaft hohes Beschäftigungsniveau und die Bekämpfung von Ausgrenzungen.</w:t>
      </w:r>
    </w:p>
    <w:p>
      <w:r>
        <w:t>Zu diesem Zweck führen die Union und die Mitgliedstaaten Maßnahmen durch, die der Vielfalt der einzelstaatlichen Gepflogenheiten, insbesondere in den vertraglichen Beziehungen, sowie der Notwendigkeit, die Wettbewerbsfähigkeit der Wirtschaft der Union zu erhalten, Rechnung tragen.</w:t>
      </w:r>
    </w:p>
    <w:p>
      <w:r>
        <w:t>Sie sind der Auffassung, dass sich eine solche Entwicklung sowohl aus dem eine Abstimmung der Sozialordnungen begünstigenden Wirken des Binnenmarkts als auch aus den in den Verträgen vorgesehenen Verfahren sowie aus der Angleichung ihrer Rechts- und Verwaltungsvorschriften ergeben wird.</w:t>
      </w:r>
    </w:p>
    <w:p>
      <w:pPr>
        <w:pStyle w:val="Heading3"/>
      </w:pPr>
      <w:bookmarkStart w:id="192" w:name="b189"/>
      <w:r>
        <w:t>Art 152</w:t>
      </w:r>
      <w:r>
        <w:t xml:space="preserve"> </w:t>
      </w:r>
      <w:r>
        <w:rPr>
          <w:rStyle w:val="Suchmarke"/>
        </w:rPr>
        <w:t>#152.#</w:t>
      </w:r>
      <w:bookmarkEnd w:id="192"/>
    </w:p>
    <w:p>
      <w:r>
        <w:rPr>
          <w:rStyle w:val="Satznummer"/>
        </w:rPr>
        <w:t>1</w:t>
      </w:r>
      <w:r>
        <w:t xml:space="preserve">Die Union anerkennt und fördert die Rolle der Sozialpartner auf Ebene der Union unter Berücksichtigung der Unterschiedlichkeit der nationalen Systeme. </w:t>
      </w:r>
      <w:r>
        <w:rPr>
          <w:rStyle w:val="Satznummer"/>
        </w:rPr>
        <w:t>2</w:t>
      </w:r>
      <w:r>
        <w:t>Sie fördert den sozialen Dialog und achtet dabei die Autonomie der Sozialpartner.</w:t>
      </w:r>
    </w:p>
    <w:p>
      <w:r>
        <w:t>Der Dreigliedrige Sozialgipfel für Wachstum und Beschäftigung trägt zum sozialen Dialog bei.</w:t>
      </w:r>
    </w:p>
    <w:p>
      <w:pPr>
        <w:pStyle w:val="Heading3"/>
      </w:pPr>
      <w:bookmarkStart w:id="193" w:name="b190"/>
      <w:r>
        <w:t>Art 153</w:t>
      </w:r>
      <w:r>
        <w:t xml:space="preserve"> </w:t>
      </w:r>
      <w:r>
        <w:rPr>
          <w:rStyle w:val="Suchmarke"/>
        </w:rPr>
        <w:t>#153.#</w:t>
      </w:r>
      <w:bookmarkEnd w:id="193"/>
    </w:p>
    <w:p>
      <w:r>
        <w:rPr>
          <w:color w:val="404040"/>
          <w:sz w:val="21"/>
        </w:rPr>
        <w:t>(ex-Artikel 137 EGV)</w:t>
      </w:r>
    </w:p>
    <w:p>
      <w:r>
        <w:t xml:space="preserve">(1) Zur Verwirklichung der Ziele des </w:t>
      </w:r>
      <w:hyperlink w:anchor="b188" w:history="1">
        <w:r>
          <w:rPr>
            <w:color w:val="0A3A8C"/>
            <w:u w:val="single"/>
          </w:rPr>
          <w:t xml:space="preserve">Artikels 151</w:t>
        </w:r>
      </w:hyperlink>
      <w:r>
        <w:t xml:space="preserve"> unterstützt und ergänzt die Union die Tätigkeit der Mitgliedstaaten auf folgenden Gebieten:</w:t>
      </w:r>
    </w:p>
    <w:p>
      <w:pPr>
        <w:tabs>
          <w:tab w:pos="567" w:val="left"/>
        </w:tabs>
        <w:ind w:left="567" w:hanging="567"/>
      </w:pPr>
      <w:r>
        <w:t>a)</w:t>
      </w:r>
      <w:r>
        <w:tab/>
      </w:r>
      <w:r>
        <w:t>Verbesserung insbesondere der Arbeitsumwelt zum Schutz der Gesundheit und der Sicherheit der Arbeitnehmer,</w:t>
      </w:r>
    </w:p>
    <w:p>
      <w:pPr>
        <w:tabs>
          <w:tab w:pos="567" w:val="left"/>
        </w:tabs>
        <w:ind w:left="567" w:hanging="567"/>
      </w:pPr>
      <w:r>
        <w:t>b)</w:t>
      </w:r>
      <w:r>
        <w:tab/>
      </w:r>
      <w:r>
        <w:t>Arbeitsbedingungen,</w:t>
      </w:r>
    </w:p>
    <w:p>
      <w:pPr>
        <w:tabs>
          <w:tab w:pos="567" w:val="left"/>
        </w:tabs>
        <w:ind w:left="567" w:hanging="567"/>
      </w:pPr>
      <w:r>
        <w:t>c)</w:t>
      </w:r>
      <w:r>
        <w:tab/>
      </w:r>
      <w:r>
        <w:t>soziale Sicherheit und sozialer Schutz der Arbeitnehmer,</w:t>
      </w:r>
    </w:p>
    <w:p>
      <w:pPr>
        <w:tabs>
          <w:tab w:pos="567" w:val="left"/>
        </w:tabs>
        <w:ind w:left="567" w:hanging="567"/>
      </w:pPr>
      <w:r>
        <w:t>d)</w:t>
      </w:r>
      <w:r>
        <w:tab/>
      </w:r>
      <w:r>
        <w:t>Schutz der Arbeitnehmer bei Beendigung des Arbeitsvertrags,</w:t>
      </w:r>
    </w:p>
    <w:p>
      <w:pPr>
        <w:tabs>
          <w:tab w:pos="567" w:val="left"/>
        </w:tabs>
        <w:ind w:left="567" w:hanging="567"/>
      </w:pPr>
      <w:r>
        <w:t>e)</w:t>
      </w:r>
      <w:r>
        <w:tab/>
      </w:r>
      <w:r>
        <w:t>Unterrichtung und Anhörung der Arbeitnehmer,</w:t>
      </w:r>
    </w:p>
    <w:p>
      <w:pPr>
        <w:tabs>
          <w:tab w:pos="567" w:val="left"/>
        </w:tabs>
        <w:ind w:left="567" w:hanging="567"/>
      </w:pPr>
      <w:r>
        <w:t>f)</w:t>
      </w:r>
      <w:r>
        <w:tab/>
      </w:r>
      <w:r>
        <w:t>Vertretung und kollektive Wahrnehmung der Arbeitnehmer- und Arbeitgeberinteressen, einschließlich der Mitbestimmung, vorbehaltlich des Absatzes 5,</w:t>
      </w:r>
    </w:p>
    <w:p>
      <w:pPr>
        <w:tabs>
          <w:tab w:pos="567" w:val="left"/>
        </w:tabs>
        <w:ind w:left="567" w:hanging="567"/>
      </w:pPr>
      <w:r>
        <w:t>g)</w:t>
      </w:r>
      <w:r>
        <w:tab/>
      </w:r>
      <w:r>
        <w:t>Beschäftigungsbedingungen der Staatsangehörigen dritter Länder, die sich rechtmäßig im Gebiet der Union aufhalten,</w:t>
      </w:r>
    </w:p>
    <w:p>
      <w:pPr>
        <w:tabs>
          <w:tab w:pos="567" w:val="left"/>
        </w:tabs>
        <w:ind w:left="567" w:hanging="567"/>
      </w:pPr>
      <w:r>
        <w:t>h)</w:t>
      </w:r>
      <w:r>
        <w:tab/>
      </w:r>
      <w:r>
        <w:t xml:space="preserve">berufliche Eingliederung der aus dem Arbeitsmarkt ausgegrenzten Personen, unbeschadet des </w:t>
      </w:r>
      <w:hyperlink w:anchor="b205" w:history="1">
        <w:r>
          <w:rPr>
            <w:color w:val="0A3A8C"/>
            <w:u w:val="single"/>
          </w:rPr>
          <w:t xml:space="preserve">Artikels 166</w:t>
        </w:r>
      </w:hyperlink>
      <w:r>
        <w:t>,</w:t>
      </w:r>
    </w:p>
    <w:p>
      <w:pPr>
        <w:tabs>
          <w:tab w:pos="567" w:val="left"/>
        </w:tabs>
        <w:ind w:left="567" w:hanging="567"/>
      </w:pPr>
      <w:r>
        <w:t>i)</w:t>
      </w:r>
      <w:r>
        <w:tab/>
      </w:r>
      <w:r>
        <w:t>Chancengleichheit von Männern und Frauen auf dem Arbeitsmarkt und Gleichbehandlung am Arbeitsplatz,</w:t>
      </w:r>
    </w:p>
    <w:p>
      <w:pPr>
        <w:tabs>
          <w:tab w:pos="567" w:val="left"/>
        </w:tabs>
        <w:ind w:left="567" w:hanging="567"/>
      </w:pPr>
      <w:r>
        <w:t>j)</w:t>
      </w:r>
      <w:r>
        <w:tab/>
      </w:r>
      <w:r>
        <w:t>Bekämpfung der sozialen Ausgrenzung,</w:t>
      </w:r>
    </w:p>
    <w:p>
      <w:pPr>
        <w:tabs>
          <w:tab w:pos="567" w:val="left"/>
        </w:tabs>
        <w:ind w:left="567" w:hanging="567"/>
      </w:pPr>
      <w:r>
        <w:t>k)</w:t>
      </w:r>
      <w:r>
        <w:tab/>
      </w:r>
      <w:r>
        <w:t>Modernisierung der Systeme des sozialen Schutzes, unbeschadet des Buchstabens c.</w:t>
      </w:r>
    </w:p>
    <w:p>
      <w:r>
        <w:t>(2) Zu diesem Zweck können das Europäische Parlament und der Rat</w:t>
      </w:r>
    </w:p>
    <w:p>
      <w:pPr>
        <w:tabs>
          <w:tab w:pos="567" w:val="left"/>
        </w:tabs>
        <w:ind w:left="567" w:hanging="567"/>
      </w:pPr>
      <w:r>
        <w:t>a)</w:t>
      </w:r>
      <w:r>
        <w:tab/>
      </w:r>
      <w:r>
        <w:t>unter Ausschluss jeglicher Harmonisierung der Rechts- und Verwaltungsvorschriften der Mitgliedstaaten Maßnahmen annehmen, die dazu bestimmt sind, die Zusammenarbeit zwischen den Mitgliedstaaten durch Initiativen zu fördern, die die Verbesserung des Wissensstands, die Entwicklung des Austauschs von Informationen und bewährten Verfahren, die Förderung innovativer Ansätze und die Bewertung von Erfahrungen zum Ziel haben;</w:t>
      </w:r>
    </w:p>
    <w:p>
      <w:pPr>
        <w:tabs>
          <w:tab w:pos="567" w:val="left"/>
        </w:tabs>
        <w:ind w:left="567" w:hanging="567"/>
      </w:pPr>
      <w:r>
        <w:t>b)</w:t>
      </w:r>
      <w:r>
        <w:tab/>
      </w:r>
      <w:r>
        <w:t xml:space="preserve">in den in Absatz 1 Buchstaben a bis i genannten Bereichen unter Berücksichtigung der in den einzelnen Mitgliedstaaten bestehenden Bedingungen und technischen Regelungen durch Richtlinien Mindestvorschriften erlassen, die schrittweise anzuwenden sind. </w:t>
      </w:r>
      <w:r>
        <w:rPr>
          <w:rStyle w:val="Satznummer"/>
        </w:rPr>
        <w:t>2</w:t>
      </w:r>
      <w:r>
        <w:t>Diese Richtlinien sollen keine verwaltungsmäßigen, finanziellen oder rechtlichen Auflagen vorschreiben, die der Gründung und Entwicklung von kleinen und mittleren Unternehmen entgegenstehen.</w:t>
      </w:r>
    </w:p>
    <w:p>
      <w:r>
        <w:t>Das Europäische Parlament und der Rat beschließen gemäß dem ordentlichen Gesetzgebungsverfahren nach Anhörung des Wirtschafts- und Sozialausschusses und des Ausschusses der Regionen.</w:t>
      </w:r>
    </w:p>
    <w:p>
      <w:r>
        <w:t>In den in Absatz 1 Buchstaben c, d, f und g genannten Bereichen beschließt der Rat einstimmig gemäß einem besonderen Gesetzgebungsverfahren nach Anhörung des Europäischen Parlaments und der genannten Ausschüsse.</w:t>
      </w:r>
    </w:p>
    <w:p>
      <w:r>
        <w:t>Der Rat kann einstimmig auf Vorschlag der Kommission nach Anhörung des Europäischen Parlaments beschließen, dass das ordentliche Gesetzgebungsverfahren auf Absatz 1 Buchstaben d, f und g angewandt wird.</w:t>
      </w:r>
    </w:p>
    <w:p>
      <w:r>
        <w:t xml:space="preserve">(3) Ein Mitgliedstaat kann den Sozialpartnern auf deren gemeinsamen Antrag die Durchführung von aufgrund des Absatzes 2 angenommenen Richtlinien oder gegebenenfalls die Durchführung eines nach </w:t>
      </w:r>
      <w:hyperlink w:anchor="b192" w:history="1">
        <w:r>
          <w:rPr>
            <w:color w:val="0A3A8C"/>
            <w:u w:val="single"/>
          </w:rPr>
          <w:t xml:space="preserve">Artikel 155</w:t>
        </w:r>
      </w:hyperlink>
      <w:r>
        <w:t xml:space="preserve"> erlassenen Beschlusses des Rates übertragen.</w:t>
      </w:r>
    </w:p>
    <w:p>
      <w:r>
        <w:t>In diesem Fall vergewissert sich der Mitgliedstaat, dass die Sozialpartner spätestens zu dem Zeitpunkt, zu dem eine Richtlinie umgesetzt oder ein Beschluss durchgeführt sein muss, im Wege einer Vereinbarung die erforderlichen Vorkehrungen getroffen haben; dabei hat der Mitgliedstaat alle erforderlichen Maßnahmen zu treffen, um jederzeit gewährleisten zu können, dass die durch diese Richtlinie oder diesen Beschluss vorgeschriebenen Ergebnisse erzielt werden.</w:t>
      </w:r>
    </w:p>
    <w:p>
      <w:r>
        <w:t>(4) Die aufgrund dieses Artikels erlassenen Bestimmungen</w:t>
      </w:r>
    </w:p>
    <w:p>
      <w:pPr>
        <w:tabs>
          <w:tab w:pos="567" w:val="left"/>
        </w:tabs>
        <w:ind w:left="567" w:hanging="567"/>
      </w:pPr>
      <w:r>
        <w:t>—</w:t>
      </w:r>
      <w:r>
        <w:tab/>
      </w:r>
      <w:r>
        <w:t>berühren nicht die anerkannte Befugnis der Mitgliedstaaten, die Grundprinzipien ihres Systems der sozialen Sicherheit festzulegen, und dürfen das finanzielle Gleichgewicht dieser Systeme nicht erheblich beeinträchtigen;</w:t>
      </w:r>
    </w:p>
    <w:p>
      <w:pPr>
        <w:tabs>
          <w:tab w:pos="567" w:val="left"/>
        </w:tabs>
        <w:ind w:left="567" w:hanging="567"/>
      </w:pPr>
      <w:r>
        <w:t>—</w:t>
      </w:r>
      <w:r>
        <w:tab/>
      </w:r>
      <w:r>
        <w:t>hindern die Mitgliedstaaten nicht daran, strengere Schutzmaßnahmen beizubehalten oder zu treffen, die mit den Verträgen vereinbar sind.</w:t>
      </w:r>
    </w:p>
    <w:p>
      <w:r>
        <w:t>(5) Dieser Artikel gilt nicht für das Arbeitsentgelt, das Koalitionsrecht, das Streikrecht sowie das Aussperrungsrecht.</w:t>
      </w:r>
    </w:p>
    <w:p>
      <w:pPr>
        <w:pStyle w:val="Heading3"/>
      </w:pPr>
      <w:bookmarkStart w:id="194" w:name="b191"/>
      <w:r>
        <w:t>Art 154</w:t>
      </w:r>
      <w:r>
        <w:t xml:space="preserve"> </w:t>
      </w:r>
      <w:r>
        <w:rPr>
          <w:rStyle w:val="Suchmarke"/>
        </w:rPr>
        <w:t>#154.#</w:t>
      </w:r>
      <w:bookmarkEnd w:id="194"/>
    </w:p>
    <w:p>
      <w:r>
        <w:rPr>
          <w:color w:val="404040"/>
          <w:sz w:val="21"/>
        </w:rPr>
        <w:t>(ex-Artikel 138 EGV)</w:t>
      </w:r>
    </w:p>
    <w:p>
      <w:r>
        <w:t>(1) Die Kommission hat die Aufgabe, die Anhörung der Sozialpartner auf Unionsebene zu fördern, und erlässt alle zweckdienlichen Maßnahmen, um den Dialog zwischen den Sozialpartnern zu erleichtern, wobei sie für Ausgewogenheit bei der Unterstützung der Parteien sorgt.</w:t>
      </w:r>
    </w:p>
    <w:p>
      <w:r>
        <w:t>(2) Zu diesem Zweck hört die Kommission vor Unterbreitung von Vorschlägen im Bereich der Sozialpolitik die Sozialpartner zu der Frage, wie eine Unionsaktion gegebenenfalls ausgerichtet werden sollte.</w:t>
      </w:r>
    </w:p>
    <w:p>
      <w:r>
        <w:t xml:space="preserve">(3) </w:t>
      </w:r>
      <w:r>
        <w:rPr>
          <w:rStyle w:val="Satznummer"/>
        </w:rPr>
        <w:t>1</w:t>
      </w:r>
      <w:r>
        <w:t xml:space="preserve">Hält die Kommission nach dieser Anhörung eine Unionsmaßnahme für zweckmäßig, so hört sie die Sozialpartner zum Inhalt des in Aussicht genommenen Vorschlags. </w:t>
      </w:r>
      <w:r>
        <w:rPr>
          <w:rStyle w:val="Satznummer"/>
        </w:rPr>
        <w:t>2</w:t>
      </w:r>
      <w:r>
        <w:t>Die Sozialpartner übermitteln der Kommission eine Stellungnahme oder gegebenenfalls eine Empfehlung.</w:t>
      </w:r>
    </w:p>
    <w:p>
      <w:r>
        <w:t xml:space="preserve">(4) </w:t>
      </w:r>
      <w:r>
        <w:rPr>
          <w:rStyle w:val="Satznummer"/>
        </w:rPr>
        <w:t>1</w:t>
      </w:r>
      <w:r>
        <w:t xml:space="preserve">Bei den Anhörungen nach den Absätzen 2 und 3 können die Sozialpartner der Kommission mitteilen, dass sie den Prozess nach Artikel 155 in Gang setzen wollen. </w:t>
      </w:r>
      <w:r>
        <w:rPr>
          <w:rStyle w:val="Satznummer"/>
        </w:rPr>
        <w:t>2</w:t>
      </w:r>
      <w:r>
        <w:t>Die Dauer dieses Prozesses darf höchstens neun Monate betragen, sofern die betroffenen Sozialpartner und die Kommission nicht gemeinsam eine Verlängerung beschließen.</w:t>
      </w:r>
    </w:p>
    <w:p>
      <w:pPr>
        <w:pStyle w:val="Heading3"/>
      </w:pPr>
      <w:bookmarkStart w:id="195" w:name="b192"/>
      <w:r>
        <w:t>Art 155</w:t>
      </w:r>
      <w:r>
        <w:t xml:space="preserve"> </w:t>
      </w:r>
      <w:r>
        <w:rPr>
          <w:rStyle w:val="Suchmarke"/>
        </w:rPr>
        <w:t>#155.#</w:t>
      </w:r>
      <w:bookmarkEnd w:id="195"/>
    </w:p>
    <w:p>
      <w:r>
        <w:rPr>
          <w:color w:val="404040"/>
          <w:sz w:val="21"/>
        </w:rPr>
        <w:t>(ex-Artikel 139 EGV)</w:t>
      </w:r>
    </w:p>
    <w:p>
      <w:r>
        <w:t>(1) Der Dialog zwischen den Sozialpartnern auf Unionsebene kann, falls sie es wünschen, zur Herstellung vertraglicher Beziehungen einschließlich des Abschlusses von Vereinbarungen führen.</w:t>
      </w:r>
    </w:p>
    <w:p>
      <w:r>
        <w:t xml:space="preserve">(2) </w:t>
      </w:r>
      <w:r>
        <w:rPr>
          <w:rStyle w:val="Satznummer"/>
        </w:rPr>
        <w:t>1</w:t>
      </w:r>
      <w:r>
        <w:t xml:space="preserve">Die Durchführung der auf Unionsebene geschlossenen Vereinbarungen erfolgt entweder nach den jeweiligen Verfahren und Gepflogenheiten der Sozialpartner und der Mitgliedstaaten oder – in den durch </w:t>
      </w:r>
      <w:hyperlink w:anchor="b190" w:history="1">
        <w:r>
          <w:rPr>
            <w:color w:val="0A3A8C"/>
            <w:u w:val="single"/>
          </w:rPr>
          <w:t xml:space="preserve">Artikel 153</w:t>
        </w:r>
      </w:hyperlink>
      <w:r>
        <w:t xml:space="preserve"> erfassten Bereichen – auf gemeinsamen Antrag der Unterzeichnerparteien durch einen Beschluss des Rates auf Vorschlag der Kommission. </w:t>
      </w:r>
      <w:r>
        <w:rPr>
          <w:rStyle w:val="Satznummer"/>
        </w:rPr>
        <w:t>2</w:t>
      </w:r>
      <w:r>
        <w:t>Das Europäische Parlament wird unterrichtet.</w:t>
      </w:r>
    </w:p>
    <w:p>
      <w:r>
        <w:t>Der Rat beschließt einstimmig, sofern die betreffende Vereinbarung eine oder mehrere Bestimmungen betreffend einen der Bereiche enthält, für die nach Artikel 153 Absatz 2 Einstimmigkeit erforderlich ist.</w:t>
      </w:r>
    </w:p>
    <w:p>
      <w:pPr>
        <w:pStyle w:val="Heading3"/>
      </w:pPr>
      <w:bookmarkStart w:id="196" w:name="b193"/>
      <w:r>
        <w:t>Art 156</w:t>
      </w:r>
      <w:r>
        <w:t xml:space="preserve"> </w:t>
      </w:r>
      <w:r>
        <w:rPr>
          <w:rStyle w:val="Suchmarke"/>
        </w:rPr>
        <w:t>#156.#</w:t>
      </w:r>
      <w:bookmarkEnd w:id="196"/>
    </w:p>
    <w:p>
      <w:r>
        <w:rPr>
          <w:color w:val="404040"/>
          <w:sz w:val="21"/>
        </w:rPr>
        <w:t>(ex-Artikel 140 EGV)</w:t>
      </w:r>
    </w:p>
    <w:p>
      <w:r>
        <w:t xml:space="preserve">Unbeschadet der sonstigen Bestimmungen der Verträge fördert die Kommission im Hinblick auf die Erreichung der Ziele des </w:t>
      </w:r>
      <w:hyperlink w:anchor="b188" w:history="1">
        <w:r>
          <w:rPr>
            <w:color w:val="0A3A8C"/>
            <w:u w:val="single"/>
          </w:rPr>
          <w:t xml:space="preserve">Artikels 151</w:t>
        </w:r>
      </w:hyperlink>
      <w:r>
        <w:t xml:space="preserve"> die Zusammenarbeit zwischen den Mitgliedstaaten und erleichtert die Abstimmung ihres Vorgehens in allen unter dieses Kapitel fallenden Bereichen der Sozialpolitik, insbesondere auf dem Gebiet</w:t>
      </w:r>
    </w:p>
    <w:p>
      <w:pPr>
        <w:tabs>
          <w:tab w:pos="567" w:val="left"/>
        </w:tabs>
        <w:ind w:left="567" w:hanging="567"/>
      </w:pPr>
      <w:r>
        <w:t>—</w:t>
      </w:r>
      <w:r>
        <w:tab/>
      </w:r>
      <w:r>
        <w:t>der Beschäftigung,</w:t>
      </w:r>
    </w:p>
    <w:p>
      <w:pPr>
        <w:tabs>
          <w:tab w:pos="567" w:val="left"/>
        </w:tabs>
        <w:ind w:left="567" w:hanging="567"/>
      </w:pPr>
      <w:r>
        <w:t>—</w:t>
      </w:r>
      <w:r>
        <w:tab/>
      </w:r>
      <w:r>
        <w:t>des Arbeitsrechts und der Arbeitsbedingungen,</w:t>
      </w:r>
    </w:p>
    <w:p>
      <w:pPr>
        <w:tabs>
          <w:tab w:pos="567" w:val="left"/>
        </w:tabs>
        <w:ind w:left="567" w:hanging="567"/>
      </w:pPr>
      <w:r>
        <w:t>—</w:t>
      </w:r>
      <w:r>
        <w:tab/>
      </w:r>
      <w:r>
        <w:t>der beruflichen Ausbildung und Fortbildung,</w:t>
      </w:r>
    </w:p>
    <w:p>
      <w:pPr>
        <w:tabs>
          <w:tab w:pos="567" w:val="left"/>
        </w:tabs>
        <w:ind w:left="567" w:hanging="567"/>
      </w:pPr>
      <w:r>
        <w:t>—</w:t>
      </w:r>
      <w:r>
        <w:tab/>
      </w:r>
      <w:r>
        <w:t>der sozialen Sicherheit,</w:t>
      </w:r>
    </w:p>
    <w:p>
      <w:pPr>
        <w:tabs>
          <w:tab w:pos="567" w:val="left"/>
        </w:tabs>
        <w:ind w:left="567" w:hanging="567"/>
      </w:pPr>
      <w:r>
        <w:t>—</w:t>
      </w:r>
      <w:r>
        <w:tab/>
      </w:r>
      <w:r>
        <w:t>der Verhütung von Berufsunfällen und Berufskrankheiten,</w:t>
      </w:r>
    </w:p>
    <w:p>
      <w:pPr>
        <w:tabs>
          <w:tab w:pos="567" w:val="left"/>
        </w:tabs>
        <w:ind w:left="567" w:hanging="567"/>
      </w:pPr>
      <w:r>
        <w:t>—</w:t>
      </w:r>
      <w:r>
        <w:tab/>
      </w:r>
      <w:r>
        <w:t>des Gesundheitsschutzes bei der Arbeit,</w:t>
      </w:r>
    </w:p>
    <w:p>
      <w:pPr>
        <w:tabs>
          <w:tab w:pos="567" w:val="left"/>
        </w:tabs>
        <w:ind w:left="567" w:hanging="567"/>
      </w:pPr>
      <w:r>
        <w:t>—</w:t>
      </w:r>
      <w:r>
        <w:tab/>
      </w:r>
      <w:r>
        <w:t>des Koalitionsrechts und der Kollektivverhandlungen zwischen Arbeitgebern und Arbeitnehmern.</w:t>
      </w:r>
    </w:p>
    <w:p>
      <w:r>
        <w:rPr>
          <w:rStyle w:val="Satznummer"/>
        </w:rPr>
        <w:t>1</w:t>
      </w:r>
      <w:r>
        <w:t xml:space="preserve">Zu diesem Zweck wird die Kommission in enger Verbindung mit den Mitgliedstaaten durch Untersuchungen, Stellungnahmen und die Durchführung von Konsultationen in Bezug auf innerstaatlich oder in den internationalen Organisationen zu behandelnde Fragen tätig, und zwar insbesondere im Wege von Initiativen, die darauf abzielen, Leitlinien und Indikatoren festzulegen, den Austausch bewährter Verfahren durchzuführen und die erforderlichen Elemente für eine regelmäßige Überwachung und Bewertung auszuarbeiten. </w:t>
      </w:r>
      <w:r>
        <w:rPr>
          <w:rStyle w:val="Satznummer"/>
        </w:rPr>
        <w:t>2</w:t>
      </w:r>
      <w:r>
        <w:t>Das Europäische Parlament wird in vollem Umfang unterrichtet.</w:t>
      </w:r>
    </w:p>
    <w:p>
      <w:r>
        <w:t>Vor Abgabe der in diesem Artikel vorgesehenen Stellungnahmen hört die Kommission den Wirtschafts- und Sozialausschuss.</w:t>
      </w:r>
    </w:p>
    <w:p>
      <w:pPr>
        <w:pStyle w:val="Heading3"/>
      </w:pPr>
      <w:bookmarkStart w:id="197" w:name="b194"/>
      <w:r>
        <w:t>Art 157</w:t>
      </w:r>
      <w:r>
        <w:t xml:space="preserve"> </w:t>
      </w:r>
      <w:r>
        <w:rPr>
          <w:rStyle w:val="Suchmarke"/>
        </w:rPr>
        <w:t>#157.#</w:t>
      </w:r>
      <w:bookmarkEnd w:id="197"/>
    </w:p>
    <w:p>
      <w:r>
        <w:rPr>
          <w:color w:val="404040"/>
          <w:sz w:val="21"/>
        </w:rPr>
        <w:t>(ex-Artikel 141 EGV)</w:t>
      </w:r>
    </w:p>
    <w:p>
      <w:r>
        <w:t>(1) Jeder Mitgliedstaat stellt die Anwendung des Grundsatzes des gleichen Entgelts für Männer und Frauen bei gleicher oder gleichwertiger Arbeit sicher.</w:t>
      </w:r>
    </w:p>
    <w:p>
      <w:r>
        <w:t>(2) Unter "Entgelt" im Sinne dieses Artikels sind die üblichen Grund- oder Mindestlöhne und -gehälter sowie alle sonstigen Vergütungen zu verstehen, die der Arbeitgeber aufgrund des Dienstverhältnisses dem Arbeitnehmer unmittelbar oder mittelbar in bar oder in Sachleistungen zahlt.</w:t>
      </w:r>
    </w:p>
    <w:p>
      <w:r>
        <w:t>Gleichheit des Arbeitsentgelts ohne Diskriminierung aufgrund des Geschlechts bedeutet,</w:t>
      </w:r>
    </w:p>
    <w:p>
      <w:pPr>
        <w:tabs>
          <w:tab w:pos="567" w:val="left"/>
        </w:tabs>
        <w:ind w:left="567" w:hanging="567"/>
      </w:pPr>
      <w:r>
        <w:t>a)</w:t>
      </w:r>
      <w:r>
        <w:tab/>
      </w:r>
      <w:r>
        <w:t>dass das Entgelt für eine gleiche nach Akkord bezahlte Arbeit aufgrund der gleichen Maßeinheit festgesetzt wird,</w:t>
      </w:r>
    </w:p>
    <w:p>
      <w:pPr>
        <w:tabs>
          <w:tab w:pos="567" w:val="left"/>
        </w:tabs>
        <w:ind w:left="567" w:hanging="567"/>
      </w:pPr>
      <w:r>
        <w:t>b)</w:t>
      </w:r>
      <w:r>
        <w:tab/>
      </w:r>
      <w:r>
        <w:t>dass für eine nach Zeit bezahlte Arbeit das Entgelt bei gleichem Arbeitsplatz gleich ist.</w:t>
      </w:r>
    </w:p>
    <w:p>
      <w:r>
        <w:t>(3) Das Europäische Parlament und der Rat beschließen gemäß dem ordentlichen Gesetzgebungsverfahren und nach Anhörung des Wirtschafts- und Sozialausschusses Maßnahmen zur Gewährleistung der Anwendung des Grundsatzes der Chancengleichheit und der Gleichbehandlung von Männern und Frauen in Arbeits- und Beschäftigungsfragen, einschließlich des Grundsatzes des gleichen Entgelts bei gleicher oder gleichwertiger Arbeit.</w:t>
      </w:r>
    </w:p>
    <w:p>
      <w:r>
        <w:t>(4) Im Hinblick auf die effektive Gewährleistung der vollen Gleichstellung von Männern und Frauen im Arbeitsleben hindert der Grundsatz der Gleichbehandlung die Mitgliedstaaten nicht daran, zur Erleichterung der Berufstätigkeit des unterrepräsentierten Geschlechts oder zur Verhinderung bzw. zum Ausgleich von Benachteiligungen in der beruflichen Laufbahn spezifische Vergünstigungen beizubehalten oder zu beschließen.</w:t>
      </w:r>
    </w:p>
    <w:p>
      <w:pPr>
        <w:pStyle w:val="Heading3"/>
      </w:pPr>
      <w:bookmarkStart w:id="198" w:name="b195"/>
      <w:r>
        <w:t>Art 158</w:t>
      </w:r>
      <w:r>
        <w:t xml:space="preserve"> </w:t>
      </w:r>
      <w:r>
        <w:rPr>
          <w:rStyle w:val="Suchmarke"/>
        </w:rPr>
        <w:t>#158.#</w:t>
      </w:r>
      <w:bookmarkEnd w:id="198"/>
    </w:p>
    <w:p>
      <w:r>
        <w:rPr>
          <w:color w:val="404040"/>
          <w:sz w:val="21"/>
        </w:rPr>
        <w:t>(ex-Artikel 142 EGV)</w:t>
      </w:r>
    </w:p>
    <w:p>
      <w:r>
        <w:t>Die Mitgliedstaaten sind bestrebt, die bestehende Gleichwertigkeit der Ordnungen über die bezahlte Freizeit beizubehalten.</w:t>
      </w:r>
    </w:p>
    <w:p>
      <w:pPr>
        <w:pStyle w:val="Heading3"/>
      </w:pPr>
      <w:bookmarkStart w:id="199" w:name="b196"/>
      <w:r>
        <w:t>Art 159</w:t>
      </w:r>
      <w:r>
        <w:t xml:space="preserve"> </w:t>
      </w:r>
      <w:r>
        <w:rPr>
          <w:rStyle w:val="Suchmarke"/>
        </w:rPr>
        <w:t>#159.#</w:t>
      </w:r>
      <w:bookmarkEnd w:id="199"/>
    </w:p>
    <w:p>
      <w:r>
        <w:rPr>
          <w:color w:val="404040"/>
          <w:sz w:val="21"/>
        </w:rPr>
        <w:t>(ex-Artikel 143 EGV)</w:t>
      </w:r>
    </w:p>
    <w:p>
      <w:r>
        <w:rPr>
          <w:rStyle w:val="Satznummer"/>
        </w:rPr>
        <w:t>1</w:t>
      </w:r>
      <w:r>
        <w:t xml:space="preserve">Die Kommission erstellt jährlich einen Bericht über den Stand der Verwirklichung der in </w:t>
      </w:r>
      <w:hyperlink w:anchor="b188" w:history="1">
        <w:r>
          <w:rPr>
            <w:color w:val="0A3A8C"/>
            <w:u w:val="single"/>
          </w:rPr>
          <w:t xml:space="preserve">Artikel 151</w:t>
        </w:r>
      </w:hyperlink>
      <w:r>
        <w:t xml:space="preserve"> genannten Ziele sowie über die demografische Lage in der Union. </w:t>
      </w:r>
      <w:r>
        <w:rPr>
          <w:rStyle w:val="Satznummer"/>
        </w:rPr>
        <w:t>2</w:t>
      </w:r>
      <w:r>
        <w:t>Sie übermittelt diesen Bericht dem Europäischen Parlament, dem Rat und dem Wirtschafts- und Sozialausschuss.</w:t>
      </w:r>
    </w:p>
    <w:p>
      <w:pPr>
        <w:pStyle w:val="Heading3"/>
      </w:pPr>
      <w:bookmarkStart w:id="200" w:name="b197"/>
      <w:r>
        <w:t>Art 160</w:t>
      </w:r>
      <w:r>
        <w:t xml:space="preserve"> </w:t>
      </w:r>
      <w:r>
        <w:rPr>
          <w:rStyle w:val="Suchmarke"/>
        </w:rPr>
        <w:t>#160.#</w:t>
      </w:r>
      <w:bookmarkEnd w:id="200"/>
    </w:p>
    <w:p>
      <w:r>
        <w:rPr>
          <w:color w:val="404040"/>
          <w:sz w:val="21"/>
        </w:rPr>
        <w:t>(ex-Artikel 144 EGV)</w:t>
      </w:r>
    </w:p>
    <w:p>
      <w:r>
        <w:rPr>
          <w:rStyle w:val="Satznummer"/>
        </w:rPr>
        <w:t>1</w:t>
      </w:r>
      <w:r>
        <w:t xml:space="preserve">Der Rat, der mit einfacher Mehrheit beschließt, setzt nach Anhörung des Europäischen Parlaments einen Ausschuss für Sozialschutz mit beratender Aufgabe ein, um die Zusammenarbeit im Bereich des sozialen Schutzes zwischen den Mitgliedstaaten und mit der Kommission zu fördern. </w:t>
      </w:r>
      <w:r>
        <w:rPr>
          <w:rStyle w:val="Satznummer"/>
        </w:rPr>
        <w:t>2</w:t>
      </w:r>
      <w:r>
        <w:t>Der Ausschuss hat folgende Aufgaben:</w:t>
      </w:r>
    </w:p>
    <w:p>
      <w:pPr>
        <w:tabs>
          <w:tab w:pos="567" w:val="left"/>
        </w:tabs>
        <w:ind w:left="567" w:hanging="567"/>
      </w:pPr>
      <w:r>
        <w:t>—</w:t>
      </w:r>
      <w:r>
        <w:tab/>
      </w:r>
      <w:r>
        <w:t>Er verfolgt die soziale Lage und die Entwicklung der Politiken im Bereich des sozialen Schutzes in den Mitgliedstaaten und der Union;</w:t>
      </w:r>
    </w:p>
    <w:p>
      <w:pPr>
        <w:tabs>
          <w:tab w:pos="567" w:val="left"/>
        </w:tabs>
        <w:ind w:left="567" w:hanging="567"/>
      </w:pPr>
      <w:r>
        <w:t>—</w:t>
      </w:r>
      <w:r>
        <w:tab/>
      </w:r>
      <w:r>
        <w:t>er fördert den Austausch von Informationen, Erfahrungen und bewährten Verfahren zwischen den Mitgliedstaaten und mit der Kommission;</w:t>
      </w:r>
    </w:p>
    <w:p>
      <w:pPr>
        <w:tabs>
          <w:tab w:pos="567" w:val="left"/>
        </w:tabs>
        <w:ind w:left="567" w:hanging="567"/>
      </w:pPr>
      <w:r>
        <w:t>—</w:t>
      </w:r>
      <w:r>
        <w:tab/>
      </w:r>
      <w:r>
        <w:t xml:space="preserve">unbeschadet des </w:t>
      </w:r>
      <w:hyperlink w:anchor="b309" w:history="1">
        <w:r>
          <w:rPr>
            <w:color w:val="0A3A8C"/>
            <w:u w:val="single"/>
          </w:rPr>
          <w:t xml:space="preserve">Artikels 240</w:t>
        </w:r>
      </w:hyperlink>
      <w:r>
        <w:t xml:space="preserve"> arbeitet er auf Ersuchen des Rates oder der Kommission oder von sich aus in seinem Zuständigkeitsbereich Berichte aus, gibt Stellungnahmen ab oder wird auf andere Weise tätig.</w:t>
      </w:r>
    </w:p>
    <w:p>
      <w:r>
        <w:t>Bei der Erfüllung seines Auftrags stellt der Ausschuss geeignete Kontakte zu den Sozialpartnern her.</w:t>
      </w:r>
    </w:p>
    <w:p>
      <w:r>
        <w:t>Jeder Mitgliedstaat und die Kommission ernennen zwei Mitglieder des Ausschusses.</w:t>
      </w:r>
    </w:p>
    <w:p>
      <w:pPr>
        <w:pStyle w:val="Heading3"/>
      </w:pPr>
      <w:bookmarkStart w:id="201" w:name="b198"/>
      <w:r>
        <w:t>Art 161</w:t>
      </w:r>
      <w:r>
        <w:t xml:space="preserve"> </w:t>
      </w:r>
      <w:r>
        <w:rPr>
          <w:rStyle w:val="Suchmarke"/>
        </w:rPr>
        <w:t>#161.#</w:t>
      </w:r>
      <w:bookmarkEnd w:id="201"/>
    </w:p>
    <w:p>
      <w:r>
        <w:rPr>
          <w:color w:val="404040"/>
          <w:sz w:val="21"/>
        </w:rPr>
        <w:t>(ex-Artikel 145 EGV)</w:t>
      </w:r>
    </w:p>
    <w:p>
      <w:r>
        <w:t>Der Jahresbericht der Kommission an das Europäische Parlament hat stets ein besonderes Kapitel über die Entwicklung der sozialen Lage in der Union zu enthalten.</w:t>
      </w:r>
    </w:p>
    <w:p>
      <w:r>
        <w:t>Das Europäische Parlament kann die Kommission auffordern, Berichte über besondere, die soziale Lage betreffende Fragen auszuarbeiten.</w:t>
      </w:r>
    </w:p>
    <w:p>
      <w:pPr>
        <w:pStyle w:val="Heading2"/>
      </w:pPr>
      <w:bookmarkStart w:id="202" w:name="b199"/>
      <w:r>
        <w:t>TITEL XI DER EUROPÄISCHE SOZIALFONDS</w:t>
      </w:r>
      <w:bookmarkEnd w:id="202"/>
    </w:p>
    <w:p>
      <w:pPr>
        <w:pStyle w:val="Heading3"/>
      </w:pPr>
      <w:bookmarkStart w:id="203" w:name="b200"/>
      <w:r>
        <w:t>Art 162</w:t>
      </w:r>
      <w:r>
        <w:t xml:space="preserve"> </w:t>
      </w:r>
      <w:r>
        <w:rPr>
          <w:rStyle w:val="Suchmarke"/>
        </w:rPr>
        <w:t>#162.#</w:t>
      </w:r>
      <w:bookmarkEnd w:id="203"/>
    </w:p>
    <w:p>
      <w:r>
        <w:rPr>
          <w:color w:val="404040"/>
          <w:sz w:val="21"/>
        </w:rPr>
        <w:t>(ex-Artikel 146 EGV)</w:t>
      </w:r>
    </w:p>
    <w:p>
      <w:r>
        <w:t>Um die Beschäftigungsmöglichkeiten der Arbeitskräfte im Binnenmarkt zu verbessern und damit zur Hebung der Lebenshaltung beizutragen, wird nach Maßgabe der folgenden Bestimmungen ein Europäischer Sozialfonds errichtet, dessen Ziel es ist, innerhalb der Union die berufliche Verwendbarkeit und die örtliche und berufliche Mobilität der Arbeitskräfte zu fördern sowie die Anpassung an die industriellen Wandlungsprozesse und an Veränderungen der Produktionssysteme insbesondere durch berufliche Bildung und Umschulung zu erleichtern.</w:t>
      </w:r>
    </w:p>
    <w:p>
      <w:pPr>
        <w:pStyle w:val="Heading3"/>
      </w:pPr>
      <w:bookmarkStart w:id="204" w:name="b201"/>
      <w:r>
        <w:t>Art 163</w:t>
      </w:r>
      <w:r>
        <w:t xml:space="preserve"> </w:t>
      </w:r>
      <w:r>
        <w:rPr>
          <w:rStyle w:val="Suchmarke"/>
        </w:rPr>
        <w:t>#163.#</w:t>
      </w:r>
      <w:bookmarkEnd w:id="204"/>
    </w:p>
    <w:p>
      <w:r>
        <w:rPr>
          <w:color w:val="404040"/>
          <w:sz w:val="21"/>
        </w:rPr>
        <w:t>(ex-Artikel 147 EGV)</w:t>
      </w:r>
    </w:p>
    <w:p>
      <w:r>
        <w:t>Die Verwaltung des Fonds obliegt der Kommission.</w:t>
      </w:r>
    </w:p>
    <w:p>
      <w:r>
        <w:t>Die Kommission wird hierbei von einem Ausschuss unterstützt, der aus Vertretern der Regierungen sowie der Arbeitgeber- und der Arbeitnehmerverbände besteht; den Vorsitz führt ein Mitglied der Kommission.</w:t>
      </w:r>
    </w:p>
    <w:p>
      <w:pPr>
        <w:pStyle w:val="Heading3"/>
      </w:pPr>
      <w:bookmarkStart w:id="205" w:name="b202"/>
      <w:r>
        <w:t>Art 164</w:t>
      </w:r>
      <w:r>
        <w:t xml:space="preserve"> </w:t>
      </w:r>
      <w:r>
        <w:rPr>
          <w:rStyle w:val="Suchmarke"/>
        </w:rPr>
        <w:t>#164.#</w:t>
      </w:r>
      <w:bookmarkEnd w:id="205"/>
    </w:p>
    <w:p>
      <w:r>
        <w:rPr>
          <w:color w:val="404040"/>
          <w:sz w:val="21"/>
        </w:rPr>
        <w:t>(ex-Artikel 148 EGV)</w:t>
      </w:r>
    </w:p>
    <w:p>
      <w:r>
        <w:t>Das Europäische Parlament und der Rat erlassen gemäß dem ordentlichen Gesetzgebungsverfahren und nach Anhörung des Wirtschafts- und Sozialausschusses sowie des Ausschusses der Regionen die den Europäischen Sozialfonds betreffenden Durchführungsverordnungen.</w:t>
      </w:r>
    </w:p>
    <w:p>
      <w:pPr>
        <w:pStyle w:val="Heading2"/>
      </w:pPr>
      <w:bookmarkStart w:id="206" w:name="b203"/>
      <w:r>
        <w:t>TITEL XII ALLGEMEINE UND BERUFLICHE BILDUNG, JUGEND UND SPORT</w:t>
      </w:r>
      <w:bookmarkEnd w:id="206"/>
    </w:p>
    <w:p>
      <w:pPr>
        <w:pStyle w:val="Heading3"/>
      </w:pPr>
      <w:bookmarkStart w:id="207" w:name="b204"/>
      <w:r>
        <w:t>Art 165</w:t>
      </w:r>
      <w:r>
        <w:t xml:space="preserve"> </w:t>
      </w:r>
      <w:r>
        <w:rPr>
          <w:rStyle w:val="Suchmarke"/>
        </w:rPr>
        <w:t>#165.#</w:t>
      </w:r>
      <w:bookmarkEnd w:id="207"/>
    </w:p>
    <w:p>
      <w:r>
        <w:rPr>
          <w:color w:val="404040"/>
          <w:sz w:val="21"/>
        </w:rPr>
        <w:t>(ex-Artikel 149 EGV)</w:t>
      </w:r>
    </w:p>
    <w:p>
      <w:r>
        <w:t>(1) Die Union trägt zur Entwicklung einer qualitativ hoch stehenden Bildung dadurch bei, dass sie die Zusammenarbeit zwischen den Mitgliedstaaten fördert und die Tätigkeit der Mitgliedstaaten unter strikter Beachtung der Verantwortung der Mitgliedstaaten für die Lehrinhalte und die Gestaltung des Bildungssystems sowie der Vielfalt ihrer Kulturen und Sprachen erforderlichenfalls unterstützt und ergänzt.</w:t>
      </w:r>
    </w:p>
    <w:p>
      <w:r>
        <w:t>Die Union trägt zur Förderung der europäischen Dimension des Sports bei und berücksichtigt dabei dessen besondere Merkmale, dessen auf freiwilligem Engagement basierende Strukturen sowie dessen soziale und pädagogische Funktion.</w:t>
      </w:r>
    </w:p>
    <w:p>
      <w:r>
        <w:t>(2) Die Tätigkeit der Union hat folgende Ziele:</w:t>
      </w:r>
    </w:p>
    <w:p>
      <w:pPr>
        <w:tabs>
          <w:tab w:pos="567" w:val="left"/>
        </w:tabs>
        <w:ind w:left="567" w:hanging="567"/>
      </w:pPr>
      <w:r>
        <w:t>—</w:t>
      </w:r>
      <w:r>
        <w:tab/>
      </w:r>
      <w:r>
        <w:t>Entwicklung der europäischen Dimension im Bildungswesen, insbesondere durch Erlernen und Verbreitung der Sprachen der Mitgliedstaaten;</w:t>
      </w:r>
    </w:p>
    <w:p>
      <w:pPr>
        <w:tabs>
          <w:tab w:pos="567" w:val="left"/>
        </w:tabs>
        <w:ind w:left="567" w:hanging="567"/>
      </w:pPr>
      <w:r>
        <w:t>—</w:t>
      </w:r>
      <w:r>
        <w:tab/>
      </w:r>
      <w:r>
        <w:t>Förderung der Mobilität von Lernenden und Lehrenden, auch durch die Förderung der akademischen Anerkennung der Diplome und Studienzeiten;</w:t>
      </w:r>
    </w:p>
    <w:p>
      <w:pPr>
        <w:tabs>
          <w:tab w:pos="567" w:val="left"/>
        </w:tabs>
        <w:ind w:left="567" w:hanging="567"/>
      </w:pPr>
      <w:r>
        <w:t>—</w:t>
      </w:r>
      <w:r>
        <w:tab/>
      </w:r>
      <w:r>
        <w:t>Förderung der Zusammenarbeit zwischen den Bildungseinrichtungen;</w:t>
      </w:r>
    </w:p>
    <w:p>
      <w:pPr>
        <w:tabs>
          <w:tab w:pos="567" w:val="left"/>
        </w:tabs>
        <w:ind w:left="567" w:hanging="567"/>
      </w:pPr>
      <w:r>
        <w:t>—</w:t>
      </w:r>
      <w:r>
        <w:tab/>
      </w:r>
      <w:r>
        <w:t>Ausbau des Informations- und Erfahrungsaustauschs über gemeinsame Probleme im Rahmen der Bildungssysteme der Mitgliedstaaten;</w:t>
      </w:r>
    </w:p>
    <w:p>
      <w:pPr>
        <w:tabs>
          <w:tab w:pos="567" w:val="left"/>
        </w:tabs>
        <w:ind w:left="567" w:hanging="567"/>
      </w:pPr>
      <w:r>
        <w:t>—</w:t>
      </w:r>
      <w:r>
        <w:tab/>
      </w:r>
      <w:r>
        <w:t>Förderung des Ausbaus des Jugendaustauschs und des Austauschs sozialpädagogischer Betreuer und verstärkte Beteiligung der Jugendlichen am demokratischen Leben in Europa;</w:t>
      </w:r>
    </w:p>
    <w:p>
      <w:pPr>
        <w:tabs>
          <w:tab w:pos="567" w:val="left"/>
        </w:tabs>
        <w:ind w:left="567" w:hanging="567"/>
      </w:pPr>
      <w:r>
        <w:t>—</w:t>
      </w:r>
      <w:r>
        <w:tab/>
      </w:r>
      <w:r>
        <w:t>Förderung der Entwicklung der Fernlehre;</w:t>
      </w:r>
    </w:p>
    <w:p>
      <w:pPr>
        <w:tabs>
          <w:tab w:pos="567" w:val="left"/>
        </w:tabs>
        <w:ind w:left="567" w:hanging="567"/>
      </w:pPr>
      <w:r>
        <w:t>—</w:t>
      </w:r>
      <w:r>
        <w:tab/>
      </w:r>
      <w:r>
        <w:t>Entwicklung der europäischen Dimension des Sports durch Förderung der Fairness und der Offenheit von Sportwettkämpfen und der Zusammenarbeit zwischen den für den Sport verantwortlichen Organisationen sowie durch den Schutz der körperlichen und seelischen Unversehrtheit der Sportler, insbesondere der jüngeren Sportler.</w:t>
      </w:r>
    </w:p>
    <w:p>
      <w:r>
        <w:t>(3) Die Union und die Mitgliedstaaten fördern die Zusammenarbeit mit dritten Ländern und den für den Bildungsbereich und den Sport zuständigen internationalen Organisationen, insbesondere dem Europarat.</w:t>
      </w:r>
    </w:p>
    <w:p>
      <w:r>
        <w:t>(4) Als Beitrag zur Verwirklichung der Ziele dieses Artikels</w:t>
      </w:r>
    </w:p>
    <w:p>
      <w:pPr>
        <w:tabs>
          <w:tab w:pos="567" w:val="left"/>
        </w:tabs>
        <w:ind w:left="567" w:hanging="567"/>
      </w:pPr>
      <w:r>
        <w:t>—</w:t>
      </w:r>
      <w:r>
        <w:tab/>
      </w:r>
      <w:r>
        <w:t>erlassen das Europäische Parlament und der Rat gemäß dem ordentlichen Gesetzgebungsverfahren und nach Anhörung des Wirtschafts- und Sozialausschusses und des Ausschusses der Regionen Fördermaßnahmen unter Ausschluss jeglicher Harmonisierung der Rechts- und Verwaltungsvorschriften der Mitgliedstaaten;</w:t>
      </w:r>
    </w:p>
    <w:p>
      <w:pPr>
        <w:tabs>
          <w:tab w:pos="567" w:val="left"/>
        </w:tabs>
        <w:ind w:left="567" w:hanging="567"/>
      </w:pPr>
      <w:r>
        <w:t>—</w:t>
      </w:r>
      <w:r>
        <w:tab/>
      </w:r>
      <w:r>
        <w:t>erlässt der Rat auf Vorschlag der Kommission Empfehlungen.</w:t>
      </w:r>
    </w:p>
    <w:p>
      <w:pPr>
        <w:pStyle w:val="Heading3"/>
      </w:pPr>
      <w:bookmarkStart w:id="208" w:name="b205"/>
      <w:r>
        <w:t>Art 166</w:t>
      </w:r>
      <w:r>
        <w:t xml:space="preserve"> </w:t>
      </w:r>
      <w:r>
        <w:rPr>
          <w:rStyle w:val="Suchmarke"/>
        </w:rPr>
        <w:t>#166.#</w:t>
      </w:r>
      <w:bookmarkEnd w:id="208"/>
    </w:p>
    <w:p>
      <w:r>
        <w:rPr>
          <w:color w:val="404040"/>
          <w:sz w:val="21"/>
        </w:rPr>
        <w:t>(ex-Artikel 150 EGV)</w:t>
      </w:r>
    </w:p>
    <w:p>
      <w:r>
        <w:t>(1) Die Union führt eine Politik der beruflichen Bildung, welche die Maßnahmen der Mitgliedstaaten unter strikter Beachtung der Verantwortung der Mitgliedstaaten für Inhalt und Gestaltung der beruflichen Bildung unterstützt und ergänzt.</w:t>
      </w:r>
    </w:p>
    <w:p>
      <w:r>
        <w:t>(2) Die Tätigkeit der Union hat folgende Ziele:</w:t>
      </w:r>
    </w:p>
    <w:p>
      <w:pPr>
        <w:tabs>
          <w:tab w:pos="567" w:val="left"/>
        </w:tabs>
        <w:ind w:left="567" w:hanging="567"/>
      </w:pPr>
      <w:r>
        <w:t>—</w:t>
      </w:r>
      <w:r>
        <w:tab/>
      </w:r>
      <w:r>
        <w:t>Erleichterung der Anpassung an die industriellen Wandlungsprozesse, insbesondere durch berufliche Bildung und Umschulung;</w:t>
      </w:r>
    </w:p>
    <w:p>
      <w:pPr>
        <w:tabs>
          <w:tab w:pos="567" w:val="left"/>
        </w:tabs>
        <w:ind w:left="567" w:hanging="567"/>
      </w:pPr>
      <w:r>
        <w:t>—</w:t>
      </w:r>
      <w:r>
        <w:tab/>
      </w:r>
      <w:r>
        <w:t>Verbesserung der beruflichen Erstausbildung und Weiterbildung zur Erleichterung der beruflichen Eingliederung und Wiedereingliederung in den Arbeitsmarkt;</w:t>
      </w:r>
    </w:p>
    <w:p>
      <w:pPr>
        <w:tabs>
          <w:tab w:pos="567" w:val="left"/>
        </w:tabs>
        <w:ind w:left="567" w:hanging="567"/>
      </w:pPr>
      <w:r>
        <w:t>—</w:t>
      </w:r>
      <w:r>
        <w:tab/>
      </w:r>
      <w:r>
        <w:t>Erleichterung der Aufnahme einer beruflichen Bildung sowie Förderung der Mobilität der Ausbilder und der in beruflicher Bildung befindlichen Personen, insbesondere der Jugendlichen;</w:t>
      </w:r>
    </w:p>
    <w:p>
      <w:pPr>
        <w:tabs>
          <w:tab w:pos="567" w:val="left"/>
        </w:tabs>
        <w:ind w:left="567" w:hanging="567"/>
      </w:pPr>
      <w:r>
        <w:t>—</w:t>
      </w:r>
      <w:r>
        <w:tab/>
      </w:r>
      <w:r>
        <w:t>Förderung der Zusammenarbeit in Fragen der beruflichen Bildung zwischen Unterrichtsanstalten und Unternehmen;</w:t>
      </w:r>
    </w:p>
    <w:p>
      <w:pPr>
        <w:tabs>
          <w:tab w:pos="567" w:val="left"/>
        </w:tabs>
        <w:ind w:left="567" w:hanging="567"/>
      </w:pPr>
      <w:r>
        <w:t>—</w:t>
      </w:r>
      <w:r>
        <w:tab/>
      </w:r>
      <w:r>
        <w:t>Ausbau des Informations- und Erfahrungsaustauschs über gemeinsame Probleme im Rahmen der Berufsbildungssysteme der Mitgliedstaaten.</w:t>
      </w:r>
    </w:p>
    <w:p>
      <w:r>
        <w:t>(3) Die Union und die Mitgliedstaaten fördern die Zusammenarbeit mit dritten Ländern und den für die berufliche Bildung zuständigen internationalen Organisationen.</w:t>
      </w:r>
    </w:p>
    <w:p>
      <w:r>
        <w:t>(4) Das Europäische Parlament und der Rat erlassen gemäß dem ordentlichen Gesetzgebungsverfahren und nach Anhörung des Wirtschafts- und Sozialausschusses sowie des Ausschusses der Regionen Maßnahmen, die zur Verwirklichung der Ziele dieses Artikels beitragen, unter Ausschluss jeglicher Harmonisierung der Rechts- und Verwaltungsvorschriften der Mitgliedstaaten, und der Rat erlässt auf Vorschlag der Kommission Empfehlungen.</w:t>
      </w:r>
    </w:p>
    <w:p>
      <w:pPr>
        <w:pStyle w:val="Heading2"/>
      </w:pPr>
      <w:bookmarkStart w:id="209" w:name="b206"/>
      <w:r>
        <w:t>TITEL XIII KULTUR</w:t>
      </w:r>
      <w:bookmarkEnd w:id="209"/>
    </w:p>
    <w:p>
      <w:pPr>
        <w:pStyle w:val="Heading3"/>
      </w:pPr>
      <w:bookmarkStart w:id="210" w:name="b207"/>
      <w:r>
        <w:t>Art 167</w:t>
      </w:r>
      <w:r>
        <w:t xml:space="preserve"> </w:t>
      </w:r>
      <w:r>
        <w:rPr>
          <w:rStyle w:val="Suchmarke"/>
        </w:rPr>
        <w:t>#167.#</w:t>
      </w:r>
      <w:bookmarkEnd w:id="210"/>
    </w:p>
    <w:p>
      <w:r>
        <w:rPr>
          <w:color w:val="404040"/>
          <w:sz w:val="21"/>
        </w:rPr>
        <w:t>(ex-Artikel 151 EGV)</w:t>
      </w:r>
    </w:p>
    <w:p>
      <w:r>
        <w:t>(1) Die Union leistet einen Beitrag zur Entfaltung der Kulturen der Mitgliedstaaten unter Wahrung ihrer nationalen und regionalen Vielfalt sowie gleichzeitiger Hervorhebung des gemeinsamen kulturellen Erbes.</w:t>
      </w:r>
    </w:p>
    <w:p>
      <w:r>
        <w:t>(2) Die Union fördert durch ihre Tätigkeit die Zusammenarbeit zwischen den Mitgliedstaaten und unterstützt und ergänzt erforderlichenfalls deren Tätigkeit in folgenden Bereichen:</w:t>
      </w:r>
    </w:p>
    <w:p>
      <w:pPr>
        <w:tabs>
          <w:tab w:pos="567" w:val="left"/>
        </w:tabs>
        <w:ind w:left="567" w:hanging="567"/>
      </w:pPr>
      <w:r>
        <w:t>—</w:t>
      </w:r>
      <w:r>
        <w:tab/>
      </w:r>
      <w:r>
        <w:t>Verbesserung der Kenntnis und Verbreitung der Kultur und Geschichte der europäischen Völker,</w:t>
      </w:r>
    </w:p>
    <w:p>
      <w:pPr>
        <w:tabs>
          <w:tab w:pos="567" w:val="left"/>
        </w:tabs>
        <w:ind w:left="567" w:hanging="567"/>
      </w:pPr>
      <w:r>
        <w:t>—</w:t>
      </w:r>
      <w:r>
        <w:tab/>
      </w:r>
      <w:r>
        <w:t>Erhaltung und Schutz des kulturellen Erbes von europäischer Bedeutung,</w:t>
      </w:r>
    </w:p>
    <w:p>
      <w:pPr>
        <w:tabs>
          <w:tab w:pos="567" w:val="left"/>
        </w:tabs>
        <w:ind w:left="567" w:hanging="567"/>
      </w:pPr>
      <w:r>
        <w:t>—</w:t>
      </w:r>
      <w:r>
        <w:tab/>
      </w:r>
      <w:r>
        <w:t>nichtkommerzieller Kulturaustausch,</w:t>
      </w:r>
    </w:p>
    <w:p>
      <w:pPr>
        <w:tabs>
          <w:tab w:pos="567" w:val="left"/>
        </w:tabs>
        <w:ind w:left="567" w:hanging="567"/>
      </w:pPr>
      <w:r>
        <w:t>—</w:t>
      </w:r>
      <w:r>
        <w:tab/>
      </w:r>
      <w:r>
        <w:t>künstlerisches und literarisches Schaffen, einschließlich im audiovisuellen Bereich.</w:t>
      </w:r>
    </w:p>
    <w:p>
      <w:r>
        <w:t>(3) Die Union und die Mitgliedstaaten fördern die Zusammenarbeit mit dritten Ländern und den für den Kulturbereich zuständigen internationalen Organisationen, insbesondere mit dem Europarat.</w:t>
      </w:r>
    </w:p>
    <w:p>
      <w:r>
        <w:t>(4) Die Union trägt bei ihrer Tätigkeit aufgrund anderer Bestimmungen der Verträge den kulturellen Aspekten Rechnung, insbesondere zur Wahrung und Förderung der Vielfalt ihrer Kulturen.</w:t>
      </w:r>
    </w:p>
    <w:p>
      <w:r>
        <w:t>(5) Als Beitrag zur Verwirklichung der Ziele dieses Artikels</w:t>
      </w:r>
    </w:p>
    <w:p>
      <w:pPr>
        <w:tabs>
          <w:tab w:pos="567" w:val="left"/>
        </w:tabs>
        <w:ind w:left="567" w:hanging="567"/>
      </w:pPr>
      <w:r>
        <w:t>—</w:t>
      </w:r>
      <w:r>
        <w:tab/>
      </w:r>
      <w:r>
        <w:t>erlassen das Europäische Parlament und der Rat gemäß dem ordentlichen Gesetzgebungsverfahren und nach Anhörung des Ausschusses der Regionen Fördermaßnahmen unter Ausschluss jeglicher Harmonisierung der Rechts- und Verwaltungsvorschriften der Mitgliedstaaten.</w:t>
      </w:r>
    </w:p>
    <w:p>
      <w:pPr>
        <w:tabs>
          <w:tab w:pos="567" w:val="left"/>
        </w:tabs>
        <w:ind w:left="567" w:hanging="567"/>
      </w:pPr>
      <w:r>
        <w:t>—</w:t>
      </w:r>
      <w:r>
        <w:tab/>
      </w:r>
      <w:r>
        <w:t>erlässt der Rat auf Vorschlag der Kommission Empfehlungen.</w:t>
      </w:r>
    </w:p>
    <w:p>
      <w:pPr>
        <w:pStyle w:val="Heading2"/>
      </w:pPr>
      <w:bookmarkStart w:id="211" w:name="b208"/>
      <w:r>
        <w:t>TITEL XIV GESUNDHEITSWESEN</w:t>
      </w:r>
      <w:bookmarkEnd w:id="211"/>
    </w:p>
    <w:p>
      <w:pPr>
        <w:pStyle w:val="Heading3"/>
      </w:pPr>
      <w:bookmarkStart w:id="212" w:name="b209"/>
      <w:r>
        <w:t>Art 168</w:t>
      </w:r>
      <w:r>
        <w:t xml:space="preserve"> </w:t>
      </w:r>
      <w:r>
        <w:rPr>
          <w:rStyle w:val="Suchmarke"/>
        </w:rPr>
        <w:t>#168.#</w:t>
      </w:r>
      <w:bookmarkEnd w:id="212"/>
    </w:p>
    <w:p>
      <w:r>
        <w:rPr>
          <w:color w:val="404040"/>
          <w:sz w:val="21"/>
        </w:rPr>
        <w:t>(ex-Artikel 152 EGV)</w:t>
      </w:r>
    </w:p>
    <w:p>
      <w:r>
        <w:t>(1) Bei der Festlegung und Durchführung aller Unionspolitiken und -maßnahmen wird ein hohes Gesundheitsschutzniveau sichergestellt.</w:t>
      </w:r>
    </w:p>
    <w:p>
      <w:r>
        <w:rPr>
          <w:rStyle w:val="Satznummer"/>
        </w:rPr>
        <w:t>1</w:t>
      </w:r>
      <w:r>
        <w:t xml:space="preserve">Die Tätigkeit der Union ergänzt die Politik der Mitgliedstaaten und ist auf die Verbesserung der Gesundheit der Bevölkerung, die Verhütung von Humankrankheiten und die Beseitigung von Ursachen für die Gefährdung der körperlichen und geistigen Gesundheit gerichtet. </w:t>
      </w:r>
      <w:r>
        <w:rPr>
          <w:rStyle w:val="Satznummer"/>
        </w:rPr>
        <w:t>2</w:t>
      </w:r>
      <w:r>
        <w:t>Sie umfasst die Bekämpfung der weit verbreiteten schweren Krankheiten, wobei die Erforschung der Ursachen, der Übertragung und der Verhütung dieser Krankheiten sowie Gesundheitsinformation und -erziehung gefördert werden; außerdem umfasst sie die Beobachtung, frühzeitige Meldung und Bekämpfung schwerwiegender grenzüberschreitender Gesundheitsgefahren.</w:t>
      </w:r>
    </w:p>
    <w:p>
      <w:r>
        <w:t>Die Union ergänzt die Maßnahmen der Mitgliedstaaten zur Verringerung drogenkonsumbedingter Gesundheitsschäden einschließlich der Informations- und Vorbeugungsmaßnahmen.</w:t>
      </w:r>
    </w:p>
    <w:p>
      <w:r>
        <w:t xml:space="preserve">(2) </w:t>
      </w:r>
      <w:r>
        <w:rPr>
          <w:rStyle w:val="Satznummer"/>
        </w:rPr>
        <w:t>1</w:t>
      </w:r>
      <w:r>
        <w:t xml:space="preserve">Die Union fördert die Zusammenarbeit zwischen den Mitgliedstaaten in den in diesem Artikel genannten Bereichen und unterstützt erforderlichenfalls deren Tätigkeit. </w:t>
      </w:r>
      <w:r>
        <w:rPr>
          <w:rStyle w:val="Satznummer"/>
        </w:rPr>
        <w:t>2</w:t>
      </w:r>
      <w:r>
        <w:t>Sie fördert insbesondere die Zusammenarbeit zwischen den Mitgliedstaaten, die darauf abzielt, die Komplementarität ihrer Gesundheitsdienste in den Grenzgebieten zu verbessern.</w:t>
      </w:r>
    </w:p>
    <w:p>
      <w:r>
        <w:rPr>
          <w:rStyle w:val="Satznummer"/>
        </w:rPr>
        <w:t>1</w:t>
      </w:r>
      <w:r>
        <w:t xml:space="preserve">Die Mitgliedstaaten koordinieren untereinander im Benehmen mit der Kommission ihre Politiken und Programme in den in Absatz 1 genannten Bereichen. </w:t>
      </w:r>
      <w:r>
        <w:rPr>
          <w:rStyle w:val="Satznummer"/>
        </w:rPr>
        <w:t>2</w:t>
      </w:r>
      <w:r>
        <w:t xml:space="preserve">Die Kommission kann in enger Verbindung mit den Mitgliedstaaten alle Initiativen ergreifen, die dieser Koordinierung förderlich sind, insbesondere Initiativen, die darauf abzielen, Leitlinien und Indikatoren festzulegen, den Austausch bewährter Verfahren durchzuführen und die erforderlichen Elemente für eine regelmäßige Überwachung und Bewertung auszuarbeiten. </w:t>
      </w:r>
      <w:r>
        <w:rPr>
          <w:rStyle w:val="Satznummer"/>
        </w:rPr>
        <w:t>3</w:t>
      </w:r>
      <w:r>
        <w:t>Das Europäische Parlament wird in vollem Umfang unterrichtet.</w:t>
      </w:r>
    </w:p>
    <w:p>
      <w:r>
        <w:t>(3) Die Union und die Mitgliedstaaten fördern die Zusammenarbeit mit dritten Ländern und den für das Gesundheitswesen zuständigen internationalen Organisationen.</w:t>
      </w:r>
    </w:p>
    <w:p>
      <w:r>
        <w:t>(4) Abweichend von Artikel 2 Absatz 5 und Artikel 6 Buchstabe a tragen das Europäische Parlament und der Rat nach Artikel 4 Absatz 2 Buchstabe k gemäß dem ordentlichen Gesetzgebungsverfahren und nach Anhörung des Wirtschafts- und Sozialausschusses sowie des Ausschusses der Regionen mit folgenden Maßnahmen zur Verwirklichung der Ziele dieses Artikels bei, um den gemeinsamen Sicherheitsanliegen Rechnung zu tragen:</w:t>
      </w:r>
    </w:p>
    <w:p>
      <w:pPr>
        <w:tabs>
          <w:tab w:pos="567" w:val="left"/>
        </w:tabs>
        <w:ind w:left="567" w:hanging="567"/>
      </w:pPr>
      <w:r>
        <w:t>a)</w:t>
      </w:r>
      <w:r>
        <w:tab/>
      </w:r>
      <w:r>
        <w:t>Maßnahmen zur Festlegung hoher Qualitäts- und Sicherheitsstandards für Organe und Substanzen menschlichen Ursprungs sowie für Blut und Blutderivate; diese Maßnahmen hindern die Mitgliedstaaten nicht daran, strengere Schutzmaßnahmen beizubehalten oder einzuführen;</w:t>
      </w:r>
    </w:p>
    <w:p>
      <w:pPr>
        <w:tabs>
          <w:tab w:pos="567" w:val="left"/>
        </w:tabs>
        <w:ind w:left="567" w:hanging="567"/>
      </w:pPr>
      <w:r>
        <w:t>b)</w:t>
      </w:r>
      <w:r>
        <w:tab/>
      </w:r>
      <w:r>
        <w:t>Maßnahmen in den Bereichen Veterinärwesen und Pflanzenschutz, die unmittelbar den Schutz der Gesundheit der Bevölkerung zum Ziel haben;</w:t>
      </w:r>
    </w:p>
    <w:p>
      <w:pPr>
        <w:tabs>
          <w:tab w:pos="567" w:val="left"/>
        </w:tabs>
        <w:ind w:left="567" w:hanging="567"/>
      </w:pPr>
      <w:r>
        <w:t>c)</w:t>
      </w:r>
      <w:r>
        <w:tab/>
      </w:r>
      <w:r>
        <w:t>Maßnahmen zur Festlegung hoher Qualitäts- und Sicherheitsstandards für Arzneimittel und Medizinprodukte.</w:t>
      </w:r>
    </w:p>
    <w:p>
      <w:r>
        <w:t>(5) Das Europäische Parlament und der Rat können unter Ausschluss jeglicher Harmonisierung der Rechtsvorschriften der Mitgliedstaaten gemäß dem ordentlichen Gesetzgebungsverfahren und nach Anhörung des Wirtschafts- und Sozialausschusses und des Ausschusses der Regionen auch Fördermaßnahmen zum Schutz und zur Verbesserung der menschlichen Gesundheit sowie insbesondere zur Bekämpfung der weit verbreiteten schweren grenzüberschreitenden Krankheiten, Maßnahmen zur Beobachtung, frühzeitigen Meldung und Bekämpfung schwerwiegender grenzüberschreitender Gesundheitsgefahren sowie Maßnahmen, die unmittelbar den Schutz der Gesundheit der Bevölkerung vor Tabakkonsum und Alkoholmissbrauch zum Ziel haben, erlassen.</w:t>
      </w:r>
    </w:p>
    <w:p>
      <w:r>
        <w:t>(6) Der Rat kann ferner auf Vorschlag der Kommission für die in diesem Artikel genannten Zwecke Empfehlungen erlassen.</w:t>
      </w:r>
    </w:p>
    <w:p>
      <w:r>
        <w:t xml:space="preserve">(7) </w:t>
      </w:r>
      <w:r>
        <w:rPr>
          <w:rStyle w:val="Satznummer"/>
        </w:rPr>
        <w:t>1</w:t>
      </w:r>
      <w:r>
        <w:t xml:space="preserve">Bei der Tätigkeit der Union wird die Verantwortung der Mitgliedstaaten für die Festlegung ihrer Gesundheitspolitik sowie für die Organisation des Gesundheitswesens und die medizinische Versorgung gewahrt. </w:t>
      </w:r>
      <w:r>
        <w:rPr>
          <w:rStyle w:val="Satznummer"/>
        </w:rPr>
        <w:t>2</w:t>
      </w:r>
      <w:r>
        <w:t xml:space="preserve">Die Verantwortung der Mitgliedstaaten umfasst die Verwaltung des Gesundheitswesens und der medizinischen Versorgung sowie die Zuweisung der dafür bereitgestellten Mittel. </w:t>
      </w:r>
      <w:r>
        <w:rPr>
          <w:rStyle w:val="Satznummer"/>
        </w:rPr>
        <w:t>3</w:t>
      </w:r>
      <w:r>
        <w:t>Die Maßnahmen nach Absatz 4 Buchstabe a lassen die einzelstaatlichen Regelungen über die Spende oder die medizinische Verwendung von Organen und Blut unberührt.</w:t>
      </w:r>
    </w:p>
    <w:p>
      <w:pPr>
        <w:pStyle w:val="Heading2"/>
      </w:pPr>
      <w:bookmarkStart w:id="213" w:name="b210"/>
      <w:r>
        <w:t>TITEL XV VERBRAUCHERSCHUTZ</w:t>
      </w:r>
      <w:bookmarkEnd w:id="213"/>
    </w:p>
    <w:p>
      <w:pPr>
        <w:pStyle w:val="Heading3"/>
      </w:pPr>
      <w:bookmarkStart w:id="214" w:name="b211"/>
      <w:r>
        <w:t>Art 169</w:t>
      </w:r>
      <w:r>
        <w:t xml:space="preserve"> </w:t>
      </w:r>
      <w:r>
        <w:rPr>
          <w:rStyle w:val="Suchmarke"/>
        </w:rPr>
        <w:t>#169.#</w:t>
      </w:r>
      <w:bookmarkEnd w:id="214"/>
    </w:p>
    <w:p>
      <w:r>
        <w:rPr>
          <w:color w:val="404040"/>
          <w:sz w:val="21"/>
        </w:rPr>
        <w:t>(ex-Artikel 153 EGV</w:t>
      </w:r>
    </w:p>
    <w:p>
      <w:r>
        <w:t>(1) Zur Förderung der Interessen der Verbraucher und zur Gewährleistung eines hohen Verbraucherschutzniveaus leistet die Union einen Beitrag zum Schutz der Gesundheit, der Sicherheit und der wirtschaftlichen Interessen der Verbraucher sowie zur Förderung ihres Rechtes auf Information, Erziehung und Bildung von Vereinigungen zur Wahrung ihrer Interessen.</w:t>
      </w:r>
    </w:p>
    <w:p>
      <w:r>
        <w:t>(2) Die Union leistet einen Beitrag zur Erreichung der in Absatz 1 genannten Ziele durch</w:t>
      </w:r>
    </w:p>
    <w:p>
      <w:pPr>
        <w:tabs>
          <w:tab w:pos="567" w:val="left"/>
        </w:tabs>
        <w:ind w:left="567" w:hanging="567"/>
      </w:pPr>
      <w:r>
        <w:t>a)</w:t>
      </w:r>
      <w:r>
        <w:tab/>
      </w:r>
      <w:r>
        <w:t xml:space="preserve">Maßnahmen, die sie im Rahmen der Verwirklichung des Binnenmarkts nach </w:t>
      </w:r>
      <w:hyperlink w:anchor="b143" w:history="1">
        <w:r>
          <w:rPr>
            <w:color w:val="0A3A8C"/>
            <w:u w:val="single"/>
          </w:rPr>
          <w:t xml:space="preserve">Artikel 114</w:t>
        </w:r>
      </w:hyperlink>
      <w:r>
        <w:t xml:space="preserve"> erlässt;</w:t>
      </w:r>
    </w:p>
    <w:p>
      <w:pPr>
        <w:tabs>
          <w:tab w:pos="567" w:val="left"/>
        </w:tabs>
        <w:ind w:left="567" w:hanging="567"/>
      </w:pPr>
      <w:r>
        <w:t>b)</w:t>
      </w:r>
      <w:r>
        <w:tab/>
      </w:r>
      <w:r>
        <w:t>Maßnahmen zur Unterstützung, Ergänzung und Überwachung der Politik der Mitgliedstaaten.</w:t>
      </w:r>
    </w:p>
    <w:p>
      <w:r>
        <w:t>(3) Das Europäische Parlament und der Rat beschließen gemäß dem ordentlichen Gesetzgebungsverfahren und nach Anhörung des Wirtschafts- und Sozialausschusses die Maßnahmen nach Absatz 2 Buchstabe b.</w:t>
      </w:r>
    </w:p>
    <w:p>
      <w:r>
        <w:t xml:space="preserve">(4) </w:t>
      </w:r>
      <w:r>
        <w:rPr>
          <w:rStyle w:val="Satznummer"/>
        </w:rPr>
        <w:t>1</w:t>
      </w:r>
      <w:r>
        <w:t xml:space="preserve">Die nach Absatz 3 beschlossenen Maßnahmen hindern die einzelnen Mitgliedstaaten nicht daran, strengere Schutzmaßnahmen beizubehalten oder zu ergreifen. </w:t>
      </w:r>
      <w:r>
        <w:rPr>
          <w:rStyle w:val="Satznummer"/>
        </w:rPr>
        <w:t>2</w:t>
      </w:r>
      <w:r>
        <w:t xml:space="preserve">Diese Maßnahmen müssen mit den Verträgen vereinbar sein. </w:t>
      </w:r>
      <w:r>
        <w:rPr>
          <w:rStyle w:val="Satznummer"/>
        </w:rPr>
        <w:t>3</w:t>
      </w:r>
      <w:r>
        <w:t>Sie werden der Kommission mitgeteilt.</w:t>
      </w:r>
    </w:p>
    <w:p>
      <w:pPr>
        <w:pStyle w:val="Heading2"/>
      </w:pPr>
      <w:bookmarkStart w:id="215" w:name="b212"/>
      <w:r>
        <w:t>TITEL XVI TRANSEUROPÄISCHE NETZE</w:t>
      </w:r>
      <w:bookmarkEnd w:id="215"/>
    </w:p>
    <w:p>
      <w:pPr>
        <w:pStyle w:val="Heading3"/>
      </w:pPr>
      <w:bookmarkStart w:id="216" w:name="b213"/>
      <w:r>
        <w:t>Art 170</w:t>
      </w:r>
      <w:r>
        <w:t xml:space="preserve"> </w:t>
      </w:r>
      <w:r>
        <w:rPr>
          <w:rStyle w:val="Suchmarke"/>
        </w:rPr>
        <w:t>#170.#</w:t>
      </w:r>
      <w:bookmarkEnd w:id="216"/>
    </w:p>
    <w:p>
      <w:r>
        <w:rPr>
          <w:color w:val="404040"/>
          <w:sz w:val="21"/>
        </w:rPr>
        <w:t>(ex-Artikel 154 EGV)</w:t>
      </w:r>
    </w:p>
    <w:p>
      <w:r>
        <w:t xml:space="preserve">(1) Um einen Beitrag zur Verwirklichung der Ziele der </w:t>
      </w:r>
      <w:hyperlink w:anchor="b32" w:history="1">
        <w:r>
          <w:rPr>
            <w:color w:val="0A3A8C"/>
            <w:u w:val="single"/>
          </w:rPr>
          <w:t xml:space="preserve">Artikel 26</w:t>
        </w:r>
      </w:hyperlink>
      <w:r>
        <w:t xml:space="preserve"> und </w:t>
      </w:r>
      <w:hyperlink w:anchor="b219" w:history="1">
        <w:r>
          <w:rPr>
            <w:color w:val="0A3A8C"/>
            <w:u w:val="single"/>
          </w:rPr>
          <w:t xml:space="preserve">174</w:t>
        </w:r>
      </w:hyperlink>
      <w:r>
        <w:t xml:space="preserve"> zu leisten und den Bürgern der Union, den Wirtschaftsbeteiligten sowie den regionalen und lokalen Gebietskörperschaften in vollem Umfang die Vorteile zugute kommen zu lassen, die sich aus der Schaffung eines Raumes ohne Binnengrenzen ergeben, trägt die Union zum Auf- und Ausbau transeuropäischer Netze in den Bereichen der Verkehrs-, Telekommunikations- und Energieinfrastruktur bei.</w:t>
      </w:r>
    </w:p>
    <w:p>
      <w:r>
        <w:t xml:space="preserve">(2) </w:t>
      </w:r>
      <w:r>
        <w:rPr>
          <w:rStyle w:val="Satznummer"/>
        </w:rPr>
        <w:t>1</w:t>
      </w:r>
      <w:r>
        <w:t xml:space="preserve">Die Tätigkeit der Union zielt im Rahmen eines Systems offener und wettbewerbsorientierter Märkte auf die Förderung des Verbunds und der Interoperabilität der einzelstaatlichen Netze sowie des Zugangs zu diesen Netzen ab. </w:t>
      </w:r>
      <w:r>
        <w:rPr>
          <w:rStyle w:val="Satznummer"/>
        </w:rPr>
        <w:t>2</w:t>
      </w:r>
      <w:r>
        <w:t>Sie trägt insbesondere der Notwendigkeit Rechnung, insulare, eingeschlossene und am Rande gelegene Gebiete mit den zentralen Gebieten der Union zu verbinden.</w:t>
      </w:r>
    </w:p>
    <w:p>
      <w:pPr>
        <w:pStyle w:val="Heading3"/>
      </w:pPr>
      <w:bookmarkStart w:id="217" w:name="b214"/>
      <w:r>
        <w:t>Art 171</w:t>
      </w:r>
      <w:r>
        <w:t xml:space="preserve"> </w:t>
      </w:r>
      <w:r>
        <w:rPr>
          <w:rStyle w:val="Suchmarke"/>
        </w:rPr>
        <w:t>#171.#</w:t>
      </w:r>
      <w:bookmarkEnd w:id="217"/>
    </w:p>
    <w:p>
      <w:r>
        <w:rPr>
          <w:color w:val="404040"/>
          <w:sz w:val="21"/>
        </w:rPr>
        <w:t>(ex-Artikel 155 EGV)</w:t>
      </w:r>
    </w:p>
    <w:p>
      <w:r>
        <w:t xml:space="preserve">(1) Zur Erreichung der Ziele des </w:t>
      </w:r>
      <w:hyperlink w:anchor="b213" w:history="1">
        <w:r>
          <w:rPr>
            <w:color w:val="0A3A8C"/>
            <w:u w:val="single"/>
          </w:rPr>
          <w:t xml:space="preserve">Artikels 170</w:t>
        </w:r>
      </w:hyperlink>
      <w:r>
        <w:t xml:space="preserve"> geht die Union wie folgt vor:</w:t>
      </w:r>
    </w:p>
    <w:p>
      <w:pPr>
        <w:tabs>
          <w:tab w:pos="567" w:val="left"/>
        </w:tabs>
        <w:ind w:left="567" w:hanging="567"/>
      </w:pPr>
      <w:r>
        <w:t>—</w:t>
      </w:r>
      <w:r>
        <w:tab/>
      </w:r>
      <w:r>
        <w:t>Sie stellt eine Reihe von Leitlinien auf, in denen die Ziele, die Prioritäten und die Grundzüge der im Bereich der transeuropäischen Netze in Betracht gezogenen Aktionen erfasst werden; in diesen Leitlinien werden Vorhaben von gemeinsamem Interesse ausgewiesen;</w:t>
      </w:r>
    </w:p>
    <w:p>
      <w:pPr>
        <w:tabs>
          <w:tab w:pos="567" w:val="left"/>
        </w:tabs>
        <w:ind w:left="567" w:hanging="567"/>
      </w:pPr>
      <w:r>
        <w:t>—</w:t>
      </w:r>
      <w:r>
        <w:tab/>
      </w:r>
      <w:r>
        <w:t>sie führt jede Aktion durch, die sich gegebenenfalls als notwendig erweist, um die Interoperabilität der Netze zu gewährleisten, insbesondere im Bereich der Harmonisierung der technischen Normen;</w:t>
      </w:r>
    </w:p>
    <w:p>
      <w:pPr>
        <w:tabs>
          <w:tab w:pos="567" w:val="left"/>
        </w:tabs>
        <w:ind w:left="567" w:hanging="567"/>
      </w:pPr>
      <w:r>
        <w:t>—</w:t>
      </w:r>
      <w:r>
        <w:tab/>
      </w:r>
      <w:r>
        <w:t xml:space="preserve">sie kann von den Mitgliedstaaten unterstützte Vorhaben von gemeinsamem Interesse, die im Rahmen der Leitlinien gemäß dem ersten Gedankenstrich ausgewiesen sind, insbesondere in Form von Durchführbarkeitsstudien, Anleihebürgschaften oder Zinszuschüssen unterstützen; die Union kann auch über den nach </w:t>
      </w:r>
      <w:hyperlink w:anchor="b222" w:history="1">
        <w:r>
          <w:rPr>
            <w:color w:val="0A3A8C"/>
            <w:u w:val="single"/>
          </w:rPr>
          <w:t xml:space="preserve">Artikel 177</w:t>
        </w:r>
      </w:hyperlink>
      <w:r>
        <w:t xml:space="preserve"> errichteten Kohäsionsfonds zu spezifischen Verkehrsinfrastrukturvorhaben in den Mitgliedstaaten finanziell beitragen.</w:t>
      </w:r>
    </w:p>
    <w:p>
      <w:r>
        <w:t>Die Union berücksichtigt bei ihren Maßnahmen die potenzielle wirtschaftliche Lebensfähigkeit der Vorhaben.</w:t>
      </w:r>
    </w:p>
    <w:p>
      <w:r>
        <w:t xml:space="preserve">(2) </w:t>
      </w:r>
      <w:r>
        <w:rPr>
          <w:rStyle w:val="Satznummer"/>
        </w:rPr>
        <w:t>1</w:t>
      </w:r>
      <w:r>
        <w:t xml:space="preserve">Die Mitgliedstaaten koordinieren untereinander in Verbindung mit der Kommission die einzelstaatlichen Politiken, die sich erheblich auf die Verwirklichung der Ziele des </w:t>
      </w:r>
      <w:hyperlink w:anchor="b213" w:history="1">
        <w:r>
          <w:rPr>
            <w:color w:val="0A3A8C"/>
            <w:u w:val="single"/>
          </w:rPr>
          <w:t xml:space="preserve">Artikels 170</w:t>
        </w:r>
      </w:hyperlink>
      <w:r>
        <w:t xml:space="preserve"> auswirken können. </w:t>
      </w:r>
      <w:r>
        <w:rPr>
          <w:rStyle w:val="Satznummer"/>
        </w:rPr>
        <w:t>2</w:t>
      </w:r>
      <w:r>
        <w:t>Die Kommission kann in enger Zusammenarbeit mit den Mitgliedstaaten alle Initiativen ergreifen, die dieser Koordinierung förderlich sind.</w:t>
      </w:r>
    </w:p>
    <w:p>
      <w:r>
        <w:t>(3) Die Union kann beschließen, mit dritten Ländern zur Förderung von Vorhaben von gemeinsamem Interesse sowie zur Sicherstellung der Interoperabilität der Netze zusammenzuarbeiten.</w:t>
      </w:r>
    </w:p>
    <w:p>
      <w:pPr>
        <w:pStyle w:val="Heading3"/>
      </w:pPr>
      <w:bookmarkStart w:id="218" w:name="b215"/>
      <w:r>
        <w:t>Art 172</w:t>
      </w:r>
      <w:r>
        <w:t xml:space="preserve"> </w:t>
      </w:r>
      <w:r>
        <w:rPr>
          <w:rStyle w:val="Suchmarke"/>
        </w:rPr>
        <w:t>#172.#</w:t>
      </w:r>
      <w:bookmarkEnd w:id="218"/>
    </w:p>
    <w:p>
      <w:r>
        <w:rPr>
          <w:color w:val="404040"/>
          <w:sz w:val="21"/>
        </w:rPr>
        <w:t>(ex-Artikel 156 EGV)</w:t>
      </w:r>
    </w:p>
    <w:p>
      <w:r>
        <w:t xml:space="preserve">Die Leitlinien und die übrigen Maßnahmen nach </w:t>
      </w:r>
      <w:hyperlink w:anchor="b214" w:history="1">
        <w:r>
          <w:rPr>
            <w:color w:val="0A3A8C"/>
            <w:u w:val="single"/>
          </w:rPr>
          <w:t xml:space="preserve">Artikel 171</w:t>
        </w:r>
      </w:hyperlink>
      <w:r>
        <w:t xml:space="preserve"> Absatz 1 werden vom Europäischen Parlament und vom Rat gemäß dem ordentlichen Gesetzgebungsverfahren und nach Anhörung des Wirtschafts- und Sozialausschusses und des Ausschusses der Regionen festgelegt.</w:t>
      </w:r>
    </w:p>
    <w:p>
      <w:r>
        <w:t>Leitlinien und Vorhaben von gemeinsamem Interesse, die das Hoheitsgebiet eines Mitgliedstaats betreffen, bedürfen der Billigung des betroffenen Mitgliedstaats.</w:t>
      </w:r>
    </w:p>
    <w:p>
      <w:pPr>
        <w:pStyle w:val="Heading2"/>
      </w:pPr>
      <w:bookmarkStart w:id="219" w:name="b216"/>
      <w:r>
        <w:t>TITEL XVII INDUSTRIE</w:t>
      </w:r>
      <w:bookmarkEnd w:id="219"/>
    </w:p>
    <w:p>
      <w:pPr>
        <w:pStyle w:val="Heading3"/>
      </w:pPr>
      <w:bookmarkStart w:id="220" w:name="b217"/>
      <w:r>
        <w:t>Art 173</w:t>
      </w:r>
      <w:r>
        <w:t xml:space="preserve"> </w:t>
      </w:r>
      <w:r>
        <w:rPr>
          <w:rStyle w:val="Suchmarke"/>
        </w:rPr>
        <w:t>#173.#</w:t>
      </w:r>
      <w:bookmarkEnd w:id="220"/>
    </w:p>
    <w:p>
      <w:r>
        <w:rPr>
          <w:color w:val="404040"/>
          <w:sz w:val="21"/>
        </w:rPr>
        <w:t>(ex-Artikel 157 EGV)</w:t>
      </w:r>
    </w:p>
    <w:p>
      <w:r>
        <w:t>(1) Die Union und die Mitgliedstaaten sorgen dafür, dass die notwendigen Voraussetzungen für die Wettbewerbsfähigkeit der Industrie der Union gewährleistet sind.</w:t>
      </w:r>
    </w:p>
    <w:p>
      <w:r>
        <w:t>Zu diesem Zweck zielt ihre Tätigkeit entsprechend einem System offener und wettbewerbs-orientierter Märkte auf Folgendes ab:</w:t>
      </w:r>
    </w:p>
    <w:p>
      <w:pPr>
        <w:tabs>
          <w:tab w:pos="567" w:val="left"/>
        </w:tabs>
        <w:ind w:left="567" w:hanging="567"/>
      </w:pPr>
      <w:r>
        <w:t>—</w:t>
      </w:r>
      <w:r>
        <w:tab/>
      </w:r>
      <w:r>
        <w:t>Erleichterung der Anpassung der Industrie an die strukturellen Veränderungen;</w:t>
      </w:r>
    </w:p>
    <w:p>
      <w:pPr>
        <w:tabs>
          <w:tab w:pos="567" w:val="left"/>
        </w:tabs>
        <w:ind w:left="567" w:hanging="567"/>
      </w:pPr>
      <w:r>
        <w:t>—</w:t>
      </w:r>
      <w:r>
        <w:tab/>
      </w:r>
      <w:r>
        <w:t>Förderung eines für die Initiative und Weiterentwicklung der Unternehmen in der gesamten Union, insbesondere der kleinen und mittleren Unternehmen, günstigen Umfelds;</w:t>
      </w:r>
    </w:p>
    <w:p>
      <w:pPr>
        <w:tabs>
          <w:tab w:pos="567" w:val="left"/>
        </w:tabs>
        <w:ind w:left="567" w:hanging="567"/>
      </w:pPr>
      <w:r>
        <w:t>—</w:t>
      </w:r>
      <w:r>
        <w:tab/>
      </w:r>
      <w:r>
        <w:t>Förderung eines für die Zusammenarbeit zwischen Unternehmen günstigen Umfelds;</w:t>
      </w:r>
    </w:p>
    <w:p>
      <w:pPr>
        <w:tabs>
          <w:tab w:pos="567" w:val="left"/>
        </w:tabs>
        <w:ind w:left="567" w:hanging="567"/>
      </w:pPr>
      <w:r>
        <w:t>—</w:t>
      </w:r>
      <w:r>
        <w:tab/>
      </w:r>
      <w:r>
        <w:t>Förderung einer besseren Nutzung des industriellen Potenzials der Politik in den Bereichen Innovation, Forschung und technologische Entwicklung.</w:t>
      </w:r>
    </w:p>
    <w:p>
      <w:r>
        <w:t xml:space="preserve">(2) </w:t>
      </w:r>
      <w:r>
        <w:rPr>
          <w:rStyle w:val="Satznummer"/>
        </w:rPr>
        <w:t>1</w:t>
      </w:r>
      <w:r>
        <w:t xml:space="preserve">Die Mitgliedstaaten konsultieren einander in Verbindung mit der Kommission und koordinieren, soweit erforderlich, ihre Maßnahmen. </w:t>
      </w:r>
      <w:r>
        <w:rPr>
          <w:rStyle w:val="Satznummer"/>
        </w:rPr>
        <w:t>2</w:t>
      </w:r>
      <w:r>
        <w:t xml:space="preserve">Die Kommission kann alle Initiativen ergreifen, die dieser Koordinierung förderlich sind, insbesondere Initiativen, die darauf abzielen, Leitlinien und Indikatoren festzulegen, den Austausch bewährter Verfahren durchzuführen und die erforderlichen Elemente für eine regelmäßige Überwachung und Bewertung auszuarbeiten. </w:t>
      </w:r>
      <w:r>
        <w:rPr>
          <w:rStyle w:val="Satznummer"/>
        </w:rPr>
        <w:t>3</w:t>
      </w:r>
      <w:r>
        <w:t>Das Europäische Parlament wird in vollem Umfang unterrichtet.</w:t>
      </w:r>
    </w:p>
    <w:p>
      <w:r>
        <w:t xml:space="preserve">(3) </w:t>
      </w:r>
      <w:r>
        <w:rPr>
          <w:rStyle w:val="Satznummer"/>
        </w:rPr>
        <w:t>1</w:t>
      </w:r>
      <w:r>
        <w:t xml:space="preserve">Die Union trägt durch die Politik und die Maßnahmen, die sie aufgrund anderer Bestimmungen der Verträge durchführt, zur Erreichung der Ziele des Absatzes 1 bei. </w:t>
      </w:r>
      <w:r>
        <w:rPr>
          <w:rStyle w:val="Satznummer"/>
        </w:rPr>
        <w:t>2</w:t>
      </w:r>
      <w:r>
        <w:t>Das Europäische Parlament und der Rat können unter Ausschluss jeglicher Harmonisierung der Rechtsvorschriften der Mitgliedstaaten gemäß dem ordentlichen Gesetzgebungsverfahren und nach Anhörung des Wirtschafts- und Sozialausschusses spezifische Maßnahmen zur Unterstützung der in den Mitgliedstaaten durchgeführten Maßnahmen im Hinblick auf die Verwirklichung der Ziele des Absatzes 1 beschließen.</w:t>
      </w:r>
    </w:p>
    <w:p>
      <w:r>
        <w:t>Dieser Titel bietet keine Grundlage dafür, dass die Union irgendeine Maßnahme einführt, die zu Wettbewerbsverzerrungen führen könnte oder steuerliche Vorschriften oder Bestimmungen betreffend die Rechte und Interessen der Arbeitnehmer enthält.</w:t>
      </w:r>
    </w:p>
    <w:p>
      <w:pPr>
        <w:pStyle w:val="Heading2"/>
      </w:pPr>
      <w:bookmarkStart w:id="221" w:name="b218"/>
      <w:r>
        <w:t>TITEL XVIII WIRTSCHAFTLICHER, SOZIALER UND TERRITORIALER ZUSAMMENHALT</w:t>
      </w:r>
      <w:bookmarkEnd w:id="221"/>
    </w:p>
    <w:p>
      <w:pPr>
        <w:pStyle w:val="Heading3"/>
      </w:pPr>
      <w:bookmarkStart w:id="222" w:name="b219"/>
      <w:r>
        <w:t>Art 174</w:t>
      </w:r>
      <w:r>
        <w:t xml:space="preserve"> </w:t>
      </w:r>
      <w:r>
        <w:rPr>
          <w:rStyle w:val="Suchmarke"/>
        </w:rPr>
        <w:t>#174.#</w:t>
      </w:r>
      <w:bookmarkEnd w:id="222"/>
    </w:p>
    <w:p>
      <w:r>
        <w:rPr>
          <w:color w:val="404040"/>
          <w:sz w:val="21"/>
        </w:rPr>
        <w:t>(ex-Artikel 158 EGV)</w:t>
      </w:r>
    </w:p>
    <w:p>
      <w:r>
        <w:t>Die Union entwickelt und verfolgt weiterhin ihre Politik zur Stärkung ihres wirtschaftlichen, sozialen und territorialen Zusammenhalts, um eine harmonische Entwicklung der Union als Ganzes zu fördern.</w:t>
      </w:r>
    </w:p>
    <w:p>
      <w:r>
        <w:t>Die Union setzt sich insbesondere zum Ziel, die Unterschiede im Entwicklungsstand der verschiedenen Regionen und den Rückstand der am stärksten benachteiligten Gebiete zu verringern.</w:t>
      </w:r>
    </w:p>
    <w:p>
      <w:r>
        <w:t>Unter den betreffenden Gebieten gilt besondere Aufmerksamkeit den ländlichen Gebieten, den vom industriellen Wandel betroffenen Gebieten und den Gebieten mit schweren und dauerhaften natürlichen oder demografischen Nachteilen, wie den nördlichsten Regionen mit sehr geringer Bevölkerungsdichte sowie den Insel-, Grenz- und Bergregionen.</w:t>
      </w:r>
    </w:p>
    <w:p>
      <w:pPr>
        <w:pStyle w:val="Heading3"/>
      </w:pPr>
      <w:bookmarkStart w:id="223" w:name="b220"/>
      <w:r>
        <w:t>Art 175</w:t>
      </w:r>
      <w:r>
        <w:t xml:space="preserve"> </w:t>
      </w:r>
      <w:r>
        <w:rPr>
          <w:rStyle w:val="Suchmarke"/>
        </w:rPr>
        <w:t>#175.#</w:t>
      </w:r>
      <w:bookmarkEnd w:id="223"/>
    </w:p>
    <w:p>
      <w:r>
        <w:rPr>
          <w:color w:val="404040"/>
          <w:sz w:val="21"/>
        </w:rPr>
        <w:t>(ex-Artikel 159 EGV)</w:t>
      </w:r>
    </w:p>
    <w:p>
      <w:r>
        <w:rPr>
          <w:rStyle w:val="Satznummer"/>
        </w:rPr>
        <w:t>1</w:t>
      </w:r>
      <w:r>
        <w:t xml:space="preserve">Die Mitgliedstaaten führen und koordinieren ihre Wirtschaftspolitik in der Weise, dass auch die in </w:t>
      </w:r>
      <w:hyperlink w:anchor="b219" w:history="1">
        <w:r>
          <w:rPr>
            <w:color w:val="0A3A8C"/>
            <w:u w:val="single"/>
          </w:rPr>
          <w:t xml:space="preserve">Artikel 174</w:t>
        </w:r>
      </w:hyperlink>
      <w:r>
        <w:t xml:space="preserve"> genannten Ziele erreicht werden. </w:t>
      </w:r>
      <w:r>
        <w:rPr>
          <w:rStyle w:val="Satznummer"/>
        </w:rPr>
        <w:t>2</w:t>
      </w:r>
      <w:r>
        <w:t xml:space="preserve">Die Festlegung und Durchführung der Politiken und Aktionen der Union sowie die Errichtung des Binnenmarkts berücksichtigen die Ziele des </w:t>
      </w:r>
      <w:hyperlink w:anchor="b219" w:history="1">
        <w:r>
          <w:rPr>
            <w:color w:val="0A3A8C"/>
            <w:u w:val="single"/>
          </w:rPr>
          <w:t xml:space="preserve">Artikels 174</w:t>
        </w:r>
      </w:hyperlink>
      <w:r>
        <w:t xml:space="preserve"> und tragen zu deren Verwirklichung bei. </w:t>
      </w:r>
      <w:r>
        <w:rPr>
          <w:rStyle w:val="Satznummer"/>
        </w:rPr>
        <w:t>3</w:t>
      </w:r>
      <w:r>
        <w:t>Die Union unterstützt auch diese Bemühungen durch die Politik, die sie mit Hilfe der Strukturfonds (Europäischer Ausrichtungs- und Garantiefonds für die Landwirtschaft – Abteilung Ausrichtung, Europäischer Sozialfonds, Europäischer Fonds für regionale Entwicklung), der Europäischen Investitionsbank und der sonstigen vorhandenen Finanzierungsinstrumente führt.</w:t>
      </w:r>
    </w:p>
    <w:p>
      <w:r>
        <w:rPr>
          <w:rStyle w:val="Satznummer"/>
        </w:rPr>
        <w:t>1</w:t>
      </w:r>
      <w:r>
        <w:t xml:space="preserve">Die Kommission erstattet dem Europäischen Parlament, dem Rat, dem Wirtschafts- und Sozialausschuss und dem Ausschuss der Regionen alle drei Jahre Bericht über die Fortschritte bei der Verwirklichung des wirtschaftlichen, sozialen und territorialen Zusammenhalts und über die Art und Weise, in der die in diesem Artikel vorgesehenen Mittel hierzu beigetragen haben. </w:t>
      </w:r>
      <w:r>
        <w:rPr>
          <w:rStyle w:val="Satznummer"/>
        </w:rPr>
        <w:t>2</w:t>
      </w:r>
      <w:r>
        <w:t>Diesem Bericht werden erforderlichenfalls entsprechende Vorschläge beigefügt.</w:t>
      </w:r>
    </w:p>
    <w:p>
      <w:r>
        <w:t>Falls sich spezifische Aktionen außerhalb der Fonds und unbeschadet der im Rahmen der anderen Politiken der Union beschlossenen Maßnahmen als erforderlich erweisen, so können sie vom Europäischen Parlament und vom Rat gemäß dem ordentlichen Gesetzgebungsverfahren nach Anhörung des Wirtschafts- und Sozialausschusses und des Ausschusses der Regionen beschlossen werden.</w:t>
      </w:r>
    </w:p>
    <w:p>
      <w:pPr>
        <w:pStyle w:val="Heading3"/>
      </w:pPr>
      <w:bookmarkStart w:id="224" w:name="b221"/>
      <w:r>
        <w:t>Art 176</w:t>
      </w:r>
      <w:r>
        <w:t xml:space="preserve"> </w:t>
      </w:r>
      <w:r>
        <w:rPr>
          <w:rStyle w:val="Suchmarke"/>
        </w:rPr>
        <w:t>#176.#</w:t>
      </w:r>
      <w:bookmarkEnd w:id="224"/>
    </w:p>
    <w:p>
      <w:r>
        <w:rPr>
          <w:color w:val="404040"/>
          <w:sz w:val="21"/>
        </w:rPr>
        <w:t>(ex-Artikel 160 EGV)</w:t>
      </w:r>
    </w:p>
    <w:p>
      <w:r>
        <w:t>Aufgabe des Europäischen Fonds für regionale Entwicklung ist es, durch Beteiligung an der Entwicklung und an der strukturellen Anpassung der rückständigen Gebiete und an der Umstellung der Industriegebiete mit rückläufiger Entwicklung zum Ausgleich der wichtigsten regionalen Ungleichgewichte in der Union beizutragen.</w:t>
      </w:r>
    </w:p>
    <w:p>
      <w:pPr>
        <w:pStyle w:val="Heading3"/>
      </w:pPr>
      <w:bookmarkStart w:id="225" w:name="b222"/>
      <w:r>
        <w:t>Art 177</w:t>
      </w:r>
      <w:r>
        <w:t xml:space="preserve"> </w:t>
      </w:r>
      <w:r>
        <w:rPr>
          <w:rStyle w:val="Suchmarke"/>
        </w:rPr>
        <w:t>#177.#</w:t>
      </w:r>
      <w:bookmarkEnd w:id="225"/>
    </w:p>
    <w:p>
      <w:r>
        <w:rPr>
          <w:color w:val="404040"/>
          <w:sz w:val="21"/>
        </w:rPr>
        <w:t>(ex-Artikel 161 EGV)</w:t>
      </w:r>
    </w:p>
    <w:p>
      <w:r>
        <w:rPr>
          <w:rStyle w:val="Satznummer"/>
        </w:rPr>
        <w:t>1</w:t>
      </w:r>
      <w:r>
        <w:t xml:space="preserve">Unbeschadet des </w:t>
      </w:r>
      <w:hyperlink w:anchor="b223" w:history="1">
        <w:r>
          <w:rPr>
            <w:color w:val="0A3A8C"/>
            <w:u w:val="single"/>
          </w:rPr>
          <w:t xml:space="preserve">Artikels 178</w:t>
        </w:r>
      </w:hyperlink>
      <w:r>
        <w:t xml:space="preserve"> legen das Europäische Parlament und der Rat durch Verordnungen gemäß dem ordentlichen Gesetzgebungsverfahren und nach Anhörung des Wirtschafts- und Sozialausschusses und des Ausschusses der Regionen die Aufgaben, die vorrangigen Ziele und die Organisation der Strukturfonds fest, was ihre Neuordnung einschließen kann. </w:t>
      </w:r>
      <w:r>
        <w:rPr>
          <w:rStyle w:val="Satznummer"/>
        </w:rPr>
        <w:t>2</w:t>
      </w:r>
      <w:r>
        <w:t>Nach demselben Verfahren werden ferner die für die Fonds geltenden allgemeinen Regeln sowie die Bestimmungen festgelegt, die zur Gewährleistung einer wirksamen Arbeitsweise und zur Koordinierung der Fonds sowohl untereinander als auch mit den anderen vorhandenen Finanzierungsinstrumenten erforderlich sind.</w:t>
      </w:r>
    </w:p>
    <w:p>
      <w:r>
        <w:t>Ein nach demselben Verfahren errichteter Kohäsionsfonds trägt zu Vorhaben in den Bereichen Umwelt und transeuropäische Netze auf dem Gebiet der Verkehrsinfrastruktur finanziell bei.</w:t>
      </w:r>
    </w:p>
    <w:p>
      <w:pPr>
        <w:pStyle w:val="Heading3"/>
      </w:pPr>
      <w:bookmarkStart w:id="226" w:name="b223"/>
      <w:r>
        <w:t>Art 178</w:t>
      </w:r>
      <w:r>
        <w:t xml:space="preserve"> </w:t>
      </w:r>
      <w:r>
        <w:rPr>
          <w:rStyle w:val="Suchmarke"/>
        </w:rPr>
        <w:t>#178.#</w:t>
      </w:r>
      <w:bookmarkEnd w:id="226"/>
    </w:p>
    <w:p>
      <w:r>
        <w:rPr>
          <w:color w:val="404040"/>
          <w:sz w:val="21"/>
        </w:rPr>
        <w:t>(ex-Artikel 162 EGV)</w:t>
      </w:r>
    </w:p>
    <w:p>
      <w:r>
        <w:t>Die den Europäischen Fonds für regionale Entwicklung betreffenden Durchführungsverordnungen werden vom Europäischen Parlament und vom Rat gemäß dem ordentlichen Gesetzgebungsverfahren und nach Anhörung des Wirtschafts- und Sozialausschusses sowie des Ausschusses der Regionen gefasst.</w:t>
      </w:r>
    </w:p>
    <w:p>
      <w:r>
        <w:t xml:space="preserve">Für den Europäischen Ausrichtungs- und Garantiefonds für die Landwirtschaft, Abteilung Ausrichtung, und den Europäischen Sozialfonds sind die </w:t>
      </w:r>
      <w:hyperlink w:anchor="b54" w:history="1">
        <w:r>
          <w:rPr>
            <w:color w:val="0A3A8C"/>
            <w:u w:val="single"/>
          </w:rPr>
          <w:t xml:space="preserve">Artikel 43</w:t>
        </w:r>
      </w:hyperlink>
      <w:r>
        <w:t xml:space="preserve"> bzw. 164 weiterhin anwendbar.</w:t>
      </w:r>
    </w:p>
    <w:p>
      <w:pPr>
        <w:pStyle w:val="Heading2"/>
      </w:pPr>
      <w:bookmarkStart w:id="227" w:name="b224"/>
      <w:r>
        <w:t>TITEL XIX FORSCHUNG, TECHNOLOGISCHE ENTWICKLUNG UND RAUMFAHRT</w:t>
      </w:r>
      <w:bookmarkEnd w:id="227"/>
    </w:p>
    <w:p>
      <w:pPr>
        <w:pStyle w:val="Heading3"/>
      </w:pPr>
      <w:bookmarkStart w:id="228" w:name="b225"/>
      <w:r>
        <w:t>Art 179</w:t>
      </w:r>
      <w:r>
        <w:t xml:space="preserve"> </w:t>
      </w:r>
      <w:r>
        <w:rPr>
          <w:rStyle w:val="Suchmarke"/>
        </w:rPr>
        <w:t>#179.#</w:t>
      </w:r>
      <w:bookmarkEnd w:id="228"/>
    </w:p>
    <w:p>
      <w:r>
        <w:rPr>
          <w:color w:val="404040"/>
          <w:sz w:val="21"/>
        </w:rPr>
        <w:t>(ex-Artikel 163 EGV)</w:t>
      </w:r>
    </w:p>
    <w:p>
      <w:r>
        <w:t>(1) Die Union hat zum Ziel, ihre wissenschaftlichen und technologischen Grundlagen dadurch zu stärken, dass ein europäischer Raum der Forschung geschaffen wird, in dem Freizügigkeit für Forscher herrscht und wissenschaftliche Erkenntnisse und Technologien frei ausgetauscht werden, die Entwicklung ihrer Wettbewerbsfähigkeit einschließlich der ihrer Industrie zu fördern sowie alle Forschungsmaßnahmen zu unterstützen, die aufgrund anderer Kapitel der Verträge für erforderlich gehalten werden.</w:t>
      </w:r>
    </w:p>
    <w:p>
      <w:r>
        <w:t>(2) In diesem Sinne unterstützt sie in der gesamten Union die Unternehmen – einschließlich der kleinen und mittleren Unternehmen –, die Forschungszentren und die Hochschulen bei ihren Bemühungen auf dem Gebiet der Forschung und technologischen Entwicklung von hoher Qualität; sie fördert ihre Zusammenarbeitsbestrebungen, damit vor allem die Forscher ungehindert über die Grenzen hinweg zusammenarbeiten und die Unternehmen die Möglichkeiten des Binnenmarkts in vollem Umfang nutzen können, und zwar insbesondere durch Öffnen des einzelstaatlichen öffentlichen Auftragswesens, Festlegung gemeinsamer Normen und Beseitigung der dieser Zusammenarbeit entgegenstehenden rechtlichen und steuerlichen Hindernisse.</w:t>
      </w:r>
    </w:p>
    <w:p>
      <w:r>
        <w:t>(3) Alle Maßnahmen der Union aufgrund der Verträge auf dem Gebiet der Forschung und der technologischen Entwicklung einschließlich der Demonstrationsvorhaben werden nach Maßgabe dieses Titels beschlossen und durchgeführt.</w:t>
      </w:r>
    </w:p>
    <w:p>
      <w:pPr>
        <w:pStyle w:val="Heading3"/>
      </w:pPr>
      <w:bookmarkStart w:id="229" w:name="b226"/>
      <w:r>
        <w:t>Art 180</w:t>
      </w:r>
      <w:r>
        <w:t xml:space="preserve"> </w:t>
      </w:r>
      <w:r>
        <w:rPr>
          <w:rStyle w:val="Suchmarke"/>
        </w:rPr>
        <w:t>#180.#</w:t>
      </w:r>
      <w:bookmarkEnd w:id="229"/>
    </w:p>
    <w:p>
      <w:r>
        <w:rPr>
          <w:color w:val="404040"/>
          <w:sz w:val="21"/>
        </w:rPr>
        <w:t>(ex-Artikel 164 EGV)</w:t>
      </w:r>
    </w:p>
    <w:p>
      <w:r>
        <w:t>Zur Erreichung dieser Ziele trifft die Union folgende Maßnahmen, welche die in den Mitgliedstaaten durchgeführten Aktionen ergänzen:</w:t>
      </w:r>
    </w:p>
    <w:p>
      <w:pPr>
        <w:tabs>
          <w:tab w:pos="567" w:val="left"/>
        </w:tabs>
        <w:ind w:left="567" w:hanging="567"/>
      </w:pPr>
      <w:r>
        <w:t>a)</w:t>
      </w:r>
      <w:r>
        <w:tab/>
      </w:r>
      <w:r>
        <w:t>Durchführung von Programmen für Forschung, technologische Entwicklung und Demonstration unter Förderung der Zusammenarbeit mit und zwischen Unternehmen, Forschungszentren und Hochschulen;</w:t>
      </w:r>
    </w:p>
    <w:p>
      <w:pPr>
        <w:tabs>
          <w:tab w:pos="567" w:val="left"/>
        </w:tabs>
        <w:ind w:left="567" w:hanging="567"/>
      </w:pPr>
      <w:r>
        <w:t>b)</w:t>
      </w:r>
      <w:r>
        <w:tab/>
      </w:r>
      <w:r>
        <w:t>Förderung der Zusammenarbeit mit dritten Ländern und internationalen Organisationen auf dem Gebiet der Forschung, technologischen Entwicklung und Demonstration der Union;</w:t>
      </w:r>
    </w:p>
    <w:p>
      <w:pPr>
        <w:tabs>
          <w:tab w:pos="567" w:val="left"/>
        </w:tabs>
        <w:ind w:left="567" w:hanging="567"/>
      </w:pPr>
      <w:r>
        <w:t>c)</w:t>
      </w:r>
      <w:r>
        <w:tab/>
      </w:r>
      <w:r>
        <w:t>Verbreitung und Auswertung der Ergebnisse der Tätigkeiten auf dem Gebiet der Forschung, technologischen Entwicklung und Demonstration der Union;</w:t>
      </w:r>
    </w:p>
    <w:p>
      <w:pPr>
        <w:tabs>
          <w:tab w:pos="567" w:val="left"/>
        </w:tabs>
        <w:ind w:left="567" w:hanging="567"/>
      </w:pPr>
      <w:r>
        <w:t>d)</w:t>
      </w:r>
      <w:r>
        <w:tab/>
      </w:r>
      <w:r>
        <w:t>Förderung der Ausbildung und der Mobilität der Forscher aus der Union.</w:t>
      </w:r>
    </w:p>
    <w:p>
      <w:pPr>
        <w:pStyle w:val="Heading3"/>
      </w:pPr>
      <w:bookmarkStart w:id="230" w:name="b227"/>
      <w:r>
        <w:t>Art 181</w:t>
      </w:r>
      <w:r>
        <w:t xml:space="preserve"> </w:t>
      </w:r>
      <w:r>
        <w:rPr>
          <w:rStyle w:val="Suchmarke"/>
        </w:rPr>
        <w:t>#181.#</w:t>
      </w:r>
      <w:bookmarkEnd w:id="230"/>
    </w:p>
    <w:p>
      <w:r>
        <w:rPr>
          <w:color w:val="404040"/>
          <w:sz w:val="21"/>
        </w:rPr>
        <w:t>(ex-Artikel 165 EGV)</w:t>
      </w:r>
    </w:p>
    <w:p>
      <w:r>
        <w:t>(1) Die Union und die Mitgliedstaaten koordinieren ihre Tätigkeiten auf dem Gebiet der Forschung und der technologischen Entwicklung, um die Kohärenz der einzelstaatlichen Politiken und der Politik der Union sicherzustellen.</w:t>
      </w:r>
    </w:p>
    <w:p>
      <w:r>
        <w:t xml:space="preserve">(2) </w:t>
      </w:r>
      <w:r>
        <w:rPr>
          <w:rStyle w:val="Satznummer"/>
        </w:rPr>
        <w:t>1</w:t>
      </w:r>
      <w:r>
        <w:t xml:space="preserve">Die Kommission kann in enger Zusammenarbeit mit den Mitgliedstaaten alle Initiativen ergreifen, die der Koordinierung nach Absatz 1 förderlich sind, insbesondere Initiativen, die darauf abzielen, Leitlinien und Indikatoren festzulegen, den Austausch bewährter Verfahren durchzuführen und die erforderlichen Elemente für eine regelmäßige Überwachung und Bewertung auszuarbeiten. </w:t>
      </w:r>
      <w:r>
        <w:rPr>
          <w:rStyle w:val="Satznummer"/>
        </w:rPr>
        <w:t>2</w:t>
      </w:r>
      <w:r>
        <w:t>Das Europäische Parlament wird in vollem Umfang unterrichtet.</w:t>
      </w:r>
    </w:p>
    <w:p>
      <w:pPr>
        <w:pStyle w:val="Heading3"/>
      </w:pPr>
      <w:bookmarkStart w:id="231" w:name="b228"/>
      <w:r>
        <w:t>Art 182</w:t>
      </w:r>
      <w:r>
        <w:t xml:space="preserve"> </w:t>
      </w:r>
      <w:r>
        <w:rPr>
          <w:rStyle w:val="Suchmarke"/>
        </w:rPr>
        <w:t>#182.#</w:t>
      </w:r>
      <w:bookmarkEnd w:id="231"/>
    </w:p>
    <w:p>
      <w:r>
        <w:rPr>
          <w:color w:val="404040"/>
          <w:sz w:val="21"/>
        </w:rPr>
        <w:t>(ex-Artikel 166 EGV)</w:t>
      </w:r>
    </w:p>
    <w:p>
      <w:r>
        <w:t>(1) Das Europäische Parlament und der Rat stellen gemäß dem ordentlichen Gesetzgebungsverfahren und nach Anhörung des Wirtschafts- und Sozialausschusses ein mehrjähriges Rahmenprogramm auf, in dem alle Aktionen der Union zusammengefasst werden.</w:t>
      </w:r>
    </w:p>
    <w:p>
      <w:r>
        <w:t>In dem Rahmenprogramm werden</w:t>
      </w:r>
    </w:p>
    <w:p>
      <w:pPr>
        <w:tabs>
          <w:tab w:pos="567" w:val="left"/>
        </w:tabs>
        <w:ind w:left="567" w:hanging="567"/>
      </w:pPr>
      <w:r>
        <w:t>—</w:t>
      </w:r>
      <w:r>
        <w:tab/>
      </w:r>
      <w:r>
        <w:t xml:space="preserve">die wissenschaftlichen und technologischen Ziele, die mit den Maßnahmen nach </w:t>
      </w:r>
      <w:hyperlink w:anchor="b226" w:history="1">
        <w:r>
          <w:rPr>
            <w:color w:val="0A3A8C"/>
            <w:u w:val="single"/>
          </w:rPr>
          <w:t xml:space="preserve">Artikel 180</w:t>
        </w:r>
      </w:hyperlink>
      <w:r>
        <w:t xml:space="preserve"> erreicht werden sollen, sowie die jeweiligen Prioritäten festgelegt;</w:t>
      </w:r>
    </w:p>
    <w:p>
      <w:pPr>
        <w:tabs>
          <w:tab w:pos="567" w:val="left"/>
        </w:tabs>
        <w:ind w:left="567" w:hanging="567"/>
      </w:pPr>
      <w:r>
        <w:t>—</w:t>
      </w:r>
      <w:r>
        <w:tab/>
      </w:r>
      <w:r>
        <w:t>die Grundzüge dieser Maßnahmen angegeben;</w:t>
      </w:r>
    </w:p>
    <w:p>
      <w:pPr>
        <w:tabs>
          <w:tab w:pos="567" w:val="left"/>
        </w:tabs>
        <w:ind w:left="567" w:hanging="567"/>
      </w:pPr>
      <w:r>
        <w:t>—</w:t>
      </w:r>
      <w:r>
        <w:tab/>
      </w:r>
      <w:r>
        <w:t>der Gesamthöchstbetrag und die Einzelheiten der finanziellen Beteiligung der Union am Rahmenprogramm sowie die jeweiligen Anteile der vorgesehenen Maßnahmen festgelegt.</w:t>
      </w:r>
    </w:p>
    <w:p>
      <w:r>
        <w:t>(2) Das Rahmenprogramm wird je nach Entwicklung der Lage angepasst oder ergänzt.</w:t>
      </w:r>
    </w:p>
    <w:p>
      <w:r>
        <w:t xml:space="preserve">(3) </w:t>
      </w:r>
      <w:r>
        <w:rPr>
          <w:rStyle w:val="Satznummer"/>
        </w:rPr>
        <w:t>1</w:t>
      </w:r>
      <w:r>
        <w:t xml:space="preserve">Die Durchführung des Rahmenprogramms erfolgt durch spezifische Programme, die innerhalb einer jeden Aktion entwickelt werden. </w:t>
      </w:r>
      <w:r>
        <w:rPr>
          <w:rStyle w:val="Satznummer"/>
        </w:rPr>
        <w:t>2</w:t>
      </w:r>
      <w:r>
        <w:t xml:space="preserve">In jedem spezifischen Programm werden die Einzelheiten seiner Durchführung, seine Laufzeit und die für notwendig erachteten Mittel festgelegt. </w:t>
      </w:r>
      <w:r>
        <w:rPr>
          <w:rStyle w:val="Satznummer"/>
        </w:rPr>
        <w:t>3</w:t>
      </w:r>
      <w:r>
        <w:t>Die Summe der in den spezifischen Programmen für notwendig erachteten Beträge darf den für das Rahmenprogramm und für jede Aktion festgesetzten Gesamthöchstbetrag nicht überschreiten.</w:t>
      </w:r>
    </w:p>
    <w:p>
      <w:r>
        <w:t>(4) Die spezifischen Programme werden vom Rat gemäß einem besonderen Gesetzgebungsverfahren nach Anhörung des Europäischen Parlaments und des Wirtschafts- und Sozialausschusses beschlossen.</w:t>
      </w:r>
    </w:p>
    <w:p>
      <w:r>
        <w:t>(5) Ergänzend zu den in dem mehrjährigen Rahmenprogramm vorgesehenen Aktionen erlassen das Europäische Parlament und der Rat gemäß dem ordentlichen Gesetzgebungsverfahren und nach Anhörung des Wirtschafts- und Sozialausschusses die Maßnahmen, die für die Verwirklichung des Europäischen Raums der Forschung notwendig sind.</w:t>
      </w:r>
    </w:p>
    <w:p>
      <w:pPr>
        <w:pStyle w:val="Heading3"/>
      </w:pPr>
      <w:bookmarkStart w:id="232" w:name="b229"/>
      <w:r>
        <w:t>Art 183</w:t>
      </w:r>
      <w:r>
        <w:t xml:space="preserve"> </w:t>
      </w:r>
      <w:r>
        <w:rPr>
          <w:rStyle w:val="Suchmarke"/>
        </w:rPr>
        <w:t>#183.#</w:t>
      </w:r>
      <w:bookmarkEnd w:id="232"/>
    </w:p>
    <w:p>
      <w:r>
        <w:rPr>
          <w:color w:val="404040"/>
          <w:sz w:val="21"/>
        </w:rPr>
        <w:t>(ex-Artikel 167 EGV)</w:t>
      </w:r>
    </w:p>
    <w:p>
      <w:r>
        <w:t>Zur Durchführung des mehrjährigen Rahmenprogramms legt die Union Folgendes fest:</w:t>
      </w:r>
    </w:p>
    <w:p>
      <w:pPr>
        <w:tabs>
          <w:tab w:pos="567" w:val="left"/>
        </w:tabs>
        <w:ind w:left="567" w:hanging="567"/>
      </w:pPr>
      <w:r>
        <w:t>—</w:t>
      </w:r>
      <w:r>
        <w:tab/>
      </w:r>
      <w:r>
        <w:t>die Regeln für die Beteiligung der Unternehmen, der Forschungszentren und der Hochschulen;</w:t>
      </w:r>
    </w:p>
    <w:p>
      <w:pPr>
        <w:tabs>
          <w:tab w:pos="567" w:val="left"/>
        </w:tabs>
        <w:ind w:left="567" w:hanging="567"/>
      </w:pPr>
      <w:r>
        <w:t>—</w:t>
      </w:r>
      <w:r>
        <w:tab/>
      </w:r>
      <w:r>
        <w:t>die Regeln für die Verbreitung der Forschungsergebnisse.</w:t>
      </w:r>
    </w:p>
    <w:p>
      <w:pPr>
        <w:pStyle w:val="Heading3"/>
      </w:pPr>
      <w:bookmarkStart w:id="233" w:name="b230"/>
      <w:r>
        <w:t>Art 184</w:t>
      </w:r>
      <w:r>
        <w:t xml:space="preserve"> </w:t>
      </w:r>
      <w:r>
        <w:rPr>
          <w:rStyle w:val="Suchmarke"/>
        </w:rPr>
        <w:t>#184.#</w:t>
      </w:r>
      <w:bookmarkEnd w:id="233"/>
    </w:p>
    <w:p>
      <w:r>
        <w:rPr>
          <w:color w:val="404040"/>
          <w:sz w:val="21"/>
        </w:rPr>
        <w:t>(ex-Artikel 168 EGV)</w:t>
      </w:r>
    </w:p>
    <w:p>
      <w:r>
        <w:t>Bei der Durchführung des mehrjährigen Rahmenprogramms können Zusatzprogramme beschlossen werden, an denen nur bestimmte Mitgliedstaaten teilnehmen, die sie vorbehaltlich einer etwaigen Beteiligung der Union auch finanzieren.</w:t>
      </w:r>
    </w:p>
    <w:p>
      <w:r>
        <w:t>Die Union legt die Regeln für die Zusatzprogramme fest, insbesondere hinsichtlich der Verbreitung der Kenntnisse und des Zugangs anderer Mitgliedstaaten.</w:t>
      </w:r>
    </w:p>
    <w:p>
      <w:pPr>
        <w:pStyle w:val="Heading3"/>
      </w:pPr>
      <w:bookmarkStart w:id="234" w:name="b231"/>
      <w:r>
        <w:t>Art 185</w:t>
      </w:r>
      <w:r>
        <w:t xml:space="preserve"> </w:t>
      </w:r>
      <w:r>
        <w:rPr>
          <w:rStyle w:val="Suchmarke"/>
        </w:rPr>
        <w:t>#185.#</w:t>
      </w:r>
      <w:bookmarkEnd w:id="234"/>
    </w:p>
    <w:p>
      <w:r>
        <w:rPr>
          <w:color w:val="404040"/>
          <w:sz w:val="21"/>
        </w:rPr>
        <w:t>(ex-Artikel 169 EGV)</w:t>
      </w:r>
    </w:p>
    <w:p>
      <w:r>
        <w:t>Die Union kann im Einvernehmen mit den betreffenden Mitgliedstaaten bei der Durchführung des mehrjährigen Rahmenprogramms eine Beteiligung an Forschungs- und Entwicklungsprogrammen mehrerer Mitgliedstaaten, einschließlich der Beteiligung an den zu ihrer Durchführung geschaffenen Strukturen, vorsehen.</w:t>
      </w:r>
    </w:p>
    <w:p>
      <w:pPr>
        <w:pStyle w:val="Heading3"/>
      </w:pPr>
      <w:bookmarkStart w:id="235" w:name="b232"/>
      <w:r>
        <w:t>Art 186</w:t>
      </w:r>
      <w:r>
        <w:t xml:space="preserve"> </w:t>
      </w:r>
      <w:r>
        <w:rPr>
          <w:rStyle w:val="Suchmarke"/>
        </w:rPr>
        <w:t>#186.#</w:t>
      </w:r>
      <w:bookmarkEnd w:id="235"/>
    </w:p>
    <w:p>
      <w:r>
        <w:rPr>
          <w:color w:val="404040"/>
          <w:sz w:val="21"/>
        </w:rPr>
        <w:t>(ex-Artikel 170 EGV)</w:t>
      </w:r>
    </w:p>
    <w:p>
      <w:r>
        <w:t>Die Union kann bei der Durchführung des mehrjährigen Rahmenprogramms eine Zusammenarbeit auf dem Gebiet der Forschung, technologischen Entwicklung und Demonstration der Union mit dritten Ländern oder internationalen Organisationen vorsehen.</w:t>
      </w:r>
    </w:p>
    <w:p>
      <w:r>
        <w:t>Die Einzelheiten dieser Zusammenarbeit können Gegenstand von Abkommen zwischen der Union und den betreffenden dritten Parteien sein.</w:t>
      </w:r>
    </w:p>
    <w:p>
      <w:pPr>
        <w:pStyle w:val="Heading3"/>
      </w:pPr>
      <w:bookmarkStart w:id="236" w:name="b233"/>
      <w:r>
        <w:t>Art 187</w:t>
      </w:r>
      <w:r>
        <w:t xml:space="preserve"> </w:t>
      </w:r>
      <w:r>
        <w:rPr>
          <w:rStyle w:val="Suchmarke"/>
        </w:rPr>
        <w:t>#187.#</w:t>
      </w:r>
      <w:bookmarkEnd w:id="236"/>
    </w:p>
    <w:p>
      <w:r>
        <w:rPr>
          <w:color w:val="404040"/>
          <w:sz w:val="21"/>
        </w:rPr>
        <w:t>(ex-Artikel 171 EGV)</w:t>
      </w:r>
    </w:p>
    <w:p>
      <w:r>
        <w:t>Die Union kann gemeinsame Unternehmen gründen oder andere Strukturen schaffen, die für die ordnungsgemäße Durchführung der Programme für Forschung, technologische Entwicklung und Demonstration der Union erforderlich sind.</w:t>
      </w:r>
    </w:p>
    <w:p>
      <w:pPr>
        <w:pStyle w:val="Heading3"/>
      </w:pPr>
      <w:bookmarkStart w:id="237" w:name="b234"/>
      <w:r>
        <w:t>Art 188</w:t>
      </w:r>
      <w:r>
        <w:t xml:space="preserve"> </w:t>
      </w:r>
      <w:r>
        <w:rPr>
          <w:rStyle w:val="Suchmarke"/>
        </w:rPr>
        <w:t>#188.#</w:t>
      </w:r>
      <w:bookmarkEnd w:id="237"/>
    </w:p>
    <w:p>
      <w:r>
        <w:rPr>
          <w:color w:val="404040"/>
          <w:sz w:val="21"/>
        </w:rPr>
        <w:t>(ex-</w:t>
      </w:r>
      <w:hyperlink w:anchor="b215" w:history="1">
        <w:r>
          <w:rPr>
            <w:color w:val="404040"/>
            <w:sz w:val="21"/>
            <w:u w:val="single"/>
          </w:rPr>
          <w:t xml:space="preserve">Artikel 172</w:t>
        </w:r>
      </w:hyperlink>
      <w:r>
        <w:rPr>
          <w:color w:val="404040"/>
          <w:sz w:val="21"/>
        </w:rPr>
        <w:t>)</w:t>
      </w:r>
    </w:p>
    <w:p>
      <w:r>
        <w:t xml:space="preserve">Der Rat legt auf Vorschlag der Kommission und nach Anhörung des Europäischen Parlaments und des Wirtschafts- und Sozialausschusses die in </w:t>
      </w:r>
      <w:hyperlink w:anchor="b233" w:history="1">
        <w:r>
          <w:rPr>
            <w:color w:val="0A3A8C"/>
            <w:u w:val="single"/>
          </w:rPr>
          <w:t xml:space="preserve">Artikel 187</w:t>
        </w:r>
      </w:hyperlink>
      <w:r>
        <w:t xml:space="preserve"> vorgesehenen Bestimmungen fest.</w:t>
      </w:r>
    </w:p>
    <w:p>
      <w:r>
        <w:rPr>
          <w:rStyle w:val="Satznummer"/>
        </w:rPr>
        <w:t>1</w:t>
      </w:r>
      <w:r>
        <w:t xml:space="preserve">Das Europäische Parlament und der Rat legen gemäß dem ordentlichen Gesetzgebungsverfahren und nach Anhörung des Wirtschafts- und Sozialausschusses die in den </w:t>
      </w:r>
      <w:hyperlink w:anchor="b229" w:history="1">
        <w:r>
          <w:rPr>
            <w:color w:val="0A3A8C"/>
            <w:u w:val="single"/>
          </w:rPr>
          <w:t xml:space="preserve">Artikeln 183</w:t>
        </w:r>
      </w:hyperlink>
      <w:r>
        <w:t xml:space="preserve">, </w:t>
      </w:r>
      <w:hyperlink w:anchor="b230" w:history="1">
        <w:r>
          <w:rPr>
            <w:color w:val="0A3A8C"/>
            <w:u w:val="single"/>
          </w:rPr>
          <w:t xml:space="preserve">184</w:t>
        </w:r>
      </w:hyperlink>
      <w:r>
        <w:t xml:space="preserve"> und </w:t>
      </w:r>
      <w:hyperlink w:anchor="b231" w:history="1">
        <w:r>
          <w:rPr>
            <w:color w:val="0A3A8C"/>
            <w:u w:val="single"/>
          </w:rPr>
          <w:t xml:space="preserve">185</w:t>
        </w:r>
      </w:hyperlink>
      <w:r>
        <w:t xml:space="preserve"> vorgesehenen Bestimmungen fest. </w:t>
      </w:r>
      <w:r>
        <w:rPr>
          <w:rStyle w:val="Satznummer"/>
        </w:rPr>
        <w:t>2</w:t>
      </w:r>
      <w:r>
        <w:t>Für die Verabschiedung der Zusatzprogramme ist die Zustimmung der daran beteiligten Mitgliedstaaten erforderlich.</w:t>
      </w:r>
    </w:p>
    <w:p>
      <w:pPr>
        <w:pStyle w:val="Heading3"/>
      </w:pPr>
      <w:bookmarkStart w:id="238" w:name="b235"/>
      <w:r>
        <w:t>Art 189</w:t>
      </w:r>
      <w:r>
        <w:t xml:space="preserve"> </w:t>
      </w:r>
      <w:r>
        <w:rPr>
          <w:rStyle w:val="Suchmarke"/>
        </w:rPr>
        <w:t>#189.#</w:t>
      </w:r>
      <w:bookmarkEnd w:id="238"/>
    </w:p>
    <w:p>
      <w:r>
        <w:t xml:space="preserve">(1) </w:t>
      </w:r>
      <w:r>
        <w:rPr>
          <w:rStyle w:val="Satznummer"/>
        </w:rPr>
        <w:t>1</w:t>
      </w:r>
      <w:r>
        <w:t xml:space="preserve">Zur Förderung des wissenschaftlichen und technischen Fortschritts, der Wettbewerbsfähigkeit der Industrie und der Durchführung ihrer Politik arbeitet die Union eine europäische Raumfahrtpolitik aus. </w:t>
      </w:r>
      <w:r>
        <w:rPr>
          <w:rStyle w:val="Satznummer"/>
        </w:rPr>
        <w:t>2</w:t>
      </w:r>
      <w:r>
        <w:t>Sie kann zu diesem Zweck gemeinsame Initiativen fördern, die Forschung und technologische Entwicklung unterstützen und die Anstrengungen zur Erforschung und Nutzung des Weltraums koordinieren.</w:t>
      </w:r>
    </w:p>
    <w:p>
      <w:r>
        <w:t>(2) Als Beitrag zur Erreichung der Ziele des Absatzes 1 werden vom Europäischen Parlament und vom Rat unter Ausschluss jeglicher Harmonisierung der Rechtsvorschriften der Mitgliedstaaten gemäß dem ordentlichen Gesetzgebungsverfahren die notwendigen Maßnahmen erlassen, was in Form eines europäischen Raumfahrtprogramms geschehen kann.</w:t>
      </w:r>
    </w:p>
    <w:p>
      <w:r>
        <w:t>(3) Die Union stellt die zweckdienlichen Verbindungen zur Europäischen Weltraumorganisation her.</w:t>
      </w:r>
    </w:p>
    <w:p>
      <w:r>
        <w:t>(4) Dieser Artikel gilt unbeschadet der sonstigen Bestimmungen dieses Titels.</w:t>
      </w:r>
    </w:p>
    <w:p>
      <w:pPr>
        <w:pStyle w:val="Heading3"/>
      </w:pPr>
      <w:bookmarkStart w:id="239" w:name="b236"/>
      <w:r>
        <w:t>Art 190</w:t>
      </w:r>
      <w:r>
        <w:t xml:space="preserve"> </w:t>
      </w:r>
      <w:r>
        <w:rPr>
          <w:rStyle w:val="Suchmarke"/>
        </w:rPr>
        <w:t>#190.#</w:t>
      </w:r>
      <w:bookmarkEnd w:id="239"/>
    </w:p>
    <w:p>
      <w:r>
        <w:rPr>
          <w:color w:val="404040"/>
          <w:sz w:val="21"/>
        </w:rPr>
        <w:t>(ex-Artikel 173 EGV)</w:t>
      </w:r>
    </w:p>
    <w:p>
      <w:r>
        <w:rPr>
          <w:rStyle w:val="Satznummer"/>
        </w:rPr>
        <w:t>1</w:t>
      </w:r>
      <w:r>
        <w:t xml:space="preserve">Zu Beginn jedes Jahres unterbreitet die Kommission dem Europäischen Parlament und dem Rat einen Bericht. </w:t>
      </w:r>
      <w:r>
        <w:rPr>
          <w:rStyle w:val="Satznummer"/>
        </w:rPr>
        <w:t>2</w:t>
      </w:r>
      <w:r>
        <w:t>Dieser Bericht erstreckt sich insbesondere auf die Tätigkeiten auf dem Gebiet der Forschung und technologischen Entwicklung und der Verbreitung der Ergebnisse dieser Tätigkeiten während des Vorjahres sowie auf das Arbeitsprogramm des laufenden Jahres.</w:t>
      </w:r>
    </w:p>
    <w:p>
      <w:pPr>
        <w:pStyle w:val="Heading2"/>
      </w:pPr>
      <w:bookmarkStart w:id="240" w:name="b237"/>
      <w:r>
        <w:t>TITEL XX UMWELT</w:t>
      </w:r>
      <w:bookmarkEnd w:id="240"/>
    </w:p>
    <w:p>
      <w:pPr>
        <w:pStyle w:val="Heading3"/>
      </w:pPr>
      <w:bookmarkStart w:id="241" w:name="b238"/>
      <w:r>
        <w:t>Art 191</w:t>
      </w:r>
      <w:r>
        <w:t xml:space="preserve"> </w:t>
      </w:r>
      <w:r>
        <w:rPr>
          <w:rStyle w:val="Suchmarke"/>
        </w:rPr>
        <w:t>#191.#</w:t>
      </w:r>
      <w:bookmarkEnd w:id="241"/>
    </w:p>
    <w:p>
      <w:r>
        <w:rPr>
          <w:color w:val="404040"/>
          <w:sz w:val="21"/>
        </w:rPr>
        <w:t>(ex-Artikel 174 EGV)</w:t>
      </w:r>
    </w:p>
    <w:p>
      <w:r>
        <w:t>(1) Die Umweltpolitik der Union trägt zur Verfolgung der nachstehenden Ziele bei:</w:t>
      </w:r>
    </w:p>
    <w:p>
      <w:pPr>
        <w:tabs>
          <w:tab w:pos="567" w:val="left"/>
        </w:tabs>
        <w:ind w:left="567" w:hanging="567"/>
      </w:pPr>
      <w:r>
        <w:t>—</w:t>
      </w:r>
      <w:r>
        <w:tab/>
      </w:r>
      <w:r>
        <w:t>Erhaltung und Schutz der Umwelt sowie Verbesserung ihrer Qualität;</w:t>
      </w:r>
    </w:p>
    <w:p>
      <w:pPr>
        <w:tabs>
          <w:tab w:pos="567" w:val="left"/>
        </w:tabs>
        <w:ind w:left="567" w:hanging="567"/>
      </w:pPr>
      <w:r>
        <w:t>—</w:t>
      </w:r>
      <w:r>
        <w:tab/>
      </w:r>
      <w:r>
        <w:t>Schutz der menschlichen Gesundheit;</w:t>
      </w:r>
    </w:p>
    <w:p>
      <w:pPr>
        <w:tabs>
          <w:tab w:pos="567" w:val="left"/>
        </w:tabs>
        <w:ind w:left="567" w:hanging="567"/>
      </w:pPr>
      <w:r>
        <w:t>—</w:t>
      </w:r>
      <w:r>
        <w:tab/>
      </w:r>
      <w:r>
        <w:t>umsichtige und rationelle Verwendung der natürlichen Ressourcen;</w:t>
      </w:r>
    </w:p>
    <w:p>
      <w:pPr>
        <w:tabs>
          <w:tab w:pos="567" w:val="left"/>
        </w:tabs>
        <w:ind w:left="567" w:hanging="567"/>
      </w:pPr>
      <w:r>
        <w:t>—</w:t>
      </w:r>
      <w:r>
        <w:tab/>
      </w:r>
      <w:r>
        <w:t>Förderung von Maßnahmen auf internationaler Ebene zur Bewältigung regionaler oder globaler Umweltprobleme und insbesondere zur Bekämpfung des Klimawandels.</w:t>
      </w:r>
    </w:p>
    <w:p>
      <w:r>
        <w:t xml:space="preserve">(2) </w:t>
      </w:r>
      <w:r>
        <w:rPr>
          <w:rStyle w:val="Satznummer"/>
        </w:rPr>
        <w:t>1</w:t>
      </w:r>
      <w:r>
        <w:t xml:space="preserve">Die Umweltpolitik der Union zielt unter Berücksichtigung der unterschiedlichen Gegebenheiten in den einzelnen Regionen der Union auf ein hohes Schutzniveau ab. </w:t>
      </w:r>
      <w:r>
        <w:rPr>
          <w:rStyle w:val="Satznummer"/>
        </w:rPr>
        <w:t>2</w:t>
      </w:r>
      <w:r>
        <w:t>Sie beruht auf den Grundsätzen der Vorsorge und Vorbeugung, auf dem Grundsatz, Umweltbeeinträchtigungen mit Vorrang an ihrem Ursprung zu bekämpfen, sowie auf dem Verursacherprinzip.</w:t>
      </w:r>
    </w:p>
    <w:p>
      <w:r>
        <w:t>Im Hinblick hierauf umfassen die den Erfordernissen des Umweltschutzes entsprechenden Harmonisierungsmaßnahmen gegebenenfalls eine Schutzklausel, mit der die Mitgliedstaaten ermächtigt werden, aus nicht wirtschaftlich bedingten umweltpolitischen Gründen vorläufige Maßnahmen zu treffen, die einem Kontrollverfahren der Union unterliegen.</w:t>
      </w:r>
    </w:p>
    <w:p>
      <w:r>
        <w:t>(3) Bei der Erarbeitung ihrer Umweltpolitik berücksichtigt die Union</w:t>
      </w:r>
    </w:p>
    <w:p>
      <w:pPr>
        <w:tabs>
          <w:tab w:pos="567" w:val="left"/>
        </w:tabs>
        <w:ind w:left="567" w:hanging="567"/>
      </w:pPr>
      <w:r>
        <w:t>—</w:t>
      </w:r>
      <w:r>
        <w:tab/>
      </w:r>
      <w:r>
        <w:t>die verfügbaren wissenschaftlichen und technischen Daten;</w:t>
      </w:r>
    </w:p>
    <w:p>
      <w:pPr>
        <w:tabs>
          <w:tab w:pos="567" w:val="left"/>
        </w:tabs>
        <w:ind w:left="567" w:hanging="567"/>
      </w:pPr>
      <w:r>
        <w:t>—</w:t>
      </w:r>
      <w:r>
        <w:tab/>
      </w:r>
      <w:r>
        <w:t>die Umweltbedingungen in den einzelnen Regionen der Union;</w:t>
      </w:r>
    </w:p>
    <w:p>
      <w:pPr>
        <w:tabs>
          <w:tab w:pos="567" w:val="left"/>
        </w:tabs>
        <w:ind w:left="567" w:hanging="567"/>
      </w:pPr>
      <w:r>
        <w:t>—</w:t>
      </w:r>
      <w:r>
        <w:tab/>
      </w:r>
      <w:r>
        <w:t>die Vorteile und die Belastung aufgrund des Tätigwerdens bzw. eines Nichttätigwerdens;</w:t>
      </w:r>
    </w:p>
    <w:p>
      <w:pPr>
        <w:tabs>
          <w:tab w:pos="567" w:val="left"/>
        </w:tabs>
        <w:ind w:left="567" w:hanging="567"/>
      </w:pPr>
      <w:r>
        <w:t>—</w:t>
      </w:r>
      <w:r>
        <w:tab/>
      </w:r>
      <w:r>
        <w:t>die wirtschaftliche und soziale Entwicklung der Union insgesamt sowie die ausgewogene Entwicklung ihrer Regionen.</w:t>
      </w:r>
    </w:p>
    <w:p>
      <w:r>
        <w:t xml:space="preserve">(4) </w:t>
      </w:r>
      <w:r>
        <w:rPr>
          <w:rStyle w:val="Satznummer"/>
        </w:rPr>
        <w:t>1</w:t>
      </w:r>
      <w:r>
        <w:t xml:space="preserve">Die Union und die Mitgliedstaaten arbeiten im Rahmen ihrer jeweiligen Befugnisse mit dritten Ländern und den zuständigen internationalen Organisationen zusammen. </w:t>
      </w:r>
      <w:r>
        <w:rPr>
          <w:rStyle w:val="Satznummer"/>
        </w:rPr>
        <w:t>2</w:t>
      </w:r>
      <w:r>
        <w:t>Die Einzelheiten der Zusammenarbeit der Union können Gegenstand von Abkommen zwischen dieser und den betreffenden dritten Parteien sein.</w:t>
      </w:r>
    </w:p>
    <w:p>
      <w:r>
        <w:t>Unterabsatz 1 berührt nicht die Zuständigkeit der Mitgliedstaaten, in internationalen Gremien zu verhandeln und internationale Abkommen zu schließen.</w:t>
      </w:r>
    </w:p>
    <w:p>
      <w:pPr>
        <w:pStyle w:val="Heading3"/>
      </w:pPr>
      <w:bookmarkStart w:id="242" w:name="b239"/>
      <w:r>
        <w:t>Art 192</w:t>
      </w:r>
      <w:r>
        <w:t xml:space="preserve"> </w:t>
      </w:r>
      <w:r>
        <w:rPr>
          <w:rStyle w:val="Suchmarke"/>
        </w:rPr>
        <w:t>#192.#</w:t>
      </w:r>
      <w:bookmarkEnd w:id="242"/>
    </w:p>
    <w:p>
      <w:r>
        <w:rPr>
          <w:color w:val="404040"/>
          <w:sz w:val="21"/>
        </w:rPr>
        <w:t>(ex-Artikel 175 EGV)</w:t>
      </w:r>
    </w:p>
    <w:p>
      <w:r>
        <w:t xml:space="preserve">(1) Das Europäische Parlament und der Rat beschließen gemäß dem ordentlichen Gesetzgebungsverfahren und nach Anhörung des Wirtschafts- und Sozialausschusses sowie des Ausschusses der Regionen über das Tätigwerden der Union zur Erreichung der in </w:t>
      </w:r>
      <w:hyperlink w:anchor="b238" w:history="1">
        <w:r>
          <w:rPr>
            <w:color w:val="0A3A8C"/>
            <w:u w:val="single"/>
          </w:rPr>
          <w:t xml:space="preserve">Artikel 191</w:t>
        </w:r>
      </w:hyperlink>
      <w:r>
        <w:t xml:space="preserve"> genannten Ziele.</w:t>
      </w:r>
    </w:p>
    <w:p>
      <w:r>
        <w:t xml:space="preserve">(2) Abweichend von dem Beschlussverfahren des Absatzes 1 und unbeschadet des </w:t>
      </w:r>
      <w:hyperlink w:anchor="b143" w:history="1">
        <w:r>
          <w:rPr>
            <w:color w:val="0A3A8C"/>
            <w:u w:val="single"/>
          </w:rPr>
          <w:t xml:space="preserve">Artikels 114</w:t>
        </w:r>
      </w:hyperlink>
      <w:r>
        <w:t xml:space="preserve"> erlässt der Rat gemäß einem besonderen Gesetzgebungsverfahren nach Anhörung des Europäischen Parlaments, des Wirtschafts- und Sozialausschusses sowie des Ausschusses der Regionen einstimmig</w:t>
      </w:r>
    </w:p>
    <w:p>
      <w:pPr>
        <w:tabs>
          <w:tab w:pos="567" w:val="left"/>
        </w:tabs>
        <w:ind w:left="567" w:hanging="567"/>
      </w:pPr>
      <w:r>
        <w:t>a)</w:t>
      </w:r>
      <w:r>
        <w:tab/>
      </w:r>
      <w:r>
        <w:t>Vorschriften überwiegend steuerlicher Art;</w:t>
      </w:r>
    </w:p>
    <w:p>
      <w:pPr>
        <w:tabs>
          <w:tab w:pos="567" w:val="left"/>
        </w:tabs>
        <w:ind w:left="567" w:hanging="567"/>
      </w:pPr>
      <w:r>
        <w:t>b)</w:t>
      </w:r>
      <w:r>
        <w:tab/>
      </w:r>
      <w:r>
        <w:t>Maßnahmen, die</w:t>
      </w:r>
    </w:p>
    <w:p>
      <w:pPr>
        <w:tabs>
          <w:tab w:pos="1134" w:val="left"/>
        </w:tabs>
        <w:ind w:left="1134" w:hanging="567"/>
      </w:pPr>
      <w:r>
        <w:t>—</w:t>
      </w:r>
      <w:r>
        <w:tab/>
      </w:r>
      <w:r>
        <w:t>die Raumordnung berühren,</w:t>
      </w:r>
    </w:p>
    <w:p>
      <w:pPr>
        <w:tabs>
          <w:tab w:pos="1134" w:val="left"/>
        </w:tabs>
        <w:ind w:left="1134" w:hanging="567"/>
      </w:pPr>
      <w:r>
        <w:t>—</w:t>
      </w:r>
      <w:r>
        <w:tab/>
      </w:r>
      <w:r>
        <w:t>die mengenmäßige Bewirtschaftung der Wasserressourcen berühren oder die Verfügbarkeit dieser Ressourcen mittelbar oder unmittelbar betreffen,</w:t>
      </w:r>
    </w:p>
    <w:p>
      <w:pPr>
        <w:tabs>
          <w:tab w:pos="1134" w:val="left"/>
        </w:tabs>
        <w:ind w:left="1134" w:hanging="567"/>
      </w:pPr>
      <w:r>
        <w:t>—</w:t>
      </w:r>
      <w:r>
        <w:tab/>
      </w:r>
      <w:r>
        <w:t>die Bodennutzung mit Ausnahme der Abfallbewirtschaftung berühren;</w:t>
      </w:r>
    </w:p>
    <w:p>
      <w:pPr>
        <w:tabs>
          <w:tab w:pos="567" w:val="left"/>
        </w:tabs>
        <w:ind w:left="567" w:hanging="567"/>
      </w:pPr>
      <w:r>
        <w:t>c)</w:t>
      </w:r>
      <w:r>
        <w:tab/>
      </w:r>
      <w:r>
        <w:t>Maßnahmen, welche die Wahl eines Mitgliedstaats zwischen verschiedenen Energiequellen und die allgemeine Struktur seiner Energieversorgung erheblich berühren.</w:t>
      </w:r>
    </w:p>
    <w:p>
      <w:r>
        <w:t>Der Rat kann auf Vorschlag der Kommission und nach Anhörung des Europäischen Parlaments, des Wirtschafts- und Sozialausschusses und des Ausschusses der Regionen einstimmig festlegen, dass für die in Unterabsatz 1 genannten Bereiche das ordentliche Gesetzgebungsverfahren gilt.</w:t>
      </w:r>
    </w:p>
    <w:p>
      <w:r>
        <w:t>(3) Das Europäische Parlament und der Rat beschließen gemäß dem ordentlichen Gesetzgebungsverfahren und nach Anhörung des Wirtschafts- und Sozialausschusses sowie des Ausschusses der Regionen allgemeine Aktionsprogramme, in denen die vorrangigen Ziele festgelegt werden.</w:t>
      </w:r>
    </w:p>
    <w:p>
      <w:r>
        <w:t>Die zur Durchführung dieser Programme erforderlichen Maßnahmen werden, je nach Fall, nach dem in Absatz 1 beziehungsweise Absatz 2 vorgesehenen Verfahren erlassen.</w:t>
      </w:r>
    </w:p>
    <w:p>
      <w:r>
        <w:t>(4) Unbeschadet bestimmter Maßnahmen der Union tragen die Mitgliedstaaten für die Finanzierung und Durchführung der Umweltpolitik Sorge.</w:t>
      </w:r>
    </w:p>
    <w:p>
      <w:r>
        <w:t>(5) Sofern eine Maßnahme nach Absatz 1 mit unverhältnismäßig hohen Kosten für die Behörden eines Mitgliedstaats verbunden ist, werden darin unbeschadet des Verursacherprinzips geeignete Bestimmungen in folgender Form vorgesehen:</w:t>
      </w:r>
    </w:p>
    <w:p>
      <w:pPr>
        <w:tabs>
          <w:tab w:pos="567" w:val="left"/>
        </w:tabs>
        <w:ind w:left="567" w:hanging="567"/>
      </w:pPr>
      <w:r>
        <w:t>—</w:t>
      </w:r>
      <w:r>
        <w:tab/>
      </w:r>
      <w:r>
        <w:t>vorübergehende Ausnahmeregelungen und/oder</w:t>
      </w:r>
    </w:p>
    <w:p>
      <w:pPr>
        <w:tabs>
          <w:tab w:pos="567" w:val="left"/>
        </w:tabs>
        <w:ind w:left="567" w:hanging="567"/>
      </w:pPr>
      <w:r>
        <w:t>—</w:t>
      </w:r>
      <w:r>
        <w:tab/>
      </w:r>
      <w:r>
        <w:t xml:space="preserve">eine finanzielle Unterstützung aus dem nach </w:t>
      </w:r>
      <w:hyperlink w:anchor="b222" w:history="1">
        <w:r>
          <w:rPr>
            <w:color w:val="0A3A8C"/>
            <w:u w:val="single"/>
          </w:rPr>
          <w:t xml:space="preserve">Artikel 177</w:t>
        </w:r>
      </w:hyperlink>
      <w:r>
        <w:t xml:space="preserve"> errichteten Kohäsionsfonds.</w:t>
      </w:r>
    </w:p>
    <w:p>
      <w:pPr>
        <w:pStyle w:val="Heading3"/>
      </w:pPr>
      <w:bookmarkStart w:id="243" w:name="b240"/>
      <w:r>
        <w:t>Art 193</w:t>
      </w:r>
      <w:r>
        <w:t xml:space="preserve"> </w:t>
      </w:r>
      <w:r>
        <w:rPr>
          <w:rStyle w:val="Suchmarke"/>
        </w:rPr>
        <w:t>#193.#</w:t>
      </w:r>
      <w:bookmarkEnd w:id="243"/>
    </w:p>
    <w:p>
      <w:r>
        <w:rPr>
          <w:color w:val="404040"/>
          <w:sz w:val="21"/>
        </w:rPr>
        <w:t>(ex-Artikel 176 EGV)</w:t>
      </w:r>
    </w:p>
    <w:p>
      <w:r>
        <w:rPr>
          <w:rStyle w:val="Satznummer"/>
        </w:rPr>
        <w:t>1</w:t>
      </w:r>
      <w:r>
        <w:t xml:space="preserve">Die Schutzmaßnahmen, die aufgrund des </w:t>
      </w:r>
      <w:hyperlink w:anchor="b239" w:history="1">
        <w:r>
          <w:rPr>
            <w:color w:val="0A3A8C"/>
            <w:u w:val="single"/>
          </w:rPr>
          <w:t xml:space="preserve">Artikels 192</w:t>
        </w:r>
      </w:hyperlink>
      <w:r>
        <w:t xml:space="preserve"> getroffen werden, hindern die einzelnen Mitgliedstaaten nicht daran, verstärkte Schutzmaßnahmen beizubehalten oder zu ergreifen. </w:t>
      </w:r>
      <w:r>
        <w:rPr>
          <w:rStyle w:val="Satznummer"/>
        </w:rPr>
        <w:t>2</w:t>
      </w:r>
      <w:r>
        <w:t xml:space="preserve">Die betreffenden Maßnahmen müssen mit den Verträgen vereinbar sein. </w:t>
      </w:r>
      <w:r>
        <w:rPr>
          <w:rStyle w:val="Satznummer"/>
        </w:rPr>
        <w:t>3</w:t>
      </w:r>
      <w:r>
        <w:t>Sie werden der Kommission notifiziert.</w:t>
      </w:r>
    </w:p>
    <w:p>
      <w:pPr>
        <w:pStyle w:val="Heading2"/>
      </w:pPr>
      <w:bookmarkStart w:id="244" w:name="b241"/>
      <w:r>
        <w:t>TITEL XXI ENERGIE</w:t>
      </w:r>
      <w:bookmarkEnd w:id="244"/>
    </w:p>
    <w:p>
      <w:pPr>
        <w:pStyle w:val="Heading3"/>
      </w:pPr>
      <w:bookmarkStart w:id="245" w:name="b242"/>
      <w:r>
        <w:t>Art 194</w:t>
      </w:r>
      <w:r>
        <w:t xml:space="preserve"> </w:t>
      </w:r>
      <w:r>
        <w:rPr>
          <w:rStyle w:val="Suchmarke"/>
        </w:rPr>
        <w:t>#194.#</w:t>
      </w:r>
      <w:bookmarkEnd w:id="245"/>
    </w:p>
    <w:p>
      <w:r>
        <w:t>(1) Die Energiepolitik der Union verfolgt im Geiste der Solidarität zwischen den Mitgliedstaaten im Rahmen der Verwirklichung oder des Funktionierens des Binnenmarkts und unter Berücksichtigung der Notwendigkeit der Erhaltung und Verbesserung der Umwelt folgende Ziele:</w:t>
      </w:r>
    </w:p>
    <w:p>
      <w:pPr>
        <w:tabs>
          <w:tab w:pos="567" w:val="left"/>
        </w:tabs>
        <w:ind w:left="567" w:hanging="567"/>
      </w:pPr>
      <w:r>
        <w:t>a)</w:t>
      </w:r>
      <w:r>
        <w:tab/>
      </w:r>
      <w:r>
        <w:t>Sicherstellung des Funktionierens des Energiemarkts;</w:t>
      </w:r>
    </w:p>
    <w:p>
      <w:pPr>
        <w:tabs>
          <w:tab w:pos="567" w:val="left"/>
        </w:tabs>
        <w:ind w:left="567" w:hanging="567"/>
      </w:pPr>
      <w:r>
        <w:t>b)</w:t>
      </w:r>
      <w:r>
        <w:tab/>
      </w:r>
      <w:r>
        <w:t>Gewährleistung der Energieversorgungssicherheit in der Union;</w:t>
      </w:r>
    </w:p>
    <w:p>
      <w:pPr>
        <w:tabs>
          <w:tab w:pos="567" w:val="left"/>
        </w:tabs>
        <w:ind w:left="567" w:hanging="567"/>
      </w:pPr>
      <w:r>
        <w:t>c)</w:t>
      </w:r>
      <w:r>
        <w:tab/>
      </w:r>
      <w:r>
        <w:t>Förderung der Energieeffizienz und von Energieeinsparungen sowie Entwicklung neuer und erneuerbarer Energiequellen und</w:t>
      </w:r>
    </w:p>
    <w:p>
      <w:pPr>
        <w:tabs>
          <w:tab w:pos="567" w:val="left"/>
        </w:tabs>
        <w:ind w:left="567" w:hanging="567"/>
      </w:pPr>
      <w:r>
        <w:t>d)</w:t>
      </w:r>
      <w:r>
        <w:tab/>
      </w:r>
      <w:r>
        <w:t>Förderung der Interkonnektion der Energienetze.</w:t>
      </w:r>
    </w:p>
    <w:p>
      <w:r>
        <w:t xml:space="preserve">(2) </w:t>
      </w:r>
      <w:r>
        <w:rPr>
          <w:rStyle w:val="Satznummer"/>
        </w:rPr>
        <w:t>1</w:t>
      </w:r>
      <w:r>
        <w:t xml:space="preserve">Unbeschadet der Anwendung anderer Bestimmungen der Verträge erlassen das Europäische Parlament und der Rat gemäß dem ordentlichen Gesetzgebungsverfahren die Maßnahmen, die erforderlich sind, um die Ziele nach Absatz 1 zu verwirklichen. </w:t>
      </w:r>
      <w:r>
        <w:rPr>
          <w:rStyle w:val="Satznummer"/>
        </w:rPr>
        <w:t>2</w:t>
      </w:r>
      <w:r>
        <w:t>Der Erlass dieser Maßnahmen erfolgt nach Anhörung des Wirtschafts- und Sozialausschusses und des Ausschusses der Regionen.</w:t>
      </w:r>
    </w:p>
    <w:p>
      <w:r>
        <w:t>Diese Maßnahmen berühren unbeschadet des Artikels 192 Absatz 2 Buchstabe c nicht das Recht eines Mitgliedstaats, die Bedingungen für die Nutzung seiner Energieressourcen, seine Wahl zwischen verschiedenen Energiequellen und die allgemeine Struktur seiner Energieversorgung zu bestimmen.</w:t>
      </w:r>
    </w:p>
    <w:p>
      <w:r>
        <w:t>(3) Abweichend von Absatz 2 erlässt der Rat die darin genannten Maßnahmen gemäß einem besonderen Gesetzgebungsverfahren einstimmig nach Anhörung des Europäischen Parlaments, wenn sie überwiegend steuerlicher Art sind.</w:t>
      </w:r>
    </w:p>
    <w:p>
      <w:pPr>
        <w:pStyle w:val="Heading2"/>
      </w:pPr>
      <w:bookmarkStart w:id="246" w:name="b243"/>
      <w:r>
        <w:t>TITEL XXII TOURISMUS</w:t>
      </w:r>
      <w:bookmarkEnd w:id="246"/>
    </w:p>
    <w:p>
      <w:pPr>
        <w:pStyle w:val="Heading3"/>
      </w:pPr>
      <w:bookmarkStart w:id="247" w:name="b244"/>
      <w:r>
        <w:t>Art 195</w:t>
      </w:r>
      <w:r>
        <w:t xml:space="preserve"> </w:t>
      </w:r>
      <w:r>
        <w:rPr>
          <w:rStyle w:val="Suchmarke"/>
        </w:rPr>
        <w:t>#195.#</w:t>
      </w:r>
      <w:bookmarkEnd w:id="247"/>
    </w:p>
    <w:p>
      <w:r>
        <w:t>(1) Die Union ergänzt die Maßnahmen der Mitgliedstaaten im Tourismussektor, insbesondere durch die Förderung der Wettbewerbsfähigkeit der Unternehmen der Union in diesem Sektor.</w:t>
      </w:r>
    </w:p>
    <w:p>
      <w:r>
        <w:t>Die Union verfolgt zu diesem Zweck mit ihrer Tätigkeit das Ziel,</w:t>
      </w:r>
    </w:p>
    <w:p>
      <w:pPr>
        <w:tabs>
          <w:tab w:pos="567" w:val="left"/>
        </w:tabs>
        <w:ind w:left="567" w:hanging="567"/>
      </w:pPr>
      <w:r>
        <w:t>a)</w:t>
      </w:r>
      <w:r>
        <w:tab/>
      </w:r>
      <w:r>
        <w:t>die Schaffung eines günstigen Umfelds für die Entwicklung der Unternehmen in diesem Sektor anzuregen;</w:t>
      </w:r>
    </w:p>
    <w:p>
      <w:pPr>
        <w:tabs>
          <w:tab w:pos="567" w:val="left"/>
        </w:tabs>
        <w:ind w:left="567" w:hanging="567"/>
      </w:pPr>
      <w:r>
        <w:t>b)</w:t>
      </w:r>
      <w:r>
        <w:tab/>
      </w:r>
      <w:r>
        <w:t>die Zusammenarbeit zwischen den Mitgliedstaaten insbesondere durch den Austausch bewährter Praktiken zu unterstützen.</w:t>
      </w:r>
    </w:p>
    <w:p>
      <w:r>
        <w:t>(2) Das Europäische Parlament und der Rat erlassen unter Ausschluss jeglicher Harmonisierung der Rechtsvorschriften der Mitgliedstaaten gemäß dem ordentlichen Gesetzgebungsverfahren die spezifischen Maßnahmen zur Ergänzung der Maßnahmen, die die Mitgliedstaaten zur Verwirklichung der in diesem Artikel genannten Ziele durchführen.</w:t>
      </w:r>
    </w:p>
    <w:p>
      <w:pPr>
        <w:pStyle w:val="Heading2"/>
      </w:pPr>
      <w:bookmarkStart w:id="248" w:name="b245"/>
      <w:r>
        <w:t>TITEL XXIII KATASTROPHENSCHUTZ</w:t>
      </w:r>
      <w:bookmarkEnd w:id="248"/>
    </w:p>
    <w:p>
      <w:pPr>
        <w:pStyle w:val="Heading3"/>
      </w:pPr>
      <w:bookmarkStart w:id="249" w:name="b246"/>
      <w:r>
        <w:t>Art 196</w:t>
      </w:r>
      <w:r>
        <w:t xml:space="preserve"> </w:t>
      </w:r>
      <w:r>
        <w:rPr>
          <w:rStyle w:val="Suchmarke"/>
        </w:rPr>
        <w:t>#196.#</w:t>
      </w:r>
      <w:bookmarkEnd w:id="249"/>
    </w:p>
    <w:p>
      <w:r>
        <w:t>(1) Die Union fördert die Zusammenarbeit zwischen den Mitgliedstaaten, um die Systeme zur Verhütung von Naturkatastrophen oder von vom Menschen verursachten Katastrophen und zum Schutz vor solchen Katastrophen wirksamer zu gestalten.</w:t>
      </w:r>
    </w:p>
    <w:p>
      <w:r>
        <w:t>Die Tätigkeit der Union hat folgende Ziele:</w:t>
      </w:r>
    </w:p>
    <w:p>
      <w:pPr>
        <w:tabs>
          <w:tab w:pos="567" w:val="left"/>
        </w:tabs>
        <w:ind w:left="567" w:hanging="567"/>
      </w:pPr>
      <w:r>
        <w:t>a)</w:t>
      </w:r>
      <w:r>
        <w:tab/>
      </w:r>
      <w:r>
        <w:t>Unterstützung und Ergänzung der Tätigkeit der Mitgliedstaaten auf nationaler, regionaler und kommunaler Ebene im Hinblick auf die Risikoprävention, auf die Ausbildung der in den Mitgliedstaaten am Katastrophenschutz Beteiligten und auf Einsätze im Falle von Naturkatastrophen oder von vom Menschen verursachten Katastrophen in der Union;</w:t>
      </w:r>
    </w:p>
    <w:p>
      <w:pPr>
        <w:tabs>
          <w:tab w:pos="567" w:val="left"/>
        </w:tabs>
        <w:ind w:left="567" w:hanging="567"/>
      </w:pPr>
      <w:r>
        <w:t>b)</w:t>
      </w:r>
      <w:r>
        <w:tab/>
      </w:r>
      <w:r>
        <w:t>Förderung einer schnellen und effizienten Zusammenarbeit in der Union zwischen den einzelstaatlichen Katastrophenschutzstellen;</w:t>
      </w:r>
    </w:p>
    <w:p>
      <w:pPr>
        <w:tabs>
          <w:tab w:pos="567" w:val="left"/>
        </w:tabs>
        <w:ind w:left="567" w:hanging="567"/>
      </w:pPr>
      <w:r>
        <w:t>c)</w:t>
      </w:r>
      <w:r>
        <w:tab/>
      </w:r>
      <w:r>
        <w:t>Verbesserung der Kohärenz der Katastrophenschutzmaßnahmen auf internationaler Ebene.</w:t>
      </w:r>
    </w:p>
    <w:p>
      <w:r>
        <w:t>(2) Das Europäische Parlament und der Rat erlassen unter Ausschluss jeglicher Harmonisierung der Rechtsvorschriften der Mitgliedstaaten gemäß dem ordentlichen Gesetzgebungsverfahren die erforderlichen Maßnahmen zur Verfolgung der Ziele des Absatzes 1.</w:t>
      </w:r>
    </w:p>
    <w:p>
      <w:pPr>
        <w:pStyle w:val="Heading2"/>
      </w:pPr>
      <w:bookmarkStart w:id="250" w:name="b247"/>
      <w:r>
        <w:t>TITEL XXIV VERWALTUNGSZUSAMMENARBEIT</w:t>
      </w:r>
      <w:bookmarkEnd w:id="250"/>
    </w:p>
    <w:p>
      <w:pPr>
        <w:pStyle w:val="Heading3"/>
      </w:pPr>
      <w:bookmarkStart w:id="251" w:name="b248"/>
      <w:r>
        <w:t>Art 197</w:t>
      </w:r>
      <w:r>
        <w:t xml:space="preserve"> </w:t>
      </w:r>
      <w:r>
        <w:rPr>
          <w:rStyle w:val="Suchmarke"/>
        </w:rPr>
        <w:t>#197.#</w:t>
      </w:r>
      <w:bookmarkEnd w:id="251"/>
    </w:p>
    <w:p>
      <w:r>
        <w:t>(1) Die für das ordnungsgemäße Funktionieren der Union entscheidende effektive Durchführung des Unionsrechts durch die Mitgliedstaaten ist als Frage von gemeinsamem Interesse anzusehen.</w:t>
      </w:r>
    </w:p>
    <w:p>
      <w:r>
        <w:t xml:space="preserve">(2) </w:t>
      </w:r>
      <w:r>
        <w:rPr>
          <w:rStyle w:val="Satznummer"/>
        </w:rPr>
        <w:t>1</w:t>
      </w:r>
      <w:r>
        <w:t xml:space="preserve">Die Union kann die Mitgliedstaaten in ihren Bemühungen um eine Verbesserung der Fähigkeit ihrer Verwaltung zur Durchführung des Unionsrechts unterstützen. </w:t>
      </w:r>
      <w:r>
        <w:rPr>
          <w:rStyle w:val="Satznummer"/>
        </w:rPr>
        <w:t>2</w:t>
      </w:r>
      <w:r>
        <w:t xml:space="preserve">Dies kann insbesondere die Erleichterung des Austauschs von Informationen und von Beamten sowie die Unterstützung von Aus- und Weiterbildungsprogrammen beinhalten. </w:t>
      </w:r>
      <w:r>
        <w:rPr>
          <w:rStyle w:val="Satznummer"/>
        </w:rPr>
        <w:t>3</w:t>
      </w:r>
      <w:r>
        <w:t xml:space="preserve">Die Mitgliedstaaten müssen diese Unterstützung nicht in Anspruch nehmen. </w:t>
      </w:r>
      <w:r>
        <w:rPr>
          <w:rStyle w:val="Satznummer"/>
        </w:rPr>
        <w:t>4</w:t>
      </w:r>
      <w:r>
        <w:t>Das Europäische Parlament und der Rat erlassen die erforderlichen Maßnahmen unter Ausschluss jeglicher Harmonisierung der Rechtsvorschriften der Mitgliedstaaten durch Verordnungen gemäß dem ordentlichen Gesetzgebungsverfahren.</w:t>
      </w:r>
    </w:p>
    <w:p>
      <w:r>
        <w:t xml:space="preserve">(3) </w:t>
      </w:r>
      <w:r>
        <w:rPr>
          <w:rStyle w:val="Satznummer"/>
        </w:rPr>
        <w:t>1</w:t>
      </w:r>
      <w:r>
        <w:t xml:space="preserve">Dieser Artikel berührt weder die Verpflichtung der Mitgliedstaaten, das Unionsrecht durchzuführen, noch die Befugnisse und Pflichten der Kommission. </w:t>
      </w:r>
      <w:r>
        <w:rPr>
          <w:rStyle w:val="Satznummer"/>
        </w:rPr>
        <w:t>2</w:t>
      </w:r>
      <w:r>
        <w:t>Er berührt auch nicht die übrigen Bestimmungen der Verträge, in denen eine Verwaltungszusammenarbeit unter den Mitgliedstaaten sowie zwischen diesen und der Union vorgesehen ist.</w:t>
      </w:r>
    </w:p>
    <w:p>
      <w:pPr>
        <w:pStyle w:val="Heading1"/>
      </w:pPr>
      <w:bookmarkStart w:id="252" w:name="b249"/>
      <w:r>
        <w:t>VIERTER TEIL DIE ASSOZIIERUNG DER ÜBERSEEISCHEN LÄNDER UND HOHEITSGEBIETE</w:t>
      </w:r>
      <w:bookmarkEnd w:id="252"/>
    </w:p>
    <w:p>
      <w:pPr>
        <w:pStyle w:val="Heading2"/>
      </w:pPr>
      <w:bookmarkStart w:id="253" w:name="b250"/>
      <w:r>
        <w:t>Art 198</w:t>
      </w:r>
      <w:r>
        <w:t xml:space="preserve"> </w:t>
      </w:r>
      <w:r>
        <w:rPr>
          <w:rStyle w:val="Suchmarke"/>
        </w:rPr>
        <w:t>#198.#</w:t>
      </w:r>
      <w:bookmarkEnd w:id="253"/>
    </w:p>
    <w:p>
      <w:r>
        <w:rPr>
          <w:color w:val="404040"/>
          <w:sz w:val="21"/>
        </w:rPr>
        <w:t>(ex-Artikel 182 EGV)</w:t>
      </w:r>
    </w:p>
    <w:p>
      <w:r>
        <w:rPr>
          <w:rStyle w:val="Satznummer"/>
        </w:rPr>
        <w:t>1</w:t>
      </w:r>
      <w:r>
        <w:t xml:space="preserve">Die Mitgliedstaaten kommen überein, die außereuropäischen Länder und Hoheitsgebiete, die mit Dänemark, Frankreich, den Niederlanden und dem Vereinigten Königreich besondere Beziehungen unterhalten, der Union zu assoziieren. </w:t>
      </w:r>
      <w:r>
        <w:rPr>
          <w:rStyle w:val="Satznummer"/>
        </w:rPr>
        <w:t>2</w:t>
      </w:r>
      <w:r>
        <w:t>Diese Länder und Hoheitsgebiete, im Folgenden als "Länder und Hoheitsgebiete" bezeichnet, sind in Anhang II aufgeführt.</w:t>
      </w:r>
    </w:p>
    <w:p>
      <w:r>
        <w:t>Ziel der Assoziierung ist die Förderung der wirtschaftlichen und sozialen Entwicklung der Länder und Hoheitsgebiete und die Herstellung enger Wirtschaftsbeziehungen zwischen ihnen und der gesamten Union.</w:t>
      </w:r>
    </w:p>
    <w:p>
      <w:r>
        <w:t>Entsprechend den in der Präambel dieses Vertrags aufgestellten Grundsätzen soll die Assoziierung in erster Linie den Interessen der Einwohner dieser Länder und Hoheitsgebiete dienen und ihren Wohlstand fördern, um sie der von ihnen erstrebten wirtschaftlichen, sozialen und kulturellen Entwicklung entgegenzuführen.</w:t>
      </w:r>
    </w:p>
    <w:p>
      <w:pPr>
        <w:pStyle w:val="Heading2"/>
      </w:pPr>
      <w:bookmarkStart w:id="254" w:name="b251"/>
      <w:r>
        <w:t>Art 199</w:t>
      </w:r>
      <w:r>
        <w:t xml:space="preserve"> </w:t>
      </w:r>
      <w:r>
        <w:rPr>
          <w:rStyle w:val="Suchmarke"/>
        </w:rPr>
        <w:t>#199.#</w:t>
      </w:r>
      <w:bookmarkEnd w:id="254"/>
    </w:p>
    <w:p>
      <w:r>
        <w:rPr>
          <w:color w:val="404040"/>
          <w:sz w:val="21"/>
        </w:rPr>
        <w:t>(ex-Artikel 183 EGV)</w:t>
      </w:r>
    </w:p>
    <w:p>
      <w:r>
        <w:t>Mit der Assoziierung werden folgende Zwecke verfolgt:</w:t>
      </w:r>
    </w:p>
    <w:p>
      <w:pPr>
        <w:tabs>
          <w:tab w:pos="567" w:val="left"/>
        </w:tabs>
        <w:ind w:left="567" w:hanging="567"/>
      </w:pPr>
      <w:r>
        <w:t>1.</w:t>
      </w:r>
      <w:r>
        <w:tab/>
      </w:r>
      <w:r>
        <w:t>Die Mitgliedstaaten wenden auf ihren Handelsverkehr mit den Ländern und Hoheitsgebieten das System an, das sie aufgrund der Verträge untereinander anwenden.</w:t>
      </w:r>
    </w:p>
    <w:p>
      <w:pPr>
        <w:tabs>
          <w:tab w:pos="567" w:val="left"/>
        </w:tabs>
        <w:ind w:left="567" w:hanging="567"/>
      </w:pPr>
      <w:r>
        <w:t>2.</w:t>
      </w:r>
      <w:r>
        <w:tab/>
      </w:r>
      <w:r>
        <w:t>Jedes Land oder Hoheitsgebiet wendet auf seinen Handelsverkehr mit den Mitgliedstaaten und den anderen Ländern und Hoheitsgebieten das System an, das es auf den europäischen Staat anwendet, mit dem es besondere Beziehungen unterhält.</w:t>
      </w:r>
    </w:p>
    <w:p>
      <w:pPr>
        <w:tabs>
          <w:tab w:pos="567" w:val="left"/>
        </w:tabs>
        <w:ind w:left="567" w:hanging="567"/>
      </w:pPr>
      <w:r>
        <w:t>3.</w:t>
      </w:r>
      <w:r>
        <w:tab/>
      </w:r>
      <w:r>
        <w:t>Die Mitgliedstaaten beteiligen sich an den Investitionen, welche die fortschreitende Entwicklung dieser Länder und Hoheitsgebiete erfordert.</w:t>
      </w:r>
    </w:p>
    <w:p>
      <w:pPr>
        <w:tabs>
          <w:tab w:pos="567" w:val="left"/>
        </w:tabs>
        <w:ind w:left="567" w:hanging="567"/>
      </w:pPr>
      <w:r>
        <w:t>4.</w:t>
      </w:r>
      <w:r>
        <w:tab/>
      </w:r>
      <w:r>
        <w:t>Bei Ausschreibungen und Lieferungen für Investitionen, die von der Union finanziert werden, steht die Beteiligung zu gleichen Bedingungen allen natürlichen und juristischen Personen offen, welche die Staatsangehörigkeit der Mitgliedstaaten oder der Länder oder Hoheitsgebiete besitzen.</w:t>
      </w:r>
    </w:p>
    <w:p>
      <w:pPr>
        <w:tabs>
          <w:tab w:pos="567" w:val="left"/>
        </w:tabs>
        <w:ind w:left="567" w:hanging="567"/>
      </w:pPr>
      <w:r>
        <w:t>5.</w:t>
      </w:r>
      <w:r>
        <w:tab/>
      </w:r>
      <w:r>
        <w:t xml:space="preserve">Soweit aufgrund des </w:t>
      </w:r>
      <w:hyperlink w:anchor="b255" w:history="1">
        <w:r>
          <w:rPr>
            <w:color w:val="0A3A8C"/>
            <w:u w:val="single"/>
          </w:rPr>
          <w:t xml:space="preserve">Artikels 203</w:t>
        </w:r>
      </w:hyperlink>
      <w:r>
        <w:t xml:space="preserve"> nicht Sonderregelungen getroffen werden, gelten zwischen den Mitgliedstaaten und den Ländern und Hoheitsgebieten für das Niederlassungsrecht ihrer Staatsangehörigen und Gesellschaften die Bestimmungen und Verfahrensregeln des Kapitels Niederlassungsfreiheit, und zwar unter Ausschluss jeder Diskriminierung.</w:t>
      </w:r>
    </w:p>
    <w:p>
      <w:pPr>
        <w:pStyle w:val="Heading2"/>
      </w:pPr>
      <w:bookmarkStart w:id="255" w:name="b252"/>
      <w:r>
        <w:t>Art 200</w:t>
      </w:r>
      <w:r>
        <w:t xml:space="preserve"> </w:t>
      </w:r>
      <w:r>
        <w:rPr>
          <w:rStyle w:val="Suchmarke"/>
        </w:rPr>
        <w:t>#200.#</w:t>
      </w:r>
      <w:bookmarkEnd w:id="255"/>
    </w:p>
    <w:p>
      <w:r>
        <w:rPr>
          <w:color w:val="404040"/>
          <w:sz w:val="21"/>
        </w:rPr>
        <w:t>(ex-Artikel 184 EGV)</w:t>
      </w:r>
    </w:p>
    <w:p>
      <w:r>
        <w:t>(1) Zölle bei der Einfuhr von Waren aus den Ländern und Hoheitsgebieten in die Mitgliedstaaten sind verboten; dies geschieht nach Maßgabe des in den Verträgen vorgesehenen Verbots von Zöllen zwischen den Mitgliedstaaten.</w:t>
      </w:r>
    </w:p>
    <w:p>
      <w:r>
        <w:t xml:space="preserve">(2) In jedem Land und Hoheitsgebiet sind Zölle bei der Einfuhr von Waren aus den Mitgliedstaaten und den anderen Ländern und Hoheitsgebieten nach Maßgabe des </w:t>
      </w:r>
      <w:hyperlink w:anchor="b38" w:history="1">
        <w:r>
          <w:rPr>
            <w:color w:val="0A3A8C"/>
            <w:u w:val="single"/>
          </w:rPr>
          <w:t xml:space="preserve">Artikels 30</w:t>
        </w:r>
      </w:hyperlink>
      <w:r>
        <w:t xml:space="preserve"> verboten.</w:t>
      </w:r>
    </w:p>
    <w:p>
      <w:r>
        <w:t>(3) Die Länder und Hoheitsgebiete können jedoch Zölle erheben, die den Erfordernissen ihrer Entwicklung und Industrialisierung entsprechen oder als Finanzzölle der Finanzierung ihres Haushalts dienen.</w:t>
      </w:r>
    </w:p>
    <w:p>
      <w:r>
        <w:t>Die in Unterabsatz 1 genannten Zölle dürfen nicht höher sein als diejenigen, die für die Einfuhr von Waren aus dem Mitgliedstaat gelten, mit dem das entsprechende Land oder Hoheitsgebiet besondere Beziehungen unterhält.</w:t>
      </w:r>
    </w:p>
    <w:p>
      <w:r>
        <w:t>(4) Absatz 2 gilt nicht für die Länder und Hoheitsgebiete, die aufgrund besonderer internationaler Verpflichtungen bereits einen nichtdiskriminierenden Zolltarif anwenden.</w:t>
      </w:r>
    </w:p>
    <w:p>
      <w:r>
        <w:t>(5) Die Festlegung oder Änderung der Zollsätze für Waren, die in die Länder und Hoheitsgebiete eingeführt werden, darf weder rechtlich noch tatsächlich zu einer mittelbaren oder unmittelbaren Diskriminierung zwischen den Einfuhren aus den einzelnen Mitgliedstaaten führen.</w:t>
      </w:r>
    </w:p>
    <w:p>
      <w:pPr>
        <w:pStyle w:val="Heading2"/>
      </w:pPr>
      <w:bookmarkStart w:id="256" w:name="b253"/>
      <w:r>
        <w:t>Art 201</w:t>
      </w:r>
      <w:r>
        <w:t xml:space="preserve"> </w:t>
      </w:r>
      <w:r>
        <w:rPr>
          <w:rStyle w:val="Suchmarke"/>
        </w:rPr>
        <w:t>#201.#</w:t>
      </w:r>
      <w:bookmarkEnd w:id="256"/>
    </w:p>
    <w:p>
      <w:r>
        <w:rPr>
          <w:color w:val="404040"/>
          <w:sz w:val="21"/>
        </w:rPr>
        <w:t>(ex-Artikel 185 EGV)</w:t>
      </w:r>
    </w:p>
    <w:p>
      <w:r>
        <w:t xml:space="preserve">Ist die Höhe der Zollsätze, die bei der Einfuhr in ein Land oder Hoheitsgebiet für Waren aus einem dritten Land gelten, bei Anwendung des </w:t>
      </w:r>
      <w:hyperlink w:anchor="b252" w:history="1">
        <w:r>
          <w:rPr>
            <w:color w:val="0A3A8C"/>
            <w:u w:val="single"/>
          </w:rPr>
          <w:t xml:space="preserve">Artikels 200</w:t>
        </w:r>
      </w:hyperlink>
      <w:r>
        <w:t xml:space="preserve"> Absatz 1 geeignet, Verkehrsverlagerungen zum Nachteil eines Mitgliedstaats hervorzurufen, so kann dieser die Kommission ersuchen, den anderen Mitgliedstaaten die erforderlichen Abhilfemaßnahmen vorzuschlagen.</w:t>
      </w:r>
    </w:p>
    <w:p>
      <w:pPr>
        <w:pStyle w:val="Heading2"/>
      </w:pPr>
      <w:bookmarkStart w:id="257" w:name="b254"/>
      <w:r>
        <w:t>Art 202</w:t>
      </w:r>
      <w:r>
        <w:t xml:space="preserve"> </w:t>
      </w:r>
      <w:r>
        <w:rPr>
          <w:rStyle w:val="Suchmarke"/>
        </w:rPr>
        <w:t>#202.#</w:t>
      </w:r>
      <w:bookmarkEnd w:id="257"/>
    </w:p>
    <w:p>
      <w:r>
        <w:rPr>
          <w:color w:val="404040"/>
          <w:sz w:val="21"/>
        </w:rPr>
        <w:t>(ex-Artikel 186 EGV)</w:t>
      </w:r>
    </w:p>
    <w:p>
      <w:r>
        <w:t xml:space="preserve">Vorbehaltlich der Bestimmungen über die Volksgesundheit und die öffentliche Sicherheit und Ordnung werden für die Freizügigkeit der Arbeitskräfte aus den Ländern und Hoheitsgebieten in den Mitgliedstaaten und der Arbeitskräfte aus den Mitgliedstaaten in den Ländern und Hoheitsgebieten Rechtsakte nach </w:t>
      </w:r>
      <w:hyperlink w:anchor="b255" w:history="1">
        <w:r>
          <w:rPr>
            <w:color w:val="0A3A8C"/>
            <w:u w:val="single"/>
          </w:rPr>
          <w:t xml:space="preserve">Artikel 203</w:t>
        </w:r>
      </w:hyperlink>
      <w:r>
        <w:t xml:space="preserve"> erlassen.</w:t>
      </w:r>
    </w:p>
    <w:p>
      <w:pPr>
        <w:pStyle w:val="Heading2"/>
      </w:pPr>
      <w:bookmarkStart w:id="258" w:name="b255"/>
      <w:r>
        <w:t>Art 203</w:t>
      </w:r>
      <w:r>
        <w:t xml:space="preserve"> </w:t>
      </w:r>
      <w:r>
        <w:rPr>
          <w:rStyle w:val="Suchmarke"/>
        </w:rPr>
        <w:t>#203.#</w:t>
      </w:r>
      <w:bookmarkEnd w:id="258"/>
    </w:p>
    <w:p>
      <w:r>
        <w:rPr>
          <w:color w:val="404040"/>
          <w:sz w:val="21"/>
        </w:rPr>
        <w:t>(ex-Artikel 187 EGV)</w:t>
      </w:r>
    </w:p>
    <w:p>
      <w:r>
        <w:rPr>
          <w:rStyle w:val="Satznummer"/>
        </w:rPr>
        <w:t>1</w:t>
      </w:r>
      <w:r>
        <w:t xml:space="preserve">Der Rat erlässt einstimmig auf Vorschlag der Kommission und aufgrund der im Rahmen der Assoziierung der Länder und Hoheitsgebiete an die Union erzielten Ergebnisse und der Grundsätze der Verträge die Bestimmungen über die Einzelheiten und das Verfahren für die Assoziierung der Länder und Hoheitsgebiete an die Union. </w:t>
      </w:r>
      <w:r>
        <w:rPr>
          <w:rStyle w:val="Satznummer"/>
        </w:rPr>
        <w:t>2</w:t>
      </w:r>
      <w:r>
        <w:t>Werden diese Bestimmungen vom Rat gemäß einem besonderen Gesetzgebungsverfahren angenommen, so beschließt er einstimmig auf Vorschlag der Kommission nach Anhörung des Europäischen Parlaments.</w:t>
      </w:r>
    </w:p>
    <w:p>
      <w:pPr>
        <w:pStyle w:val="Heading2"/>
      </w:pPr>
      <w:bookmarkStart w:id="259" w:name="b256"/>
      <w:r>
        <w:t>Art 204</w:t>
      </w:r>
      <w:r>
        <w:t xml:space="preserve"> </w:t>
      </w:r>
      <w:r>
        <w:rPr>
          <w:rStyle w:val="Suchmarke"/>
        </w:rPr>
        <w:t>#204.#</w:t>
      </w:r>
      <w:bookmarkEnd w:id="259"/>
    </w:p>
    <w:p>
      <w:r>
        <w:rPr>
          <w:color w:val="404040"/>
          <w:sz w:val="21"/>
        </w:rPr>
        <w:t>(ex-Artikel 188 EGV)</w:t>
      </w:r>
    </w:p>
    <w:p>
      <w:r>
        <w:t xml:space="preserve">Die </w:t>
      </w:r>
      <w:hyperlink w:anchor="b250" w:history="1">
        <w:r>
          <w:rPr>
            <w:color w:val="0A3A8C"/>
            <w:u w:val="single"/>
          </w:rPr>
          <w:t xml:space="preserve">Artikel 198</w:t>
        </w:r>
      </w:hyperlink>
      <w:r>
        <w:t xml:space="preserve"> bis </w:t>
      </w:r>
      <w:hyperlink w:anchor="b255" w:history="1">
        <w:r>
          <w:rPr>
            <w:color w:val="0A3A8C"/>
            <w:u w:val="single"/>
          </w:rPr>
          <w:t xml:space="preserve">203</w:t>
        </w:r>
      </w:hyperlink>
      <w:r>
        <w:t xml:space="preserve"> sind auf Grönland anwendbar, vorbehaltlich der spezifischen Bestimmungen für Grönland in dem Protokoll über die Sonderregelung für Grönland im Anhang zu den Verträgen.</w:t>
      </w:r>
    </w:p>
    <w:p>
      <w:pPr>
        <w:pStyle w:val="Heading1"/>
      </w:pPr>
      <w:bookmarkStart w:id="260" w:name="b257"/>
      <w:r>
        <w:t>FÜNFTER TEIL DAS AUSWÄRTIGE HANDELN DER UNION</w:t>
      </w:r>
      <w:bookmarkEnd w:id="260"/>
    </w:p>
    <w:p>
      <w:pPr>
        <w:pStyle w:val="Heading2"/>
      </w:pPr>
      <w:bookmarkStart w:id="261" w:name="b258"/>
      <w:r>
        <w:t>TITEL I ALLGEMEINE BESTIMMUNGEN ÜBER DAS AUSWÄRTIGE HANDELN DER UNION</w:t>
      </w:r>
      <w:bookmarkEnd w:id="261"/>
    </w:p>
    <w:p>
      <w:pPr>
        <w:pStyle w:val="Heading3"/>
      </w:pPr>
      <w:bookmarkStart w:id="262" w:name="b259"/>
      <w:r>
        <w:t>Art 205</w:t>
      </w:r>
      <w:r>
        <w:t xml:space="preserve"> </w:t>
      </w:r>
      <w:r>
        <w:rPr>
          <w:rStyle w:val="Suchmarke"/>
        </w:rPr>
        <w:t>#205.#</w:t>
      </w:r>
      <w:bookmarkEnd w:id="262"/>
    </w:p>
    <w:p>
      <w:r>
        <w:t>Das Handeln der Union auf internationaler Ebene im Rahmen dieses Teils wird von den Grundsätzen bestimmt, von den Zielen geleitet und an den allgemeinen Bestimmungen ausgerichtet, die in Titel V Kapitel 1 des Vertrags über die Europäische Union niedergelegt sind.</w:t>
      </w:r>
    </w:p>
    <w:p>
      <w:pPr>
        <w:pStyle w:val="Heading2"/>
      </w:pPr>
      <w:bookmarkStart w:id="263" w:name="b260"/>
      <w:r>
        <w:t>TITEL II GEMEINSAME HANDELSPOLITIK</w:t>
      </w:r>
      <w:bookmarkEnd w:id="263"/>
    </w:p>
    <w:p>
      <w:pPr>
        <w:pStyle w:val="Heading3"/>
      </w:pPr>
      <w:bookmarkStart w:id="264" w:name="b261"/>
      <w:r>
        <w:t>Art 206</w:t>
      </w:r>
      <w:r>
        <w:t xml:space="preserve"> </w:t>
      </w:r>
      <w:r>
        <w:rPr>
          <w:rStyle w:val="Suchmarke"/>
        </w:rPr>
        <w:t>#206.#</w:t>
      </w:r>
      <w:bookmarkEnd w:id="264"/>
    </w:p>
    <w:p>
      <w:r>
        <w:rPr>
          <w:color w:val="404040"/>
          <w:sz w:val="21"/>
        </w:rPr>
        <w:t>(ex-Artikel 131 EGV)</w:t>
      </w:r>
    </w:p>
    <w:p>
      <w:r>
        <w:t xml:space="preserve">Durch die Schaffung einer Zollunion nach den </w:t>
      </w:r>
      <w:hyperlink w:anchor="b35" w:history="1">
        <w:r>
          <w:rPr>
            <w:color w:val="0A3A8C"/>
            <w:u w:val="single"/>
          </w:rPr>
          <w:t xml:space="preserve">Artikeln 28</w:t>
        </w:r>
      </w:hyperlink>
      <w:r>
        <w:t xml:space="preserve"> bis </w:t>
      </w:r>
      <w:hyperlink w:anchor="b40" w:history="1">
        <w:r>
          <w:rPr>
            <w:color w:val="0A3A8C"/>
            <w:u w:val="single"/>
          </w:rPr>
          <w:t xml:space="preserve">32</w:t>
        </w:r>
      </w:hyperlink>
      <w:r>
        <w:t xml:space="preserve"> trägt die Union im gemeinsamen Interesse zur harmonischen Entwicklung des Welthandels, zur schrittweisen Beseitigung der Beschränkungen im internationalen Handelsverkehr und bei den ausländischen Direktinvestitionen sowie zum Abbau der Zollschranken und anderer Schranken bei.</w:t>
      </w:r>
    </w:p>
    <w:p>
      <w:pPr>
        <w:pStyle w:val="Heading3"/>
      </w:pPr>
      <w:bookmarkStart w:id="265" w:name="b262"/>
      <w:r>
        <w:t>Art 207</w:t>
      </w:r>
      <w:r>
        <w:t xml:space="preserve"> </w:t>
      </w:r>
      <w:r>
        <w:rPr>
          <w:rStyle w:val="Suchmarke"/>
        </w:rPr>
        <w:t>#207.#</w:t>
      </w:r>
      <w:bookmarkEnd w:id="265"/>
    </w:p>
    <w:p>
      <w:r>
        <w:rPr>
          <w:color w:val="404040"/>
          <w:sz w:val="21"/>
        </w:rPr>
        <w:t>(ex-Artikel 133 EGV)</w:t>
      </w:r>
    </w:p>
    <w:p>
      <w:r>
        <w:t xml:space="preserve">(1) </w:t>
      </w:r>
      <w:r>
        <w:rPr>
          <w:rStyle w:val="Satznummer"/>
        </w:rPr>
        <w:t>1</w:t>
      </w:r>
      <w:r>
        <w:t xml:space="preserve">Die gemeinsame Handelspolitik wird nach einheitlichen Grundsätzen gestaltet; dies gilt insbesondere für die Änderung von Zollsätzen, für den Abschluss von Zoll- und Handelsabkommen, die den Handel mit Waren und Dienstleistungen betreffen, und für die Handelsaspekte des geistigen Eigentums, die ausländischen Direktinvestitionen, die Vereinheitlichung der Liberalisierungsmaßnahmen, die Ausfuhrpolitik sowie die handelspolitischen Schutzmaßnahmen, zum Beispiel im Fall von Dumping und Subventionen. </w:t>
      </w:r>
      <w:r>
        <w:rPr>
          <w:rStyle w:val="Satznummer"/>
        </w:rPr>
        <w:t>2</w:t>
      </w:r>
      <w:r>
        <w:t>Die gemeinsame Handelspolitik wird im Rahmen der Grundsätze und Ziele des auswärtigen Handelns der Union gestaltet.</w:t>
      </w:r>
    </w:p>
    <w:p>
      <w:r>
        <w:t>(2) Das Europäische Parlament und der Rat erlassen durch Verordnungen gemäß dem ordentlichen Gesetzgebungsverfahren die Maßnahmen, mit denen der Rahmen für die Umsetzung der gemeinsamen Handelspolitik bestimmt wird.</w:t>
      </w:r>
    </w:p>
    <w:p>
      <w:r>
        <w:t xml:space="preserve">(3) Sind mit einem oder mehreren Drittländern oder internationalen Organisationen Abkommen auszuhandeln und zu schließen, so findet </w:t>
      </w:r>
      <w:hyperlink w:anchor="b279" w:history="1">
        <w:r>
          <w:rPr>
            <w:color w:val="0A3A8C"/>
            <w:u w:val="single"/>
          </w:rPr>
          <w:t xml:space="preserve">Artikel 218</w:t>
        </w:r>
      </w:hyperlink>
      <w:r>
        <w:t xml:space="preserve"> vorbehaltlich der besonderen Bestimmungen dieses Artikels Anwendung.</w:t>
      </w:r>
    </w:p>
    <w:p>
      <w:r>
        <w:rPr>
          <w:rStyle w:val="Satznummer"/>
        </w:rPr>
        <w:t>1</w:t>
      </w:r>
      <w:r>
        <w:t xml:space="preserve">Die Kommission legt dem Rat Empfehlungen vor; dieser ermächtigt die Kommission zur Aufnahme der erforderlichen Verhandlungen. </w:t>
      </w:r>
      <w:r>
        <w:rPr>
          <w:rStyle w:val="Satznummer"/>
        </w:rPr>
        <w:t>2</w:t>
      </w:r>
      <w:r>
        <w:t>Der Rat und die Kommission haben dafür Sorge zu tragen, dass die ausgehandelten Abkommen mit der internen Politik und den internen Vorschriften der Union vereinbar sind.</w:t>
      </w:r>
    </w:p>
    <w:p>
      <w:r>
        <w:rPr>
          <w:rStyle w:val="Satznummer"/>
        </w:rPr>
        <w:t>1</w:t>
      </w:r>
      <w:r>
        <w:t xml:space="preserve">Die Kommission führt diese Verhandlungen im Benehmen mit einem zu ihrer Unterstützung vom Rat bestellten Sonderausschuss und nach Maßgabe der Richtlinien, die ihr der Rat erteilen kann. </w:t>
      </w:r>
      <w:r>
        <w:rPr>
          <w:rStyle w:val="Satznummer"/>
        </w:rPr>
        <w:t>2</w:t>
      </w:r>
      <w:r>
        <w:t>Die Kommission erstattet dem Sonderausschuss sowie dem Europäischen Parlament regelmäßig Bericht über den Stand der Verhandlungen.</w:t>
      </w:r>
    </w:p>
    <w:p>
      <w:r>
        <w:t>(4) Über die Aushandlung und den Abschluss der in Absatz 3 genannten Abkommen beschließt der Rat mit qualifizierter Mehrheit.</w:t>
      </w:r>
    </w:p>
    <w:p>
      <w:r>
        <w:t>Über die Aushandlung und den Abschluss eines Abkommens über den Dienstleistungsverkehr, über Handelsaspekte des geistigen Eigentums oder über ausländische Direktinvestitionen beschließt der Rat einstimmig, wenn das betreffende Abkommen Bestimmungen enthält, bei denen für die Annahme interner Vorschriften Einstimmigkeit erforderlich ist.</w:t>
      </w:r>
    </w:p>
    <w:p>
      <w:r>
        <w:t>Der Rat beschließt ebenfalls einstimmig über die Aushandlung und den Abschluss von Abkommen in den folgenden Bereichen:</w:t>
      </w:r>
    </w:p>
    <w:p>
      <w:pPr>
        <w:tabs>
          <w:tab w:pos="567" w:val="left"/>
        </w:tabs>
        <w:ind w:left="567" w:hanging="567"/>
      </w:pPr>
      <w:r>
        <w:t>a)</w:t>
      </w:r>
      <w:r>
        <w:tab/>
      </w:r>
      <w:r>
        <w:t>Handel mit kulturellen und audiovisuellen Dienstleistungen, wenn diese Abkommen die kulturelle und sprachliche Vielfalt in der Union beeinträchtigen könnten;</w:t>
      </w:r>
    </w:p>
    <w:p>
      <w:pPr>
        <w:tabs>
          <w:tab w:pos="567" w:val="left"/>
        </w:tabs>
        <w:ind w:left="567" w:hanging="567"/>
      </w:pPr>
      <w:r>
        <w:t>b)</w:t>
      </w:r>
      <w:r>
        <w:tab/>
      </w:r>
      <w:r>
        <w:t>Handel mit Dienstleistungen des Sozial-, des Bildungs- und des Gesundheitssektors, wenn diese Abkommen die einzelstaatliche Organisation dieser Dienstleistungen ernsthaft stören und die Verantwortlichkeit der Mitgliedstaaten für ihre Erbringung beinträchtigen könnten.</w:t>
      </w:r>
    </w:p>
    <w:p>
      <w:r>
        <w:t xml:space="preserve">(5) Für die Aushandlung und den Abschluss von internationalen Abkommen im Bereich des Verkehrs gelten der Dritte Teil Titel VI sowie </w:t>
      </w:r>
      <w:hyperlink w:anchor="b279" w:history="1">
        <w:r>
          <w:rPr>
            <w:color w:val="0A3A8C"/>
            <w:u w:val="single"/>
          </w:rPr>
          <w:t xml:space="preserve">Artikel 218</w:t>
        </w:r>
      </w:hyperlink>
      <w:r>
        <w:t>.</w:t>
      </w:r>
    </w:p>
    <w:p>
      <w:r>
        <w:t>(6) Die Ausübung der durch diesen Artikel übertragenen Zuständigkeiten im Bereich der gemeinsamen Handelspolitik hat keine Auswirkungen auf die Abgrenzung der Zuständigkeiten zwischen der Union und den Mitgliedstaaten und führt nicht zu einer Harmonisierung der Rechtsvorschriften der Mitgliedstaaten, soweit eine solche Harmonisierung in den Verträgen ausgeschlossen wird.</w:t>
      </w:r>
    </w:p>
    <w:p>
      <w:pPr>
        <w:pStyle w:val="Heading2"/>
      </w:pPr>
      <w:bookmarkStart w:id="266" w:name="b263"/>
      <w:r>
        <w:t>TITEL III ZUSAMMENARBEIT MIT DRITTLÄNDERN UND HUMANITÄRE HILFE</w:t>
      </w:r>
      <w:bookmarkEnd w:id="266"/>
    </w:p>
    <w:p>
      <w:pPr>
        <w:pStyle w:val="Heading3"/>
      </w:pPr>
      <w:bookmarkStart w:id="267" w:name="b264"/>
      <w:r>
        <w:t>KAPITEL 1 ENTWICKLUNGSZUSAMMENARBEIT</w:t>
      </w:r>
      <w:bookmarkEnd w:id="267"/>
    </w:p>
    <w:p>
      <w:pPr>
        <w:pStyle w:val="Heading4"/>
      </w:pPr>
      <w:bookmarkStart w:id="268" w:name="b265"/>
      <w:r>
        <w:t>Art 208</w:t>
      </w:r>
      <w:r>
        <w:t xml:space="preserve"> </w:t>
      </w:r>
      <w:r>
        <w:rPr>
          <w:rStyle w:val="Suchmarke"/>
        </w:rPr>
        <w:t>#208.#</w:t>
      </w:r>
      <w:bookmarkEnd w:id="268"/>
    </w:p>
    <w:p>
      <w:r>
        <w:rPr>
          <w:color w:val="404040"/>
          <w:sz w:val="21"/>
        </w:rPr>
        <w:t>(ex-Artikel 177 EGV)</w:t>
      </w:r>
    </w:p>
    <w:p>
      <w:r>
        <w:t xml:space="preserve">(1) </w:t>
      </w:r>
      <w:r>
        <w:rPr>
          <w:rStyle w:val="Satznummer"/>
        </w:rPr>
        <w:t>1</w:t>
      </w:r>
      <w:r>
        <w:t xml:space="preserve">Die Politik der Union auf dem Gebiet der Entwicklungszusammenarbeit wird im Rahmen der Grundsätze und Ziele des auswärtigen Handelns der Union durchgeführt. </w:t>
      </w:r>
      <w:r>
        <w:rPr>
          <w:rStyle w:val="Satznummer"/>
        </w:rPr>
        <w:t>2</w:t>
      </w:r>
      <w:r>
        <w:t>Die Politik der Union und die Politik der Mitgliedstaaten auf dem Gebiet der Entwicklungszusammenarbeit ergänzen und verstärken sich gegenseitig.</w:t>
      </w:r>
    </w:p>
    <w:p>
      <w:r>
        <w:rPr>
          <w:rStyle w:val="Satznummer"/>
        </w:rPr>
        <w:t>1</w:t>
      </w:r>
      <w:r>
        <w:t xml:space="preserve">Hauptziel der Unionspolitik in diesem Bereich ist die Bekämpfung und auf längere Sicht die Beseitigung der Armut. </w:t>
      </w:r>
      <w:r>
        <w:rPr>
          <w:rStyle w:val="Satznummer"/>
        </w:rPr>
        <w:t>2</w:t>
      </w:r>
      <w:r>
        <w:t>Bei der Durchführung politischer Maßnahmen, die sich auf die Entwicklungsländer auswirken können, trägt die Union den Zielen der Entwicklungszusammenarbeit Rechnung.</w:t>
      </w:r>
    </w:p>
    <w:p>
      <w:r>
        <w:t>(2) Die Union und die Mitgliedstaaten kommen den im Rahmen der Vereinten Nationen und anderer zuständiger internationaler Organisationen gegebenen Zusagen nach und berücksichtigen die in diesem Rahmen gebilligten Zielsetzungen.</w:t>
      </w:r>
    </w:p>
    <w:p>
      <w:pPr>
        <w:pStyle w:val="Heading4"/>
      </w:pPr>
      <w:bookmarkStart w:id="269" w:name="b266"/>
      <w:r>
        <w:t>Art 209</w:t>
      </w:r>
      <w:r>
        <w:t xml:space="preserve"> </w:t>
      </w:r>
      <w:r>
        <w:rPr>
          <w:rStyle w:val="Suchmarke"/>
        </w:rPr>
        <w:t>#209.#</w:t>
      </w:r>
      <w:bookmarkEnd w:id="269"/>
    </w:p>
    <w:p>
      <w:r>
        <w:rPr>
          <w:color w:val="404040"/>
          <w:sz w:val="21"/>
        </w:rPr>
        <w:t>(ex-Artikel 179 EGV)</w:t>
      </w:r>
    </w:p>
    <w:p>
      <w:r>
        <w:t>(1) Das Europäische Parlament und der Rat erlassen gemäß dem ordentlichen Gesetzgebungsverfahren die zur Durchführung der Politik im Bereich der Entwicklungszusammenarbeit erforderlichen Maßnahmen; diese Maßnahmen können Mehrjahresprogramme für die Zusammenarbeit mit Entwicklungsländern oder thematische Programme betreffen.</w:t>
      </w:r>
    </w:p>
    <w:p>
      <w:r>
        <w:t xml:space="preserve">(2) Die Union kann mit Drittländern und den zuständigen internationalen Organisationen alle Übereinkünfte schließen, die zur Verwirklichung der Ziele des Artikels 21 des Vertrags über die Europäische Union und des </w:t>
      </w:r>
      <w:hyperlink w:anchor="b265" w:history="1">
        <w:r>
          <w:rPr>
            <w:color w:val="0A3A8C"/>
            <w:u w:val="single"/>
          </w:rPr>
          <w:t xml:space="preserve">Artikels 208</w:t>
        </w:r>
      </w:hyperlink>
      <w:r>
        <w:t xml:space="preserve"> dieses Vertrags beitragen.</w:t>
      </w:r>
    </w:p>
    <w:p>
      <w:r>
        <w:t>Unterabsatz 1 berührt nicht die Zuständigkeit der Mitgliedstaaten, in internationalen Gremien zu verhandeln und Übereinkünfte zu schließen.</w:t>
      </w:r>
    </w:p>
    <w:p>
      <w:r>
        <w:t>(3) Die Europäische Investitionsbank trägt nach Maßgabe ihrer Satzung zur Durchführung der Maßnahmen im Sinne des Absatzes 1 bei.</w:t>
      </w:r>
    </w:p>
    <w:p>
      <w:pPr>
        <w:pStyle w:val="Heading4"/>
      </w:pPr>
      <w:bookmarkStart w:id="270" w:name="b267"/>
      <w:r>
        <w:t>Art 210</w:t>
      </w:r>
      <w:r>
        <w:t xml:space="preserve"> </w:t>
      </w:r>
      <w:r>
        <w:rPr>
          <w:rStyle w:val="Suchmarke"/>
        </w:rPr>
        <w:t>#210.#</w:t>
      </w:r>
      <w:bookmarkEnd w:id="270"/>
    </w:p>
    <w:p>
      <w:r>
        <w:rPr>
          <w:color w:val="404040"/>
          <w:sz w:val="21"/>
        </w:rPr>
        <w:t>(ex-Artikel 180 EGV)</w:t>
      </w:r>
    </w:p>
    <w:p>
      <w:r>
        <w:t xml:space="preserve">(1) </w:t>
      </w:r>
      <w:r>
        <w:rPr>
          <w:rStyle w:val="Satznummer"/>
        </w:rPr>
        <w:t>1</w:t>
      </w:r>
      <w:r>
        <w:t xml:space="preserve">Die Union und die Mitgliedstaaten koordinieren ihre Politik auf dem Gebiet der Entwicklungszusammenarbeit und stimmen ihre Hilfsprogramme aufeinander ab, auch in internationalen Organisationen und auf internationalen Konferenzen, damit ihre Maßnahmen einander besser ergänzen und wirksamer sind. </w:t>
      </w:r>
      <w:r>
        <w:rPr>
          <w:rStyle w:val="Satznummer"/>
        </w:rPr>
        <w:t>2</w:t>
      </w:r>
      <w:r>
        <w:t xml:space="preserve">Sie können gemeinsame Maßnahmen ergreifen. </w:t>
      </w:r>
      <w:r>
        <w:rPr>
          <w:rStyle w:val="Satznummer"/>
        </w:rPr>
        <w:t>3</w:t>
      </w:r>
      <w:r>
        <w:t>Die Mitgliedstaaten tragen erforderlichenfalls zur Durchführung der Hilfsprogramme der Union bei.</w:t>
      </w:r>
    </w:p>
    <w:p>
      <w:r>
        <w:t>(2) Die Kommission kann alle Initiativen ergreifen, die der in Absatz 1 genannten Koordinierung förderlich sind.</w:t>
      </w:r>
    </w:p>
    <w:p>
      <w:pPr>
        <w:pStyle w:val="Heading4"/>
      </w:pPr>
      <w:bookmarkStart w:id="271" w:name="b268"/>
      <w:r>
        <w:t>Art 211</w:t>
      </w:r>
      <w:r>
        <w:t xml:space="preserve"> </w:t>
      </w:r>
      <w:r>
        <w:rPr>
          <w:rStyle w:val="Suchmarke"/>
        </w:rPr>
        <w:t>#211.#</w:t>
      </w:r>
      <w:bookmarkEnd w:id="271"/>
    </w:p>
    <w:p>
      <w:r>
        <w:rPr>
          <w:color w:val="404040"/>
          <w:sz w:val="21"/>
        </w:rPr>
        <w:t>(ex-Artikel 181 EGV)</w:t>
      </w:r>
    </w:p>
    <w:p>
      <w:r>
        <w:t>Die Union und die Mitgliedstaaten arbeiten im Rahmen ihrer jeweiligen Befugnisse mit dritten Ländern und den zuständigen internationalen Organisationen zusammen.</w:t>
      </w:r>
    </w:p>
    <w:p>
      <w:pPr>
        <w:pStyle w:val="Heading3"/>
      </w:pPr>
      <w:bookmarkStart w:id="272" w:name="b269"/>
      <w:r>
        <w:t>KAPITEL 2 WIRTSCHAFTLICHE, FINANZIELLE UND TECHNISCHE ZUSAMMENARBEIT MIT DRITTLÄNDERN</w:t>
      </w:r>
      <w:bookmarkEnd w:id="272"/>
    </w:p>
    <w:p>
      <w:pPr>
        <w:pStyle w:val="Heading4"/>
      </w:pPr>
      <w:bookmarkStart w:id="273" w:name="b270"/>
      <w:r>
        <w:t>Art 212</w:t>
      </w:r>
      <w:r>
        <w:t xml:space="preserve"> </w:t>
      </w:r>
      <w:r>
        <w:rPr>
          <w:rStyle w:val="Suchmarke"/>
        </w:rPr>
        <w:t>#212.#</w:t>
      </w:r>
      <w:bookmarkEnd w:id="273"/>
    </w:p>
    <w:p>
      <w:r>
        <w:rPr>
          <w:color w:val="404040"/>
          <w:sz w:val="21"/>
        </w:rPr>
        <w:t>(ex-Artikel 181a EGV)</w:t>
      </w:r>
    </w:p>
    <w:p>
      <w:r>
        <w:t xml:space="preserve">(1) </w:t>
      </w:r>
      <w:r>
        <w:rPr>
          <w:rStyle w:val="Satznummer"/>
        </w:rPr>
        <w:t>1</w:t>
      </w:r>
      <w:r>
        <w:t xml:space="preserve">Unbeschadet der übrigen Bestimmungen der Verträge, insbesondere der </w:t>
      </w:r>
      <w:hyperlink w:anchor="b265" w:history="1">
        <w:r>
          <w:rPr>
            <w:color w:val="0A3A8C"/>
            <w:u w:val="single"/>
          </w:rPr>
          <w:t xml:space="preserve">Artikel 208</w:t>
        </w:r>
      </w:hyperlink>
      <w:r>
        <w:t xml:space="preserve"> bis </w:t>
      </w:r>
      <w:hyperlink w:anchor="b268" w:history="1">
        <w:r>
          <w:rPr>
            <w:color w:val="0A3A8C"/>
            <w:u w:val="single"/>
          </w:rPr>
          <w:t xml:space="preserve">211</w:t>
        </w:r>
      </w:hyperlink>
      <w:r>
        <w:t xml:space="preserve">, führt die Union mit Drittländern, die keine Entwicklungsländer sind, Maßnahmen der wirtschaftlichen, finanziellen und technischen Zusammenarbeit durch, die auch Unterstützung, insbesondere im finanziellen Bereich, einschließen. </w:t>
      </w:r>
      <w:r>
        <w:rPr>
          <w:rStyle w:val="Satznummer"/>
        </w:rPr>
        <w:t>2</w:t>
      </w:r>
      <w:r>
        <w:t xml:space="preserve">Diese Maßnahmen stehen mit der Entwicklungspolitik der Union im Einklang und werden im Rahmen der Grundsätze und Ziele ihres auswärtigen Handelns durchgeführt. </w:t>
      </w:r>
      <w:r>
        <w:rPr>
          <w:rStyle w:val="Satznummer"/>
        </w:rPr>
        <w:t>3</w:t>
      </w:r>
      <w:r>
        <w:t>Die Maßnahmen der Union und die Maßnahmen der Mitgliedstaaten ergänzen und verstärken sich gegenseitig.</w:t>
      </w:r>
    </w:p>
    <w:p>
      <w:r>
        <w:t>(2) Das Europäische Parlament und der Rat erlassen gemäß dem ordentlichen Gesetzgebungsverfahren die zur Durchführung des Absatzes 1 erforderlichen Maßnahmen.</w:t>
      </w:r>
    </w:p>
    <w:p>
      <w:r>
        <w:t xml:space="preserve">(3) </w:t>
      </w:r>
      <w:r>
        <w:rPr>
          <w:rStyle w:val="Satznummer"/>
        </w:rPr>
        <w:t>1</w:t>
      </w:r>
      <w:r>
        <w:t xml:space="preserve">Die Union und die Mitgliedstaaten arbeiten im Rahmen ihrer jeweiligen Zuständigkeiten mit Drittländern und den zuständigen internationalen Organisationen zusammen. </w:t>
      </w:r>
      <w:r>
        <w:rPr>
          <w:rStyle w:val="Satznummer"/>
        </w:rPr>
        <w:t>2</w:t>
      </w:r>
      <w:r>
        <w:t>Die Einzelheiten der Zusammenarbeit der Union können in Abkommen zwischen dieser und den betreffenden dritten Parteien geregelt werden.</w:t>
      </w:r>
    </w:p>
    <w:p>
      <w:r>
        <w:t>Unterabsatz 1 berührt nicht die Zuständigkeit der Mitgliedstaaten, in internationalen Gremien zu verhandeln und internationale Abkommen zu schließen.</w:t>
      </w:r>
    </w:p>
    <w:p>
      <w:pPr>
        <w:pStyle w:val="Heading4"/>
      </w:pPr>
      <w:bookmarkStart w:id="274" w:name="b271"/>
      <w:r>
        <w:t>Art 213</w:t>
      </w:r>
      <w:r>
        <w:t xml:space="preserve"> </w:t>
      </w:r>
      <w:r>
        <w:rPr>
          <w:rStyle w:val="Suchmarke"/>
        </w:rPr>
        <w:t>#213.#</w:t>
      </w:r>
      <w:bookmarkEnd w:id="274"/>
    </w:p>
    <w:p>
      <w:r>
        <w:t>Ist es aufgrund der Lage in einem Drittland notwendig, dass die Union umgehend finanzielle Hilfe leistet, so erlässt der Rat auf Vorschlag der Kommission die erforderlichen Beschlüsse.</w:t>
      </w:r>
    </w:p>
    <w:p>
      <w:pPr>
        <w:pStyle w:val="Heading3"/>
      </w:pPr>
      <w:bookmarkStart w:id="275" w:name="b272"/>
      <w:r>
        <w:t>KAPITEL 3 HUMANITÄRE HILFE</w:t>
      </w:r>
      <w:bookmarkEnd w:id="275"/>
    </w:p>
    <w:p>
      <w:pPr>
        <w:pStyle w:val="Heading4"/>
      </w:pPr>
      <w:bookmarkStart w:id="276" w:name="b273"/>
      <w:r>
        <w:t>Art 214</w:t>
      </w:r>
      <w:r>
        <w:t xml:space="preserve"> </w:t>
      </w:r>
      <w:r>
        <w:rPr>
          <w:rStyle w:val="Suchmarke"/>
        </w:rPr>
        <w:t>#214.#</w:t>
      </w:r>
      <w:bookmarkEnd w:id="276"/>
    </w:p>
    <w:p>
      <w:r>
        <w:t xml:space="preserve">(1) </w:t>
      </w:r>
      <w:r>
        <w:rPr>
          <w:rStyle w:val="Satznummer"/>
        </w:rPr>
        <w:t>1</w:t>
      </w:r>
      <w:r>
        <w:t xml:space="preserve">Den Rahmen für die Maßnahmen der Union im Bereich der humanitären Hilfe bilden die Grundsätze und Ziele des auswärtigen Handelns der Union. </w:t>
      </w:r>
      <w:r>
        <w:rPr>
          <w:rStyle w:val="Satznummer"/>
        </w:rPr>
        <w:t>2</w:t>
      </w:r>
      <w:r>
        <w:t xml:space="preserve">Die Maßnahmen dienen dazu, Einwohnern von Drittländern, die von Naturkatastrophen oder von vom Menschen verursachten Katastrophen betroffen sind, gezielt Hilfe, Rettung und Schutz zu bringen, damit die aus diesen Notständen resultierenden humanitären Bedürfnisse gedeckt werden können. </w:t>
      </w:r>
      <w:r>
        <w:rPr>
          <w:rStyle w:val="Satznummer"/>
        </w:rPr>
        <w:t>3</w:t>
      </w:r>
      <w:r>
        <w:t>Die Maßnahmen der Union und die Maßnahmen der Mitgliedstaaten ergänzen und verstärken sich gegenseitig.</w:t>
      </w:r>
    </w:p>
    <w:p>
      <w:r>
        <w:t>(2) Die Maßnahmen der humanitären Hilfe werden im Einklang mit den Grundsätzen des Völkerrechts sowie den Grundsätzen der Unparteilichkeit, der Neutralität und der Nichtdiskriminierung durchgeführt.</w:t>
      </w:r>
    </w:p>
    <w:p>
      <w:r>
        <w:t>(3) Das Europäische Parlament und der Rat legen gemäß dem ordentlichen Gesetzgebungsverfahren die Maßnahmen zur Festlegung des Rahmens fest, innerhalb dessen die Maßnahmen der humanitären Hilfe der Union durchgeführt werden.</w:t>
      </w:r>
    </w:p>
    <w:p>
      <w:r>
        <w:t>(4) Die Union kann mit Drittländern und den zuständigen internationalen Organisationen alle Übereinkünfte schließen, die zur Verwirklichung der Ziele des Absatzes 1 und des Artikels 21 des Vertrags über die Europäische Union beitragen.</w:t>
      </w:r>
    </w:p>
    <w:p>
      <w:r>
        <w:t>Unterabsatz 1 berührt nicht die Zuständigkeit der Mitgliedstaaten, in internationalen Gremien zu verhandeln und Übereinkünfte zu schließen.</w:t>
      </w:r>
    </w:p>
    <w:p>
      <w:r>
        <w:t xml:space="preserve">(5) </w:t>
      </w:r>
      <w:r>
        <w:rPr>
          <w:rStyle w:val="Satznummer"/>
        </w:rPr>
        <w:t>1</w:t>
      </w:r>
      <w:r>
        <w:t xml:space="preserve">Als Rahmen für gemeinsame Beiträge der jungen Europäer zu den Maßnahmen der humanitären Hilfe der Union wird ein Europäisches Freiwilligenkorps für humanitäre Hilfe geschaffen. </w:t>
      </w:r>
      <w:r>
        <w:rPr>
          <w:rStyle w:val="Satznummer"/>
        </w:rPr>
        <w:t>2</w:t>
      </w:r>
      <w:r>
        <w:t>Das Europäische Parlament und der Rat legen gemäß dem ordentlichen Gesetzgebungsverfahren durch Verordnungen die Rechtsstellung und die Einzelheiten der Arbeitsweise des Korps fest.</w:t>
      </w:r>
    </w:p>
    <w:p>
      <w:r>
        <w:t>(6) Die Kommission kann alle Initiativen ergreifen, die der Koordinierung zwischen den Maßnahmen der Union und denen der Mitgliedstaaten förderlich sind, damit die Programme der Union und der Mitgliedstaaten im Bereich der humanitären Hilfe wirksamer sind und einander besser ergänzen.</w:t>
      </w:r>
    </w:p>
    <w:p>
      <w:r>
        <w:t>(7) Die Union trägt dafür Sorge, dass ihre Maßnahmen der humanitären Hilfe mit den Maßnahmen der internationalen Organisationen und Einrichtungen, insbesondere derer, die zum System der Vereinten Nationen gehören, abgestimmt werden und im Einklang mit ihnen stehen.</w:t>
      </w:r>
    </w:p>
    <w:p>
      <w:pPr>
        <w:pStyle w:val="Heading2"/>
      </w:pPr>
      <w:bookmarkStart w:id="277" w:name="b274"/>
      <w:r>
        <w:t>TITEL IV RESTRIKTIVE MASSNAHMEN</w:t>
      </w:r>
      <w:bookmarkEnd w:id="277"/>
    </w:p>
    <w:p>
      <w:pPr>
        <w:pStyle w:val="Heading3"/>
      </w:pPr>
      <w:bookmarkStart w:id="278" w:name="b275"/>
      <w:r>
        <w:t>Art 215</w:t>
      </w:r>
      <w:r>
        <w:t xml:space="preserve"> </w:t>
      </w:r>
      <w:r>
        <w:rPr>
          <w:rStyle w:val="Suchmarke"/>
        </w:rPr>
        <w:t>#215.#</w:t>
      </w:r>
      <w:bookmarkEnd w:id="278"/>
    </w:p>
    <w:p>
      <w:r>
        <w:rPr>
          <w:color w:val="404040"/>
          <w:sz w:val="21"/>
        </w:rPr>
        <w:t>(ex-Artikel 301 EGV)</w:t>
      </w:r>
    </w:p>
    <w:p>
      <w:r>
        <w:t xml:space="preserve">(1) </w:t>
      </w:r>
      <w:r>
        <w:rPr>
          <w:rStyle w:val="Satznummer"/>
        </w:rPr>
        <w:t>1</w:t>
      </w:r>
      <w:r>
        <w:t xml:space="preserve">Sieht ein nach Titel V Kapitel 2 des Vertrags über die Europäische Union erlassener Beschluss die Aussetzung, Einschränkung oder vollständige Einstellung der Wirtschafts- und Finanzbeziehungen zu einem oder mehreren Drittländern vor, so erlässt der Rat die erforderlichen Maßnahmen mit qualifizierter Mehrheit auf gemeinsamen Vorschlag des Hohen Vertreters der Union für Außen- und Sicherheitspolitik und der Kommission. </w:t>
      </w:r>
      <w:r>
        <w:rPr>
          <w:rStyle w:val="Satznummer"/>
        </w:rPr>
        <w:t>2</w:t>
      </w:r>
      <w:r>
        <w:t>Er unterrichtet hierüber das Europäische Parlament.</w:t>
      </w:r>
    </w:p>
    <w:p>
      <w:r>
        <w:t>(2) Sieht ein nach Titel V Kapitel 2 des Vertrags über die Europäische Union erlassener Beschluss dies vor, so kann der Rat nach dem Verfahren des Absatzes 1 restriktive Maßnahmen gegen natürliche oder juristische Personen sowie Gruppierungen oder nichtstaatliche Einheiten erlassen.</w:t>
      </w:r>
    </w:p>
    <w:p>
      <w:r>
        <w:t>(3) In den Rechtsakten nach diesem Artikel müssen die erforderlichen Bestimmungen über den Rechtsschutz vorgesehen sein.</w:t>
      </w:r>
    </w:p>
    <w:p>
      <w:pPr>
        <w:pStyle w:val="Heading2"/>
      </w:pPr>
      <w:bookmarkStart w:id="279" w:name="b276"/>
      <w:r>
        <w:t>TITEL V INTERNATIONALE ÜBEREINKÜNFTE</w:t>
      </w:r>
      <w:bookmarkEnd w:id="279"/>
    </w:p>
    <w:p>
      <w:pPr>
        <w:pStyle w:val="Heading3"/>
      </w:pPr>
      <w:bookmarkStart w:id="280" w:name="b277"/>
      <w:r>
        <w:t>Art 216</w:t>
      </w:r>
      <w:r>
        <w:t xml:space="preserve"> </w:t>
      </w:r>
      <w:r>
        <w:rPr>
          <w:rStyle w:val="Suchmarke"/>
        </w:rPr>
        <w:t>#216.#</w:t>
      </w:r>
      <w:bookmarkEnd w:id="280"/>
    </w:p>
    <w:p>
      <w:r>
        <w:t>(1) Die Union kann mit einem oder mehreren Drittländern oder einer oder mehreren internationalen Organisationen eine Übereinkunft schließen, wenn dies in den Verträgen vorgesehen ist oder wenn der Abschluss einer Übereinkunft im Rahmen der Politik der Union entweder zur Verwirklichung eines der in den Verträgen festgesetzten Ziele erforderlich oder in einem verbindlichen Rechtsakt der Union vorgesehen ist oder aber gemeinsame Vorschriften beeinträchtigen oder deren Anwendungsbereich ändern könnte.</w:t>
      </w:r>
    </w:p>
    <w:p>
      <w:r>
        <w:t>(2) Die von der Union geschlossenen Übereinkünfte binden die Organe der Union und die Mitgliedstaaten.</w:t>
      </w:r>
    </w:p>
    <w:p>
      <w:pPr>
        <w:pStyle w:val="Heading3"/>
      </w:pPr>
      <w:bookmarkStart w:id="281" w:name="b278"/>
      <w:r>
        <w:t>Art 217</w:t>
      </w:r>
      <w:r>
        <w:t xml:space="preserve"> </w:t>
      </w:r>
      <w:r>
        <w:rPr>
          <w:rStyle w:val="Suchmarke"/>
        </w:rPr>
        <w:t>#217.#</w:t>
      </w:r>
      <w:bookmarkEnd w:id="281"/>
    </w:p>
    <w:p>
      <w:r>
        <w:rPr>
          <w:color w:val="404040"/>
          <w:sz w:val="21"/>
        </w:rPr>
        <w:t>(ex-Artikel 310 EGV)</w:t>
      </w:r>
    </w:p>
    <w:p>
      <w:r>
        <w:t>Die Union kann mit einem oder mehreren Drittländern oder einer oder mehreren internationalen Organisationen Abkommen schließen, die eine Assoziierung mit gegenseitigen Rechten und Pflichten, gemeinsamem Vorgehen und besonderen Verfahren herstellen.</w:t>
      </w:r>
    </w:p>
    <w:p>
      <w:pPr>
        <w:pStyle w:val="Heading3"/>
      </w:pPr>
      <w:bookmarkStart w:id="282" w:name="b279"/>
      <w:r>
        <w:t>Art 218</w:t>
      </w:r>
      <w:r>
        <w:t xml:space="preserve"> </w:t>
      </w:r>
      <w:r>
        <w:rPr>
          <w:rStyle w:val="Suchmarke"/>
        </w:rPr>
        <w:t>#218.#</w:t>
      </w:r>
      <w:bookmarkEnd w:id="282"/>
    </w:p>
    <w:p>
      <w:r>
        <w:rPr>
          <w:color w:val="404040"/>
          <w:sz w:val="21"/>
        </w:rPr>
        <w:t>(ex-Artikel 300 EGV)</w:t>
      </w:r>
    </w:p>
    <w:p>
      <w:r>
        <w:t xml:space="preserve">(1) Unbeschadet der besonderen Bestimmungen des </w:t>
      </w:r>
      <w:hyperlink w:anchor="b262" w:history="1">
        <w:r>
          <w:rPr>
            <w:color w:val="0A3A8C"/>
            <w:u w:val="single"/>
          </w:rPr>
          <w:t xml:space="preserve">Artikels 207</w:t>
        </w:r>
      </w:hyperlink>
      <w:r>
        <w:t xml:space="preserve"> werden Übereinkünfte zwischen der Union und Drittländern oder internationalen Organisationen nach dem im Folgenden beschriebenen Verfahren ausgehandelt und geschlossen.</w:t>
      </w:r>
    </w:p>
    <w:p>
      <w:r>
        <w:t>(2) Der Rat erteilt eine Ermächtigung zur Aufnahme von Verhandlungen, legt Verhandlungsrichtlinien fest, genehmigt die Unterzeichnung und schließt die Übereinkünfte.</w:t>
      </w:r>
    </w:p>
    <w:p>
      <w:r>
        <w:t>(3) Die Kommission oder, wenn sich die geplante Übereinkunft ausschließlich oder hauptsächlich auf die Gemeinsame Außen- und Sicherheitspolitik bezieht, der Hohe Vertreter der Union für Außen- und Sicherheitspolitik legt dem Rat Empfehlungen vor; dieser erlässt einen Beschluss über die Ermächtigung zur Aufnahme von Verhandlungen und über die Benennung, je nach dem Gegenstand der geplanten Übereinkunft, des Verhandlungsführers oder des Leiters des Verhandlungsteams der Union.</w:t>
      </w:r>
    </w:p>
    <w:p>
      <w:r>
        <w:t>(4) Der Rat kann dem Verhandlungsführer Richtlinien erteilen und einen Sonderausschuss bestellen; die Verhandlungen sind im Benehmen mit diesem Ausschuss zu führen.</w:t>
      </w:r>
    </w:p>
    <w:p>
      <w:r>
        <w:t>(5) Der Rat erlässt auf Vorschlag des Verhandlungsführers einen Beschluss, mit dem die Unterzeichnung der Übereinkunft und gegebenenfalls deren vorläufige Anwendung vor dem Inkrafttreten genehmigt werden.</w:t>
      </w:r>
    </w:p>
    <w:p>
      <w:r>
        <w:t>(6) Der Rat erlässt auf Vorschlag des Verhandlungsführers einen Beschluss über den Abschluss der Übereinkunft.</w:t>
      </w:r>
    </w:p>
    <w:p>
      <w:r>
        <w:t>Mit Ausnahme der Übereinkünfte, die ausschließlich die Gemeinsame Außen- und Sicherheitspolitik betreffen, erlässt der Rat den Beschluss über den Abschluss der Übereinkunft</w:t>
      </w:r>
    </w:p>
    <w:p>
      <w:pPr>
        <w:tabs>
          <w:tab w:pos="567" w:val="left"/>
        </w:tabs>
        <w:ind w:left="567" w:hanging="567"/>
      </w:pPr>
      <w:r>
        <w:t>a)</w:t>
      </w:r>
      <w:r>
        <w:tab/>
      </w:r>
      <w:r>
        <w:t>nach Zustimmung des Europäischen Parlaments in folgenden Fällen:</w:t>
      </w:r>
    </w:p>
    <w:p>
      <w:pPr>
        <w:tabs>
          <w:tab w:pos="1134" w:val="left"/>
        </w:tabs>
        <w:ind w:left="1134" w:hanging="567"/>
      </w:pPr>
      <w:r>
        <w:t>i)</w:t>
      </w:r>
      <w:r>
        <w:tab/>
      </w:r>
      <w:r>
        <w:t>Assoziierungsabkommen;</w:t>
      </w:r>
    </w:p>
    <w:p>
      <w:pPr>
        <w:tabs>
          <w:tab w:pos="1134" w:val="left"/>
        </w:tabs>
        <w:ind w:left="1134" w:hanging="567"/>
      </w:pPr>
      <w:r>
        <w:t>ii)</w:t>
      </w:r>
      <w:r>
        <w:tab/>
      </w:r>
      <w:r>
        <w:t>Übereinkunft über den Beitritt der Union zur Europäischen Konvention zum Schutz der Menschenrechte und Grundfreiheiten;</w:t>
      </w:r>
    </w:p>
    <w:p>
      <w:pPr>
        <w:tabs>
          <w:tab w:pos="1134" w:val="left"/>
        </w:tabs>
        <w:ind w:left="1134" w:hanging="567"/>
      </w:pPr>
      <w:r>
        <w:t>iii)</w:t>
      </w:r>
      <w:r>
        <w:tab/>
      </w:r>
      <w:r>
        <w:t>Übereinkünfte, die durch die Einführung von Zusammenarbeitsverfahren einen besonderen institutionellen Rahmen schaffen;</w:t>
      </w:r>
    </w:p>
    <w:p>
      <w:pPr>
        <w:tabs>
          <w:tab w:pos="1134" w:val="left"/>
        </w:tabs>
        <w:ind w:left="1134" w:hanging="567"/>
      </w:pPr>
      <w:r>
        <w:t>iv)</w:t>
      </w:r>
      <w:r>
        <w:tab/>
      </w:r>
      <w:r>
        <w:t>Übereinkünfte mit erheblichen finanziellen Folgen für die Union;</w:t>
      </w:r>
    </w:p>
    <w:p>
      <w:pPr>
        <w:tabs>
          <w:tab w:pos="1134" w:val="left"/>
        </w:tabs>
        <w:ind w:left="1134" w:hanging="567"/>
      </w:pPr>
      <w:r>
        <w:t>v)</w:t>
      </w:r>
      <w:r>
        <w:tab/>
      </w:r>
      <w:r>
        <w:t>Übereinkünfte in Bereichen, für die entweder das ordentliche Gesetzgebungsverfahren oder, wenn die Zustimmung des Europäischen Parlaments erforderlich ist, das besondere Gesetzgebungsverfahren gilt.</w:t>
      </w:r>
    </w:p>
    <w:p>
      <w:pPr>
        <w:ind w:left="567"/>
      </w:pPr>
      <w:r>
        <w:rPr>
          <w:rStyle w:val="Satznummer"/>
        </w:rPr>
        <w:t>2</w:t>
      </w:r>
      <w:r>
        <w:t>Das Europäische Parlament und der Rat können in dringenden Fällen eine Frist für die Zustimmung vereinbaren.</w:t>
      </w:r>
    </w:p>
    <w:p>
      <w:pPr>
        <w:tabs>
          <w:tab w:pos="567" w:val="left"/>
        </w:tabs>
        <w:ind w:left="567" w:hanging="567"/>
      </w:pPr>
      <w:r>
        <w:t>b)</w:t>
      </w:r>
      <w:r>
        <w:tab/>
      </w:r>
      <w:r>
        <w:t xml:space="preserve">nach Anhörung des Europäischen Parlaments in den übrigen Fällen. </w:t>
      </w:r>
      <w:r>
        <w:rPr>
          <w:rStyle w:val="Satznummer"/>
        </w:rPr>
        <w:t>2</w:t>
      </w:r>
      <w:r>
        <w:t xml:space="preserve">Das Europäische Parlament gibt seine Stellungnahme innerhalb einer Frist ab, die der Rat entsprechend der Dringlichkeit festlegen kann. </w:t>
      </w:r>
      <w:r>
        <w:rPr>
          <w:rStyle w:val="Satznummer"/>
        </w:rPr>
        <w:t>3</w:t>
      </w:r>
      <w:r>
        <w:t>Ergeht innerhalb dieser Frist keine Stellungnahme, so kann der Rat einen Beschluss fassen.</w:t>
      </w:r>
    </w:p>
    <w:p>
      <w:r>
        <w:t xml:space="preserve">(7) </w:t>
      </w:r>
      <w:r>
        <w:rPr>
          <w:rStyle w:val="Satznummer"/>
        </w:rPr>
        <w:t>1</w:t>
      </w:r>
      <w:r>
        <w:t xml:space="preserve">Abweichend von den Absätzen 5, 6 und 9 kann der Rat den Verhandlungsführer bei Abschluss einer Übereinkunft ermächtigen, im Namen der Union Änderungen der Übereinkunft zu billigen, wenn die Übereinkunft vorsieht, dass diese Änderungen im Wege eines vereinfachten Verfahrens oder durch ein durch die Übereinkunft eingesetztes Gremium anzunehmen sind. </w:t>
      </w:r>
      <w:r>
        <w:rPr>
          <w:rStyle w:val="Satznummer"/>
        </w:rPr>
        <w:t>2</w:t>
      </w:r>
      <w:r>
        <w:t>Der Rat kann diese Ermächtigung gegebenenfalls mit besonderen Bedingungen verbinden.</w:t>
      </w:r>
    </w:p>
    <w:p>
      <w:r>
        <w:t>(8) Der Rat beschließt während des gesamten Verfahrens mit qualifizierter Mehrheit.</w:t>
      </w:r>
    </w:p>
    <w:p>
      <w:r>
        <w:rPr>
          <w:rStyle w:val="Satznummer"/>
        </w:rPr>
        <w:t>1</w:t>
      </w:r>
      <w:r>
        <w:t xml:space="preserve">Er beschließt jedoch einstimmig, wenn die Übereinkunft einen Bereich betrifft, in dem für den Erlass eines Rechtsakts der Union Einstimmigkeit erforderlich ist, sowie bei Assoziierungsabkommen und Übereinkünften nach </w:t>
      </w:r>
      <w:hyperlink w:anchor="b270" w:history="1">
        <w:r>
          <w:rPr>
            <w:color w:val="0A3A8C"/>
            <w:u w:val="single"/>
          </w:rPr>
          <w:t xml:space="preserve">Artikel 212</w:t>
        </w:r>
      </w:hyperlink>
      <w:r>
        <w:t xml:space="preserve"> mit beitrittswilligen Staaten. </w:t>
      </w:r>
      <w:r>
        <w:rPr>
          <w:rStyle w:val="Satznummer"/>
        </w:rPr>
        <w:t>2</w:t>
      </w:r>
      <w:r>
        <w:t>Auch über die Übereinkunft über den Beitritt der Union zur Europäischen Konvention zum Schutz der Menschenrechte und Grundfreiheiten beschließt der Rat einstimmig; der Beschluss zum Abschluss dieser Übereinkunft tritt in Kraft, nachdem die Mitgliedstaaten im Einklang mit ihren jeweiligen verfassungsrechtlichen Vorschriften zugestimmt haben.</w:t>
      </w:r>
    </w:p>
    <w:p>
      <w:r>
        <w:t>(9) Der Rat erlässt auf Vorschlag der Kommission oder des Hohen Vertreters der Union für Außen- und Sicherheitspolitik einen Beschluss über die Aussetzung der Anwendung einer Übereinkunft und zur Festlegung der Standpunkte, die im Namen der Union in einem durch eine Übereinkunft eingesetzten Gremium zu vertreten sind, sofern dieses Gremium rechtswirksame Akte, mit Ausnahme von Rechtsakten zur Ergänzung oder Änderung des institutionellen Rahmens der betreffenden Übereinkunft, zu erlassen hat.</w:t>
      </w:r>
    </w:p>
    <w:p>
      <w:r>
        <w:t>(10) Das Europäische Parlament wird in allen Phasen des Verfahrens unverzüglich und umfassend unterrichtet.</w:t>
      </w:r>
    </w:p>
    <w:p>
      <w:r>
        <w:t xml:space="preserve">(11) </w:t>
      </w:r>
      <w:r>
        <w:rPr>
          <w:rStyle w:val="Satznummer"/>
        </w:rPr>
        <w:t>1</w:t>
      </w:r>
      <w:r>
        <w:t xml:space="preserve">Ein Mitgliedstaat, das Europäische Parlament, der Rat oder die Kommission können ein Gutachten des Gerichtshofs über die Vereinbarkeit einer geplanten Übereinkunft mit den Verträgen einholen. </w:t>
      </w:r>
      <w:r>
        <w:rPr>
          <w:rStyle w:val="Satznummer"/>
        </w:rPr>
        <w:t>2</w:t>
      </w:r>
      <w:r>
        <w:t>Ist das Gutachten des Gerichtshofs ablehnend, so kann die geplante Übereinkunft nur in Kraft treten, wenn sie oder die Verträge geändert werden.</w:t>
      </w:r>
    </w:p>
    <w:p>
      <w:pPr>
        <w:pStyle w:val="Heading3"/>
      </w:pPr>
      <w:bookmarkStart w:id="283" w:name="b280"/>
      <w:r>
        <w:t>Art 219</w:t>
      </w:r>
      <w:r>
        <w:t xml:space="preserve"> </w:t>
      </w:r>
      <w:r>
        <w:rPr>
          <w:rStyle w:val="Suchmarke"/>
        </w:rPr>
        <w:t>#219.#</w:t>
      </w:r>
      <w:bookmarkEnd w:id="283"/>
    </w:p>
    <w:p>
      <w:r>
        <w:rPr>
          <w:color w:val="404040"/>
          <w:sz w:val="21"/>
        </w:rPr>
        <w:t>(ex-Artikel 111 Absätze 1 bis 3 und Absatz 5 EGV)</w:t>
      </w:r>
    </w:p>
    <w:p>
      <w:r>
        <w:t xml:space="preserve">(1) </w:t>
      </w:r>
      <w:r>
        <w:rPr>
          <w:rStyle w:val="Satznummer"/>
        </w:rPr>
        <w:t>1</w:t>
      </w:r>
      <w:r>
        <w:t xml:space="preserve">Abweichend von </w:t>
      </w:r>
      <w:hyperlink w:anchor="b279" w:history="1">
        <w:r>
          <w:rPr>
            <w:color w:val="0A3A8C"/>
            <w:u w:val="single"/>
          </w:rPr>
          <w:t xml:space="preserve">Artikel 218</w:t>
        </w:r>
      </w:hyperlink>
      <w:r>
        <w:t xml:space="preserve"> kann der Rat entweder auf Empfehlung der Europäischen Zentralbank oder auf Empfehlung der Kommission und nach Anhörung der Europäischen Zentralbank in dem Bemühen, zu einem mit dem Ziel der Preisstabilität im Einklang stehenden Konsens zu gelangen, förmliche Vereinbarungen über ein Wechselkurssystem für den Euro gegenüber den Währungen von Drittstaaten treffen. </w:t>
      </w:r>
      <w:r>
        <w:rPr>
          <w:rStyle w:val="Satznummer"/>
        </w:rPr>
        <w:t>2</w:t>
      </w:r>
      <w:r>
        <w:t>Der Rat beschließt nach dem Verfahren des Absatzes 3 einstimmig nach Anhörung des Europäischen Parlaments.</w:t>
      </w:r>
    </w:p>
    <w:p>
      <w:r>
        <w:rPr>
          <w:rStyle w:val="Satznummer"/>
        </w:rPr>
        <w:t>1</w:t>
      </w:r>
      <w:r>
        <w:t xml:space="preserve">Der Rat kann entweder auf Empfehlung der Europäischen Zentralbank oder auf Empfehlung der Kommission und nach Anhörung der Europäischen Zentralbank in dem Bemühen, zu einem mit dem Ziel der Preisstabilität im Einklang stehenden Konsens zu gelangen, die Euro-Leitkurse innerhalb des Wechselkurssystems festlegen, ändern oder aufgeben. </w:t>
      </w:r>
      <w:r>
        <w:rPr>
          <w:rStyle w:val="Satznummer"/>
        </w:rPr>
        <w:t>2</w:t>
      </w:r>
      <w:r>
        <w:t>Der Präsident des Rates unterrichtet das Europäische Parlament von der Festlegung, Änderung oder Aufgabe der Euro-Leitkurse.</w:t>
      </w:r>
    </w:p>
    <w:p>
      <w:r>
        <w:t xml:space="preserve">(2) </w:t>
      </w:r>
      <w:r>
        <w:rPr>
          <w:rStyle w:val="Satznummer"/>
        </w:rPr>
        <w:t>1</w:t>
      </w:r>
      <w:r>
        <w:t xml:space="preserve">Besteht gegenüber einer oder mehreren Währungen von Drittstaaten kein Wechselkurssystem nach Absatz 1, so kann der Rat entweder auf Empfehlung der Kommission und nach Anhörung der Europäischen Zentralbank oder auf Empfehlung der Europäischen Zentralbank allgemeine Orientierungen für die Wechselkurspolitik gegenüber diesen Währungen aufstellen. </w:t>
      </w:r>
      <w:r>
        <w:rPr>
          <w:rStyle w:val="Satznummer"/>
        </w:rPr>
        <w:t>2</w:t>
      </w:r>
      <w:r>
        <w:t>Diese allgemeinen Orientierungen dürfen das vorrangige Ziel des ESZB, die Preisstabilität zu gewährleisten, nicht beeinträchtigen.</w:t>
      </w:r>
    </w:p>
    <w:p>
      <w:r>
        <w:t xml:space="preserve">(3) </w:t>
      </w:r>
      <w:r>
        <w:rPr>
          <w:rStyle w:val="Satznummer"/>
        </w:rPr>
        <w:t>1</w:t>
      </w:r>
      <w:r>
        <w:t xml:space="preserve">Wenn von der Union mit einem oder mehreren Drittstaaten oder internationalen Organisationen Vereinbarungen im Zusammenhang mit Währungsfragen oder Devisenregelungen auszuhandeln sind, beschließt der Rat abweichend von </w:t>
      </w:r>
      <w:hyperlink w:anchor="b279" w:history="1">
        <w:r>
          <w:rPr>
            <w:color w:val="0A3A8C"/>
            <w:u w:val="single"/>
          </w:rPr>
          <w:t xml:space="preserve">Artikel 218</w:t>
        </w:r>
      </w:hyperlink>
      <w:r>
        <w:t xml:space="preserve"> auf Empfehlung der Kommission und nach Anhörung der Europäischen Zentralbank die Modalitäten für die Aushandlung und den Abschluss solcher Vereinbarungen. </w:t>
      </w:r>
      <w:r>
        <w:rPr>
          <w:rStyle w:val="Satznummer"/>
        </w:rPr>
        <w:t>2</w:t>
      </w:r>
      <w:r>
        <w:t xml:space="preserve">Mit diesen Modalitäten wird gewährleistet, dass die Union einen einheitlichen Standpunkt vertritt. </w:t>
      </w:r>
      <w:r>
        <w:rPr>
          <w:rStyle w:val="Satznummer"/>
        </w:rPr>
        <w:t>3</w:t>
      </w:r>
      <w:r>
        <w:t>Die Kommission wird an den Verhandlungen in vollem Umfang beteiligt.</w:t>
      </w:r>
    </w:p>
    <w:p>
      <w:r>
        <w:t>(4) Die Mitgliedstaaten haben das Recht, unbeschadet der Unionszuständigkeit und der Unionsvereinbarungen über die Wirtschafts- und Währungsunion in internationalen Gremien Verhandlungen zu führen und internationale Vereinbarungen zu treffen.</w:t>
      </w:r>
    </w:p>
    <w:p>
      <w:pPr>
        <w:pStyle w:val="Heading2"/>
      </w:pPr>
      <w:bookmarkStart w:id="284" w:name="b281"/>
      <w:r>
        <w:t>TITEL VI BEZIEHUNGEN DER UNION ZU INTERNATIONALEN ORGANISATIONEN UND DRITTLÄNDERN SOWIE DELEGATIONEN DER UNION</w:t>
      </w:r>
      <w:bookmarkEnd w:id="284"/>
    </w:p>
    <w:p>
      <w:pPr>
        <w:pStyle w:val="Heading3"/>
      </w:pPr>
      <w:bookmarkStart w:id="285" w:name="b282"/>
      <w:r>
        <w:t>Art 220</w:t>
      </w:r>
      <w:r>
        <w:t xml:space="preserve"> </w:t>
      </w:r>
      <w:r>
        <w:rPr>
          <w:rStyle w:val="Suchmarke"/>
        </w:rPr>
        <w:t>#220.#</w:t>
      </w:r>
      <w:bookmarkEnd w:id="285"/>
    </w:p>
    <w:p>
      <w:r>
        <w:rPr>
          <w:color w:val="404040"/>
          <w:sz w:val="21"/>
        </w:rPr>
        <w:t>(ex-Artikel 302 bis 304 EGV)</w:t>
      </w:r>
    </w:p>
    <w:p>
      <w:r>
        <w:t>(1) Die Union betreibt jede zweckdienliche Zusammenarbeit mit den Organen der Vereinten Nationen und ihrer Sonderorganisationen, dem Europarat, der Organisation für Sicherheit und Zusammenarbeit in Europa und der Organisation für wirtschaftliche Zusammenarbeit und Entwicklung.</w:t>
      </w:r>
    </w:p>
    <w:p>
      <w:r>
        <w:t>Die Union unterhält ferner, soweit zweckdienlich, Beziehungen zu anderen internationalen Organisationen.</w:t>
      </w:r>
    </w:p>
    <w:p>
      <w:r>
        <w:t>(2) Die Durchführung dieses Artikels obliegt dem Hohen Vertreter der Union für Außen- und Sicherheitspolitik und der Kommission.</w:t>
      </w:r>
    </w:p>
    <w:p>
      <w:pPr>
        <w:pStyle w:val="Heading3"/>
      </w:pPr>
      <w:bookmarkStart w:id="286" w:name="b283"/>
      <w:r>
        <w:t>Art 221</w:t>
      </w:r>
      <w:r>
        <w:t xml:space="preserve"> </w:t>
      </w:r>
      <w:r>
        <w:rPr>
          <w:rStyle w:val="Suchmarke"/>
        </w:rPr>
        <w:t>#221.#</w:t>
      </w:r>
      <w:bookmarkEnd w:id="286"/>
    </w:p>
    <w:p>
      <w:r>
        <w:t>(1) Die Delegationen der Union in Drittländern und bei internationalen Organisationen sorgen für die Vertretung der Union.</w:t>
      </w:r>
    </w:p>
    <w:p>
      <w:r>
        <w:t xml:space="preserve">(2) </w:t>
      </w:r>
      <w:r>
        <w:rPr>
          <w:rStyle w:val="Satznummer"/>
        </w:rPr>
        <w:t>1</w:t>
      </w:r>
      <w:r>
        <w:t xml:space="preserve">Die Delegationen der Union unterstehen der Leitung des Hohen Vertreters der Union für Außen- und Sicherheitspolitik. </w:t>
      </w:r>
      <w:r>
        <w:rPr>
          <w:rStyle w:val="Satznummer"/>
        </w:rPr>
        <w:t>2</w:t>
      </w:r>
      <w:r>
        <w:t>Sie werden in enger Zusammenarbeit mit den diplomatischen und konsularischen Vertretungen der Mitgliedstaaten tätig.</w:t>
      </w:r>
    </w:p>
    <w:p>
      <w:pPr>
        <w:pStyle w:val="Heading2"/>
      </w:pPr>
      <w:bookmarkStart w:id="287" w:name="b284"/>
      <w:r>
        <w:t>TITEL VII SOLIDARITÄTSKLAUSEL</w:t>
      </w:r>
      <w:bookmarkEnd w:id="287"/>
    </w:p>
    <w:p>
      <w:pPr>
        <w:pStyle w:val="Heading3"/>
      </w:pPr>
      <w:bookmarkStart w:id="288" w:name="b285"/>
      <w:r>
        <w:t>Art 222</w:t>
      </w:r>
      <w:r>
        <w:t xml:space="preserve"> </w:t>
      </w:r>
      <w:r>
        <w:rPr>
          <w:rStyle w:val="Suchmarke"/>
        </w:rPr>
        <w:t>#222.#</w:t>
      </w:r>
      <w:bookmarkEnd w:id="288"/>
    </w:p>
    <w:p>
      <w:r>
        <w:t xml:space="preserve">(1) </w:t>
      </w:r>
      <w:r>
        <w:rPr>
          <w:rStyle w:val="Satznummer"/>
        </w:rPr>
        <w:t>1</w:t>
      </w:r>
      <w:r>
        <w:t xml:space="preserve">Die Union und ihre Mitgliedstaaten handeln gemeinsam im Geiste der Solidarität, wenn ein Mitgliedstaat von einem Terroranschlag, einer Naturkatastrophe oder einer vom Menschen verursachten Katastrophe betroffen ist. </w:t>
      </w:r>
      <w:r>
        <w:rPr>
          <w:rStyle w:val="Satznummer"/>
        </w:rPr>
        <w:t>2</w:t>
      </w:r>
      <w:r>
        <w:t>Die Union mobilisiert alle ihr zur Verfügung stehenden Mittel, einschließlich der ihr von den Mitgliedstaaten bereitgestellten militärischen Mittel, um</w:t>
      </w:r>
    </w:p>
    <w:p>
      <w:pPr>
        <w:tabs>
          <w:tab w:pos="567" w:val="left"/>
        </w:tabs>
        <w:ind w:left="567" w:hanging="567"/>
      </w:pPr>
      <w:r>
        <w:t>a)</w:t>
      </w:r>
      <w:r>
        <w:tab/>
      </w:r>
    </w:p>
    <w:p>
      <w:pPr>
        <w:tabs>
          <w:tab w:pos="1134" w:val="left"/>
        </w:tabs>
        <w:ind w:left="1134" w:hanging="567"/>
      </w:pPr>
      <w:r>
        <w:t>—</w:t>
      </w:r>
      <w:r>
        <w:tab/>
      </w:r>
      <w:r>
        <w:t>terroristische Bedrohungen im Hoheitsgebiet von Mitgliedstaaten abzuwenden;</w:t>
      </w:r>
    </w:p>
    <w:p>
      <w:pPr>
        <w:tabs>
          <w:tab w:pos="1134" w:val="left"/>
        </w:tabs>
        <w:ind w:left="1134" w:hanging="567"/>
      </w:pPr>
      <w:r>
        <w:t>—</w:t>
      </w:r>
      <w:r>
        <w:tab/>
      </w:r>
      <w:r>
        <w:t>die demokratischen Institutionen und die Zivilbevölkerung vor etwaigen Terroranschlägen zu schützen;</w:t>
      </w:r>
    </w:p>
    <w:p>
      <w:pPr>
        <w:tabs>
          <w:tab w:pos="1134" w:val="left"/>
        </w:tabs>
        <w:ind w:left="1134" w:hanging="567"/>
      </w:pPr>
      <w:r>
        <w:t>—</w:t>
      </w:r>
      <w:r>
        <w:tab/>
      </w:r>
      <w:r>
        <w:t>im Falle eines Terroranschlags einen Mitgliedstaat auf Ersuchen seiner politischen Organe innerhalb seines Hoheitsgebiets zu unterstützen;</w:t>
      </w:r>
    </w:p>
    <w:p>
      <w:pPr>
        <w:tabs>
          <w:tab w:pos="567" w:val="left"/>
        </w:tabs>
        <w:ind w:left="567" w:hanging="567"/>
      </w:pPr>
      <w:r>
        <w:t>b)</w:t>
      </w:r>
      <w:r>
        <w:tab/>
      </w:r>
      <w:r>
        <w:t>im Falle einer Naturkatastrophe oder einer vom Menschen verursachten Katastrophe einen Mitgliedstaat auf Ersuchen seiner politischen Organe innerhalb seines Hoheitsgebiets zu unterstützen.</w:t>
      </w:r>
    </w:p>
    <w:p>
      <w:r>
        <w:t xml:space="preserve">(2) </w:t>
      </w:r>
      <w:r>
        <w:rPr>
          <w:rStyle w:val="Satznummer"/>
        </w:rPr>
        <w:t>1</w:t>
      </w:r>
      <w:r>
        <w:t xml:space="preserve">Ist ein Mitgliedstaat von einem Terroranschlag, einer Naturkatastrophe oder einer vom Menschen verursachten Katastrophe betroffen, so leisten die anderen Mitgliedstaaten ihm auf Ersuchen seiner politischen Organe Unterstützung. </w:t>
      </w:r>
      <w:r>
        <w:rPr>
          <w:rStyle w:val="Satznummer"/>
        </w:rPr>
        <w:t>2</w:t>
      </w:r>
      <w:r>
        <w:t>Zu diesem Zweck sprechen die Mitgliedstaaten sich im Rat ab.</w:t>
      </w:r>
    </w:p>
    <w:p>
      <w:r>
        <w:t xml:space="preserve">(3) </w:t>
      </w:r>
      <w:r>
        <w:rPr>
          <w:rStyle w:val="Satznummer"/>
        </w:rPr>
        <w:t>1</w:t>
      </w:r>
      <w:r>
        <w:t xml:space="preserve">Die Einzelheiten für die Anwendung dieser Solidaritätsklausel durch die Union werden durch einen Beschluss festgelegt, den der Rat aufgrund eines gemeinsamen Vorschlags der Kommission und des Hohen Vertreters der Union für Außen- und Sicherheitspolitik erlässt. </w:t>
      </w:r>
      <w:r>
        <w:rPr>
          <w:rStyle w:val="Satznummer"/>
        </w:rPr>
        <w:t>2</w:t>
      </w:r>
      <w:r>
        <w:t xml:space="preserve">Hat dieser Beschluss Auswirkungen im Bereich der Verteidigung, so beschließt der Rat nach Artikel 31 Absatz 1 des Vertrags über die Europäische Union. </w:t>
      </w:r>
      <w:r>
        <w:rPr>
          <w:rStyle w:val="Satznummer"/>
        </w:rPr>
        <w:t>3</w:t>
      </w:r>
      <w:r>
        <w:t>Das Europäische Parlament wird darüber unterrichtet.</w:t>
      </w:r>
    </w:p>
    <w:p>
      <w:r>
        <w:t xml:space="preserve">Für die Zwecke dieses Absatzes unterstützen den Rat unbeschadet des </w:t>
      </w:r>
      <w:hyperlink w:anchor="b309" w:history="1">
        <w:r>
          <w:rPr>
            <w:color w:val="0A3A8C"/>
            <w:u w:val="single"/>
          </w:rPr>
          <w:t xml:space="preserve">Artikels 240</w:t>
        </w:r>
      </w:hyperlink>
      <w:r>
        <w:t xml:space="preserve"> das Politische und Sicherheitspolitische Komitee, das sich hierbei auf die im Rahmen der Gemeinsamen Sicherheits- und Verteidigungspolitik entwickelten Strukturen stützt, sowie der Ausschuss nach </w:t>
      </w:r>
      <w:hyperlink w:anchor="b89" w:history="1">
        <w:r>
          <w:rPr>
            <w:color w:val="0A3A8C"/>
            <w:u w:val="single"/>
          </w:rPr>
          <w:t xml:space="preserve">Artikel 71</w:t>
        </w:r>
      </w:hyperlink>
      <w:r>
        <w:t>, die dem Rat gegebenenfalls gemeinsame Stellungnahmen vorlegen.</w:t>
      </w:r>
    </w:p>
    <w:p>
      <w:r>
        <w:t>(4) Damit die Union und ihre Mitgliedstaaten auf effiziente Weise tätig werden können, nimmt der Europäische Rat regelmäßig eine Einschätzung der Bedrohungen vor, denen die Union ausgesetzt ist.</w:t>
      </w:r>
    </w:p>
    <w:p>
      <w:pPr>
        <w:pStyle w:val="Heading1"/>
      </w:pPr>
      <w:bookmarkStart w:id="289" w:name="b286"/>
      <w:r>
        <w:t>SECHSTER TEIL INSTITUTIONELLE BESTIMMUNGEN UND FINANZVORSCHRIFTEN</w:t>
      </w:r>
      <w:bookmarkEnd w:id="289"/>
    </w:p>
    <w:p>
      <w:pPr>
        <w:pStyle w:val="Heading2"/>
      </w:pPr>
      <w:bookmarkStart w:id="290" w:name="b287"/>
      <w:r>
        <w:t>TITEL I VORSCHRIFTEN ÜBER DIE ORGANE</w:t>
      </w:r>
      <w:bookmarkEnd w:id="290"/>
    </w:p>
    <w:p>
      <w:pPr>
        <w:pStyle w:val="Heading3"/>
      </w:pPr>
      <w:bookmarkStart w:id="291" w:name="b288"/>
      <w:r>
        <w:t>KAPITEL 1 DIE ORGANE</w:t>
      </w:r>
      <w:bookmarkEnd w:id="291"/>
    </w:p>
    <w:p>
      <w:pPr>
        <w:pStyle w:val="Heading4"/>
      </w:pPr>
      <w:bookmarkStart w:id="292" w:name="b289"/>
      <w:r>
        <w:t>ABSCHNITT 1 DAS EUROPÄISCHE PARLAMENT</w:t>
      </w:r>
      <w:bookmarkEnd w:id="292"/>
    </w:p>
    <w:p>
      <w:pPr>
        <w:pStyle w:val="Heading5"/>
      </w:pPr>
      <w:bookmarkStart w:id="293" w:name="b290"/>
      <w:r>
        <w:t>Art 223</w:t>
      </w:r>
      <w:r>
        <w:t xml:space="preserve"> </w:t>
      </w:r>
      <w:r>
        <w:rPr>
          <w:rStyle w:val="Suchmarke"/>
        </w:rPr>
        <w:t>#223.#</w:t>
      </w:r>
      <w:bookmarkEnd w:id="293"/>
    </w:p>
    <w:p>
      <w:r>
        <w:rPr>
          <w:color w:val="404040"/>
          <w:sz w:val="21"/>
        </w:rPr>
        <w:t>(ex-Artikel 190 Absätze 4 und 5 EGV)</w:t>
      </w:r>
    </w:p>
    <w:p>
      <w:r>
        <w:t>(1) Das Europäische Parlament erstellt einen Entwurf der erforderlichen Bestimmungen für die allgemeine unmittelbare Wahl seiner Mitglieder nach einem einheitlichen Verfahren in allen Mitgliedstaaten oder im Einklang mit den allen Mitgliedstaaten gemeinsamen Grundsätzen.</w:t>
      </w:r>
    </w:p>
    <w:p>
      <w:r>
        <w:rPr>
          <w:rStyle w:val="Satznummer"/>
        </w:rPr>
        <w:t>1</w:t>
      </w:r>
      <w:r>
        <w:t xml:space="preserve">Der Rat erlässt die erforderlichen Bestimmungen einstimmig gemäß einem besonderen Gesetzgebungsverfahren und nach Zustimmung des Europäischen Parlaments, die mit der Mehrheit seiner Mitglieder erteilt wird. </w:t>
      </w:r>
      <w:r>
        <w:rPr>
          <w:rStyle w:val="Satznummer"/>
        </w:rPr>
        <w:t>2</w:t>
      </w:r>
      <w:r>
        <w:t>Diese Bestimmungen treten nach Zustimmung der Mitgliedstaaten im Einklang mit ihren jeweiligen verfassungsrechtlichen Vorschriften in Kraft.</w:t>
      </w:r>
    </w:p>
    <w:p>
      <w:r>
        <w:t xml:space="preserve">(2) </w:t>
      </w:r>
      <w:r>
        <w:rPr>
          <w:rStyle w:val="Satznummer"/>
        </w:rPr>
        <w:t>1</w:t>
      </w:r>
      <w:r>
        <w:t xml:space="preserve">Das Europäische Parlament legt aus eigener Initiative gemäß einem besonderen Gesetzgebungsverfahren durch Verordnungen nach Anhörung der Kommission und mit Zustimmung des Rates die Regelungen und allgemeinen Bedingungen für die Wahrnehmung der Aufgaben seiner Mitglieder fest. </w:t>
      </w:r>
      <w:r>
        <w:rPr>
          <w:rStyle w:val="Satznummer"/>
        </w:rPr>
        <w:t>2</w:t>
      </w:r>
      <w:r>
        <w:t>Alle Vorschriften und Bedingungen, die die Steuerregelung für die Mitglieder oder ehemaligen Mitglieder betreffen, sind vom Rat einstimmig festzulegen.</w:t>
      </w:r>
    </w:p>
    <w:p>
      <w:pPr>
        <w:pStyle w:val="Heading5"/>
      </w:pPr>
      <w:bookmarkStart w:id="294" w:name="b291"/>
      <w:r>
        <w:t>Art 224</w:t>
      </w:r>
      <w:r>
        <w:t xml:space="preserve"> </w:t>
      </w:r>
      <w:r>
        <w:rPr>
          <w:rStyle w:val="Suchmarke"/>
        </w:rPr>
        <w:t>#224.#</w:t>
      </w:r>
      <w:bookmarkEnd w:id="294"/>
    </w:p>
    <w:p>
      <w:r>
        <w:rPr>
          <w:color w:val="404040"/>
          <w:sz w:val="21"/>
        </w:rPr>
        <w:t>(ex-Artikel 191 Absatz 2 EGV)</w:t>
      </w:r>
    </w:p>
    <w:p>
      <w:r>
        <w:t>Das Europäische Parlament und der Rat legen gemäß dem ordentlichen Gesetzgebungsverfahren durch Verordnungen die Regelungen für die politischen Parteien auf europäischer Ebene nach Artikel 10 Absatz 4 des Vertrags über die Europäische Union und insbesondere die Vorschriften über ihre Finanzierung fest.</w:t>
      </w:r>
    </w:p>
    <w:p>
      <w:pPr>
        <w:pStyle w:val="Heading5"/>
      </w:pPr>
      <w:bookmarkStart w:id="295" w:name="b292"/>
      <w:r>
        <w:t>Art 225</w:t>
      </w:r>
      <w:r>
        <w:t xml:space="preserve"> </w:t>
      </w:r>
      <w:r>
        <w:rPr>
          <w:rStyle w:val="Suchmarke"/>
        </w:rPr>
        <w:t>#225.#</w:t>
      </w:r>
      <w:bookmarkEnd w:id="295"/>
    </w:p>
    <w:p>
      <w:r>
        <w:rPr>
          <w:color w:val="404040"/>
          <w:sz w:val="21"/>
        </w:rPr>
        <w:t>(ex-Artikel 192 Absatz 2 EGV)</w:t>
      </w:r>
    </w:p>
    <w:p>
      <w:r>
        <w:rPr>
          <w:rStyle w:val="Satznummer"/>
        </w:rPr>
        <w:t>1</w:t>
      </w:r>
      <w:r>
        <w:t xml:space="preserve">Das Europäische Parlament kann mit der Mehrheit seiner Mitglieder die Kommission auffordern, geeignete Vorschläge zu Fragen zu unterbreiten, die nach seiner Auffassung die Ausarbeitung eines Unionsakts zur Durchführung der Verträge erfordern. </w:t>
      </w:r>
      <w:r>
        <w:rPr>
          <w:rStyle w:val="Satznummer"/>
        </w:rPr>
        <w:t>2</w:t>
      </w:r>
      <w:r>
        <w:t>Legt die Kommission keinen Vorschlag vor, so teilt sie dem Europäischen Parlament die Gründe dafür mit.</w:t>
      </w:r>
    </w:p>
    <w:p>
      <w:pPr>
        <w:pStyle w:val="Heading5"/>
      </w:pPr>
      <w:bookmarkStart w:id="296" w:name="b293"/>
      <w:r>
        <w:t>Art 226</w:t>
      </w:r>
      <w:r>
        <w:t xml:space="preserve"> </w:t>
      </w:r>
      <w:r>
        <w:rPr>
          <w:rStyle w:val="Suchmarke"/>
        </w:rPr>
        <w:t>#226.#</w:t>
      </w:r>
      <w:bookmarkEnd w:id="296"/>
    </w:p>
    <w:p>
      <w:r>
        <w:rPr>
          <w:color w:val="404040"/>
          <w:sz w:val="21"/>
        </w:rPr>
        <w:t>(ex-Artikel 193 EGV)</w:t>
      </w:r>
    </w:p>
    <w:p>
      <w:r>
        <w:t>Das Europäische Parlament kann bei der Erfüllung seiner Aufgaben auf Antrag eines Viertels seiner Mitglieder die Einsetzung eines nichtständigen Untersuchungsausschusses beschließen, der unbeschadet der Befugnisse, die anderen Organen oder Einrichtungen durch die Verträge übertragen sind, behauptete Verstöße gegen das Unionsrecht oder Missstände bei der Anwendung desselben prüft; dies gilt nicht, wenn ein Gericht mit den behaupteten Sachverhalten befasst ist, solange das Gerichtsverfahren nicht abgeschlossen ist.</w:t>
      </w:r>
    </w:p>
    <w:p>
      <w:r>
        <w:t>Mit der Vorlage seines Berichts hört der nichtständige Untersuchungsausschuss auf zu bestehen.</w:t>
      </w:r>
    </w:p>
    <w:p>
      <w:r>
        <w:t>Die Einzelheiten der Ausübung des Untersuchungsrechts werden vom Europäischen Parlament festgelegt, das aus eigener Initiative gemäß einem besonderen Gesetzgebungsverfahren durch Verordnungen nach Zustimmung des Rates und der Kommission beschließt.</w:t>
      </w:r>
    </w:p>
    <w:p>
      <w:pPr>
        <w:pStyle w:val="Heading5"/>
      </w:pPr>
      <w:bookmarkStart w:id="297" w:name="b294"/>
      <w:r>
        <w:t>Art 227</w:t>
      </w:r>
      <w:r>
        <w:t xml:space="preserve"> </w:t>
      </w:r>
      <w:r>
        <w:rPr>
          <w:rStyle w:val="Suchmarke"/>
        </w:rPr>
        <w:t>#227.#</w:t>
      </w:r>
      <w:bookmarkEnd w:id="297"/>
    </w:p>
    <w:p>
      <w:r>
        <w:rPr>
          <w:color w:val="404040"/>
          <w:sz w:val="21"/>
        </w:rPr>
        <w:t>(ex-Artikel 194 EGV)</w:t>
      </w:r>
    </w:p>
    <w:p>
      <w:r>
        <w:t>Jeder Bürger der Union sowie jede natürliche oder juristische Person mit Wohnort oder satzungsmäßigem Sitz in einem Mitgliedstaat kann allein oder zusammen mit anderen Bürgern oder Personen in Angelegenheiten, die in die Tätigkeitsbereiche der Union fallen und die ihn oder sie unmittelbar betreffen, eine Petition an das Europäische Parlament richten.</w:t>
      </w:r>
    </w:p>
    <w:p>
      <w:pPr>
        <w:pStyle w:val="Heading5"/>
      </w:pPr>
      <w:bookmarkStart w:id="298" w:name="b295"/>
      <w:r>
        <w:t>Art 228</w:t>
      </w:r>
      <w:r>
        <w:t xml:space="preserve"> </w:t>
      </w:r>
      <w:r>
        <w:rPr>
          <w:rStyle w:val="Suchmarke"/>
        </w:rPr>
        <w:t>#228.#</w:t>
      </w:r>
      <w:bookmarkEnd w:id="298"/>
    </w:p>
    <w:p>
      <w:r>
        <w:rPr>
          <w:color w:val="404040"/>
          <w:sz w:val="21"/>
        </w:rPr>
        <w:t>(ex-Artikel 195 EGV)</w:t>
      </w:r>
    </w:p>
    <w:p>
      <w:r>
        <w:t xml:space="preserve">(1) </w:t>
      </w:r>
      <w:r>
        <w:rPr>
          <w:rStyle w:val="Satznummer"/>
        </w:rPr>
        <w:t>1</w:t>
      </w:r>
      <w:r>
        <w:t xml:space="preserve">Ein vom Europäischen Parlament gewählter Europäischer Bürgerbeauftragter ist befugt , Beschwerden von jedem Bürger der Union oder von jeder natürlichen oder juristischen Person mit Wohnort oder satzungsmäßigem Sitz in einem Mitgliedstaat über Missstände bei der Tätigkeit der Organe, Einrichtungen oder sonstigen Stellen der Union, mit Ausnahme des Gerichtshofs der Europäischen Union in Ausübung seiner Rechtsprechungsbefugnisse, entgegenzunehmen. </w:t>
      </w:r>
      <w:r>
        <w:rPr>
          <w:rStyle w:val="Satznummer"/>
        </w:rPr>
        <w:t>2</w:t>
      </w:r>
      <w:r>
        <w:t>Er untersucht diese Beschwerden und erstattet darüber Bericht.</w:t>
      </w:r>
    </w:p>
    <w:p>
      <w:r>
        <w:rPr>
          <w:rStyle w:val="Satznummer"/>
        </w:rPr>
        <w:t>1</w:t>
      </w:r>
      <w:r>
        <w:t xml:space="preserve">Der Bürgerbeauftragte führt im Rahmen seines Auftrags von sich aus oder aufgrund von Beschwerden, die ihm unmittelbar oder über ein Mitglied des Europäischen Parlaments zugehen, Untersuchungen durch, die er für gerechtfertigt hält; dies gilt nicht, wenn die behaupteten Sachverhalte Gegenstand eines Gerichtsverfahrens sind oder waren. </w:t>
      </w:r>
      <w:r>
        <w:rPr>
          <w:rStyle w:val="Satznummer"/>
        </w:rPr>
        <w:t>2</w:t>
      </w:r>
      <w:r>
        <w:t xml:space="preserve">Hat der Bürgerbeauftragte einen Missstand festgestellt, so befasst er das betreffende Organ, die betreffende Einrichtung oder sonstige Stelle, das bzw. die über eine Frist von drei Monaten verfügt, um ihm seine bzw. ihre Stellungnahme zu übermitteln. </w:t>
      </w:r>
      <w:r>
        <w:rPr>
          <w:rStyle w:val="Satznummer"/>
        </w:rPr>
        <w:t>3</w:t>
      </w:r>
      <w:r>
        <w:t xml:space="preserve">Der Bürgerbeauftragte legt anschließend dem Europäischen Parlament und dem betreffenden Organ, der betreffenden Einrichtung oder sonstigen Stelle einen Bericht vor. </w:t>
      </w:r>
      <w:r>
        <w:rPr>
          <w:rStyle w:val="Satznummer"/>
        </w:rPr>
        <w:t>4</w:t>
      </w:r>
      <w:r>
        <w:t>Der Beschwerdeführer wird über das Ergebnis dieser Untersuchungen unterrichtet.</w:t>
      </w:r>
    </w:p>
    <w:p>
      <w:r>
        <w:t>Der Bürgerbeauftragte legt dem Europäischen Parlament jährlich einen Bericht über die Ergebnisse seiner Untersuchungen vor.</w:t>
      </w:r>
    </w:p>
    <w:p>
      <w:r>
        <w:t xml:space="preserve">(2) </w:t>
      </w:r>
      <w:r>
        <w:rPr>
          <w:rStyle w:val="Satznummer"/>
        </w:rPr>
        <w:t>1</w:t>
      </w:r>
      <w:r>
        <w:t xml:space="preserve">Der Bürgerbeauftragte wird nach jeder Wahl des Europäischen Parlaments für die Dauer der Wahlperiode gewählt. </w:t>
      </w:r>
      <w:r>
        <w:rPr>
          <w:rStyle w:val="Satznummer"/>
        </w:rPr>
        <w:t>2</w:t>
      </w:r>
      <w:r>
        <w:t>Wiederwahl ist zulässig.</w:t>
      </w:r>
    </w:p>
    <w:p>
      <w:r>
        <w:t>Der Bürgerbeauftragte kann auf Antrag des Europäischen Parlaments vom Gerichtshof seines Amtes enthoben werden, wenn er die Voraussetzungen für die Ausübung seines Amtes nicht mehr erfüllt oder eine schwere Verfehlung begangen hat.</w:t>
      </w:r>
    </w:p>
    <w:p>
      <w:r>
        <w:t xml:space="preserve">(3) </w:t>
      </w:r>
      <w:r>
        <w:rPr>
          <w:rStyle w:val="Satznummer"/>
        </w:rPr>
        <w:t>1</w:t>
      </w:r>
      <w:r>
        <w:t xml:space="preserve">Der Bürgerbeauftragte übt sein Amt in völliger Unabhängigkeit aus. </w:t>
      </w:r>
      <w:r>
        <w:rPr>
          <w:rStyle w:val="Satznummer"/>
        </w:rPr>
        <w:t>2</w:t>
      </w:r>
      <w:r>
        <w:t xml:space="preserve">Er darf bei der Erfüllung seiner Pflichten von keiner Regierung, keinem Organ, keiner Einrichtung oder sonstigen Stelle Weisungen einholen oder entgegennehmen. </w:t>
      </w:r>
      <w:r>
        <w:rPr>
          <w:rStyle w:val="Satznummer"/>
        </w:rPr>
        <w:t>3</w:t>
      </w:r>
      <w:r>
        <w:t>Der Bürgerbeauftragte darf während seiner Amtszeit keine andere entgeltliche oder unentgeltliche Berufstätigkeit ausüben.</w:t>
      </w:r>
    </w:p>
    <w:p>
      <w:r>
        <w:t>(4) Das Europäische Parlament legt aus eigener Initiative gemäß einem besonderen Gesetzgebungsverfahren durch Verordnungen nach Stellungnahme der Kommission und nach Zustimmung des Rates die Regelungen und allgemeinen Bedingungen für die Ausübung der Aufgaben des Bürgerbeauftragten fest.</w:t>
      </w:r>
    </w:p>
    <w:p>
      <w:pPr>
        <w:pStyle w:val="Heading5"/>
      </w:pPr>
      <w:bookmarkStart w:id="299" w:name="b296"/>
      <w:r>
        <w:t>Art 229</w:t>
      </w:r>
      <w:r>
        <w:t xml:space="preserve"> </w:t>
      </w:r>
      <w:r>
        <w:rPr>
          <w:rStyle w:val="Suchmarke"/>
        </w:rPr>
        <w:t>#229.#</w:t>
      </w:r>
      <w:bookmarkEnd w:id="299"/>
    </w:p>
    <w:p>
      <w:r>
        <w:rPr>
          <w:color w:val="404040"/>
          <w:sz w:val="21"/>
        </w:rPr>
        <w:t>(ex-Artikel 196 EGV)</w:t>
      </w:r>
    </w:p>
    <w:p>
      <w:r>
        <w:rPr>
          <w:rStyle w:val="Satznummer"/>
        </w:rPr>
        <w:t>1</w:t>
      </w:r>
      <w:r>
        <w:t xml:space="preserve">Das Europäische Parlament hält jährlich eine Sitzungsperiode ab. </w:t>
      </w:r>
      <w:r>
        <w:rPr>
          <w:rStyle w:val="Satznummer"/>
        </w:rPr>
        <w:t>2</w:t>
      </w:r>
      <w:r>
        <w:t>Es tritt, ohne dass es einer Einberufung bedarf, am zweiten Dienstag des Monats März zusammen.</w:t>
      </w:r>
    </w:p>
    <w:p>
      <w:r>
        <w:t>Das Europäische Parlament kann auf Antrag der Mehrheit seiner Mitglieder sowie auf Antrag des Rates oder der Kommission zu einer außerordentlichen Sitzungsperiode zusammentreten.</w:t>
      </w:r>
    </w:p>
    <w:p>
      <w:pPr>
        <w:pStyle w:val="Heading5"/>
      </w:pPr>
      <w:bookmarkStart w:id="300" w:name="b297"/>
      <w:r>
        <w:t>Art 230</w:t>
      </w:r>
      <w:r>
        <w:t xml:space="preserve"> </w:t>
      </w:r>
      <w:r>
        <w:rPr>
          <w:rStyle w:val="Suchmarke"/>
        </w:rPr>
        <w:t>#230.#</w:t>
      </w:r>
      <w:bookmarkEnd w:id="300"/>
    </w:p>
    <w:p>
      <w:r>
        <w:rPr>
          <w:color w:val="404040"/>
          <w:sz w:val="21"/>
        </w:rPr>
        <w:t>(ex-Artikel 197 Absätze 2, 3 und 4 EGV)</w:t>
      </w:r>
    </w:p>
    <w:p>
      <w:r>
        <w:t>Die Kommission kann an allen Sitzungen des Europäischen Parlaments teilnehmen und wird auf ihren Antrag gehört.</w:t>
      </w:r>
    </w:p>
    <w:p>
      <w:r>
        <w:t>Die Kommission antwortet mündlich oder schriftlich auf die ihr vom Europäischen Parlament oder von dessen Mitgliedern gestellten Fragen.</w:t>
      </w:r>
    </w:p>
    <w:p>
      <w:r>
        <w:t>Der Europäische Rat und der Rat werden vom Europäischen Parlament nach Maßgabe der Geschäftsordnung des Europäischen Rates und der Geschäftsordnung des Rates gehört.</w:t>
      </w:r>
    </w:p>
    <w:p>
      <w:pPr>
        <w:pStyle w:val="Heading5"/>
      </w:pPr>
      <w:bookmarkStart w:id="301" w:name="b298"/>
      <w:r>
        <w:t>Art 231</w:t>
      </w:r>
      <w:r>
        <w:t xml:space="preserve"> </w:t>
      </w:r>
      <w:r>
        <w:rPr>
          <w:rStyle w:val="Suchmarke"/>
        </w:rPr>
        <w:t>#231.#</w:t>
      </w:r>
      <w:bookmarkEnd w:id="301"/>
    </w:p>
    <w:p>
      <w:r>
        <w:rPr>
          <w:color w:val="404040"/>
          <w:sz w:val="21"/>
        </w:rPr>
        <w:t>(ex-Artikel 198 EGV)</w:t>
      </w:r>
    </w:p>
    <w:p>
      <w:r>
        <w:t>Soweit die Verträge nicht etwas anderes bestimmen, beschließt das Europäische Parlament mit der Mehrheit der abgegebenen Stimmen.</w:t>
      </w:r>
    </w:p>
    <w:p>
      <w:r>
        <w:t>Die Geschäftsordnung legt die Beschlussfähigkeit fest.</w:t>
      </w:r>
    </w:p>
    <w:p>
      <w:pPr>
        <w:pStyle w:val="Heading5"/>
      </w:pPr>
      <w:bookmarkStart w:id="302" w:name="b299"/>
      <w:r>
        <w:t>Art 232</w:t>
      </w:r>
      <w:r>
        <w:t xml:space="preserve"> </w:t>
      </w:r>
      <w:r>
        <w:rPr>
          <w:rStyle w:val="Suchmarke"/>
        </w:rPr>
        <w:t>#232.#</w:t>
      </w:r>
      <w:bookmarkEnd w:id="302"/>
    </w:p>
    <w:p>
      <w:r>
        <w:rPr>
          <w:color w:val="404040"/>
          <w:sz w:val="21"/>
        </w:rPr>
        <w:t>(ex-Artikel 199 EGV)</w:t>
      </w:r>
    </w:p>
    <w:p>
      <w:r>
        <w:t>Das Europäische Parlament gibt sich seine Geschäftsordnung; hierzu sind die Stimmen der Mehrheit seiner Mitglieder erforderlich.</w:t>
      </w:r>
    </w:p>
    <w:p>
      <w:r>
        <w:t>Die Verhandlungsniederschriften des Europäischen Parlaments werden nach Maßgabe der Verträge und seiner Geschäftsordnung veröffentlicht.</w:t>
      </w:r>
    </w:p>
    <w:p>
      <w:pPr>
        <w:pStyle w:val="Heading5"/>
      </w:pPr>
      <w:bookmarkStart w:id="303" w:name="b300"/>
      <w:r>
        <w:t>Art 233</w:t>
      </w:r>
      <w:r>
        <w:t xml:space="preserve"> </w:t>
      </w:r>
      <w:r>
        <w:rPr>
          <w:rStyle w:val="Suchmarke"/>
        </w:rPr>
        <w:t>#233.#</w:t>
      </w:r>
      <w:bookmarkEnd w:id="303"/>
    </w:p>
    <w:p>
      <w:r>
        <w:rPr>
          <w:color w:val="404040"/>
          <w:sz w:val="21"/>
        </w:rPr>
        <w:t>(ex-Artikel 200 EGV)</w:t>
      </w:r>
    </w:p>
    <w:p>
      <w:r>
        <w:t>Das Europäische Parlament erörtert in öffentlicher Sitzung den jährlichen Gesamtbericht, der ihm von der Kommission vorgelegt wird.</w:t>
      </w:r>
    </w:p>
    <w:p>
      <w:pPr>
        <w:pStyle w:val="Heading5"/>
      </w:pPr>
      <w:bookmarkStart w:id="304" w:name="b301"/>
      <w:r>
        <w:t>Art 234</w:t>
      </w:r>
      <w:r>
        <w:t xml:space="preserve"> </w:t>
      </w:r>
      <w:r>
        <w:rPr>
          <w:rStyle w:val="Suchmarke"/>
        </w:rPr>
        <w:t>#234.#</w:t>
      </w:r>
      <w:bookmarkEnd w:id="304"/>
    </w:p>
    <w:p>
      <w:r>
        <w:rPr>
          <w:color w:val="404040"/>
          <w:sz w:val="21"/>
        </w:rPr>
        <w:t>(ex-Artikel 201 EGV)</w:t>
      </w:r>
    </w:p>
    <w:p>
      <w:r>
        <w:t>Wird wegen der Tätigkeit der Kommission ein Misstrauensantrag eingebracht, so darf das Europäische Parlament nicht vor Ablauf von drei Tagen nach seiner Einbringung und nur in offener Abstimmung darüber entscheiden.</w:t>
      </w:r>
    </w:p>
    <w:p>
      <w:r>
        <w:rPr>
          <w:rStyle w:val="Satznummer"/>
        </w:rPr>
        <w:t>1</w:t>
      </w:r>
      <w:r>
        <w:t xml:space="preserve">Wird der Misstrauensantrag mit der Mehrheit von zwei Dritteln der abgegebenen Stimmen und mit der Mehrheit der Mitglieder des Europäischen Parlaments angenommen, so legen die Mitglieder der Kommission geschlossen ihr Amt nieder, und der Hohe Vertreter der Union für Außen- und Sicherheitspolitik legt sein im Rahmen der Kommission ausgeübtes Amt nieder. </w:t>
      </w:r>
      <w:r>
        <w:rPr>
          <w:rStyle w:val="Satznummer"/>
        </w:rPr>
        <w:t>2</w:t>
      </w:r>
      <w:r>
        <w:t xml:space="preserve">Sie bleiben im Amt und führen die laufenden Geschäfte bis zu ihrer Ersetzung nach Artikel 17 des Vertrags über die Europäische Union weiter. </w:t>
      </w:r>
      <w:r>
        <w:rPr>
          <w:rStyle w:val="Satznummer"/>
        </w:rPr>
        <w:t>3</w:t>
      </w:r>
      <w:r>
        <w:t>In diesem Fall endet die Amtszeit der zu ihrer Ersetzung ernannten Mitglieder der Kommission zu dem Zeitpunkt, zu dem die Amtszeit der Mitglieder der Kommission, die ihr Amt geschlossen niederlegen mussten, geendet hätte.</w:t>
      </w:r>
    </w:p>
    <w:p>
      <w:pPr>
        <w:pStyle w:val="Heading4"/>
      </w:pPr>
      <w:bookmarkStart w:id="305" w:name="b302"/>
      <w:r>
        <w:t>ABSCHNITT 2 DER EUROPÄISCHE RAT</w:t>
      </w:r>
      <w:bookmarkEnd w:id="305"/>
    </w:p>
    <w:p>
      <w:pPr>
        <w:pStyle w:val="Heading5"/>
      </w:pPr>
      <w:bookmarkStart w:id="306" w:name="b303"/>
      <w:r>
        <w:t>Art 235</w:t>
      </w:r>
      <w:r>
        <w:t xml:space="preserve"> </w:t>
      </w:r>
      <w:r>
        <w:rPr>
          <w:rStyle w:val="Suchmarke"/>
        </w:rPr>
        <w:t>#235.#</w:t>
      </w:r>
      <w:bookmarkEnd w:id="306"/>
    </w:p>
    <w:p>
      <w:r>
        <w:t>(1) Jedes Mitglied des Europäischen Rates kann sich das Stimmrecht höchstens eines anderen Mitglieds übertragen lassen.</w:t>
      </w:r>
    </w:p>
    <w:p>
      <w:r>
        <w:rPr>
          <w:rStyle w:val="Satznummer"/>
        </w:rPr>
        <w:t>1</w:t>
      </w:r>
      <w:r>
        <w:t xml:space="preserve">Beschließt der Europäische Rat mit qualifizierter Mehrheit, so gelten für ihn Artikel 16 Absatz 4 des Vertrags über die Europäische Union und </w:t>
      </w:r>
      <w:hyperlink w:anchor="b307" w:history="1">
        <w:r>
          <w:rPr>
            <w:color w:val="0A3A8C"/>
            <w:u w:val="single"/>
          </w:rPr>
          <w:t xml:space="preserve">Artikel 238</w:t>
        </w:r>
      </w:hyperlink>
      <w:r>
        <w:t xml:space="preserve"> Absatz 2 dieses Vertrags. </w:t>
      </w:r>
      <w:r>
        <w:rPr>
          <w:rStyle w:val="Satznummer"/>
        </w:rPr>
        <w:t>2</w:t>
      </w:r>
      <w:r>
        <w:t>An Abstimmungen im Europäischen Rat nehmen dessen Präsident und der Präsident der Kommission nicht teil.</w:t>
      </w:r>
    </w:p>
    <w:p>
      <w:r>
        <w:t>Die Stimmenthaltung von anwesenden oder vertretenen Mitgliedern steht dem Zustandekommen von Beschlüssen des Europäischen Rates, zu denen Einstimmigkeit erforderlich ist, nicht entgegen.</w:t>
      </w:r>
    </w:p>
    <w:p>
      <w:r>
        <w:t>(2) Der Präsident des Europäischen Parlaments kann vom Europäischen Rat gehört werden.</w:t>
      </w:r>
    </w:p>
    <w:p>
      <w:r>
        <w:t>(3) Der Europäische Rat beschließt mit einfacher Mehrheit über Verfahrensfragen sowie über den Erlass seiner Geschäftsordnung.</w:t>
      </w:r>
    </w:p>
    <w:p>
      <w:r>
        <w:t>(4) Der Europäische Rat wird vom Generalsekretariat des Rates unterstützt.</w:t>
      </w:r>
    </w:p>
    <w:p>
      <w:pPr>
        <w:pStyle w:val="Heading5"/>
      </w:pPr>
      <w:bookmarkStart w:id="307" w:name="b304"/>
      <w:r>
        <w:t>Art 236</w:t>
      </w:r>
      <w:r>
        <w:t xml:space="preserve"> </w:t>
      </w:r>
      <w:r>
        <w:rPr>
          <w:rStyle w:val="Suchmarke"/>
        </w:rPr>
        <w:t>#236.#</w:t>
      </w:r>
      <w:bookmarkEnd w:id="307"/>
    </w:p>
    <w:p>
      <w:r>
        <w:t>Der Europäische Rat erlässt mit qualifizierter Mehrheit</w:t>
      </w:r>
    </w:p>
    <w:p>
      <w:pPr>
        <w:tabs>
          <w:tab w:pos="567" w:val="left"/>
        </w:tabs>
        <w:ind w:left="567" w:hanging="567"/>
      </w:pPr>
      <w:r>
        <w:t>a)</w:t>
      </w:r>
      <w:r>
        <w:tab/>
      </w:r>
      <w:r>
        <w:t>einen Beschluss zur Festlegung der Zusammensetzungen des Rates, mit Ausnahme des Rates "Allgemeine Angelegenheiten" und des Rates "Auswärtige Angelegenheiten" nach Artikel 16 Absatz 6 des Vertrags über die Europäische Union;</w:t>
      </w:r>
    </w:p>
    <w:p>
      <w:pPr>
        <w:tabs>
          <w:tab w:pos="567" w:val="left"/>
        </w:tabs>
        <w:ind w:left="567" w:hanging="567"/>
      </w:pPr>
      <w:r>
        <w:t>b)</w:t>
      </w:r>
      <w:r>
        <w:tab/>
      </w:r>
      <w:r>
        <w:t>einen Beschluss nach Artikel 16 Absatz 9 des Vertrags über die Europäische Union zur Festlegung des Vorsitzes im Rat in allen seinen Zusammensetzungen mit Ausnahme des Rates "Auswärtige Angelegenheiten".</w:t>
      </w:r>
    </w:p>
    <w:p>
      <w:pPr>
        <w:pStyle w:val="Heading4"/>
      </w:pPr>
      <w:bookmarkStart w:id="308" w:name="b305"/>
      <w:r>
        <w:t>ABSCHNITT 3 DER RAT</w:t>
      </w:r>
      <w:bookmarkEnd w:id="308"/>
    </w:p>
    <w:p>
      <w:pPr>
        <w:pStyle w:val="Heading5"/>
      </w:pPr>
      <w:bookmarkStart w:id="309" w:name="b306"/>
      <w:r>
        <w:t>Art 237</w:t>
      </w:r>
      <w:r>
        <w:t xml:space="preserve"> </w:t>
      </w:r>
      <w:r>
        <w:rPr>
          <w:rStyle w:val="Suchmarke"/>
        </w:rPr>
        <w:t>#237.#</w:t>
      </w:r>
      <w:bookmarkEnd w:id="309"/>
    </w:p>
    <w:p>
      <w:r>
        <w:rPr>
          <w:color w:val="404040"/>
          <w:sz w:val="21"/>
        </w:rPr>
        <w:t>(ex-Artikel 204 EGV)</w:t>
      </w:r>
    </w:p>
    <w:p>
      <w:r>
        <w:t>Der Rat wird von seinem Präsidenten aus eigenem Entschluss oder auf Antrag eines seiner Mitglieder oder der Kommission einberufen.</w:t>
      </w:r>
    </w:p>
    <w:p>
      <w:pPr>
        <w:pStyle w:val="Heading5"/>
      </w:pPr>
      <w:bookmarkStart w:id="310" w:name="b307"/>
      <w:r>
        <w:t>Art 238</w:t>
      </w:r>
      <w:r>
        <w:t xml:space="preserve"> </w:t>
      </w:r>
      <w:r>
        <w:rPr>
          <w:rStyle w:val="Suchmarke"/>
        </w:rPr>
        <w:t>#238.#</w:t>
      </w:r>
      <w:bookmarkEnd w:id="310"/>
    </w:p>
    <w:p>
      <w:r>
        <w:rPr>
          <w:color w:val="404040"/>
          <w:sz w:val="21"/>
        </w:rPr>
        <w:t>(ex-Artikel 205 Absätze 1 und 2 EGV)</w:t>
      </w:r>
    </w:p>
    <w:p>
      <w:r>
        <w:t>(1) Ist zu einem Beschluss des Rates die einfache Mehrheit erforderlich, so beschließt der Rat mit der Mehrheit seiner Mitglieder.</w:t>
      </w:r>
    </w:p>
    <w:p>
      <w:r>
        <w:t>(2) Beschließt der Rat nicht auf Vorschlag der Kommission oder des Hohen Vertreters der Union für Außen- und Sicherheitspolitik, so gilt ab dem 1. November 2014 abweichend von Artikel 16 Absatz 4 des Vertrags über die Europäische Union und vorbehaltlich der Vorschriften des Protokolls über die Übergangsbestimmungen als qualifizierte Mehrheit eine Mehrheit von mindestens 72 % der Mitglieder des Rates, sofern die von ihnen vertretenen Mitgliedstaaten zusammen mindestens 65 % der Bevölkerung der Union ausmachen.</w:t>
      </w:r>
    </w:p>
    <w:p>
      <w:r>
        <w:t>(3) In den Fällen, in denen in Anwendung der Verträge nicht alle Mitglieder des Rates stimmberechtigt sind, gilt ab dem 1. November 2014 vorbehaltlich der Vorschriften des Protokolls über die Übergangsbestimmungen für die qualifizierte Mehrheit Folgendes:</w:t>
      </w:r>
    </w:p>
    <w:p>
      <w:pPr>
        <w:tabs>
          <w:tab w:pos="567" w:val="left"/>
        </w:tabs>
        <w:ind w:left="567" w:hanging="567"/>
      </w:pPr>
      <w:r>
        <w:t>a)</w:t>
      </w:r>
      <w:r>
        <w:tab/>
      </w:r>
      <w:r>
        <w:t>Als qualifizierte Mehrheit gilt eine Mehrheit von mindestens 55 % derjenigen Mitglieder des Rates, die die beteiligten Mitgliedstaaten vertreten, sofern die von ihnen vertretenen Mitgliedstaaten zusammen mindestens 65 % der Bevölkerung der beteiligten Mitgliedstaaten ausmachen.</w:t>
      </w:r>
    </w:p>
    <w:p>
      <w:pPr>
        <w:ind w:left="567"/>
      </w:pPr>
      <w:r>
        <w:rPr>
          <w:rStyle w:val="Satznummer"/>
        </w:rPr>
        <w:t>2</w:t>
      </w:r>
      <w:r>
        <w:t>Für eine Sperrminorität bedarf es mindestens der Mindestzahl von Mitgliedern des Rates, die zusammen mehr als 35 % der Bevölkerung der beteiligten Mitgliedstaaten vertreten, zuzüglich eines Mitglieds; andernfalls gilt die qualifizierte Mehrheit als erreicht.</w:t>
      </w:r>
    </w:p>
    <w:p>
      <w:pPr>
        <w:tabs>
          <w:tab w:pos="567" w:val="left"/>
        </w:tabs>
        <w:ind w:left="567" w:hanging="567"/>
      </w:pPr>
      <w:r>
        <w:t>b)</w:t>
      </w:r>
      <w:r>
        <w:tab/>
      </w:r>
      <w:r>
        <w:t>Beschließt der Rat nicht auf Vorschlag der Kommission oder des Hohen Vertreters der Union für Außen- und Sicherheitspolitik, so gilt abweichend von Buchstabe a als qualifizierte Mehrheit eine Mehrheit von mindestens 72 % derjenigen Mitglieder des Rates, die die beteiligten Mitgliedstaaten vertreten, sofern die von ihnen vertretenen Mitgliedstaaten zusammen mindestens 65 % der Bevölkerung der beteiligten Mitgliedstaaten ausmachen.</w:t>
      </w:r>
    </w:p>
    <w:p>
      <w:r>
        <w:t>(4) Die Stimmenthaltung von anwesenden oder vertretenen Mitgliedern steht dem Zustandekommen von Beschlüssen des Rates, zu denen Einstimmigkeit erforderlich ist, nicht entgegen.</w:t>
      </w:r>
    </w:p>
    <w:p>
      <w:pPr>
        <w:pStyle w:val="Heading5"/>
      </w:pPr>
      <w:bookmarkStart w:id="311" w:name="b308"/>
      <w:r>
        <w:t>Art 239</w:t>
      </w:r>
      <w:r>
        <w:t xml:space="preserve"> </w:t>
      </w:r>
      <w:r>
        <w:rPr>
          <w:rStyle w:val="Suchmarke"/>
        </w:rPr>
        <w:t>#239.#</w:t>
      </w:r>
      <w:bookmarkEnd w:id="311"/>
    </w:p>
    <w:p>
      <w:r>
        <w:rPr>
          <w:color w:val="404040"/>
          <w:sz w:val="21"/>
        </w:rPr>
        <w:t>(ex-Artikel 206 EGV)</w:t>
      </w:r>
    </w:p>
    <w:p>
      <w:r>
        <w:t>Jedes Mitglied kann sich das Stimmrecht höchstens eines anderen Mitglieds übertragen lassen.</w:t>
      </w:r>
    </w:p>
    <w:p>
      <w:pPr>
        <w:pStyle w:val="Heading5"/>
      </w:pPr>
      <w:bookmarkStart w:id="312" w:name="b309"/>
      <w:r>
        <w:t>Art 240</w:t>
      </w:r>
      <w:r>
        <w:t xml:space="preserve"> </w:t>
      </w:r>
      <w:r>
        <w:rPr>
          <w:rStyle w:val="Suchmarke"/>
        </w:rPr>
        <w:t>#240.#</w:t>
      </w:r>
      <w:bookmarkEnd w:id="312"/>
    </w:p>
    <w:p>
      <w:r>
        <w:rPr>
          <w:color w:val="404040"/>
          <w:sz w:val="21"/>
        </w:rPr>
        <w:t>(ex-Artikel 207 EGV)</w:t>
      </w:r>
    </w:p>
    <w:p>
      <w:r>
        <w:t xml:space="preserve">(1) </w:t>
      </w:r>
      <w:r>
        <w:rPr>
          <w:rStyle w:val="Satznummer"/>
        </w:rPr>
        <w:t>1</w:t>
      </w:r>
      <w:r>
        <w:t xml:space="preserve">Ein Ausschuss, der sich aus den Ständigen Vertretern der Regierungen der Mitgliedstaaten zusammensetzt, trägt die Verantwortung, die Arbeiten des Rates vorzubereiten und die ihm vom Rat übertragenen Aufträge auszuführen. </w:t>
      </w:r>
      <w:r>
        <w:rPr>
          <w:rStyle w:val="Satznummer"/>
        </w:rPr>
        <w:t>2</w:t>
      </w:r>
      <w:r>
        <w:t>Der Ausschuss kann in Fällen, die in der Geschäftsordnung des Rates vorgesehen sind, Verfahrensbeschlüsse fassen.</w:t>
      </w:r>
    </w:p>
    <w:p>
      <w:r>
        <w:t>(2) Der Rat wird von einem Generalsekretariat unterstützt, das einem vom Rat ernannten Generalsekretär untersteht.</w:t>
      </w:r>
    </w:p>
    <w:p>
      <w:r>
        <w:t>Der Rat beschließt mit einfacher Mehrheit über die Organisation des Generalsekretariats.</w:t>
      </w:r>
    </w:p>
    <w:p>
      <w:r>
        <w:t>(3) Der Rat beschließt mit einfacher Mehrheit über Verfahrensfragen sowie über den Erlass seiner Geschäftsordnung.</w:t>
      </w:r>
    </w:p>
    <w:p>
      <w:pPr>
        <w:pStyle w:val="Heading5"/>
      </w:pPr>
      <w:bookmarkStart w:id="313" w:name="b310"/>
      <w:r>
        <w:t>Art 241</w:t>
      </w:r>
      <w:r>
        <w:t xml:space="preserve"> </w:t>
      </w:r>
      <w:r>
        <w:rPr>
          <w:rStyle w:val="Suchmarke"/>
        </w:rPr>
        <w:t>#241.#</w:t>
      </w:r>
      <w:bookmarkEnd w:id="313"/>
    </w:p>
    <w:p>
      <w:r>
        <w:rPr>
          <w:color w:val="404040"/>
          <w:sz w:val="21"/>
        </w:rPr>
        <w:t>(ex-Artikel 208 EGV)</w:t>
      </w:r>
    </w:p>
    <w:p>
      <w:r>
        <w:rPr>
          <w:rStyle w:val="Satznummer"/>
        </w:rPr>
        <w:t>1</w:t>
      </w:r>
      <w:r>
        <w:t xml:space="preserve">Der Rat, der mit einfacher Mehrheit beschließt, kann die Kommission auffordern, die nach seiner Ansicht zur Verwirklichung der gemeinsamen Ziele geeigneten Untersuchungen vorzunehmen und ihm entsprechende Vorschläge zu unterbreiten. </w:t>
      </w:r>
      <w:r>
        <w:rPr>
          <w:rStyle w:val="Satznummer"/>
        </w:rPr>
        <w:t>2</w:t>
      </w:r>
      <w:r>
        <w:t>Legt die Kommission keinen Vorschlag vor, so teilt sie dem Rat die Gründe dafür mit.</w:t>
      </w:r>
    </w:p>
    <w:p>
      <w:pPr>
        <w:pStyle w:val="Heading5"/>
      </w:pPr>
      <w:bookmarkStart w:id="314" w:name="b311"/>
      <w:r>
        <w:t>Art 242</w:t>
      </w:r>
      <w:r>
        <w:t xml:space="preserve"> </w:t>
      </w:r>
      <w:r>
        <w:rPr>
          <w:rStyle w:val="Suchmarke"/>
        </w:rPr>
        <w:t>#242.#</w:t>
      </w:r>
      <w:bookmarkEnd w:id="314"/>
    </w:p>
    <w:p>
      <w:r>
        <w:rPr>
          <w:color w:val="404040"/>
          <w:sz w:val="21"/>
        </w:rPr>
        <w:t>(ex-Artikel 209 EGV)</w:t>
      </w:r>
    </w:p>
    <w:p>
      <w:r>
        <w:t>Der Rat, der mit einfacher Mehrheit beschließt, regelt nach Anhörung der Kommission die rechtliche Stellung der in den Verträgen vorgesehenen Ausschüsse.</w:t>
      </w:r>
    </w:p>
    <w:p>
      <w:pPr>
        <w:pStyle w:val="Heading5"/>
      </w:pPr>
      <w:bookmarkStart w:id="315" w:name="b312"/>
      <w:r>
        <w:t>Art 243</w:t>
      </w:r>
      <w:r>
        <w:t xml:space="preserve"> </w:t>
      </w:r>
      <w:r>
        <w:rPr>
          <w:rStyle w:val="Suchmarke"/>
        </w:rPr>
        <w:t>#243.#</w:t>
      </w:r>
      <w:bookmarkEnd w:id="315"/>
    </w:p>
    <w:p>
      <w:r>
        <w:rPr>
          <w:color w:val="404040"/>
          <w:sz w:val="21"/>
        </w:rPr>
        <w:t>(ex-Artikel 210 EGV)</w:t>
      </w:r>
    </w:p>
    <w:p>
      <w:r>
        <w:rPr>
          <w:rStyle w:val="Satznummer"/>
        </w:rPr>
        <w:t>1</w:t>
      </w:r>
      <w:r>
        <w:t xml:space="preserve">Der Rat setzt die Gehälter, Vergütungen und Ruhegehälter für den Präsidenten des Europäischen Rates, den Präsidenten der Kommission, den Hohen Vertreter der Union für Außen- und Sicherheitspolitik, die Mitglieder der Kommission, die Präsidenten, die Mitglieder und die Kanzler des Gerichtshofs der Europäischen Union sowie den Generalsekretär des Rates fest. </w:t>
      </w:r>
      <w:r>
        <w:rPr>
          <w:rStyle w:val="Satznummer"/>
        </w:rPr>
        <w:t>2</w:t>
      </w:r>
      <w:r>
        <w:t>Er setzt ebenfalls alle als Entgelt gezahlten Vergütungen fest.</w:t>
      </w:r>
    </w:p>
    <w:p>
      <w:pPr>
        <w:pStyle w:val="Heading4"/>
      </w:pPr>
      <w:bookmarkStart w:id="316" w:name="b313"/>
      <w:r>
        <w:t>ABSCHNITT 4 DIE KOMMISSION</w:t>
      </w:r>
      <w:bookmarkEnd w:id="316"/>
    </w:p>
    <w:p>
      <w:pPr>
        <w:pStyle w:val="Heading5"/>
      </w:pPr>
      <w:bookmarkStart w:id="317" w:name="b314"/>
      <w:r>
        <w:t>Art 244</w:t>
      </w:r>
      <w:r>
        <w:t xml:space="preserve"> </w:t>
      </w:r>
      <w:r>
        <w:rPr>
          <w:rStyle w:val="Suchmarke"/>
        </w:rPr>
        <w:t>#244.#</w:t>
      </w:r>
      <w:bookmarkEnd w:id="317"/>
    </w:p>
    <w:p>
      <w:r>
        <w:t>Gemäß Artikel 17 Absatz 5 des Vertrags über die Europäische Union werden die Kommissionsmitglieder in einem vom Europäischen Rat einstimmig festgelegten System der Rotation ausgewählt, das auf folgenden Grundsätzen beruht:</w:t>
      </w:r>
    </w:p>
    <w:p>
      <w:pPr>
        <w:tabs>
          <w:tab w:pos="567" w:val="left"/>
        </w:tabs>
        <w:ind w:left="567" w:hanging="567"/>
      </w:pPr>
      <w:r>
        <w:t>a)</w:t>
      </w:r>
      <w:r>
        <w:tab/>
      </w:r>
      <w:r>
        <w:t>Die Mitgliedstaaten werden bei der Festlegung der Reihenfolge und der Dauer der Amtszeiten ihrer Staatsangehörigen in der Kommission vollkommen gleich behandelt; demzufolge kann die Gesamtzahl der Mandate, welche Staatsangehörige zweier beliebiger Mitgliedstaaten innehaben, niemals um mehr als eines voneinander abweichen.</w:t>
      </w:r>
    </w:p>
    <w:p>
      <w:pPr>
        <w:tabs>
          <w:tab w:pos="567" w:val="left"/>
        </w:tabs>
        <w:ind w:left="567" w:hanging="567"/>
      </w:pPr>
      <w:r>
        <w:t>b)</w:t>
      </w:r>
      <w:r>
        <w:tab/>
      </w:r>
      <w:r>
        <w:t>Vorbehaltlich des Buchstabens a ist jede der aufeinander folgenden Kommissionen so zusammengesetzt, dass das demografische und geografische Spektrum der Gesamtheit der Mitgliedstaaten auf zufrieden stellende Weise zum Ausdruck kommt.</w:t>
      </w:r>
    </w:p>
    <w:p>
      <w:pPr>
        <w:pStyle w:val="Heading5"/>
      </w:pPr>
      <w:bookmarkStart w:id="318" w:name="b315"/>
      <w:r>
        <w:t>Art 245</w:t>
      </w:r>
      <w:r>
        <w:t xml:space="preserve"> </w:t>
      </w:r>
      <w:r>
        <w:rPr>
          <w:rStyle w:val="Suchmarke"/>
        </w:rPr>
        <w:t>#245.#</w:t>
      </w:r>
      <w:bookmarkEnd w:id="318"/>
    </w:p>
    <w:p>
      <w:r>
        <w:rPr>
          <w:color w:val="404040"/>
          <w:sz w:val="21"/>
        </w:rPr>
        <w:t>(ex-Artikel 213 EGV)</w:t>
      </w:r>
    </w:p>
    <w:p>
      <w:r>
        <w:rPr>
          <w:rStyle w:val="Satznummer"/>
        </w:rPr>
        <w:t>1</w:t>
      </w:r>
      <w:r>
        <w:t xml:space="preserve">Die Mitglieder der Kommission haben jede Handlung zu unterlassen, die mit ihren Aufgaben unvereinbar ist. </w:t>
      </w:r>
      <w:r>
        <w:rPr>
          <w:rStyle w:val="Satznummer"/>
        </w:rPr>
        <w:t>2</w:t>
      </w:r>
      <w:r>
        <w:t>Die Mitgliedstaaten achten ihre Unabhängigkeit und versuchen nicht, sie bei der Erfüllung ihrer Aufgaben zu beeinflussen.</w:t>
      </w:r>
    </w:p>
    <w:p>
      <w:r>
        <w:rPr>
          <w:rStyle w:val="Satznummer"/>
        </w:rPr>
        <w:t>1</w:t>
      </w:r>
      <w:r>
        <w:t xml:space="preserve">Die Mitglieder der Kommission dürfen während ihrer Amtszeit keine andere entgeltliche oder unentgeltliche Berufstätigkeit ausüben. </w:t>
      </w:r>
      <w:r>
        <w:rPr>
          <w:rStyle w:val="Satznummer"/>
        </w:rPr>
        <w:t>2</w:t>
      </w:r>
      <w:r>
        <w:t xml:space="preserve">Bei der Aufnahme ihrer Tätigkeit übernehmen sie die feierliche Verpflichtung, während der Ausübung und nach Ablauf ihrer Amtstätigkeit die sich aus ihrem Amt ergebenden Pflichten zu erfüllen, insbesondere die Pflicht, bei der Annahme gewisser Tätigkeiten oder Vorteile nach Ablauf dieser Tätigkeit ehrenhaft und zurückhaltend zu sein. </w:t>
      </w:r>
      <w:r>
        <w:rPr>
          <w:rStyle w:val="Satznummer"/>
        </w:rPr>
        <w:t>3</w:t>
      </w:r>
      <w:r>
        <w:t xml:space="preserve">Werden diese Pflichten verletzt, so kann der Gerichtshof auf Antrag des Rates, der mit einfacher Mehrheit beschließt, oder der Kommission das Mitglied je nach Lage des Falles gemäß </w:t>
      </w:r>
      <w:hyperlink w:anchor="b317" w:history="1">
        <w:r>
          <w:rPr>
            <w:color w:val="0A3A8C"/>
            <w:u w:val="single"/>
          </w:rPr>
          <w:t xml:space="preserve">Artikel 247</w:t>
        </w:r>
      </w:hyperlink>
      <w:r>
        <w:t xml:space="preserve"> seines Amtes entheben oder ihm seine Ruhegehaltsansprüche oder andere an ihrer Stelle gewährte Vergünstigungen aberkennen.</w:t>
      </w:r>
    </w:p>
    <w:p>
      <w:pPr>
        <w:pStyle w:val="Heading5"/>
      </w:pPr>
      <w:bookmarkStart w:id="319" w:name="b316"/>
      <w:r>
        <w:t>Art 246</w:t>
      </w:r>
      <w:r>
        <w:t xml:space="preserve"> </w:t>
      </w:r>
      <w:r>
        <w:rPr>
          <w:rStyle w:val="Suchmarke"/>
        </w:rPr>
        <w:t>#246.#</w:t>
      </w:r>
      <w:bookmarkEnd w:id="319"/>
    </w:p>
    <w:p>
      <w:r>
        <w:rPr>
          <w:color w:val="404040"/>
          <w:sz w:val="21"/>
        </w:rPr>
        <w:t>(ex-Artikel 215 EGV)</w:t>
      </w:r>
    </w:p>
    <w:p>
      <w:r>
        <w:t>Abgesehen von den regelmäßigen Neubesetzungen und von Todesfällen endet das Amt eines Mitglieds der Kommission durch Rücktritt oder Amtsenthebung.</w:t>
      </w:r>
    </w:p>
    <w:p>
      <w:r>
        <w:t>Für ein zurückgetretenes, seines Amtes enthobenes oder verstorbenes Mitglied wird für die verbleibende Amtszeit vom Rat mit Zustimmung des Präsidenten der Kommission nach Anhörung des Europäischen Parlaments und nach den Anforderungen des Artikels 17 Absatz 3 Unterabsatz 2 des Vertrags über die Europäische Union ein neues Mitglied derselben Staatsangehörigkeit ernannt.</w:t>
      </w:r>
    </w:p>
    <w:p>
      <w:r>
        <w:t>Der Rat kann auf Vorschlag des Präsidenten der Kommission einstimmig beschließen, dass ein ausscheidendes Mitglied der Kommission für die verbleibende Amtszeit nicht ersetzt werden muss, insbesondere wenn es sich um eine kurze Zeitspanne handelt.</w:t>
      </w:r>
    </w:p>
    <w:p>
      <w:r>
        <w:rPr>
          <w:rStyle w:val="Satznummer"/>
        </w:rPr>
        <w:t>1</w:t>
      </w:r>
      <w:r>
        <w:t xml:space="preserve">Bei Rücktritt, Amtsenthebung oder Tod des Präsidenten wird für die verbleibende Amtszeit ein Nachfolger ernannt. </w:t>
      </w:r>
      <w:r>
        <w:rPr>
          <w:rStyle w:val="Satznummer"/>
        </w:rPr>
        <w:t>2</w:t>
      </w:r>
      <w:r>
        <w:t>Für die Ersetzung findet das Verfahren des Artikels 17 Absatz 7 Unterabsatz 1 des Vertrags über die Europäische Union Anwendung.</w:t>
      </w:r>
    </w:p>
    <w:p>
      <w:r>
        <w:t>Bei Rücktritt, Amtsenthebung oder Tod des Hohen Vertreters der Union für die Außen- und Sicherheitspolitik wird für die verbleibende Amtszeit nach Artikel 18 Absatz 1 des Vertrags über die Europäische Union ein Nachfolger ernannt.</w:t>
      </w:r>
    </w:p>
    <w:p>
      <w:r>
        <w:t>Bei Rücktritt aller Mitglieder der Kommission bleiben diese bis zur Neubesetzung ihres Sitzes nach Artikel 17 des Vertrags über die Europäische Union für die verbleibende Amtszeit im Amt und führen die laufenden Geschäfte weiter.</w:t>
      </w:r>
    </w:p>
    <w:p>
      <w:pPr>
        <w:pStyle w:val="Heading5"/>
      </w:pPr>
      <w:bookmarkStart w:id="320" w:name="b317"/>
      <w:r>
        <w:t>Art 247</w:t>
      </w:r>
      <w:r>
        <w:t xml:space="preserve"> </w:t>
      </w:r>
      <w:r>
        <w:rPr>
          <w:rStyle w:val="Suchmarke"/>
        </w:rPr>
        <w:t>#247.#</w:t>
      </w:r>
      <w:bookmarkEnd w:id="320"/>
    </w:p>
    <w:p>
      <w:r>
        <w:rPr>
          <w:color w:val="404040"/>
          <w:sz w:val="21"/>
        </w:rPr>
        <w:t>(ex-Artikel 216 EGV)</w:t>
      </w:r>
    </w:p>
    <w:p>
      <w:r>
        <w:t>Jedes Mitglied der Kommission, das die Voraussetzungen für die Ausübung seines Amtes nicht mehr erfüllt oder eine schwere Verfehlung begangen hat, kann auf Antrag des Rates, der mit einfacher Mehrheit beschließt, oder der Kommission durch den Gerichtshof seines Amtes enthoben werden.</w:t>
      </w:r>
    </w:p>
    <w:p>
      <w:pPr>
        <w:pStyle w:val="Heading5"/>
      </w:pPr>
      <w:bookmarkStart w:id="321" w:name="b318"/>
      <w:r>
        <w:t>Art 248</w:t>
      </w:r>
      <w:r>
        <w:t xml:space="preserve"> </w:t>
      </w:r>
      <w:r>
        <w:rPr>
          <w:rStyle w:val="Suchmarke"/>
        </w:rPr>
        <w:t>#248.#</w:t>
      </w:r>
      <w:bookmarkEnd w:id="321"/>
    </w:p>
    <w:p>
      <w:r>
        <w:rPr>
          <w:color w:val="404040"/>
          <w:sz w:val="21"/>
        </w:rPr>
        <w:t>(ex-Artikel 217 Absatz 2 EGV)</w:t>
      </w:r>
    </w:p>
    <w:p>
      <w:r>
        <w:rPr>
          <w:rStyle w:val="Satznummer"/>
        </w:rPr>
        <w:t>1</w:t>
      </w:r>
      <w:r>
        <w:t xml:space="preserve">Die Zuständigkeiten der Kommission werden unbeschadet des Artikels 18 Absatz 4 des Vertrags über die Europäische Union von ihrem Präsidenten nach Artikel 17 Absatz 6 des genannten Vertrags gegliedert und zwischen ihren Mitgliedern aufgeteilt. </w:t>
      </w:r>
      <w:r>
        <w:rPr>
          <w:rStyle w:val="Satznummer"/>
        </w:rPr>
        <w:t>2</w:t>
      </w:r>
      <w:r>
        <w:t xml:space="preserve">Der Präsident kann diese Zuständigkeitsverteilung im Laufe der Amtszeit ändern. </w:t>
      </w:r>
      <w:r>
        <w:rPr>
          <w:rStyle w:val="Satznummer"/>
        </w:rPr>
        <w:t>3</w:t>
      </w:r>
      <w:r>
        <w:t>Die Mitglieder der Kommission üben die ihnen vom Präsidenten übertragenen Aufgaben unter dessen Leitung aus.</w:t>
      </w:r>
    </w:p>
    <w:p>
      <w:pPr>
        <w:pStyle w:val="Heading5"/>
      </w:pPr>
      <w:bookmarkStart w:id="322" w:name="b319"/>
      <w:r>
        <w:t>Art 249</w:t>
      </w:r>
      <w:r>
        <w:t xml:space="preserve"> </w:t>
      </w:r>
      <w:r>
        <w:rPr>
          <w:rStyle w:val="Suchmarke"/>
        </w:rPr>
        <w:t>#249.#</w:t>
      </w:r>
      <w:bookmarkEnd w:id="322"/>
    </w:p>
    <w:p>
      <w:r>
        <w:rPr>
          <w:color w:val="404040"/>
          <w:sz w:val="21"/>
        </w:rPr>
        <w:t>(ex-</w:t>
      </w:r>
      <w:hyperlink w:anchor="b279" w:history="1">
        <w:r>
          <w:rPr>
            <w:color w:val="404040"/>
            <w:sz w:val="21"/>
            <w:u w:val="single"/>
          </w:rPr>
          <w:t xml:space="preserve">Artikel 218</w:t>
        </w:r>
      </w:hyperlink>
      <w:r>
        <w:rPr>
          <w:color w:val="404040"/>
          <w:sz w:val="21"/>
        </w:rPr>
        <w:t xml:space="preserve"> Absatz 2 und ex-Artikel 212 EGV)</w:t>
      </w:r>
    </w:p>
    <w:p>
      <w:r>
        <w:t xml:space="preserve">(1) </w:t>
      </w:r>
      <w:r>
        <w:rPr>
          <w:rStyle w:val="Satznummer"/>
        </w:rPr>
        <w:t>1</w:t>
      </w:r>
      <w:r>
        <w:t xml:space="preserve">Die Kommission gibt sich eine Geschäftsordnung, um ihr ordnungsgemäßes Arbeiten und das ihrer Dienststellen zu gewährleisten. </w:t>
      </w:r>
      <w:r>
        <w:rPr>
          <w:rStyle w:val="Satznummer"/>
        </w:rPr>
        <w:t>2</w:t>
      </w:r>
      <w:r>
        <w:t>Sie sorgt für die Veröffentlichung dieser Geschäftsordnung.</w:t>
      </w:r>
    </w:p>
    <w:p>
      <w:r>
        <w:t>(2) Die Kommission veröffentlicht jährlich, und zwar spätestens einen Monat vor Beginn der Sitzungsperiode des Europäischen Parlaments, einen Gesamtbericht über die Tätigkeit der Union.</w:t>
      </w:r>
    </w:p>
    <w:p>
      <w:pPr>
        <w:pStyle w:val="Heading5"/>
      </w:pPr>
      <w:bookmarkStart w:id="323" w:name="b320"/>
      <w:r>
        <w:t>Art 250</w:t>
      </w:r>
      <w:r>
        <w:t xml:space="preserve"> </w:t>
      </w:r>
      <w:r>
        <w:rPr>
          <w:rStyle w:val="Suchmarke"/>
        </w:rPr>
        <w:t>#250.#</w:t>
      </w:r>
      <w:bookmarkEnd w:id="323"/>
    </w:p>
    <w:p>
      <w:r>
        <w:rPr>
          <w:color w:val="404040"/>
          <w:sz w:val="21"/>
        </w:rPr>
        <w:t>(ex-Artikel 219 EGV)</w:t>
      </w:r>
    </w:p>
    <w:p>
      <w:r>
        <w:t>Die Beschlüsse der Kommission werden mit der Mehrheit ihrer Mitglieder gefasst.</w:t>
      </w:r>
    </w:p>
    <w:p>
      <w:r>
        <w:t>Die Beschlussfähigkeit wird in ihrer Geschäftsordnung festgelegt.</w:t>
      </w:r>
    </w:p>
    <w:p>
      <w:pPr>
        <w:pStyle w:val="Heading4"/>
      </w:pPr>
      <w:bookmarkStart w:id="324" w:name="b321"/>
      <w:r>
        <w:t>ABSCHNITT 5 DER GERICHTSHOF DER EUROPÄISCHEN UNION</w:t>
      </w:r>
      <w:bookmarkEnd w:id="324"/>
    </w:p>
    <w:p>
      <w:pPr>
        <w:pStyle w:val="Heading5"/>
      </w:pPr>
      <w:bookmarkStart w:id="325" w:name="b322"/>
      <w:r>
        <w:t>Art 251</w:t>
      </w:r>
      <w:r>
        <w:t xml:space="preserve"> </w:t>
      </w:r>
      <w:r>
        <w:rPr>
          <w:rStyle w:val="Suchmarke"/>
        </w:rPr>
        <w:t>#251.#</w:t>
      </w:r>
      <w:bookmarkEnd w:id="325"/>
    </w:p>
    <w:p>
      <w:r>
        <w:rPr>
          <w:color w:val="404040"/>
          <w:sz w:val="21"/>
        </w:rPr>
        <w:t>(ex-Artikel 221 EGV)</w:t>
      </w:r>
    </w:p>
    <w:p>
      <w:r>
        <w:t>Der Gerichtshof tagt in Kammern oder als Große Kammer entsprechend den hierfür in der Satzung des Gerichtshofs der Europäischen Union vorgesehenen Regeln.</w:t>
      </w:r>
    </w:p>
    <w:p>
      <w:r>
        <w:t>Wenn die Satzung es vorsieht, kann der Gerichtshof auch als Plenum tagen.</w:t>
      </w:r>
    </w:p>
    <w:p>
      <w:pPr>
        <w:pStyle w:val="Heading5"/>
      </w:pPr>
      <w:bookmarkStart w:id="326" w:name="b323"/>
      <w:r>
        <w:t>Art 252</w:t>
      </w:r>
      <w:r>
        <w:t xml:space="preserve"> </w:t>
      </w:r>
      <w:r>
        <w:rPr>
          <w:rStyle w:val="Suchmarke"/>
        </w:rPr>
        <w:t>#252.#</w:t>
      </w:r>
      <w:bookmarkEnd w:id="326"/>
    </w:p>
    <w:p>
      <w:r>
        <w:rPr>
          <w:color w:val="404040"/>
          <w:sz w:val="21"/>
        </w:rPr>
        <w:t>(ex-Artikel 222 EGV)</w:t>
      </w:r>
    </w:p>
    <w:p>
      <w:r>
        <w:rPr>
          <w:rStyle w:val="Satznummer"/>
        </w:rPr>
        <w:t>1</w:t>
      </w:r>
      <w:r>
        <w:t xml:space="preserve">Der Gerichtshof wird von acht Generalanwälten unterstützt. </w:t>
      </w:r>
      <w:r>
        <w:rPr>
          <w:rStyle w:val="Satznummer"/>
        </w:rPr>
        <w:t>2</w:t>
      </w:r>
      <w:r>
        <w:t>Auf Antrag des Gerichtshofs kann der Rat einstimmig die Zahl der Generalanwälte erhöhen.</w:t>
      </w:r>
    </w:p>
    <w:p>
      <w:r>
        <w:t>Der Generalanwalt hat öffentlich in völliger Unparteilichkeit und Unabhängigkeit begründete Schlussanträge zu den Rechtssachen zu stellen, in denen nach der Satzung des Gerichtshofs der Europäischen Union seine Mitwirkung erforderlich ist.</w:t>
      </w:r>
    </w:p>
    <w:p>
      <w:pPr>
        <w:pStyle w:val="Heading5"/>
      </w:pPr>
      <w:bookmarkStart w:id="327" w:name="b324"/>
      <w:r>
        <w:t>Art 253</w:t>
      </w:r>
      <w:r>
        <w:t xml:space="preserve"> </w:t>
      </w:r>
      <w:r>
        <w:rPr>
          <w:rStyle w:val="Suchmarke"/>
        </w:rPr>
        <w:t>#253.#</w:t>
      </w:r>
      <w:bookmarkEnd w:id="327"/>
    </w:p>
    <w:p>
      <w:r>
        <w:rPr>
          <w:color w:val="404040"/>
          <w:sz w:val="21"/>
        </w:rPr>
        <w:t>(ex-Artikel 223 EGV)</w:t>
      </w:r>
    </w:p>
    <w:p>
      <w:r>
        <w:t xml:space="preserve">Zu Richtern und Generalanwälten des Gerichtshofs sind Persönlichkeiten auszuwählen, die jede Gewähr für Unabhängigkeit bieten und in ihrem Staat die für die höchsten richterlichen Ämter erforderlichen Voraussetzungen erfüllen oder Juristen von anerkannt hervorragender Befähigung sind; sie werden von den Regierungen der Mitgliedstaaten im gegenseitigen Einvernehmen nach Anhörung des in </w:t>
      </w:r>
      <w:hyperlink w:anchor="b326" w:history="1">
        <w:r>
          <w:rPr>
            <w:color w:val="0A3A8C"/>
            <w:u w:val="single"/>
          </w:rPr>
          <w:t xml:space="preserve">Artikel 255</w:t>
        </w:r>
      </w:hyperlink>
      <w:r>
        <w:t xml:space="preserve"> vorgesehenen Ausschusses auf sechs Jahre ernannt.</w:t>
      </w:r>
    </w:p>
    <w:p>
      <w:r>
        <w:t>Alle drei Jahre findet nach Maßgabe der Satzung des Gerichtshofs der Europäischen Union eine teilweise Neubesetzung der Stellen der Richter und Generalanwälte statt.</w:t>
      </w:r>
    </w:p>
    <w:p>
      <w:r>
        <w:rPr>
          <w:rStyle w:val="Satznummer"/>
        </w:rPr>
        <w:t>1</w:t>
      </w:r>
      <w:r>
        <w:t xml:space="preserve">Die Richter wählen aus ihrer Mitte den Präsidenten des Gerichtshofs für die Dauer von drei Jahren. </w:t>
      </w:r>
      <w:r>
        <w:rPr>
          <w:rStyle w:val="Satznummer"/>
        </w:rPr>
        <w:t>2</w:t>
      </w:r>
      <w:r>
        <w:t>Wiederwahl ist zulässig.</w:t>
      </w:r>
    </w:p>
    <w:p>
      <w:r>
        <w:t>Die Wiederernennung ausscheidender Richter und Generalanwälte ist zulässig.</w:t>
      </w:r>
    </w:p>
    <w:p>
      <w:r>
        <w:t>Der Gerichtshof ernennt seinen Kanzler und bestimmt dessen Stellung.</w:t>
      </w:r>
    </w:p>
    <w:p>
      <w:r>
        <w:rPr>
          <w:rStyle w:val="Satznummer"/>
        </w:rPr>
        <w:t>1</w:t>
      </w:r>
      <w:r>
        <w:t xml:space="preserve">Der Gerichtshof erlässt seine Verfahrensordnung. </w:t>
      </w:r>
      <w:r>
        <w:rPr>
          <w:rStyle w:val="Satznummer"/>
        </w:rPr>
        <w:t>2</w:t>
      </w:r>
      <w:r>
        <w:t>Sie bedarf der Genehmigung des Rates.</w:t>
      </w:r>
    </w:p>
    <w:p>
      <w:pPr>
        <w:pStyle w:val="Heading5"/>
      </w:pPr>
      <w:bookmarkStart w:id="328" w:name="b325"/>
      <w:r>
        <w:t>Art 254</w:t>
      </w:r>
      <w:r>
        <w:t xml:space="preserve"> </w:t>
      </w:r>
      <w:r>
        <w:rPr>
          <w:rStyle w:val="Suchmarke"/>
        </w:rPr>
        <w:t>#254.#</w:t>
      </w:r>
      <w:bookmarkEnd w:id="328"/>
    </w:p>
    <w:p>
      <w:r>
        <w:rPr>
          <w:color w:val="404040"/>
          <w:sz w:val="21"/>
        </w:rPr>
        <w:t>(ex-Artikel 224 EGV)</w:t>
      </w:r>
    </w:p>
    <w:p>
      <w:r>
        <w:rPr>
          <w:rStyle w:val="Satznummer"/>
        </w:rPr>
        <w:t>1</w:t>
      </w:r>
      <w:r>
        <w:t xml:space="preserve">Die Zahl der Richter des Gerichts wird in der Satzung des Gerichtshofs der Europäischen Union festgelegt. </w:t>
      </w:r>
      <w:r>
        <w:rPr>
          <w:rStyle w:val="Satznummer"/>
        </w:rPr>
        <w:t>2</w:t>
      </w:r>
      <w:r>
        <w:t>In der Satzung kann vorgesehen werden, dass das Gericht von Generalanwälten unterstützt wird.</w:t>
      </w:r>
    </w:p>
    <w:p>
      <w:r>
        <w:rPr>
          <w:rStyle w:val="Satznummer"/>
        </w:rPr>
        <w:t>1</w:t>
      </w:r>
      <w:r>
        <w:t xml:space="preserve">Zu Mitgliedern des Gerichts sind Personen auszuwählen, die jede Gewähr für Unabhängigkeit bieten und über die Befähigung zur Ausübung hoher richterlicher Tätigkeiten verfügen. </w:t>
      </w:r>
      <w:r>
        <w:rPr>
          <w:rStyle w:val="Satznummer"/>
        </w:rPr>
        <w:t>2</w:t>
      </w:r>
      <w:r>
        <w:t xml:space="preserve">Sie werden von den Regierungen der Mitgliedstaaten im gegenseitigen Einvernehmen nach Anhörung des in </w:t>
      </w:r>
      <w:hyperlink w:anchor="b326" w:history="1">
        <w:r>
          <w:rPr>
            <w:color w:val="0A3A8C"/>
            <w:u w:val="single"/>
          </w:rPr>
          <w:t xml:space="preserve">Artikel 255</w:t>
        </w:r>
      </w:hyperlink>
      <w:r>
        <w:t xml:space="preserve"> vorgesehenen Ausschusses für sechs Jahre ernannt. </w:t>
      </w:r>
      <w:r>
        <w:rPr>
          <w:rStyle w:val="Satznummer"/>
        </w:rPr>
        <w:t>3</w:t>
      </w:r>
      <w:r>
        <w:t xml:space="preserve">Alle drei Jahre wird das Gericht teilweise neu besetzt. </w:t>
      </w:r>
      <w:r>
        <w:rPr>
          <w:rStyle w:val="Satznummer"/>
        </w:rPr>
        <w:t>4</w:t>
      </w:r>
      <w:r>
        <w:t>Die Wiederernennung ausscheidender Mitglieder ist zulässig.</w:t>
      </w:r>
    </w:p>
    <w:p>
      <w:r>
        <w:rPr>
          <w:rStyle w:val="Satznummer"/>
        </w:rPr>
        <w:t>1</w:t>
      </w:r>
      <w:r>
        <w:t xml:space="preserve">Die Richter wählen aus ihrer Mitte den Präsidenten des Gerichts für die Dauer von drei Jahren. </w:t>
      </w:r>
      <w:r>
        <w:rPr>
          <w:rStyle w:val="Satznummer"/>
        </w:rPr>
        <w:t>2</w:t>
      </w:r>
      <w:r>
        <w:t>Wiederwahl ist zulässig.</w:t>
      </w:r>
    </w:p>
    <w:p>
      <w:r>
        <w:t>Das Gericht ernennt seinen Kanzler und bestimmt dessen Stellung.</w:t>
      </w:r>
    </w:p>
    <w:p>
      <w:r>
        <w:rPr>
          <w:rStyle w:val="Satznummer"/>
        </w:rPr>
        <w:t>1</w:t>
      </w:r>
      <w:r>
        <w:t xml:space="preserve">Das Gericht erlässt seine Verfahrensordnung im Einvernehmen mit dem Gerichtshof. </w:t>
      </w:r>
      <w:r>
        <w:rPr>
          <w:rStyle w:val="Satznummer"/>
        </w:rPr>
        <w:t>2</w:t>
      </w:r>
      <w:r>
        <w:t>Sie bedarf der Genehmigung des Rates.</w:t>
      </w:r>
    </w:p>
    <w:p>
      <w:r>
        <w:t>Soweit die Satzung des Gerichtshofs der Europäischen Union nichts anderes vorsieht, finden die den Gerichtshof betreffenden Bestimmungen der Verträge auf das Gericht Anwendung.</w:t>
      </w:r>
    </w:p>
    <w:p>
      <w:pPr>
        <w:pStyle w:val="Heading5"/>
      </w:pPr>
      <w:bookmarkStart w:id="329" w:name="b326"/>
      <w:r>
        <w:t>Art 255</w:t>
      </w:r>
      <w:r>
        <w:t xml:space="preserve"> </w:t>
      </w:r>
      <w:r>
        <w:rPr>
          <w:rStyle w:val="Suchmarke"/>
        </w:rPr>
        <w:t>#255.#</w:t>
      </w:r>
      <w:bookmarkEnd w:id="329"/>
    </w:p>
    <w:p>
      <w:r>
        <w:t xml:space="preserve">Es wird ein Ausschuss eingerichtet, der die Aufgabe hat, vor einer Ernennung durch die Regierungen der Mitgliedstaaten nach den </w:t>
      </w:r>
      <w:hyperlink w:anchor="b324" w:history="1">
        <w:r>
          <w:rPr>
            <w:color w:val="0A3A8C"/>
            <w:u w:val="single"/>
          </w:rPr>
          <w:t xml:space="preserve">Artikeln 253</w:t>
        </w:r>
      </w:hyperlink>
      <w:r>
        <w:t xml:space="preserve"> und </w:t>
      </w:r>
      <w:hyperlink w:anchor="b325" w:history="1">
        <w:r>
          <w:rPr>
            <w:color w:val="0A3A8C"/>
            <w:u w:val="single"/>
          </w:rPr>
          <w:t xml:space="preserve">254</w:t>
        </w:r>
      </w:hyperlink>
      <w:r>
        <w:t xml:space="preserve"> eine Stellungnahme zur Eignung der Bewerber für die Ausübung des Amts eines Richters oder Generalanwalts beim Gerichtshof oder beim Gericht abzugeben.</w:t>
      </w:r>
    </w:p>
    <w:p>
      <w:r>
        <w:rPr>
          <w:rStyle w:val="Satznummer"/>
        </w:rPr>
        <w:t>1</w:t>
      </w:r>
      <w:r>
        <w:t xml:space="preserve">Der Ausschuss setzt sich aus sieben Persönlichkeiten zusammen, die aus dem Kreis ehemaliger Mitglieder des Gerichtshofs und des Gerichts, der Mitglieder der höchsten einzelstaatlichen Gerichte und der Juristen von anerkannt hervorragender Befähigung ausgewählt werden, von denen einer vom Europäischen Parlament vorgeschlagen wird. </w:t>
      </w:r>
      <w:r>
        <w:rPr>
          <w:rStyle w:val="Satznummer"/>
        </w:rPr>
        <w:t>2</w:t>
      </w:r>
      <w:r>
        <w:t xml:space="preserve">Der Rat erlässt einen Beschluss zur Festlegung der Vorschriften für die Arbeitsweise und einen Beschluss zur Ernennung der Mitglieder dieses Ausschusses. </w:t>
      </w:r>
      <w:r>
        <w:rPr>
          <w:rStyle w:val="Satznummer"/>
        </w:rPr>
        <w:t>3</w:t>
      </w:r>
      <w:r>
        <w:t>Er beschließt auf Initiative des Präsidenten des Gerichtshofs.</w:t>
      </w:r>
    </w:p>
    <w:p>
      <w:pPr>
        <w:pStyle w:val="Heading5"/>
      </w:pPr>
      <w:bookmarkStart w:id="330" w:name="b327"/>
      <w:r>
        <w:t>Art 256</w:t>
      </w:r>
      <w:r>
        <w:t xml:space="preserve"> </w:t>
      </w:r>
      <w:r>
        <w:rPr>
          <w:rStyle w:val="Suchmarke"/>
        </w:rPr>
        <w:t>#256.#</w:t>
      </w:r>
      <w:bookmarkEnd w:id="330"/>
    </w:p>
    <w:p>
      <w:r>
        <w:rPr>
          <w:color w:val="404040"/>
          <w:sz w:val="21"/>
        </w:rPr>
        <w:t>(ex-Artikel 225 EGV)</w:t>
      </w:r>
    </w:p>
    <w:p>
      <w:r>
        <w:t xml:space="preserve">(1) </w:t>
      </w:r>
      <w:r>
        <w:rPr>
          <w:rStyle w:val="Satznummer"/>
        </w:rPr>
        <w:t>1</w:t>
      </w:r>
      <w:r>
        <w:t xml:space="preserve">Das Gericht ist für Entscheidungen im ersten Rechtszug über die in den </w:t>
      </w:r>
      <w:hyperlink w:anchor="b334" w:history="1">
        <w:r>
          <w:rPr>
            <w:color w:val="0A3A8C"/>
            <w:u w:val="single"/>
          </w:rPr>
          <w:t xml:space="preserve">Artikeln 263</w:t>
        </w:r>
      </w:hyperlink>
      <w:r>
        <w:t xml:space="preserve">, </w:t>
      </w:r>
      <w:hyperlink w:anchor="b336" w:history="1">
        <w:r>
          <w:rPr>
            <w:color w:val="0A3A8C"/>
            <w:u w:val="single"/>
          </w:rPr>
          <w:t xml:space="preserve">265</w:t>
        </w:r>
      </w:hyperlink>
      <w:r>
        <w:t xml:space="preserve">, </w:t>
      </w:r>
      <w:hyperlink w:anchor="b339" w:history="1">
        <w:r>
          <w:rPr>
            <w:color w:val="0A3A8C"/>
            <w:u w:val="single"/>
          </w:rPr>
          <w:t xml:space="preserve">268</w:t>
        </w:r>
      </w:hyperlink>
      <w:r>
        <w:t xml:space="preserve">, </w:t>
      </w:r>
      <w:hyperlink w:anchor="b341" w:history="1">
        <w:r>
          <w:rPr>
            <w:color w:val="0A3A8C"/>
            <w:u w:val="single"/>
          </w:rPr>
          <w:t xml:space="preserve">270</w:t>
        </w:r>
      </w:hyperlink>
      <w:r>
        <w:t xml:space="preserve"> und </w:t>
      </w:r>
      <w:hyperlink w:anchor="b343" w:history="1">
        <w:r>
          <w:rPr>
            <w:color w:val="0A3A8C"/>
            <w:u w:val="single"/>
          </w:rPr>
          <w:t xml:space="preserve">272</w:t>
        </w:r>
      </w:hyperlink>
      <w:r>
        <w:t xml:space="preserve"> genannten Klagen zuständig, mit Ausnahme derjenigen Klagen, die einem nach </w:t>
      </w:r>
      <w:hyperlink w:anchor="b328" w:history="1">
        <w:r>
          <w:rPr>
            <w:color w:val="0A3A8C"/>
            <w:u w:val="single"/>
          </w:rPr>
          <w:t xml:space="preserve">Artikel 257</w:t>
        </w:r>
      </w:hyperlink>
      <w:r>
        <w:t xml:space="preserve"> gebildeten Fachgericht übertragen werden, und der Klagen, die gemäß der Satzung dem Gerichtshof vorbehalten sind. </w:t>
      </w:r>
      <w:r>
        <w:rPr>
          <w:rStyle w:val="Satznummer"/>
        </w:rPr>
        <w:t>2</w:t>
      </w:r>
      <w:r>
        <w:t>In der Satzung kann vorgesehen werden, dass das Gericht für andere Kategorien von Klagen zuständig ist.</w:t>
      </w:r>
    </w:p>
    <w:p>
      <w:r>
        <w:t>Gegen die Entscheidungen des Gerichts aufgrund dieses Absatzes kann nach Maßgabe der Bedingungen und innerhalb der Grenzen, die in der Satzung vorgesehen sind, beim Gerichtshof ein auf Rechtsfragen beschränktes Rechtsmittel eingelegt werden.</w:t>
      </w:r>
    </w:p>
    <w:p>
      <w:r>
        <w:t>(2) Das Gericht ist für Entscheidungen über Rechtsmittel gegen die Entscheidungen der Fachgerichte zuständig.</w:t>
      </w:r>
    </w:p>
    <w:p>
      <w:r>
        <w:t>Die Entscheidungen des Gerichts aufgrund dieses Absatzes können nach Maßgabe der Bedingungen und innerhalb der Grenzen, die in der Satzung vorgesehen sind, in Ausnahmefällen vom Gerichtshof überprüft werden, wenn die ernste Gefahr besteht, dass die Einheit oder Kohärenz des Unionsrechts berührt wird.</w:t>
      </w:r>
    </w:p>
    <w:p>
      <w:r>
        <w:t xml:space="preserve">(3) Das Gericht ist in besonderen in der Satzung festgelegten Sachgebieten für Vorabentscheidungen nach </w:t>
      </w:r>
      <w:hyperlink w:anchor="b338" w:history="1">
        <w:r>
          <w:rPr>
            <w:color w:val="0A3A8C"/>
            <w:u w:val="single"/>
          </w:rPr>
          <w:t xml:space="preserve">Artikel 267</w:t>
        </w:r>
      </w:hyperlink>
      <w:r>
        <w:t xml:space="preserve"> zuständig.</w:t>
      </w:r>
    </w:p>
    <w:p>
      <w:r>
        <w:t>Wenn das Gericht der Auffassung ist, dass eine Rechtssache eine Grundsatzentscheidung erfordert, die die Einheit oder die Kohärenz des Unionsrechts berühren könnte, kann es die Rechtssache zur Entscheidung an den Gerichtshof verweisen.</w:t>
      </w:r>
    </w:p>
    <w:p>
      <w:r>
        <w:t>Die Entscheidungen des Gerichts über Anträge auf Vorabentscheidung können nach Maßgabe der Bedingungen und innerhalb der Grenzen, die in der Satzung vorgesehen sind, in Ausnahmefällen vom Gerichtshof überprüft werden, wenn die ernste Gefahr besteht, dass die Einheit oder die Kohärenz des Unionsrechts berührt wird.</w:t>
      </w:r>
    </w:p>
    <w:p>
      <w:pPr>
        <w:pStyle w:val="Heading5"/>
      </w:pPr>
      <w:bookmarkStart w:id="331" w:name="b328"/>
      <w:r>
        <w:t>Art 257</w:t>
      </w:r>
      <w:r>
        <w:t xml:space="preserve"> </w:t>
      </w:r>
      <w:r>
        <w:rPr>
          <w:rStyle w:val="Suchmarke"/>
        </w:rPr>
        <w:t>#257.#</w:t>
      </w:r>
      <w:bookmarkEnd w:id="331"/>
    </w:p>
    <w:p>
      <w:r>
        <w:rPr>
          <w:color w:val="404040"/>
          <w:sz w:val="21"/>
        </w:rPr>
        <w:t>(ex-Artikel 225a EGV)</w:t>
      </w:r>
    </w:p>
    <w:p>
      <w:r>
        <w:rPr>
          <w:rStyle w:val="Satznummer"/>
        </w:rPr>
        <w:t>1</w:t>
      </w:r>
      <w:r>
        <w:t xml:space="preserve">Das Europäische Parlament und der Rat können gemäß dem ordentlichen Gesetzgebungsverfahren dem Gericht beigeordnete Fachgerichte bilden, die für Entscheidungen im ersten Rechtszug über bestimmte Kategorien von Klagen zuständig sind, die auf besonderen Sachgebieten erhoben werden. </w:t>
      </w:r>
      <w:r>
        <w:rPr>
          <w:rStyle w:val="Satznummer"/>
        </w:rPr>
        <w:t>2</w:t>
      </w:r>
      <w:r>
        <w:t>Das Europäische Parlament und der Rat beschließen durch Verordnungen entweder auf Vorschlag der Kommission nach Anhörung des Gerichtshofs oder auf Antrag des Gerichtshofs nach Anhörung der Kommission.</w:t>
      </w:r>
    </w:p>
    <w:p>
      <w:r>
        <w:t>In der Verordnung über die Bildung eines Fachgerichts werden die Regeln für die Zusammensetzung dieses Gerichts und der ihm übertragene Zuständigkeitsbereich festgelegt.</w:t>
      </w:r>
    </w:p>
    <w:p>
      <w:r>
        <w:t>Gegen die Entscheidungen der Fachgerichte kann vor dem Gericht ein auf Rechtsfragen beschränktes Rechtsmittel oder, wenn die Verordnung über die Bildung des Fachgerichts dies vorsieht, ein auch Sachfragen betreffendes Rechtsmittel eingelegt werden.</w:t>
      </w:r>
    </w:p>
    <w:p>
      <w:r>
        <w:rPr>
          <w:rStyle w:val="Satznummer"/>
        </w:rPr>
        <w:t>1</w:t>
      </w:r>
      <w:r>
        <w:t xml:space="preserve">Zu Mitgliedern der Fachgerichte sind Personen auszuwählen, die jede Gewähr für Unabhängigkeit bieten und über die Befähigung zur Ausübung richterlicher Tätigkeiten verfügen. </w:t>
      </w:r>
      <w:r>
        <w:rPr>
          <w:rStyle w:val="Satznummer"/>
        </w:rPr>
        <w:t>2</w:t>
      </w:r>
      <w:r>
        <w:t>Sie werden einstimmig vom Rat ernannt.</w:t>
      </w:r>
    </w:p>
    <w:p>
      <w:r>
        <w:rPr>
          <w:rStyle w:val="Satznummer"/>
        </w:rPr>
        <w:t>1</w:t>
      </w:r>
      <w:r>
        <w:t xml:space="preserve">Die Fachgerichte erlassen ihre Verfahrensordnung im Einvernehmen mit dem Gerichtshof. </w:t>
      </w:r>
      <w:r>
        <w:rPr>
          <w:rStyle w:val="Satznummer"/>
        </w:rPr>
        <w:t>2</w:t>
      </w:r>
      <w:r>
        <w:t>Diese Verfahrensordnung bedarf der Genehmigung des Rates.</w:t>
      </w:r>
    </w:p>
    <w:p>
      <w:r>
        <w:rPr>
          <w:rStyle w:val="Satznummer"/>
        </w:rPr>
        <w:t>1</w:t>
      </w:r>
      <w:r>
        <w:t xml:space="preserve">Soweit die Verordnung über die Bildung der Fachgerichte nichts anderes vorsieht, finden die den Gerichtshof der Europäischen Union betreffenden Bestimmungen der Verträge und die Satzung des Gerichtshofs der Europäischen Union auf die Fachgerichte Anwendung. </w:t>
      </w:r>
      <w:r>
        <w:rPr>
          <w:rStyle w:val="Satznummer"/>
        </w:rPr>
        <w:t>2</w:t>
      </w:r>
      <w:r>
        <w:t>Titel I und Artikel 64 der Satzung gelten auf jeden Fall für die Fachgerichte.</w:t>
      </w:r>
    </w:p>
    <w:p>
      <w:pPr>
        <w:pStyle w:val="Heading5"/>
      </w:pPr>
      <w:bookmarkStart w:id="332" w:name="b329"/>
      <w:r>
        <w:t>Art 258</w:t>
      </w:r>
      <w:r>
        <w:t xml:space="preserve"> </w:t>
      </w:r>
      <w:r>
        <w:rPr>
          <w:rStyle w:val="Suchmarke"/>
        </w:rPr>
        <w:t>#258.#</w:t>
      </w:r>
      <w:bookmarkEnd w:id="332"/>
    </w:p>
    <w:p>
      <w:r>
        <w:rPr>
          <w:color w:val="404040"/>
          <w:sz w:val="21"/>
        </w:rPr>
        <w:t>(ex-Artikel 226 EGV)</w:t>
      </w:r>
    </w:p>
    <w:p>
      <w:r>
        <w:t>Hat nach Auffassung der Kommission ein Mitgliedstaat gegen eine Verpflichtung aus den Verträgen verstoßen, so gibt sie eine mit Gründen versehene Stellungnahme hierzu ab; sie hat dem Staat zuvor Gelegenheit zur Äußerung zu geben.</w:t>
      </w:r>
    </w:p>
    <w:p>
      <w:r>
        <w:t>Kommt der Staat dieser Stellungnahme innerhalb der von der Kommission gesetzten Frist nicht nach, so kann die Kommission den Gerichtshof der Europäischen Union anrufen.</w:t>
      </w:r>
    </w:p>
    <w:p>
      <w:pPr>
        <w:pStyle w:val="Heading5"/>
      </w:pPr>
      <w:bookmarkStart w:id="333" w:name="b330"/>
      <w:r>
        <w:t>Art 259</w:t>
      </w:r>
      <w:r>
        <w:t xml:space="preserve"> </w:t>
      </w:r>
      <w:r>
        <w:rPr>
          <w:rStyle w:val="Suchmarke"/>
        </w:rPr>
        <w:t>#259.#</w:t>
      </w:r>
      <w:bookmarkEnd w:id="333"/>
    </w:p>
    <w:p>
      <w:r>
        <w:rPr>
          <w:color w:val="404040"/>
          <w:sz w:val="21"/>
        </w:rPr>
        <w:t>(ex-Artikel 227 EGV)</w:t>
      </w:r>
    </w:p>
    <w:p>
      <w:r>
        <w:t>Jeder Mitgliedstaat kann den Gerichtshof der Europäischen Union anrufen, wenn er der Auffassung ist, dass ein anderer Mitgliedstaat gegen eine Verpflichtung aus den Verträgen verstoßen hat.</w:t>
      </w:r>
    </w:p>
    <w:p>
      <w:r>
        <w:t>Bevor ein Mitgliedstaat wegen einer angeblichen Verletzung der Verpflichtungen aus den Verträgen gegen einen anderen Staat Klage erhebt, muss er die Kommission damit befassen.</w:t>
      </w:r>
    </w:p>
    <w:p>
      <w:r>
        <w:t>Die Kommission erlässt eine mit Gründen versehene Stellungnahme; sie gibt den beteiligten Staaten zuvor Gelegenheit zu schriftlicher und mündlicher Äußerung in einem kontradiktorischen Verfahren.</w:t>
      </w:r>
    </w:p>
    <w:p>
      <w:r>
        <w:t>Gibt die Kommission binnen drei Monaten nach dem Zeitpunkt, in dem ein entsprechender Antrag gestellt wurde, keine Stellungnahme ab, so kann ungeachtet des Fehlens der Stellungnahme vor dem Gerichtshof geklagt werden.</w:t>
      </w:r>
    </w:p>
    <w:p>
      <w:pPr>
        <w:pStyle w:val="Heading5"/>
      </w:pPr>
      <w:bookmarkStart w:id="334" w:name="b331"/>
      <w:r>
        <w:t>Art 260</w:t>
      </w:r>
      <w:r>
        <w:t xml:space="preserve"> </w:t>
      </w:r>
      <w:r>
        <w:rPr>
          <w:rStyle w:val="Suchmarke"/>
        </w:rPr>
        <w:t>#260.#</w:t>
      </w:r>
      <w:bookmarkEnd w:id="334"/>
    </w:p>
    <w:p>
      <w:r>
        <w:rPr>
          <w:color w:val="404040"/>
          <w:sz w:val="21"/>
        </w:rPr>
        <w:t>(ex-Artikel 228 EGV)</w:t>
      </w:r>
    </w:p>
    <w:p>
      <w:r>
        <w:t>(1) Stellt der Gerichtshof der Europäischen Union fest, dass ein Mitgliedstaat gegen eine Verpflichtung aus den Verträgen verstoßen hat, so hat dieser Staat die Maßnahmen zu ergreifen, die sich aus dem Urteil des Gerichtshofs ergeben.</w:t>
      </w:r>
    </w:p>
    <w:p>
      <w:r>
        <w:t xml:space="preserve">(2) </w:t>
      </w:r>
      <w:r>
        <w:rPr>
          <w:rStyle w:val="Satznummer"/>
        </w:rPr>
        <w:t>1</w:t>
      </w:r>
      <w:r>
        <w:t xml:space="preserve">Hat der betreffende Mitgliedstaat die Maßnahmen, die sich aus dem Urteil des Gerichtshofs ergeben, nach Auffassung der Kommission nicht getroffen, so kann die Kommission den Gerichtshof anrufen, nachdem sie diesem Staat zuvor Gelegenheit zur Äußerung gegeben hat. </w:t>
      </w:r>
      <w:r>
        <w:rPr>
          <w:rStyle w:val="Satznummer"/>
        </w:rPr>
        <w:t>2</w:t>
      </w:r>
      <w:r>
        <w:t>Hierbei benennt sie die Höhe des von dem betreffenden Mitgliedstaat zu zahlenden Pauschalbetrags oder Zwangsgelds, die sie den Umständen nach für angemessen hält.</w:t>
      </w:r>
    </w:p>
    <w:p>
      <w:r>
        <w:t>Stellt der Gerichtshof fest, dass der betreffende Mitgliedstaat seinem Urteil nicht nachgekommen ist, so kann er die Zahlung eines Pauschalbetrags oder Zwangsgelds verhängen.</w:t>
      </w:r>
    </w:p>
    <w:p>
      <w:r>
        <w:t xml:space="preserve">Dieses Verfahren lässt den </w:t>
      </w:r>
      <w:hyperlink w:anchor="b330" w:history="1">
        <w:r>
          <w:rPr>
            <w:color w:val="0A3A8C"/>
            <w:u w:val="single"/>
          </w:rPr>
          <w:t xml:space="preserve">Artikel 259</w:t>
        </w:r>
      </w:hyperlink>
      <w:r>
        <w:t xml:space="preserve"> unberührt.</w:t>
      </w:r>
    </w:p>
    <w:p>
      <w:r>
        <w:t xml:space="preserve">(3) Erhebt die Kommission beim Gerichtshof Klage nach </w:t>
      </w:r>
      <w:hyperlink w:anchor="b329" w:history="1">
        <w:r>
          <w:rPr>
            <w:color w:val="0A3A8C"/>
            <w:u w:val="single"/>
          </w:rPr>
          <w:t xml:space="preserve">Artikel 258</w:t>
        </w:r>
      </w:hyperlink>
      <w:r>
        <w:t>, weil sie der Auffassung ist, dass der betreffende Mitgliedstaat gegen seine Verpflichtung verstoßen hat, Maßnahmen zur Umsetzung einer gemäß einem Gesetzgebungsverfahren erlassenen Richtlinie mitzuteilen, so kann sie, wenn sie dies für zweckmäßig hält, die Höhe des von dem betreffenden Mitgliedstaat zu zahlenden Pauschalbetrags oder Zwangsgelds benennen, die sie den Umständen nach für angemessen hält.</w:t>
      </w:r>
    </w:p>
    <w:p>
      <w:r>
        <w:rPr>
          <w:rStyle w:val="Satznummer"/>
        </w:rPr>
        <w:t>1</w:t>
      </w:r>
      <w:r>
        <w:t xml:space="preserve">Stellt der Gerichtshof einen Verstoß fest, so kann er gegen den betreffenden Mitgliedstaat die Zahlung eines Pauschalbetrags oder eines Zwangsgelds bis zur Höhe des von der Kommission genannten Betrags verhängen. </w:t>
      </w:r>
      <w:r>
        <w:rPr>
          <w:rStyle w:val="Satznummer"/>
        </w:rPr>
        <w:t>2</w:t>
      </w:r>
      <w:r>
        <w:t>Die Zahlungsverpflichtung gilt ab dem vom Gerichtshof in seinem Urteil festgelegten Zeitpunkt.</w:t>
      </w:r>
    </w:p>
    <w:p>
      <w:pPr>
        <w:pStyle w:val="Heading5"/>
      </w:pPr>
      <w:bookmarkStart w:id="335" w:name="b332"/>
      <w:r>
        <w:t>Art 261</w:t>
      </w:r>
      <w:r>
        <w:t xml:space="preserve"> </w:t>
      </w:r>
      <w:r>
        <w:rPr>
          <w:rStyle w:val="Suchmarke"/>
        </w:rPr>
        <w:t>#261.#</w:t>
      </w:r>
      <w:bookmarkEnd w:id="335"/>
    </w:p>
    <w:p>
      <w:r>
        <w:rPr>
          <w:color w:val="404040"/>
          <w:sz w:val="21"/>
        </w:rPr>
        <w:t>(ex-Artikel 229 EGV)</w:t>
      </w:r>
    </w:p>
    <w:p>
      <w:r>
        <w:t>Aufgrund der Verträge vom Europäischen Parlament und vom Rat gemeinsam sowie vom Rat erlassene Verordnungen können hinsichtlich der darin vorgesehenen Zwangsmaßnahmen dem Gerichtshof der Europäischen Union eine Zuständigkeit übertragen, welche die Befugnis zu unbeschränkter Ermessensnachprüfung und zur Änderung oder Verhängung solcher Maßnahmen umfasst.</w:t>
      </w:r>
    </w:p>
    <w:p>
      <w:pPr>
        <w:pStyle w:val="Heading5"/>
      </w:pPr>
      <w:bookmarkStart w:id="336" w:name="b333"/>
      <w:r>
        <w:t>Art 262</w:t>
      </w:r>
      <w:r>
        <w:t xml:space="preserve"> </w:t>
      </w:r>
      <w:r>
        <w:rPr>
          <w:rStyle w:val="Suchmarke"/>
        </w:rPr>
        <w:t>#262.#</w:t>
      </w:r>
      <w:bookmarkEnd w:id="336"/>
    </w:p>
    <w:p>
      <w:r>
        <w:rPr>
          <w:color w:val="404040"/>
          <w:sz w:val="21"/>
        </w:rPr>
        <w:t>(ex-Artikel 229a EGV)</w:t>
      </w:r>
    </w:p>
    <w:p>
      <w:r>
        <w:rPr>
          <w:rStyle w:val="Satznummer"/>
        </w:rPr>
        <w:t>1</w:t>
      </w:r>
      <w:r>
        <w:t xml:space="preserve">Unbeschadet der sonstigen Bestimmungen der Verträge kann der Rat gemäß einem besonderen Gesetzgebungsverfahren nach Anhörung des Europäischen Parlaments einstimmig Bestimmungen erlassen, mit denen dem Gerichtshof der Europäischen Union in dem vom Rat festgelegten Umfang die Zuständigkeit übertragen wird, über Rechtsstreitigkeiten im Zusammenhang mit der Anwendung von aufgrund der Verträge erlassenen Rechtsakten, mit denen europäische Rechtstitel für das geistige Eigentum geschaffen werden, zu entscheiden. </w:t>
      </w:r>
      <w:r>
        <w:rPr>
          <w:rStyle w:val="Satznummer"/>
        </w:rPr>
        <w:t>2</w:t>
      </w:r>
      <w:r>
        <w:t>Diese Bestimmungen treten nach Zustimmung der Mitgliedstaaten im Einklang mit ihren jeweiligen verfassungsrechtlichen Vorschriften in Kraft.</w:t>
      </w:r>
    </w:p>
    <w:p>
      <w:pPr>
        <w:pStyle w:val="Heading5"/>
      </w:pPr>
      <w:bookmarkStart w:id="337" w:name="b334"/>
      <w:r>
        <w:t>Art 263</w:t>
      </w:r>
      <w:r>
        <w:t xml:space="preserve"> </w:t>
      </w:r>
      <w:r>
        <w:rPr>
          <w:rStyle w:val="Suchmarke"/>
        </w:rPr>
        <w:t>#263.#</w:t>
      </w:r>
      <w:bookmarkEnd w:id="337"/>
    </w:p>
    <w:p>
      <w:r>
        <w:rPr>
          <w:color w:val="404040"/>
          <w:sz w:val="21"/>
        </w:rPr>
        <w:t>(ex-Artikel 230 EGV)</w:t>
      </w:r>
    </w:p>
    <w:p>
      <w:r>
        <w:rPr>
          <w:rStyle w:val="Satznummer"/>
        </w:rPr>
        <w:t>1</w:t>
      </w:r>
      <w:r>
        <w:t xml:space="preserve">Der Gerichtshof der Europäischen Union überwacht die Rechtmäßigkeit der Gesetzgebungsakte sowie der Handlungen des Rates, der Kommission und der Europäischen Zentralbank, soweit es sich nicht um Empfehlungen oder Stellungnahmen handelt, und der Handlungen des Europäischen Parlaments und des Europäischen Rates mit Rechtswirkung gegenüber Dritten. </w:t>
      </w:r>
      <w:r>
        <w:rPr>
          <w:rStyle w:val="Satznummer"/>
        </w:rPr>
        <w:t>2</w:t>
      </w:r>
      <w:r>
        <w:t>Er überwacht ebenfalls die Rechtmäßigkeit der Handlungen der Einrichtungen oder sonstigen Stellen der Union mit Rechtswirkung gegenüber Dritten.</w:t>
      </w:r>
    </w:p>
    <w:p>
      <w:r>
        <w:t>Zu diesem Zweck ist der Gerichtshof der Europäischen Union für Klagen zuständig, die ein Mitgliedstaat, das Europäische Parlament, der Rat oder die Kommission wegen Unzuständigkeit, Verletzung wesentlicher Formvorschriften, Verletzung der Verträge oder einer bei ihrer Durchführung anzuwendenden Rechtsnorm oder wegen Ermessensmissbrauchs erhebt.</w:t>
      </w:r>
    </w:p>
    <w:p>
      <w:r>
        <w:t>Der Gerichtshof der Europäischen Union ist unter den gleichen Voraussetzungen zuständig für Klagen des Rechnungshofs, der Europäischen Zentralbank und des Ausschusses der Regionen, die auf die Wahrung ihrer Rechte abzielen.</w:t>
      </w:r>
    </w:p>
    <w:p>
      <w:r>
        <w:t>Jede natürliche oder juristische Person kann unter den Bedingungen nach den Absätzen 1 und 2 gegen die an sie gerichteten oder sie unmittelbar und individuell betreffenden Handlungen sowie gegen Rechtsakte mit Verordnungscharakter, die sie unmittelbar betreffen und keine Durchführungsmaßnahmen nach sich ziehen, Klage erheben.</w:t>
      </w:r>
    </w:p>
    <w:p>
      <w:r>
        <w:t>In den Rechtsakten zur Gründung von Einrichtungen und sonstigen Stellen der Union können besondere Bedingungen und Einzelheiten für die Erhebung von Klagen von natürlichen oder juristischen Personen gegen Handlungen dieser Einrichtungen und sonstigen Stellen vorgesehen werden, die eine Rechtswirkung gegenüber diesen Personen haben.</w:t>
      </w:r>
    </w:p>
    <w:p>
      <w:r>
        <w:t>Die in diesem Artikel vorgesehenen Klagen sind binnen zwei Monaten zu erheben; diese Frist läuft je nach Lage des Falles von der Bekanntgabe der betreffenden Handlung, ihrer Mitteilung an den Kläger oder in Ermangelung dessen von dem Zeitpunkt an, zu dem der Kläger von dieser Handlung Kenntnis erlangt hat.</w:t>
      </w:r>
    </w:p>
    <w:p>
      <w:pPr>
        <w:pStyle w:val="Heading5"/>
      </w:pPr>
      <w:bookmarkStart w:id="338" w:name="b335"/>
      <w:r>
        <w:t>Art 264</w:t>
      </w:r>
      <w:r>
        <w:t xml:space="preserve"> </w:t>
      </w:r>
      <w:r>
        <w:rPr>
          <w:rStyle w:val="Suchmarke"/>
        </w:rPr>
        <w:t>#264.#</w:t>
      </w:r>
      <w:bookmarkEnd w:id="338"/>
    </w:p>
    <w:p>
      <w:r>
        <w:rPr>
          <w:color w:val="404040"/>
          <w:sz w:val="21"/>
        </w:rPr>
        <w:t>(ex-Artikel 231 EGV)</w:t>
      </w:r>
    </w:p>
    <w:p>
      <w:r>
        <w:t>Ist die Klage begründet, so erklärt der Gerichtshof der Europäischen Union die angefochtene Handlung für nichtig.</w:t>
      </w:r>
    </w:p>
    <w:p>
      <w:r>
        <w:t>Erklärt der Gerichtshof eine Handlung für nichtig, so bezeichnet er, falls er dies für notwendig hält, diejenigen ihrer Wirkungen, die als fortgeltend zu betrachten sind.</w:t>
      </w:r>
    </w:p>
    <w:p>
      <w:pPr>
        <w:pStyle w:val="Heading5"/>
      </w:pPr>
      <w:bookmarkStart w:id="339" w:name="b336"/>
      <w:r>
        <w:t>Art 265</w:t>
      </w:r>
      <w:r>
        <w:t xml:space="preserve"> </w:t>
      </w:r>
      <w:r>
        <w:rPr>
          <w:rStyle w:val="Suchmarke"/>
        </w:rPr>
        <w:t>#265.#</w:t>
      </w:r>
      <w:bookmarkEnd w:id="339"/>
    </w:p>
    <w:p>
      <w:r>
        <w:rPr>
          <w:color w:val="404040"/>
          <w:sz w:val="21"/>
        </w:rPr>
        <w:t>(ex-Artikel 232 EGV)</w:t>
      </w:r>
    </w:p>
    <w:p>
      <w:r>
        <w:rPr>
          <w:rStyle w:val="Satznummer"/>
        </w:rPr>
        <w:t>1</w:t>
      </w:r>
      <w:r>
        <w:t xml:space="preserve">Unterlässt es das Europäische Parlament, der Europäische Rat, der Rat, die Kommission oder die Europäische Zentralbank unter Verletzung der Verträge, einen Beschluss zu fassen, so können die Mitgliedstaaten und die anderen Organe der Union beim Gerichtshof der Europäischen Union Klage auf Feststellung dieser Vertragsverletzung erheben. </w:t>
      </w:r>
      <w:r>
        <w:rPr>
          <w:rStyle w:val="Satznummer"/>
        </w:rPr>
        <w:t>2</w:t>
      </w:r>
      <w:r>
        <w:t>Dieser Artikel gilt entsprechend für die Einrichtungen und sonstigen Stellen der Union, die es unterlassen, tätig zu werden.</w:t>
      </w:r>
    </w:p>
    <w:p>
      <w:r>
        <w:rPr>
          <w:rStyle w:val="Satznummer"/>
        </w:rPr>
        <w:t>1</w:t>
      </w:r>
      <w:r>
        <w:t xml:space="preserve">Diese Klage ist nur zulässig, wenn das in Frage stehende Organ, die in Frage stehende Einrichtung oder sonstige Stelle zuvor aufgefordert worden ist, tätig zu werden. </w:t>
      </w:r>
      <w:r>
        <w:rPr>
          <w:rStyle w:val="Satznummer"/>
        </w:rPr>
        <w:t>2</w:t>
      </w:r>
      <w:r>
        <w:t>Hat es bzw. sie binnen zwei Monaten nach dieser Aufforderung nicht Stellung genommen, so kann die Klage innerhalb einer weiteren Frist von zwei Monaten erhoben werden.</w:t>
      </w:r>
    </w:p>
    <w:p>
      <w:r>
        <w:t>Jede natürliche oder juristische Person kann nach Maßgabe der Absätze 1 und 2 vor dem Gerichtshof Beschwerde darüber führen, dass ein Organ oder eine Einrichtung oder sonstige Stelle der Union es unterlassen hat, einen anderen Akt als eine Empfehlung oder eine Stellungnahme an sie zu richten.</w:t>
      </w:r>
    </w:p>
    <w:p>
      <w:pPr>
        <w:pStyle w:val="Heading5"/>
      </w:pPr>
      <w:bookmarkStart w:id="340" w:name="b337"/>
      <w:r>
        <w:t>Art 266</w:t>
      </w:r>
      <w:r>
        <w:t xml:space="preserve"> </w:t>
      </w:r>
      <w:r>
        <w:rPr>
          <w:rStyle w:val="Suchmarke"/>
        </w:rPr>
        <w:t>#266.#</w:t>
      </w:r>
      <w:bookmarkEnd w:id="340"/>
    </w:p>
    <w:p>
      <w:r>
        <w:rPr>
          <w:color w:val="404040"/>
          <w:sz w:val="21"/>
        </w:rPr>
        <w:t>(ex-Artikel 233 EGV)</w:t>
      </w:r>
    </w:p>
    <w:p>
      <w:r>
        <w:t>Die Organe, Einrichtungen oder sonstigen Stellen, denen das für nichtig erklärte Handeln zur Last fällt oder deren Untätigkeit als vertragswidrig erklärt worden ist, haben die sich aus dem Urteil des Gerichtshofs der Europäischen Union ergebenden Maßnahmen zu ergreifen.</w:t>
      </w:r>
    </w:p>
    <w:p>
      <w:r>
        <w:t xml:space="preserve">Diese Verpflichtung besteht unbeschadet der Verpflichtungen, die sich aus der Anwendung des </w:t>
      </w:r>
      <w:hyperlink w:anchor="b429" w:history="1">
        <w:r>
          <w:rPr>
            <w:color w:val="0A3A8C"/>
            <w:u w:val="single"/>
          </w:rPr>
          <w:t xml:space="preserve">Artikels 340</w:t>
        </w:r>
      </w:hyperlink>
      <w:r>
        <w:t xml:space="preserve"> Absatz 2 ergeben.</w:t>
      </w:r>
    </w:p>
    <w:p>
      <w:pPr>
        <w:pStyle w:val="Heading5"/>
      </w:pPr>
      <w:bookmarkStart w:id="341" w:name="b338"/>
      <w:r>
        <w:t>Art 267</w:t>
      </w:r>
      <w:r>
        <w:t xml:space="preserve"> </w:t>
      </w:r>
      <w:r>
        <w:rPr>
          <w:rStyle w:val="Suchmarke"/>
        </w:rPr>
        <w:t>#267.#</w:t>
      </w:r>
      <w:bookmarkEnd w:id="341"/>
    </w:p>
    <w:p>
      <w:r>
        <w:rPr>
          <w:color w:val="404040"/>
          <w:sz w:val="21"/>
        </w:rPr>
        <w:t>(ex-Artikel 234 EGV)</w:t>
      </w:r>
    </w:p>
    <w:p>
      <w:r>
        <w:t>Der Gerichtshof der Europäischen Union entscheidet im Wege der Vorabentscheidung</w:t>
      </w:r>
    </w:p>
    <w:p>
      <w:pPr>
        <w:tabs>
          <w:tab w:pos="567" w:val="left"/>
        </w:tabs>
        <w:ind w:left="567" w:hanging="567"/>
      </w:pPr>
      <w:r>
        <w:t>a)</w:t>
      </w:r>
      <w:r>
        <w:tab/>
      </w:r>
      <w:r>
        <w:t>über die Auslegung der Verträge,</w:t>
      </w:r>
    </w:p>
    <w:p>
      <w:pPr>
        <w:tabs>
          <w:tab w:pos="567" w:val="left"/>
        </w:tabs>
        <w:ind w:left="567" w:hanging="567"/>
      </w:pPr>
      <w:r>
        <w:t>b)</w:t>
      </w:r>
      <w:r>
        <w:tab/>
      </w:r>
      <w:r>
        <w:t>über die Gültigkeit und die Auslegung der Handlungen der Organe, Einrichtungen oder sonstigen Stellen der Union,</w:t>
      </w:r>
    </w:p>
    <w:p>
      <w:r>
        <w:t>Wird eine derartige Frage einem Gericht eines Mitgliedstaats gestellt und hält dieses Gericht eine Entscheidung darüber zum Erlass seines Urteils für erforderlich, so kann es diese Frage dem Gerichtshof zur Entscheidung vorlegen.</w:t>
      </w:r>
    </w:p>
    <w:p>
      <w:r>
        <w:t>Wird eine derartige Frage in einem schwebenden Verfahren bei einem einzelstaatlichen Gericht gestellt, dessen Entscheidungen selbst nicht mehr mit Rechtsmitteln des innerstaatlichen Rechts angefochten werden können, so ist dieses Gericht zur Anrufung des Gerichtshofs verpflichtet.</w:t>
      </w:r>
    </w:p>
    <w:p>
      <w:r>
        <w:t>Wird eine derartige Frage in einem schwebenden Verfahren, das eine inhaftierte Person betrifft, bei einem einzelstaatlichen Gericht gestellt, so entscheidet der Gerichtshof innerhalb kürzester Zeit.</w:t>
      </w:r>
    </w:p>
    <w:p>
      <w:pPr>
        <w:pStyle w:val="Heading5"/>
      </w:pPr>
      <w:bookmarkStart w:id="342" w:name="b339"/>
      <w:r>
        <w:t>Art 268</w:t>
      </w:r>
      <w:r>
        <w:t xml:space="preserve"> </w:t>
      </w:r>
      <w:r>
        <w:rPr>
          <w:rStyle w:val="Suchmarke"/>
        </w:rPr>
        <w:t>#268.#</w:t>
      </w:r>
      <w:bookmarkEnd w:id="342"/>
    </w:p>
    <w:p>
      <w:r>
        <w:rPr>
          <w:color w:val="404040"/>
          <w:sz w:val="21"/>
        </w:rPr>
        <w:t>(ex-Artikel 235 EGV)</w:t>
      </w:r>
    </w:p>
    <w:p>
      <w:r>
        <w:t xml:space="preserve">Der Gerichtshof der Europäischen Union ist für Streitsachen über den in </w:t>
      </w:r>
      <w:hyperlink w:anchor="b429" w:history="1">
        <w:r>
          <w:rPr>
            <w:color w:val="0A3A8C"/>
            <w:u w:val="single"/>
          </w:rPr>
          <w:t xml:space="preserve">Artikel 340</w:t>
        </w:r>
      </w:hyperlink>
      <w:r>
        <w:t xml:space="preserve"> Absätze 2 und 3 vorgesehenen Schadensersatz zuständig.</w:t>
      </w:r>
    </w:p>
    <w:p>
      <w:pPr>
        <w:pStyle w:val="Heading5"/>
      </w:pPr>
      <w:bookmarkStart w:id="343" w:name="b340"/>
      <w:r>
        <w:t>Art 269</w:t>
      </w:r>
      <w:r>
        <w:t xml:space="preserve"> </w:t>
      </w:r>
      <w:r>
        <w:rPr>
          <w:rStyle w:val="Suchmarke"/>
        </w:rPr>
        <w:t>#269.#</w:t>
      </w:r>
      <w:bookmarkEnd w:id="343"/>
    </w:p>
    <w:p>
      <w:r>
        <w:t>Der Gerichtshof ist für Entscheidungen über die Rechtmäßigkeit eines nach Artikel 7 des Vertrags über die Europäische Union erlassenen Rechtsakts des Europäischen Rates oder des Rates nur auf Antrag des von einer Feststellung des Europäischen Rates oder des Rates betroffenen Mitgliedstaats und lediglich im Hinblick auf die Einhaltung der in dem genannten Artikel vorgesehenen Verfahrensbestimmungen zuständig.</w:t>
      </w:r>
    </w:p>
    <w:p>
      <w:r>
        <w:rPr>
          <w:rStyle w:val="Satznummer"/>
        </w:rPr>
        <w:t>1</w:t>
      </w:r>
      <w:r>
        <w:t xml:space="preserve">Der Antrag muss binnen eines Monats nach der jeweiligen Feststellung gestellt werden. </w:t>
      </w:r>
      <w:r>
        <w:rPr>
          <w:rStyle w:val="Satznummer"/>
        </w:rPr>
        <w:t>2</w:t>
      </w:r>
      <w:r>
        <w:t>Der Gerichtshof entscheidet binnen eines Monats nach Antragstellung.</w:t>
      </w:r>
    </w:p>
    <w:p>
      <w:pPr>
        <w:pStyle w:val="Heading5"/>
      </w:pPr>
      <w:bookmarkStart w:id="344" w:name="b341"/>
      <w:r>
        <w:t>Art 270</w:t>
      </w:r>
      <w:r>
        <w:t xml:space="preserve"> </w:t>
      </w:r>
      <w:r>
        <w:rPr>
          <w:rStyle w:val="Suchmarke"/>
        </w:rPr>
        <w:t>#270.#</w:t>
      </w:r>
      <w:bookmarkEnd w:id="344"/>
    </w:p>
    <w:p>
      <w:r>
        <w:rPr>
          <w:color w:val="404040"/>
          <w:sz w:val="21"/>
        </w:rPr>
        <w:t>(ex-Artikel 236 EGV)</w:t>
      </w:r>
    </w:p>
    <w:p>
      <w:r>
        <w:t>Der Gerichtshof der Europäischen Union ist für alle Streitsachen zwischen der Union und deren Bediensteten innerhalb der Grenzen und nach Maßgabe der Bedingungen zuständig, die im Statut der Beamten der Union und in den Beschäftigungsbedingungen für die sonstigen Bediensteten der Union festgelegt sind.</w:t>
      </w:r>
    </w:p>
    <w:p>
      <w:pPr>
        <w:pStyle w:val="Heading5"/>
      </w:pPr>
      <w:bookmarkStart w:id="345" w:name="b342"/>
      <w:r>
        <w:t>Art 271</w:t>
      </w:r>
      <w:r>
        <w:t xml:space="preserve"> </w:t>
      </w:r>
      <w:r>
        <w:rPr>
          <w:rStyle w:val="Suchmarke"/>
        </w:rPr>
        <w:t>#271.#</w:t>
      </w:r>
      <w:bookmarkEnd w:id="345"/>
    </w:p>
    <w:p>
      <w:r>
        <w:rPr>
          <w:color w:val="404040"/>
          <w:sz w:val="21"/>
        </w:rPr>
        <w:t>(ex-Artikel 237 EGV)</w:t>
      </w:r>
    </w:p>
    <w:p>
      <w:r>
        <w:t>Der Gerichtshof der Europäischen Union ist nach Maßgabe der folgenden Bestimmungen zuständig in Streitsachen über</w:t>
      </w:r>
    </w:p>
    <w:p>
      <w:pPr>
        <w:tabs>
          <w:tab w:pos="567" w:val="left"/>
        </w:tabs>
        <w:ind w:left="567" w:hanging="567"/>
      </w:pPr>
      <w:r>
        <w:t>a)</w:t>
      </w:r>
      <w:r>
        <w:tab/>
      </w:r>
      <w:r>
        <w:t xml:space="preserve">die Erfüllung der Verpflichtungen der Mitgliedstaaten aus der Satzung der Europäischen Investitionsbank. </w:t>
      </w:r>
      <w:r>
        <w:rPr>
          <w:rStyle w:val="Satznummer"/>
        </w:rPr>
        <w:t>2</w:t>
      </w:r>
      <w:r>
        <w:t xml:space="preserve">Der Verwaltungsrat der Bank besitzt hierbei die der Kommission in </w:t>
      </w:r>
      <w:hyperlink w:anchor="b329" w:history="1">
        <w:r>
          <w:rPr>
            <w:color w:val="0A3A8C"/>
            <w:u w:val="single"/>
          </w:rPr>
          <w:t xml:space="preserve">Artikel 258</w:t>
        </w:r>
      </w:hyperlink>
      <w:r>
        <w:t xml:space="preserve"> übertragenen Befugnisse;</w:t>
      </w:r>
    </w:p>
    <w:p>
      <w:pPr>
        <w:tabs>
          <w:tab w:pos="567" w:val="left"/>
        </w:tabs>
        <w:ind w:left="567" w:hanging="567"/>
      </w:pPr>
      <w:r>
        <w:t>b)</w:t>
      </w:r>
      <w:r>
        <w:tab/>
      </w:r>
      <w:r>
        <w:t xml:space="preserve">die Beschlüsse des Rates der Gouverneure der Europäischen Investitionsbank. </w:t>
      </w:r>
      <w:r>
        <w:rPr>
          <w:rStyle w:val="Satznummer"/>
        </w:rPr>
        <w:t>2</w:t>
      </w:r>
      <w:r>
        <w:t>Jeder Mitgliedstaat, die Kommission und der Verwaltungsrat der Bank können hierzu nach Maßgabe des Artikels 263 Klage erheben;</w:t>
      </w:r>
    </w:p>
    <w:p>
      <w:pPr>
        <w:tabs>
          <w:tab w:pos="567" w:val="left"/>
        </w:tabs>
        <w:ind w:left="567" w:hanging="567"/>
      </w:pPr>
      <w:r>
        <w:t>c)</w:t>
      </w:r>
      <w:r>
        <w:tab/>
      </w:r>
      <w:r>
        <w:t xml:space="preserve">die Beschlüsse des Verwaltungsrats der Europäischen Investitionsbank. </w:t>
      </w:r>
      <w:r>
        <w:rPr>
          <w:rStyle w:val="Satznummer"/>
        </w:rPr>
        <w:t>2</w:t>
      </w:r>
      <w:r>
        <w:t xml:space="preserve">Diese können nach Maßgabe des </w:t>
      </w:r>
      <w:hyperlink w:anchor="b334" w:history="1">
        <w:r>
          <w:rPr>
            <w:color w:val="0A3A8C"/>
            <w:u w:val="single"/>
          </w:rPr>
          <w:t xml:space="preserve">Artikels 263</w:t>
        </w:r>
      </w:hyperlink>
      <w:r>
        <w:t xml:space="preserve"> nur von Mitgliedstaaten oder der Kommission und lediglich wegen Verletzung der Formvorschriften des Artikels 19 Absatz 2 und Absätze 5 bis 7 der Satzung der Investitionsbank angefochten werden;</w:t>
      </w:r>
    </w:p>
    <w:p>
      <w:pPr>
        <w:tabs>
          <w:tab w:pos="567" w:val="left"/>
        </w:tabs>
        <w:ind w:left="567" w:hanging="567"/>
      </w:pPr>
      <w:r>
        <w:t>d)</w:t>
      </w:r>
      <w:r>
        <w:tab/>
      </w:r>
      <w:r>
        <w:t xml:space="preserve">die Erfüllung der sich aus den Verträgen und der Satzung des ESZB und der EZB ergebenden Verpflichtungen durch die nationalen Zentralbanken. </w:t>
      </w:r>
      <w:r>
        <w:rPr>
          <w:rStyle w:val="Satznummer"/>
        </w:rPr>
        <w:t>2</w:t>
      </w:r>
      <w:r>
        <w:t xml:space="preserve">Der Rat der Gouverneure der Europäischen Zentralbank besitzt hierbei gegenüber den nationalen Zentralbanken die Befugnisse, die der Kommission in </w:t>
      </w:r>
      <w:hyperlink w:anchor="b329" w:history="1">
        <w:r>
          <w:rPr>
            <w:color w:val="0A3A8C"/>
            <w:u w:val="single"/>
          </w:rPr>
          <w:t xml:space="preserve">Artikel 258</w:t>
        </w:r>
      </w:hyperlink>
      <w:r>
        <w:t xml:space="preserve"> gegenüber den Mitgliedstaaten eingeräumt werden. </w:t>
      </w:r>
      <w:r>
        <w:rPr>
          <w:rStyle w:val="Satznummer"/>
        </w:rPr>
        <w:t>3</w:t>
      </w:r>
      <w:r>
        <w:t>Stellt der Gerichtshof der Europäischen Union fest, dass eine nationale Zentralbank gegen eine Verpflichtung aus den Verträgen verstoßen hat, so hat diese Bank die Maßnahmen zu ergreifen, die sich aus dem Urteil des Gerichtshofs ergeben.</w:t>
      </w:r>
    </w:p>
    <w:p>
      <w:pPr>
        <w:pStyle w:val="Heading5"/>
      </w:pPr>
      <w:bookmarkStart w:id="346" w:name="b343"/>
      <w:r>
        <w:t>Art 272</w:t>
      </w:r>
      <w:r>
        <w:t xml:space="preserve"> </w:t>
      </w:r>
      <w:r>
        <w:rPr>
          <w:rStyle w:val="Suchmarke"/>
        </w:rPr>
        <w:t>#272.#</w:t>
      </w:r>
      <w:bookmarkEnd w:id="346"/>
    </w:p>
    <w:p>
      <w:r>
        <w:rPr>
          <w:color w:val="404040"/>
          <w:sz w:val="21"/>
        </w:rPr>
        <w:t>(ex-Artikel 238 EGV)</w:t>
      </w:r>
    </w:p>
    <w:p>
      <w:r>
        <w:t>Der Gerichtshof der Europäischen Union ist für Entscheidungen aufgrund einer Schiedsklausel zuständig, die in einem von der Union oder für ihre Rechnung abgeschlossenen öffentlich-rechtlichen oder privatrechtlichen Vertrag enthalten ist.</w:t>
      </w:r>
    </w:p>
    <w:p>
      <w:pPr>
        <w:pStyle w:val="Heading5"/>
      </w:pPr>
      <w:bookmarkStart w:id="347" w:name="b344"/>
      <w:r>
        <w:t>Art 273</w:t>
      </w:r>
      <w:r>
        <w:t xml:space="preserve"> </w:t>
      </w:r>
      <w:r>
        <w:rPr>
          <w:rStyle w:val="Suchmarke"/>
        </w:rPr>
        <w:t>#273.#</w:t>
      </w:r>
      <w:bookmarkEnd w:id="347"/>
    </w:p>
    <w:p>
      <w:r>
        <w:rPr>
          <w:color w:val="404040"/>
          <w:sz w:val="21"/>
        </w:rPr>
        <w:t>(ex-Artikel 239 EGV)</w:t>
      </w:r>
    </w:p>
    <w:p>
      <w:r>
        <w:t>Der Gerichtshof ist für jede mit dem Gegenstand der Verträge in Zusammenhang stehende Streitigkeit zwischen Mitgliedstaaten zuständig, wenn diese bei ihm aufgrund eines Schiedsvertrags anhängig gemacht wird.</w:t>
      </w:r>
    </w:p>
    <w:p>
      <w:pPr>
        <w:pStyle w:val="Heading5"/>
      </w:pPr>
      <w:bookmarkStart w:id="348" w:name="b345"/>
      <w:r>
        <w:t>Art 274</w:t>
      </w:r>
      <w:r>
        <w:t xml:space="preserve"> </w:t>
      </w:r>
      <w:r>
        <w:rPr>
          <w:rStyle w:val="Suchmarke"/>
        </w:rPr>
        <w:t>#274.#</w:t>
      </w:r>
      <w:bookmarkEnd w:id="348"/>
    </w:p>
    <w:p>
      <w:r>
        <w:rPr>
          <w:color w:val="404040"/>
          <w:sz w:val="21"/>
        </w:rPr>
        <w:t>(ex-Artikel 240 EGV)</w:t>
      </w:r>
    </w:p>
    <w:p>
      <w:r>
        <w:t>Soweit keine Zuständigkeit des Gerichtshofs der Europäischen Union aufgrund der Verträge besteht, sind Streitsachen, bei denen die Union Partei ist, der Zuständigkeit der einzelstaatlichen Gerichte nicht entzogen.</w:t>
      </w:r>
    </w:p>
    <w:p>
      <w:pPr>
        <w:pStyle w:val="Heading5"/>
      </w:pPr>
      <w:bookmarkStart w:id="349" w:name="b346"/>
      <w:r>
        <w:t>Art 275</w:t>
      </w:r>
      <w:r>
        <w:t xml:space="preserve"> </w:t>
      </w:r>
      <w:r>
        <w:rPr>
          <w:rStyle w:val="Suchmarke"/>
        </w:rPr>
        <w:t>#275.#</w:t>
      </w:r>
      <w:bookmarkEnd w:id="349"/>
    </w:p>
    <w:p>
      <w:r>
        <w:t>Der Gerichtshof der Europäischen Union ist nicht zuständig für die Bestimmungen hinsichtlich der Gemeinsamen Außen- und Sicherheitspolitik und für die auf der Grundlage dieser Bestimmungen erlassenen Rechtsakte.</w:t>
      </w:r>
    </w:p>
    <w:p>
      <w:r>
        <w:t xml:space="preserve">Der Gerichtshof ist jedoch zuständig für die Kontrolle der Einhaltung von Artikel 40 des Vertrags über die Europäische Union und für die unter den Voraussetzungen des </w:t>
      </w:r>
      <w:hyperlink w:anchor="b334" w:history="1">
        <w:r>
          <w:rPr>
            <w:color w:val="0A3A8C"/>
            <w:u w:val="single"/>
          </w:rPr>
          <w:t xml:space="preserve">Artikels 263</w:t>
        </w:r>
      </w:hyperlink>
      <w:r>
        <w:t xml:space="preserve"> Absatz 4 dieses Vertrags erhobenen Klagen im Zusammenhang mit der Überwachung der Rechtmäßigkeit von Beschlüssen über restriktive Maßnahmen gegenüber natürlichen oder juristischen Personen, die der Rat auf der Grundlage von Titel V Kapitel 2 des Vertrags über die Europäische Union erlassen hat.</w:t>
      </w:r>
    </w:p>
    <w:p>
      <w:pPr>
        <w:pStyle w:val="Heading5"/>
      </w:pPr>
      <w:bookmarkStart w:id="350" w:name="b347"/>
      <w:r>
        <w:t>Art 276</w:t>
      </w:r>
      <w:r>
        <w:t xml:space="preserve"> </w:t>
      </w:r>
      <w:r>
        <w:rPr>
          <w:rStyle w:val="Suchmarke"/>
        </w:rPr>
        <w:t>#276.#</w:t>
      </w:r>
      <w:bookmarkEnd w:id="350"/>
    </w:p>
    <w:p>
      <w:r>
        <w:t>Bei der Ausübung seiner Befugnisse im Rahmen der Bestimmungen des Dritten Teils Titel V Kapitel 4 und 5 über den Raum der Freiheit, der Sicherheit und des Rechts ist der Gerichtshof der Europäischen Union nicht zuständig für die Überprüfung der Gültigkeit oder Verhältnismäßigkeit von Maßnahmen der Polizei oder anderer Strafverfolgungsbehörden eines Mitgliedstaats oder der Wahrnehmung der Zuständigkeiten der Mitgliedstaaten für die Aufrechterhaltung der öffentlichen Ordnung und den Schutz der inneren Sicherheit.</w:t>
      </w:r>
    </w:p>
    <w:p>
      <w:pPr>
        <w:pStyle w:val="Heading5"/>
      </w:pPr>
      <w:bookmarkStart w:id="351" w:name="b348"/>
      <w:r>
        <w:t>Art 277</w:t>
      </w:r>
      <w:r>
        <w:t xml:space="preserve"> </w:t>
      </w:r>
      <w:r>
        <w:rPr>
          <w:rStyle w:val="Suchmarke"/>
        </w:rPr>
        <w:t>#277.#</w:t>
      </w:r>
      <w:bookmarkEnd w:id="351"/>
    </w:p>
    <w:p>
      <w:r>
        <w:rPr>
          <w:color w:val="404040"/>
          <w:sz w:val="21"/>
        </w:rPr>
        <w:t>(ex-Artikel 241 EGV)</w:t>
      </w:r>
    </w:p>
    <w:p>
      <w:r>
        <w:t xml:space="preserve">Ungeachtet des Ablaufs der in </w:t>
      </w:r>
      <w:hyperlink w:anchor="b334" w:history="1">
        <w:r>
          <w:rPr>
            <w:color w:val="0A3A8C"/>
            <w:u w:val="single"/>
          </w:rPr>
          <w:t xml:space="preserve">Artikel 263</w:t>
        </w:r>
      </w:hyperlink>
      <w:r>
        <w:t xml:space="preserve"> Absatz 6 genannten Frist kann jede Partei in einem Rechtsstreit, bei dem die Rechtmäßigkeit eines von einem Organ, einer Einrichtung oder einer sonstigen Stelle der Union erlassenen Rechtsakts mit allgemeiner Geltung angefochten wird, vor dem Gerichtshof der Europäischen Union die Unanwendbarkeit dieses Rechtsakts aus den in </w:t>
      </w:r>
      <w:hyperlink w:anchor="b334" w:history="1">
        <w:r>
          <w:rPr>
            <w:color w:val="0A3A8C"/>
            <w:u w:val="single"/>
          </w:rPr>
          <w:t xml:space="preserve">Artikel 263</w:t>
        </w:r>
      </w:hyperlink>
      <w:r>
        <w:t xml:space="preserve"> Absatz 2 genannten Gründen geltend machen.</w:t>
      </w:r>
    </w:p>
    <w:p>
      <w:pPr>
        <w:pStyle w:val="Heading5"/>
      </w:pPr>
      <w:bookmarkStart w:id="352" w:name="b349"/>
      <w:r>
        <w:t>Art 278</w:t>
      </w:r>
      <w:r>
        <w:t xml:space="preserve"> </w:t>
      </w:r>
      <w:r>
        <w:rPr>
          <w:rStyle w:val="Suchmarke"/>
        </w:rPr>
        <w:t>#278.#</w:t>
      </w:r>
      <w:bookmarkEnd w:id="352"/>
    </w:p>
    <w:p>
      <w:r>
        <w:rPr>
          <w:color w:val="404040"/>
          <w:sz w:val="21"/>
        </w:rPr>
        <w:t>(ex-Artikel 242 EGV)</w:t>
      </w:r>
    </w:p>
    <w:p>
      <w:r>
        <w:rPr>
          <w:rStyle w:val="Satznummer"/>
        </w:rPr>
        <w:t>1</w:t>
      </w:r>
      <w:r>
        <w:t xml:space="preserve">Klagen bei dem Gerichtshof der Europäischen Union haben keine aufschiebende Wirkung. </w:t>
      </w:r>
      <w:r>
        <w:rPr>
          <w:rStyle w:val="Satznummer"/>
        </w:rPr>
        <w:t>2</w:t>
      </w:r>
      <w:r>
        <w:t>Der Gerichtshof kann jedoch, wenn er dies den Umständen nach für nötig hält, die Durchführung der angefochtenen Handlung aussetzen.</w:t>
      </w:r>
    </w:p>
    <w:p>
      <w:pPr>
        <w:pStyle w:val="Heading5"/>
      </w:pPr>
      <w:bookmarkStart w:id="353" w:name="b350"/>
      <w:r>
        <w:t>Art 279</w:t>
      </w:r>
      <w:r>
        <w:t xml:space="preserve"> </w:t>
      </w:r>
      <w:r>
        <w:rPr>
          <w:rStyle w:val="Suchmarke"/>
        </w:rPr>
        <w:t>#279.#</w:t>
      </w:r>
      <w:bookmarkEnd w:id="353"/>
    </w:p>
    <w:p>
      <w:r>
        <w:rPr>
          <w:color w:val="404040"/>
          <w:sz w:val="21"/>
        </w:rPr>
        <w:t>(ex-Artikel 243 EGV)</w:t>
      </w:r>
    </w:p>
    <w:p>
      <w:r>
        <w:t>Der Gerichtshof der Europäischen Union kann in den bei ihm anhängigen Sachen die erforderlichen einstweiligen Anordnungen treffen.</w:t>
      </w:r>
    </w:p>
    <w:p>
      <w:pPr>
        <w:pStyle w:val="Heading5"/>
      </w:pPr>
      <w:bookmarkStart w:id="354" w:name="b351"/>
      <w:r>
        <w:t>Art 280</w:t>
      </w:r>
      <w:r>
        <w:t xml:space="preserve"> </w:t>
      </w:r>
      <w:r>
        <w:rPr>
          <w:rStyle w:val="Suchmarke"/>
        </w:rPr>
        <w:t>#280.#</w:t>
      </w:r>
      <w:bookmarkEnd w:id="354"/>
    </w:p>
    <w:p>
      <w:r>
        <w:rPr>
          <w:color w:val="404040"/>
          <w:sz w:val="21"/>
        </w:rPr>
        <w:t>(ex-Artikel 244 EGV)</w:t>
      </w:r>
    </w:p>
    <w:p>
      <w:r>
        <w:t xml:space="preserve">Die Urteile des Gerichtshofs der Europäischen Union sind gemäß </w:t>
      </w:r>
      <w:hyperlink w:anchor="b375" w:history="1">
        <w:r>
          <w:rPr>
            <w:color w:val="0A3A8C"/>
            <w:u w:val="single"/>
          </w:rPr>
          <w:t xml:space="preserve">Artikel 299</w:t>
        </w:r>
      </w:hyperlink>
      <w:r>
        <w:t xml:space="preserve"> vollstreckbar.</w:t>
      </w:r>
    </w:p>
    <w:p>
      <w:pPr>
        <w:pStyle w:val="Heading5"/>
      </w:pPr>
      <w:bookmarkStart w:id="355" w:name="b352"/>
      <w:r>
        <w:t>Art 281</w:t>
      </w:r>
      <w:r>
        <w:t xml:space="preserve"> </w:t>
      </w:r>
      <w:r>
        <w:rPr>
          <w:rStyle w:val="Suchmarke"/>
        </w:rPr>
        <w:t>#281.#</w:t>
      </w:r>
      <w:bookmarkEnd w:id="355"/>
    </w:p>
    <w:p>
      <w:r>
        <w:rPr>
          <w:color w:val="404040"/>
          <w:sz w:val="21"/>
        </w:rPr>
        <w:t>(ex-Artikel 245 EGV)</w:t>
      </w:r>
    </w:p>
    <w:p>
      <w:r>
        <w:t>Die Satzung des Gerichtshofs der Europäischen Union wird in einem besonderen Protokoll festgelegt.</w:t>
      </w:r>
    </w:p>
    <w:p>
      <w:r>
        <w:rPr>
          <w:rStyle w:val="Satznummer"/>
        </w:rPr>
        <w:t>1</w:t>
      </w:r>
      <w:r>
        <w:t xml:space="preserve">Das Europäische Parlament und der Rat können gemäß dem ordentlichen Gesetzgebungsverfahren die Satzung mit Ausnahme ihres Titels I und ihres </w:t>
      </w:r>
      <w:hyperlink w:anchor="b80" w:history="1">
        <w:r>
          <w:rPr>
            <w:color w:val="0A3A8C"/>
            <w:u w:val="single"/>
          </w:rPr>
          <w:t xml:space="preserve">Artikels 64</w:t>
        </w:r>
      </w:hyperlink>
      <w:r>
        <w:t xml:space="preserve"> ändern. </w:t>
      </w:r>
      <w:r>
        <w:rPr>
          <w:rStyle w:val="Satznummer"/>
        </w:rPr>
        <w:t>2</w:t>
      </w:r>
      <w:r>
        <w:t>Das Europäische Parlament und der Rat beschließen entweder auf Antrag des Gerichtshofs nach Anhörung der Kommission oder auf Vorschlag der Kommission nach Anhörung des Gerichtshofs.</w:t>
      </w:r>
    </w:p>
    <w:p>
      <w:pPr>
        <w:pStyle w:val="Heading4"/>
      </w:pPr>
      <w:bookmarkStart w:id="356" w:name="b353"/>
      <w:r>
        <w:t>ABSCHNITT 6 DIE EUROPÄISCHE ZENTRALBANK</w:t>
      </w:r>
      <w:bookmarkEnd w:id="356"/>
    </w:p>
    <w:p>
      <w:pPr>
        <w:pStyle w:val="Heading5"/>
      </w:pPr>
      <w:bookmarkStart w:id="357" w:name="b354"/>
      <w:r>
        <w:t>Art 282</w:t>
      </w:r>
      <w:r>
        <w:t xml:space="preserve"> </w:t>
      </w:r>
      <w:r>
        <w:rPr>
          <w:rStyle w:val="Suchmarke"/>
        </w:rPr>
        <w:t>#282.#</w:t>
      </w:r>
      <w:bookmarkEnd w:id="357"/>
    </w:p>
    <w:p>
      <w:r>
        <w:t xml:space="preserve">(1) </w:t>
      </w:r>
      <w:r>
        <w:rPr>
          <w:rStyle w:val="Satznummer"/>
        </w:rPr>
        <w:t>1</w:t>
      </w:r>
      <w:r>
        <w:t xml:space="preserve">Die Europäische Zentralbank und die nationalen Zentralbanken bilden das Europäische System der Zentralbanken (ESZB). </w:t>
      </w:r>
      <w:r>
        <w:rPr>
          <w:rStyle w:val="Satznummer"/>
        </w:rPr>
        <w:t>2</w:t>
      </w:r>
      <w:r>
        <w:t>Die Europäische Zentralbank und die nationalen Zentralbanken der Mitgliedstaaten, deren Währung der Euro ist, bilden das Eurosystem und betreiben die Währungspolitik der Union.</w:t>
      </w:r>
    </w:p>
    <w:p>
      <w:r>
        <w:t xml:space="preserve">(2) </w:t>
      </w:r>
      <w:r>
        <w:rPr>
          <w:rStyle w:val="Satznummer"/>
        </w:rPr>
        <w:t>1</w:t>
      </w:r>
      <w:r>
        <w:t xml:space="preserve">Das ESZB wird von den Beschlussorganen der Europäischen Zentralbank geleitet. </w:t>
      </w:r>
      <w:r>
        <w:rPr>
          <w:rStyle w:val="Satznummer"/>
        </w:rPr>
        <w:t>2</w:t>
      </w:r>
      <w:r>
        <w:t xml:space="preserve">Sein vorrangiges Ziel ist es, die Preisstabilität zu gewährleisten. </w:t>
      </w:r>
      <w:r>
        <w:rPr>
          <w:rStyle w:val="Satznummer"/>
        </w:rPr>
        <w:t>3</w:t>
      </w:r>
      <w:r>
        <w:t>Unbeschadet dieses Zieles unterstützt es die allgemeine Wirtschaftspolitik in der Union, um zur Verwirklichung ihrer Ziele beizutragen.</w:t>
      </w:r>
    </w:p>
    <w:p>
      <w:r>
        <w:t xml:space="preserve">(3) </w:t>
      </w:r>
      <w:r>
        <w:rPr>
          <w:rStyle w:val="Satznummer"/>
        </w:rPr>
        <w:t>1</w:t>
      </w:r>
      <w:r>
        <w:t xml:space="preserve">Die Europäische Zentralbank besitzt Rechtspersönlichkeit. </w:t>
      </w:r>
      <w:r>
        <w:rPr>
          <w:rStyle w:val="Satznummer"/>
        </w:rPr>
        <w:t>2</w:t>
      </w:r>
      <w:r>
        <w:t xml:space="preserve">Sie allein ist befugt, die Ausgabe des Euro zu genehmigen. </w:t>
      </w:r>
      <w:r>
        <w:rPr>
          <w:rStyle w:val="Satznummer"/>
        </w:rPr>
        <w:t>3</w:t>
      </w:r>
      <w:r>
        <w:t xml:space="preserve">Sie ist in der Ausübung ihrer Befugnisse und der Verwaltung ihrer Mittel unabhängig. </w:t>
      </w:r>
      <w:r>
        <w:rPr>
          <w:rStyle w:val="Satznummer"/>
        </w:rPr>
        <w:t>4</w:t>
      </w:r>
      <w:r>
        <w:t>Die Organe, Einrichtungen und sonstigen Stellen der Union sowie die Regierungen der Mitgliedstaaten achten diese Unabhängigkeit.</w:t>
      </w:r>
    </w:p>
    <w:p>
      <w:r>
        <w:t xml:space="preserve">(4) </w:t>
      </w:r>
      <w:r>
        <w:rPr>
          <w:rStyle w:val="Satznummer"/>
        </w:rPr>
        <w:t>1</w:t>
      </w:r>
      <w:r>
        <w:t xml:space="preserve">Die Europäische Zentralbank erlässt die für die Erfüllung ihrer Aufgaben erforderlichen Maßnahmen nach den </w:t>
      </w:r>
      <w:hyperlink w:anchor="b159" w:history="1">
        <w:r>
          <w:rPr>
            <w:color w:val="0A3A8C"/>
            <w:u w:val="single"/>
          </w:rPr>
          <w:t xml:space="preserve">Artikeln 127</w:t>
        </w:r>
      </w:hyperlink>
      <w:r>
        <w:t xml:space="preserve"> bis </w:t>
      </w:r>
      <w:hyperlink w:anchor="b165" w:history="1">
        <w:r>
          <w:rPr>
            <w:color w:val="0A3A8C"/>
            <w:u w:val="single"/>
          </w:rPr>
          <w:t xml:space="preserve">133</w:t>
        </w:r>
      </w:hyperlink>
      <w:r>
        <w:t xml:space="preserve"> und </w:t>
      </w:r>
      <w:hyperlink w:anchor="b172" w:history="1">
        <w:r>
          <w:rPr>
            <w:color w:val="0A3A8C"/>
            <w:u w:val="single"/>
          </w:rPr>
          <w:t xml:space="preserve">Artikel 138</w:t>
        </w:r>
      </w:hyperlink>
      <w:r>
        <w:t xml:space="preserve"> und nach Maßgabe der Satzung des ESZB und der EZB. </w:t>
      </w:r>
      <w:r>
        <w:rPr>
          <w:rStyle w:val="Satznummer"/>
        </w:rPr>
        <w:t>2</w:t>
      </w:r>
      <w:r>
        <w:t>Nach diesen Artikeln behalten die Mitgliedstaaten, deren Währung nicht der Euro ist, sowie deren Zentralbanken ihre Zuständigkeiten im Währungsbereich.</w:t>
      </w:r>
    </w:p>
    <w:p>
      <w:r>
        <w:t>(5) Die Europäische Zentralbank wird in den Bereichen, auf die sich ihre Befugnisse erstrecken, zu allen Entwürfen für Rechtsakte der Union sowie zu allen Entwürfen für Rechtsvorschriften auf einzelstaatlicher Ebene gehört und kann Stellungnahmen abgeben.</w:t>
      </w:r>
    </w:p>
    <w:p>
      <w:pPr>
        <w:pStyle w:val="Heading5"/>
      </w:pPr>
      <w:bookmarkStart w:id="358" w:name="b355"/>
      <w:r>
        <w:t>Art 283</w:t>
      </w:r>
      <w:r>
        <w:t xml:space="preserve"> </w:t>
      </w:r>
      <w:r>
        <w:rPr>
          <w:rStyle w:val="Suchmarke"/>
        </w:rPr>
        <w:t>#283.#</w:t>
      </w:r>
      <w:bookmarkEnd w:id="358"/>
    </w:p>
    <w:p>
      <w:r>
        <w:rPr>
          <w:color w:val="404040"/>
          <w:sz w:val="21"/>
        </w:rPr>
        <w:t>(ex-Artikel 112 EGV)</w:t>
      </w:r>
    </w:p>
    <w:p>
      <w:r>
        <w:t>(1) Der Rat der Europäischen Zentralbank besteht aus den Mitgliedern des Direktoriums der Europäischen Zentralbank und den Präsidenten der nationalen Zentralbanken der Mitgliedstaaten, deren Währung der Euro ist.</w:t>
      </w:r>
    </w:p>
    <w:p>
      <w:r>
        <w:t>(2) Das Direktorium besteht aus dem Präsidenten, dem Vizepräsidenten und vier weiteren Mitgliedern.</w:t>
      </w:r>
    </w:p>
    <w:p>
      <w:r>
        <w:t>Der Präsident, der Vizepräsident und die weiteren Mitglieder des Direktoriums werden vom Europäischen Rat auf Empfehlung des Rates, der hierzu das Europäische Parlament und den Rat der Europäischen Zentralbank anhört, aus dem Kreis der in Währungs- oder Bankfragen anerkannten und erfahrenen Persönlichkeiten mit qualifizierter Mehrheit ausgewählt und ernannt.</w:t>
      </w:r>
    </w:p>
    <w:p>
      <w:r>
        <w:t>Ihre Amtszeit beträgt acht Jahre; Wiederernennung ist nicht zulässig.</w:t>
      </w:r>
    </w:p>
    <w:p>
      <w:r>
        <w:t>Nur Staatsangehörige der Mitgliedstaaten können Mitglieder des Direktoriums werden.</w:t>
      </w:r>
    </w:p>
    <w:p>
      <w:pPr>
        <w:pStyle w:val="Heading5"/>
      </w:pPr>
      <w:bookmarkStart w:id="359" w:name="b356"/>
      <w:r>
        <w:t>Art 284</w:t>
      </w:r>
      <w:r>
        <w:t xml:space="preserve"> </w:t>
      </w:r>
      <w:r>
        <w:rPr>
          <w:rStyle w:val="Suchmarke"/>
        </w:rPr>
        <w:t>#284.#</w:t>
      </w:r>
      <w:bookmarkEnd w:id="359"/>
    </w:p>
    <w:p>
      <w:r>
        <w:rPr>
          <w:color w:val="404040"/>
          <w:sz w:val="21"/>
        </w:rPr>
        <w:t>(ex-Artikel 113 EGV)</w:t>
      </w:r>
    </w:p>
    <w:p>
      <w:r>
        <w:t>(1) Der Präsident des Rates und ein Mitglied der Kommission können ohne Stimmrecht an den Sitzungen des Rates der Europäischen Zentralbank teilnehmen.</w:t>
      </w:r>
    </w:p>
    <w:p>
      <w:r>
        <w:t>Der Präsident des Rates kann dem Rat der Europäischen Zentralbank einen Antrag zur Beratung vorlegen.</w:t>
      </w:r>
    </w:p>
    <w:p>
      <w:r>
        <w:t>(2) Der Präsident der Europäischen Zentralbank wird zur Teilnahme an den Tagungen des Rates eingeladen, wenn dieser Fragen im Zusammenhang mit den Zielen und Aufgaben des ESZB erörtert.</w:t>
      </w:r>
    </w:p>
    <w:p>
      <w:r>
        <w:t xml:space="preserve">(3) </w:t>
      </w:r>
      <w:r>
        <w:rPr>
          <w:rStyle w:val="Satznummer"/>
        </w:rPr>
        <w:t>1</w:t>
      </w:r>
      <w:r>
        <w:t xml:space="preserve">Die Europäische Zentralbank unterbreitet dem Europäischen Parlament, dem Rat und der Kommission sowie auch dem Europäischen Rat einen Jahresbericht über die Tätigkeit des ESZB und die Geld- und Währungspolitik im vergangenen und im laufenden Jahr. </w:t>
      </w:r>
      <w:r>
        <w:rPr>
          <w:rStyle w:val="Satznummer"/>
        </w:rPr>
        <w:t>2</w:t>
      </w:r>
      <w:r>
        <w:t>Der Präsident der Europäischen Zentralbank legt den Bericht dem Rat und dem Europäischen Parlament vor, das auf dieser Grundlage eine allgemeine Aussprache durchführen kann.</w:t>
      </w:r>
    </w:p>
    <w:p>
      <w:r>
        <w:t>Der Präsident der Europäischen Zentralbank und die anderen Mitglieder des Direktoriums können auf Ersuchen des Europäischen Parlaments oder auf ihre Initiative hin von den zuständigen Ausschüssen des Europäischen Parlaments gehört werden.</w:t>
      </w:r>
    </w:p>
    <w:p>
      <w:pPr>
        <w:pStyle w:val="Heading4"/>
      </w:pPr>
      <w:bookmarkStart w:id="360" w:name="b357"/>
      <w:r>
        <w:t>ABSCHNITT 7 DER RECHNUNGSHOF</w:t>
      </w:r>
      <w:bookmarkEnd w:id="360"/>
    </w:p>
    <w:p>
      <w:pPr>
        <w:pStyle w:val="Heading5"/>
      </w:pPr>
      <w:bookmarkStart w:id="361" w:name="b358"/>
      <w:r>
        <w:t>Art 285</w:t>
      </w:r>
      <w:r>
        <w:t xml:space="preserve"> </w:t>
      </w:r>
      <w:r>
        <w:rPr>
          <w:rStyle w:val="Suchmarke"/>
        </w:rPr>
        <w:t>#285.#</w:t>
      </w:r>
      <w:bookmarkEnd w:id="361"/>
    </w:p>
    <w:p>
      <w:r>
        <w:rPr>
          <w:color w:val="404040"/>
          <w:sz w:val="21"/>
        </w:rPr>
        <w:t>(ex-Artikel 246 EGV)</w:t>
      </w:r>
    </w:p>
    <w:p>
      <w:r>
        <w:t>Der Rechnungshof nimmt die Rechnungsprüfung der Union wahr.</w:t>
      </w:r>
    </w:p>
    <w:p>
      <w:r>
        <w:rPr>
          <w:rStyle w:val="Satznummer"/>
        </w:rPr>
        <w:t>1</w:t>
      </w:r>
      <w:r>
        <w:t xml:space="preserve">Der Rechnungshof besteht aus einem Staatsangehörigen je Mitgliedstaat. </w:t>
      </w:r>
      <w:r>
        <w:rPr>
          <w:rStyle w:val="Satznummer"/>
        </w:rPr>
        <w:t>2</w:t>
      </w:r>
      <w:r>
        <w:t>Seine Mitglieder üben ihre Aufgaben in voller Unabhängigkeit zum allgemeinen Wohl der Union aus.</w:t>
      </w:r>
    </w:p>
    <w:p>
      <w:pPr>
        <w:pStyle w:val="Heading5"/>
      </w:pPr>
      <w:bookmarkStart w:id="362" w:name="b359"/>
      <w:r>
        <w:t>Art 286</w:t>
      </w:r>
      <w:r>
        <w:t xml:space="preserve"> </w:t>
      </w:r>
      <w:r>
        <w:rPr>
          <w:rStyle w:val="Suchmarke"/>
        </w:rPr>
        <w:t>#286.#</w:t>
      </w:r>
      <w:bookmarkEnd w:id="362"/>
    </w:p>
    <w:p>
      <w:r>
        <w:rPr>
          <w:color w:val="404040"/>
          <w:sz w:val="21"/>
        </w:rPr>
        <w:t>(ex-Artikel 247 EGV)</w:t>
      </w:r>
    </w:p>
    <w:p>
      <w:r>
        <w:t xml:space="preserve">(1) </w:t>
      </w:r>
      <w:r>
        <w:rPr>
          <w:rStyle w:val="Satznummer"/>
        </w:rPr>
        <w:t>1</w:t>
      </w:r>
      <w:r>
        <w:t xml:space="preserve">Zu Mitgliedern des Rechnungshofs sind Persönlichkeiten auszuwählen, die in ihren Staaten Rechnungsprüfungsorganen angehören oder angehört haben oder die für dieses Amt besonders geeignet sind. </w:t>
      </w:r>
      <w:r>
        <w:rPr>
          <w:rStyle w:val="Satznummer"/>
        </w:rPr>
        <w:t>2</w:t>
      </w:r>
      <w:r>
        <w:t>Sie müssen jede Gewähr für Unabhängigkeit bieten.</w:t>
      </w:r>
    </w:p>
    <w:p>
      <w:r>
        <w:t xml:space="preserve">(2) </w:t>
      </w:r>
      <w:r>
        <w:rPr>
          <w:rStyle w:val="Satznummer"/>
        </w:rPr>
        <w:t>1</w:t>
      </w:r>
      <w:r>
        <w:t xml:space="preserve">Die Mitglieder des Rechnungshofs werden auf sechs Jahre ernannt. </w:t>
      </w:r>
      <w:r>
        <w:rPr>
          <w:rStyle w:val="Satznummer"/>
        </w:rPr>
        <w:t>2</w:t>
      </w:r>
      <w:r>
        <w:t xml:space="preserve">Der Rat nimmt die gemäß den Vorschlägen der einzelnen Mitgliedstaaten erstellte Liste der Mitglieder nach Anhörung des Europäischen Parlaments an. </w:t>
      </w:r>
      <w:r>
        <w:rPr>
          <w:rStyle w:val="Satznummer"/>
        </w:rPr>
        <w:t>3</w:t>
      </w:r>
      <w:r>
        <w:t>Die Wiederernennung der Mitglieder des Rechnungshofs ist zulässig.</w:t>
      </w:r>
    </w:p>
    <w:p>
      <w:r>
        <w:rPr>
          <w:rStyle w:val="Satznummer"/>
        </w:rPr>
        <w:t>1</w:t>
      </w:r>
      <w:r>
        <w:t xml:space="preserve">Sie wählen aus ihrer Mitte den Präsidenten des Rechnungshofs für drei Jahre. </w:t>
      </w:r>
      <w:r>
        <w:rPr>
          <w:rStyle w:val="Satznummer"/>
        </w:rPr>
        <w:t>2</w:t>
      </w:r>
      <w:r>
        <w:t>Wiederwahl ist zulässig.</w:t>
      </w:r>
    </w:p>
    <w:p>
      <w:r>
        <w:t xml:space="preserve">(3) </w:t>
      </w:r>
      <w:r>
        <w:rPr>
          <w:rStyle w:val="Satznummer"/>
        </w:rPr>
        <w:t>1</w:t>
      </w:r>
      <w:r>
        <w:t xml:space="preserve">Die Mitglieder des Rechnungshofs dürfen bei der Erfüllung ihrer Pflichten Anweisungen von einer Regierung oder einer anderen Stelle weder anfordern noch entgegennehmen. </w:t>
      </w:r>
      <w:r>
        <w:rPr>
          <w:rStyle w:val="Satznummer"/>
        </w:rPr>
        <w:t>2</w:t>
      </w:r>
      <w:r>
        <w:t>Sie haben jede Handlung zu unterlassen, die mit ihren Aufgaben unvereinbar ist.</w:t>
      </w:r>
    </w:p>
    <w:p>
      <w:r>
        <w:t xml:space="preserve">(4) </w:t>
      </w:r>
      <w:r>
        <w:rPr>
          <w:rStyle w:val="Satznummer"/>
        </w:rPr>
        <w:t>1</w:t>
      </w:r>
      <w:r>
        <w:t xml:space="preserve">Die Mitglieder des Rechnungshofs dürfen während ihrer Amtszeit keine andere entgeltliche oder unentgeltliche Berufstätigkeit ausüben. </w:t>
      </w:r>
      <w:r>
        <w:rPr>
          <w:rStyle w:val="Satznummer"/>
        </w:rPr>
        <w:t>2</w:t>
      </w:r>
      <w:r>
        <w:t>Bei der Aufnahme ihrer Tätigkeit übernehmen sie die feierliche Verpflichtung, während der Ausübung und nach Ablauf ihrer Amtstätigkeit die sich aus ihrem Amt ergebenden Pflichten zu erfüllen, insbesondere die Pflicht, bei der Annahme gewisser Tätigkeiten oder Vorteile nach Ablauf dieser Tätigkeit ehrenhaft und zurückhaltend zu sein.</w:t>
      </w:r>
    </w:p>
    <w:p>
      <w:r>
        <w:t>(5) Abgesehen von regelmäßigen Neubesetzungen und von Todesfällen endet das Amt eines Mitglieds des Rechnungshofs durch Rücktritt oder durch Amtsenthebung durch den Gerichtshof gemäß Absatz 6.</w:t>
      </w:r>
    </w:p>
    <w:p>
      <w:r>
        <w:t>Für das ausscheidende Mitglied wird für die verbleibende Amtszeit ein Nachfolger ernannt.</w:t>
      </w:r>
    </w:p>
    <w:p>
      <w:r>
        <w:t>Außer im Fall der Amtsenthebung bleiben die Mitglieder des Rechnungshofs bis zur Neubesetzung ihres Sitzes im Amt.</w:t>
      </w:r>
    </w:p>
    <w:p>
      <w:r>
        <w:t>(6) Ein Mitglied des Rechnungshofs kann nur dann seines Amtes enthoben oder seiner Ruhegehaltsansprüche oder anderer an ihrer Stelle gewährter Vergünstigungen für verlustig erklärt werden, wenn der Gerichtshof auf Antrag des Rechnungshofs feststellt, dass es nicht mehr die erforderlichen Voraussetzungen erfüllt oder den sich aus seinem Amt ergebenden Verpflichtungen nicht mehr nachkommt.</w:t>
      </w:r>
    </w:p>
    <w:p>
      <w:r>
        <w:t xml:space="preserve">(7) </w:t>
      </w:r>
      <w:r>
        <w:rPr>
          <w:rStyle w:val="Satznummer"/>
        </w:rPr>
        <w:t>1</w:t>
      </w:r>
      <w:r>
        <w:t xml:space="preserve">Der Rat setzt die Beschäftigungsbedingungen für den Präsidenten und die Mitglieder des Rechnungshofs fest, insbesondere die Gehälter, Vergütungen und Ruhegehälter. </w:t>
      </w:r>
      <w:r>
        <w:rPr>
          <w:rStyle w:val="Satznummer"/>
        </w:rPr>
        <w:t>2</w:t>
      </w:r>
      <w:r>
        <w:t>Er setzt ————— alle sonstigen als Entgelt gezahlten Vergütungen fest.</w:t>
      </w:r>
    </w:p>
    <w:p>
      <w:r>
        <w:t>(8) Die für die Richter des Gerichtshofs der Europäischen Union geltenden Bestimmungen des Protokolls über die Vorrechte und Befreiungen der Europäischen Union gelten auch für die Mitglieder des Rechnungshofs.</w:t>
      </w:r>
    </w:p>
    <w:p>
      <w:pPr>
        <w:pStyle w:val="Heading5"/>
      </w:pPr>
      <w:bookmarkStart w:id="363" w:name="b360"/>
      <w:r>
        <w:t>Art 287</w:t>
      </w:r>
      <w:r>
        <w:t xml:space="preserve"> </w:t>
      </w:r>
      <w:r>
        <w:rPr>
          <w:rStyle w:val="Suchmarke"/>
        </w:rPr>
        <w:t>#287.#</w:t>
      </w:r>
      <w:bookmarkEnd w:id="363"/>
    </w:p>
    <w:p>
      <w:r>
        <w:rPr>
          <w:color w:val="404040"/>
          <w:sz w:val="21"/>
        </w:rPr>
        <w:t>(ex-Artikel 248 EGV)</w:t>
      </w:r>
    </w:p>
    <w:p>
      <w:r>
        <w:t xml:space="preserve">(1) </w:t>
      </w:r>
      <w:r>
        <w:rPr>
          <w:rStyle w:val="Satznummer"/>
        </w:rPr>
        <w:t>1</w:t>
      </w:r>
      <w:r>
        <w:t xml:space="preserve">Der Rechnungshof prüft die Rechnung über alle Einnahmen und Ausgaben der Union. </w:t>
      </w:r>
      <w:r>
        <w:rPr>
          <w:rStyle w:val="Satznummer"/>
        </w:rPr>
        <w:t>2</w:t>
      </w:r>
      <w:r>
        <w:t>Er prüft ebenfalls die Rechnung über alle Einnahmen und Ausgaben jeder von der Union geschaffenen Einrichtung oder sonstigen Stelle, soweit der Gründungsakt dies nicht ausschließt.</w:t>
      </w:r>
    </w:p>
    <w:p>
      <w:r>
        <w:rPr>
          <w:rStyle w:val="Satznummer"/>
        </w:rPr>
        <w:t>1</w:t>
      </w:r>
      <w:r>
        <w:t xml:space="preserve">Der Rechnungshof legt dem Europäischen Parlament und dem Rat eine Erklärung über die Zuverlässigkeit der Rechnungsführung sowie die Rechtmäßigkeit und Ordnungsmäßigkeit der zugrunde liegenden Vorgänge vor, die im </w:t>
      </w:r>
      <w:r>
        <w:rPr>
          <w:i/>
        </w:rPr>
        <w:t>Amtsblatt der Europäischen Union</w:t>
      </w:r>
      <w:r>
        <w:t xml:space="preserve"> veröffentlicht wird. </w:t>
      </w:r>
      <w:r>
        <w:rPr>
          <w:rStyle w:val="Satznummer"/>
        </w:rPr>
        <w:t>2</w:t>
      </w:r>
      <w:r>
        <w:t>Diese Erklärung kann durch spezifische Beurteilungen zu allen größeren Tätigkeitsbereichen der Union ergänzt werden.</w:t>
      </w:r>
    </w:p>
    <w:p>
      <w:r>
        <w:t xml:space="preserve">(2) </w:t>
      </w:r>
      <w:r>
        <w:rPr>
          <w:rStyle w:val="Satznummer"/>
        </w:rPr>
        <w:t>1</w:t>
      </w:r>
      <w:r>
        <w:t xml:space="preserve">Der Rechungshof prüft die Rechtmäßigkeit und Ordnungsmäßigkeit der Einnahmen und Ausgaben und überzeugt sich von der Wirtschaftlichkeit der Haushaltsführung. </w:t>
      </w:r>
      <w:r>
        <w:rPr>
          <w:rStyle w:val="Satznummer"/>
        </w:rPr>
        <w:t>2</w:t>
      </w:r>
      <w:r>
        <w:t>Dabei berichtet er insbesondere über alle Fälle von Unregelmäßigkeiten.</w:t>
      </w:r>
    </w:p>
    <w:p>
      <w:r>
        <w:t>Die Prüfung der Einnahmen erfolgt anhand der Feststellungen und der Zahlungen der Einnahmen an die Union.</w:t>
      </w:r>
    </w:p>
    <w:p>
      <w:r>
        <w:t>Die Prüfung der Ausgaben erfolgt anhand der Mittelbindungen und der Zahlungen.</w:t>
      </w:r>
    </w:p>
    <w:p>
      <w:r>
        <w:t>Diese Prüfungen können vor Abschluss der Rechnung des betreffenden Haushaltsjahrs durchgeführt werden.</w:t>
      </w:r>
    </w:p>
    <w:p>
      <w:r>
        <w:t xml:space="preserve">(3) </w:t>
      </w:r>
      <w:r>
        <w:rPr>
          <w:rStyle w:val="Satznummer"/>
        </w:rPr>
        <w:t>1</w:t>
      </w:r>
      <w:r>
        <w:t xml:space="preserve">Die Prüfung wird anhand der Rechnungsunterlagen und erforderlichenfalls an Ort und Stelle bei den anderen Organen der Union, in den Räumlichkeiten der Einrichtungen oder sonstigen Stellen, die Einnahmen oder Ausgaben für Rechnung der Union verwalten, sowie der natürlichen und juristischen Personen, die Zahlungen aus dem Haushalt erhalten, und in den Mitgliedstaaten durchgeführt. </w:t>
      </w:r>
      <w:r>
        <w:rPr>
          <w:rStyle w:val="Satznummer"/>
        </w:rPr>
        <w:t>2</w:t>
      </w:r>
      <w:r>
        <w:t xml:space="preserve">Die Prüfung in den Mitgliedstaaten erfolgt in Verbindung mit den einzelstaatlichen Rechnungsprüfungsorganen oder, wenn diese nicht über die erforderliche Zuständigkeit verfügen, mit den zuständigen einzelstaatlichen Dienststellen. </w:t>
      </w:r>
      <w:r>
        <w:rPr>
          <w:rStyle w:val="Satznummer"/>
        </w:rPr>
        <w:t>3</w:t>
      </w:r>
      <w:r>
        <w:t xml:space="preserve">Der Rechnungshof und die einzelstaatlichen Rechnungsprüfungsorgane arbeiten unter Wahrung ihrer Unabhängigkeit vertrauensvoll zusammen. </w:t>
      </w:r>
      <w:r>
        <w:rPr>
          <w:rStyle w:val="Satznummer"/>
        </w:rPr>
        <w:t>4</w:t>
      </w:r>
      <w:r>
        <w:t>Diese Organe oder Dienststellen teilen dem Rechnungshof mit, ob sie an der Prüfung teilzunehmen beabsichtigen.</w:t>
      </w:r>
    </w:p>
    <w:p>
      <w:r>
        <w:t>Die anderen Organe der Union, die Einrichtungen oder sonstigen Stellen, die Einnahmen oder Ausgaben für Rechnung der Union verwalten, die natürlichen oder juristischen Personen, die Zahlungen aus dem Haushalt erhalten, und die einzelstaatlichen Rechnungsprüfungsorgane oder, wenn diese nicht über die erforderliche Zuständigkeit verfügen, die zuständigen einzelstaatlichen Dienststellen übermitteln dem Rechnungshof auf dessen Antrag die für die Erfüllung seiner Aufgabe erforderlichen Unterlagen oder Informationen.</w:t>
      </w:r>
    </w:p>
    <w:p>
      <w:r>
        <w:rPr>
          <w:rStyle w:val="Satznummer"/>
        </w:rPr>
        <w:t>1</w:t>
      </w:r>
      <w:r>
        <w:t xml:space="preserve">Die Rechte des Rechnungshofs auf Zugang zu Informationen der Europäischen Investitionsbank im Zusammenhang mit deren Tätigkeit bei der Verwaltung von Einnahmen und Ausgaben der Union werden in einer Vereinbarung zwischen dem Rechnungshof, der Bank und der Kommission geregelt. </w:t>
      </w:r>
      <w:r>
        <w:rPr>
          <w:rStyle w:val="Satznummer"/>
        </w:rPr>
        <w:t>2</w:t>
      </w:r>
      <w:r>
        <w:t>Der Rechnungshof hat auch dann Recht auf Zugang zu den Informationen, die für die Prüfung der von der Bank verwalteten Einnahmen und Ausgaben der Union erforderlich sind, wenn eine entsprechende Vereinbarung nicht besteht.</w:t>
      </w:r>
    </w:p>
    <w:p>
      <w:r>
        <w:t xml:space="preserve">(4) </w:t>
      </w:r>
      <w:r>
        <w:rPr>
          <w:rStyle w:val="Satznummer"/>
        </w:rPr>
        <w:t>1</w:t>
      </w:r>
      <w:r>
        <w:t xml:space="preserve">Der Rechnungshof erstattet nach Abschluss eines jeden Haushaltsjahrs einen Jahresbericht. </w:t>
      </w:r>
      <w:r>
        <w:rPr>
          <w:rStyle w:val="Satznummer"/>
        </w:rPr>
        <w:t>2</w:t>
      </w:r>
      <w:r>
        <w:t xml:space="preserve">Dieser Bericht wird den anderen Organen der Union vorgelegt und im </w:t>
      </w:r>
      <w:r>
        <w:rPr>
          <w:i/>
        </w:rPr>
        <w:t>Amtsblatt der Europäischen Union</w:t>
      </w:r>
      <w:r>
        <w:t xml:space="preserve"> zusammen mit den Antworten dieser Organe auf die Bemerkungen des Rechnungshofs veröffentlicht.</w:t>
      </w:r>
    </w:p>
    <w:p>
      <w:r>
        <w:t>Der Rechnungshof kann ferner jederzeit seine Bemerkungen zu besonderen Fragen vorlegen, insbesondere in Form von Sonderberichten, und auf Antrag eines der anderen Organe der Union Stellungnahmen abgeben.</w:t>
      </w:r>
    </w:p>
    <w:p>
      <w:r>
        <w:rPr>
          <w:rStyle w:val="Satznummer"/>
        </w:rPr>
        <w:t>1</w:t>
      </w:r>
      <w:r>
        <w:t xml:space="preserve">Er nimmt seine jährlichen Berichte, Sonderberichte oder Stellungnahmen mit der Mehrheit seiner Mitglieder an. </w:t>
      </w:r>
      <w:r>
        <w:rPr>
          <w:rStyle w:val="Satznummer"/>
        </w:rPr>
        <w:t>2</w:t>
      </w:r>
      <w:r>
        <w:t>Er kann jedoch für die Annahme bestimmter Arten von Berichten oder Stellungnahmen nach Maßgabe seiner Geschäftsordnung Kammern bilden.</w:t>
      </w:r>
    </w:p>
    <w:p>
      <w:r>
        <w:t>Er unterstützt das Europäische Parlament und den Rat bei der Kontrolle der Ausführung des Haushaltsplans.</w:t>
      </w:r>
    </w:p>
    <w:p>
      <w:r>
        <w:rPr>
          <w:rStyle w:val="Satznummer"/>
        </w:rPr>
        <w:t>1</w:t>
      </w:r>
      <w:r>
        <w:t xml:space="preserve">Der Rechnungshof gibt sich eine Geschäftsordnung. </w:t>
      </w:r>
      <w:r>
        <w:rPr>
          <w:rStyle w:val="Satznummer"/>
        </w:rPr>
        <w:t>2</w:t>
      </w:r>
      <w:r>
        <w:t>Diese bedarf der Genehmigung des Rates.</w:t>
      </w:r>
    </w:p>
    <w:p>
      <w:pPr>
        <w:pStyle w:val="Heading3"/>
      </w:pPr>
      <w:bookmarkStart w:id="364" w:name="b361"/>
      <w:r>
        <w:t>KAPITEL 2 RECHTSAKTE DER UNION, ANNAHMEVERFAHREN UND SONSTIGE VORSCHRIFTEN</w:t>
      </w:r>
      <w:bookmarkEnd w:id="364"/>
    </w:p>
    <w:p>
      <w:pPr>
        <w:pStyle w:val="Heading4"/>
      </w:pPr>
      <w:bookmarkStart w:id="365" w:name="b362"/>
      <w:r>
        <w:t>ABSCHNITT 1 DIE RECHTSAKTE DER UNION</w:t>
      </w:r>
      <w:bookmarkEnd w:id="365"/>
    </w:p>
    <w:p>
      <w:pPr>
        <w:pStyle w:val="Heading5"/>
      </w:pPr>
      <w:bookmarkStart w:id="366" w:name="b363"/>
      <w:r>
        <w:t>Art 288</w:t>
      </w:r>
      <w:r>
        <w:t xml:space="preserve"> </w:t>
      </w:r>
      <w:r>
        <w:rPr>
          <w:rStyle w:val="Suchmarke"/>
        </w:rPr>
        <w:t>#288.#</w:t>
      </w:r>
      <w:bookmarkEnd w:id="366"/>
    </w:p>
    <w:p>
      <w:r>
        <w:rPr>
          <w:color w:val="404040"/>
          <w:sz w:val="21"/>
        </w:rPr>
        <w:t>(ex-Artikel 249 EGV)</w:t>
      </w:r>
    </w:p>
    <w:p>
      <w:r>
        <w:t>Für die Ausübung der Zuständigkeiten der Union nehmen die Organe Verordnungen, Richtlinien, Beschlüsse, Empfehlungen und Stellungnahmen an.</w:t>
      </w:r>
    </w:p>
    <w:p>
      <w:r>
        <w:rPr>
          <w:rStyle w:val="Satznummer"/>
        </w:rPr>
        <w:t>1</w:t>
      </w:r>
      <w:r>
        <w:t xml:space="preserve">Die Verordnung hat allgemeine Geltung. </w:t>
      </w:r>
      <w:r>
        <w:rPr>
          <w:rStyle w:val="Satznummer"/>
        </w:rPr>
        <w:t>2</w:t>
      </w:r>
      <w:r>
        <w:t>Sie ist in allen ihren Teilen verbindlich und gilt unmittelbar in jedem Mitgliedstaat.</w:t>
      </w:r>
    </w:p>
    <w:p>
      <w:r>
        <w:t>Die Richtlinie ist für jeden Mitgliedstaat, an den sie gerichtet wird, hinsichtlich des zu erreichenden Ziels verbindlich, überlässt jedoch den innerstaatlichen Stellen die Wahl der Form und der Mittel.</w:t>
      </w:r>
    </w:p>
    <w:p>
      <w:r>
        <w:rPr>
          <w:rStyle w:val="Satznummer"/>
        </w:rPr>
        <w:t>1</w:t>
      </w:r>
      <w:r>
        <w:t xml:space="preserve">Beschlüsse sind in allen ihren Teilen verbindlich. </w:t>
      </w:r>
      <w:r>
        <w:rPr>
          <w:rStyle w:val="Satznummer"/>
        </w:rPr>
        <w:t>2</w:t>
      </w:r>
      <w:r>
        <w:t>Sind sie an bestimmte Adressaten gerichtet, so sind sie nur für diese verbindlich.</w:t>
      </w:r>
    </w:p>
    <w:p>
      <w:r>
        <w:t>Die Empfehlungen und Stellungnahmen sind nicht verbindlich.</w:t>
      </w:r>
    </w:p>
    <w:p>
      <w:pPr>
        <w:pStyle w:val="Heading5"/>
      </w:pPr>
      <w:bookmarkStart w:id="367" w:name="b364"/>
      <w:r>
        <w:t>Art 289</w:t>
      </w:r>
      <w:r>
        <w:t xml:space="preserve"> </w:t>
      </w:r>
      <w:r>
        <w:rPr>
          <w:rStyle w:val="Suchmarke"/>
        </w:rPr>
        <w:t>#289.#</w:t>
      </w:r>
      <w:bookmarkEnd w:id="367"/>
    </w:p>
    <w:p>
      <w:r>
        <w:t xml:space="preserve">(1) </w:t>
      </w:r>
      <w:r>
        <w:rPr>
          <w:rStyle w:val="Satznummer"/>
        </w:rPr>
        <w:t>1</w:t>
      </w:r>
      <w:r>
        <w:t xml:space="preserve">Das ordentliche Gesetzgebungsverfahren besteht in der gemeinsamen Annahme einer Verordnung, einer Richtlinie oder eines Beschlusses durch das Europäische Parlament und den Rat auf Vorschlag der Kommission. </w:t>
      </w:r>
      <w:r>
        <w:rPr>
          <w:rStyle w:val="Satznummer"/>
        </w:rPr>
        <w:t>2</w:t>
      </w:r>
      <w:r>
        <w:t xml:space="preserve">Dieses Verfahren ist in </w:t>
      </w:r>
      <w:hyperlink w:anchor="b370" w:history="1">
        <w:r>
          <w:rPr>
            <w:color w:val="0A3A8C"/>
            <w:u w:val="single"/>
          </w:rPr>
          <w:t xml:space="preserve">Artikel 294</w:t>
        </w:r>
      </w:hyperlink>
      <w:r>
        <w:t xml:space="preserve"> festgelegt.</w:t>
      </w:r>
    </w:p>
    <w:p>
      <w:r>
        <w:t>(2) In bestimmten, in den Verträgen vorgesehenen Fällen erfolgt als besonderes Gesetzgebungsverfahren die Annahme einer Verordnung, einer Richtlinie oder eines Beschlusses durch das Europäische Parlament mit Beteiligung des Rates oder durch den Rat mit Beteiligung des Europäischen Parlaments.</w:t>
      </w:r>
    </w:p>
    <w:p>
      <w:r>
        <w:t>(3) Rechtsakte, die gemäß einem Gesetzgebungsverfahren angenommen werden, sind Gesetzgebungsakte.</w:t>
      </w:r>
    </w:p>
    <w:p>
      <w:r>
        <w:t>(4) In bestimmten, in den Verträgen vorgesehenen Fällen können Gesetzgebungsakte auf Initiative einer Gruppe von Mitgliedstaaten oder des Europäischen Parlaments, auf Empfehlung der Europäischen Zentralbank oder auf Antrag des Gerichtshofs oder der Europäischen Investitionsbank erlassen werden.</w:t>
      </w:r>
    </w:p>
    <w:p>
      <w:pPr>
        <w:pStyle w:val="Heading5"/>
      </w:pPr>
      <w:bookmarkStart w:id="368" w:name="b365"/>
      <w:r>
        <w:t>Art 290</w:t>
      </w:r>
      <w:r>
        <w:t xml:space="preserve"> </w:t>
      </w:r>
      <w:r>
        <w:rPr>
          <w:rStyle w:val="Suchmarke"/>
        </w:rPr>
        <w:t>#290.#</w:t>
      </w:r>
      <w:bookmarkEnd w:id="368"/>
    </w:p>
    <w:p>
      <w:r>
        <w:t>(1) In Gesetzgebungsakten kann der Kommission die Befugnis übertragen werden, Rechtsakte ohne Gesetzescharakter mit allgemeiner Geltung zur Ergänzung oder Änderung bestimmter nicht wesentlicher Vorschriften des betreffenden Gesetzgebungsaktes zu erlassen.</w:t>
      </w:r>
    </w:p>
    <w:p>
      <w:r>
        <w:rPr>
          <w:rStyle w:val="Satznummer"/>
        </w:rPr>
        <w:t>1</w:t>
      </w:r>
      <w:r>
        <w:t xml:space="preserve">In den betreffenden Gesetzgebungsakten werden Ziele, Inhalt, Geltungsbereich und Dauer der Befugnisübertragung ausdrücklich festgelegt. </w:t>
      </w:r>
      <w:r>
        <w:rPr>
          <w:rStyle w:val="Satznummer"/>
        </w:rPr>
        <w:t>2</w:t>
      </w:r>
      <w:r>
        <w:t>Die wesentlichen Aspekte eines Bereichs sind dem Gesetzgebungsakt vorbehalten und eine Befugnisübertragung ist für sie deshalb ausgeschlossen.</w:t>
      </w:r>
    </w:p>
    <w:p>
      <w:r>
        <w:t>(2) Die Bedingungen, unter denen die Übertragung erfolgt, werden in Gesetzgebungsakten ausdrücklich festgelegt, wobei folgende Möglichkeiten bestehen:</w:t>
      </w:r>
    </w:p>
    <w:p>
      <w:pPr>
        <w:tabs>
          <w:tab w:pos="567" w:val="left"/>
        </w:tabs>
        <w:ind w:left="567" w:hanging="567"/>
      </w:pPr>
      <w:r>
        <w:t>a)</w:t>
      </w:r>
      <w:r>
        <w:tab/>
      </w:r>
      <w:r>
        <w:t>Das Europäische Parlament oder der Rat kann beschließen, die Übertragung zu widerrufen.</w:t>
      </w:r>
    </w:p>
    <w:p>
      <w:pPr>
        <w:tabs>
          <w:tab w:pos="567" w:val="left"/>
        </w:tabs>
        <w:ind w:left="567" w:hanging="567"/>
      </w:pPr>
      <w:r>
        <w:t>b)</w:t>
      </w:r>
      <w:r>
        <w:tab/>
      </w:r>
      <w:r>
        <w:t>Der delegierte Rechtsakt kann nur in Kraft treten, wenn das Europäische Parlament oder der Rat innerhalb der im Gesetzgebungsakt festgelegten Frist keine Einwände erhebt.</w:t>
      </w:r>
    </w:p>
    <w:p>
      <w:r>
        <w:t>Für die Zwecke der Buchstaben a und b beschließt das Europäische Parlament mit der Mehrheit seiner Mitglieder und der Rat mit qualifizierter Mehrheit.</w:t>
      </w:r>
    </w:p>
    <w:p>
      <w:r>
        <w:t>(3) In den Titel der delegierten Rechtsakte wird das Wort "delegiert" eingefügt.</w:t>
      </w:r>
    </w:p>
    <w:p>
      <w:pPr>
        <w:pStyle w:val="Heading5"/>
      </w:pPr>
      <w:bookmarkStart w:id="369" w:name="b366"/>
      <w:r>
        <w:t>Art 291</w:t>
      </w:r>
      <w:r>
        <w:t xml:space="preserve"> </w:t>
      </w:r>
      <w:r>
        <w:rPr>
          <w:rStyle w:val="Suchmarke"/>
        </w:rPr>
        <w:t>#291.#</w:t>
      </w:r>
      <w:bookmarkEnd w:id="369"/>
    </w:p>
    <w:p>
      <w:r>
        <w:t>(1) Die Mitgliedstaaten ergreifen alle zur Durchführung der verbindlichen Rechtsakte der Union erforderlichen Maßnahmen nach innerstaatlichem Recht.</w:t>
      </w:r>
    </w:p>
    <w:p>
      <w:r>
        <w:t>(2) Bedarf es einheitlicher Bedingungen für die Durchführung der verbindlichen Rechtsakte der Union, so werden mit diesen Rechtsakten der Kommission oder, in entsprechend begründeten Sonderfällen und in den in den Artikeln 24 und 26 des Vertrags über die Europäische Union vorgesehenen Fällen, dem Rat Durchführungsbefugnisse übertragen.</w:t>
      </w:r>
    </w:p>
    <w:p>
      <w:r>
        <w:t>(3) Für die Zwecke des Absatzes 2 legen das Europäische Parlament und der Rat gemäß dem ordentlichen Gesetzgebungsverfahren durch Verordnungen im Voraus allgemeine Regeln und Grundsätze fest, nach denen die Mitgliedstaaten die Wahrnehmung der Durchführungsbefugnisse durch die Kommission kontrollieren.</w:t>
      </w:r>
    </w:p>
    <w:p>
      <w:r>
        <w:t>(4) In den Titel der Durchführungsrechtsakte wird der Wortteil "Durchführungs-" eingefügt.</w:t>
      </w:r>
    </w:p>
    <w:p>
      <w:pPr>
        <w:pStyle w:val="Heading5"/>
      </w:pPr>
      <w:bookmarkStart w:id="370" w:name="b367"/>
      <w:r>
        <w:t>Art 292</w:t>
      </w:r>
      <w:r>
        <w:t xml:space="preserve"> </w:t>
      </w:r>
      <w:r>
        <w:rPr>
          <w:rStyle w:val="Suchmarke"/>
        </w:rPr>
        <w:t>#292.#</w:t>
      </w:r>
      <w:bookmarkEnd w:id="370"/>
    </w:p>
    <w:p>
      <w:r>
        <w:rPr>
          <w:rStyle w:val="Satznummer"/>
        </w:rPr>
        <w:t>1</w:t>
      </w:r>
      <w:r>
        <w:t xml:space="preserve">Der Rat gibt Empfehlungen ab. </w:t>
      </w:r>
      <w:r>
        <w:rPr>
          <w:rStyle w:val="Satznummer"/>
        </w:rPr>
        <w:t>2</w:t>
      </w:r>
      <w:r>
        <w:t xml:space="preserve">Er beschließt auf Vorschlag der Kommission in allen Fällen, in denen er nach Maßgabe der Verträge Rechtsakte auf Vorschlag der Kommission erlässt. </w:t>
      </w:r>
      <w:r>
        <w:rPr>
          <w:rStyle w:val="Satznummer"/>
        </w:rPr>
        <w:t>3</w:t>
      </w:r>
      <w:r>
        <w:t xml:space="preserve">In den Bereichen, in denen für den Erlass eines Rechtsakts der Union Einstimmigkeit vorgesehen ist, beschließt er einstimmig. </w:t>
      </w:r>
      <w:r>
        <w:rPr>
          <w:rStyle w:val="Satznummer"/>
        </w:rPr>
        <w:t>4</w:t>
      </w:r>
      <w:r>
        <w:t>Die Kommission und, in bestimmten in den Verträgen vorgesehenen Fällen, die Europäische Zentralbank geben Empfehlungen ab.</w:t>
      </w:r>
    </w:p>
    <w:p>
      <w:pPr>
        <w:pStyle w:val="Heading4"/>
      </w:pPr>
      <w:bookmarkStart w:id="371" w:name="b368"/>
      <w:r>
        <w:t>ABSCHNITT 2 ANNAHMEVERFAHREN UND SONSTIGE VORSCHRIFTEN</w:t>
      </w:r>
      <w:bookmarkEnd w:id="371"/>
    </w:p>
    <w:p>
      <w:pPr>
        <w:pStyle w:val="Heading5"/>
      </w:pPr>
      <w:bookmarkStart w:id="372" w:name="b369"/>
      <w:r>
        <w:t>Art 293</w:t>
      </w:r>
      <w:r>
        <w:t xml:space="preserve"> </w:t>
      </w:r>
      <w:r>
        <w:rPr>
          <w:rStyle w:val="Suchmarke"/>
        </w:rPr>
        <w:t>#293.#</w:t>
      </w:r>
      <w:bookmarkEnd w:id="372"/>
    </w:p>
    <w:p>
      <w:r>
        <w:rPr>
          <w:color w:val="404040"/>
          <w:sz w:val="21"/>
        </w:rPr>
        <w:t>(ex-Artikel 250 EGV)</w:t>
      </w:r>
    </w:p>
    <w:p>
      <w:r>
        <w:t xml:space="preserve">(1) Wird der Rat aufgrund der Verträge auf Vorschlag der Kommission tätig, so kann er diesen Vorschlag nur einstimmig abändern; dies gilt nicht in den Fällen nach </w:t>
      </w:r>
      <w:hyperlink w:anchor="b370" w:history="1">
        <w:r>
          <w:rPr>
            <w:color w:val="0A3A8C"/>
            <w:u w:val="single"/>
          </w:rPr>
          <w:t xml:space="preserve">Artikel 294</w:t>
        </w:r>
      </w:hyperlink>
      <w:r>
        <w:t xml:space="preserve"> Absätze 10 und 13, nach </w:t>
      </w:r>
      <w:hyperlink w:anchor="b391" w:history="1">
        <w:r>
          <w:rPr>
            <w:color w:val="0A3A8C"/>
            <w:u w:val="single"/>
          </w:rPr>
          <w:t xml:space="preserve">Artikel 310</w:t>
        </w:r>
      </w:hyperlink>
      <w:r>
        <w:t xml:space="preserve">, </w:t>
      </w:r>
      <w:hyperlink w:anchor="b395" w:history="1">
        <w:r>
          <w:rPr>
            <w:color w:val="0A3A8C"/>
            <w:u w:val="single"/>
          </w:rPr>
          <w:t xml:space="preserve">Artikel 312</w:t>
        </w:r>
      </w:hyperlink>
      <w:r>
        <w:t xml:space="preserve">, </w:t>
      </w:r>
      <w:hyperlink w:anchor="b398" w:history="1">
        <w:r>
          <w:rPr>
            <w:color w:val="0A3A8C"/>
            <w:u w:val="single"/>
          </w:rPr>
          <w:t xml:space="preserve">Artikel 314</w:t>
        </w:r>
      </w:hyperlink>
      <w:r>
        <w:t xml:space="preserve"> und nach </w:t>
      </w:r>
      <w:hyperlink w:anchor="b399" w:history="1">
        <w:r>
          <w:rPr>
            <w:color w:val="0A3A8C"/>
            <w:u w:val="single"/>
          </w:rPr>
          <w:t xml:space="preserve">Artikel 315</w:t>
        </w:r>
      </w:hyperlink>
      <w:r>
        <w:t xml:space="preserve"> Absatz 2.</w:t>
      </w:r>
    </w:p>
    <w:p>
      <w:r>
        <w:t>(2) Solange ein Beschluss des Rates nicht ergangen ist, kann die Kommission ihren Vorschlag jederzeit im Verlauf der Verfahren zur Annahme eines Rechtsakts der Union ändern.</w:t>
      </w:r>
    </w:p>
    <w:p>
      <w:pPr>
        <w:pStyle w:val="Heading5"/>
      </w:pPr>
      <w:bookmarkStart w:id="373" w:name="b370"/>
      <w:r>
        <w:t>Art 294</w:t>
      </w:r>
      <w:r>
        <w:t xml:space="preserve"> </w:t>
      </w:r>
      <w:r>
        <w:rPr>
          <w:rStyle w:val="Suchmarke"/>
        </w:rPr>
        <w:t>#294.#</w:t>
      </w:r>
      <w:bookmarkEnd w:id="373"/>
    </w:p>
    <w:p>
      <w:r>
        <w:rPr>
          <w:color w:val="404040"/>
          <w:sz w:val="21"/>
        </w:rPr>
        <w:t>(ex-Artikel 251 EGV)</w:t>
      </w:r>
    </w:p>
    <w:p>
      <w:r>
        <w:t>(1) Wird in den Verträgen hinsichtlich der Annahme eines Rechtsakts auf das ordentliche Gesetzgebungsverfahren Bezug genommen, so gilt das nachstehende Verfahren.</w:t>
      </w:r>
    </w:p>
    <w:p>
      <w:r>
        <w:t>(2) Die Kommission unterbreitet dem Europäischen Parlament und dem Rat einen Vorschlag.</w:t>
      </w:r>
    </w:p>
    <w:p>
      <w:r>
        <w:rPr>
          <w:i/>
        </w:rPr>
        <w:t>Erste Lesung</w:t>
      </w:r>
    </w:p>
    <w:p>
      <w:r>
        <w:t>(3) Das Europäische Parlament legt seinen Standpunkt in erster Lesung fest und übermittelt ihn dem Rat.</w:t>
      </w:r>
    </w:p>
    <w:p>
      <w:r>
        <w:t>(4) Billigt der Rat den Standpunkt des Europäischen Parlaments, so ist der betreffende Rechtsakt in der Fassung des Standpunkts des Europäischen Parlaments erlassen.</w:t>
      </w:r>
    </w:p>
    <w:p>
      <w:r>
        <w:t>(5) Billigt der Rat den Standpunkt des Europäischen Parlaments nicht, so legt er seinen Standpunkt in erster Lesung fest und übermittelt ihn dem Europäischen Parlament.</w:t>
      </w:r>
    </w:p>
    <w:p>
      <w:r>
        <w:t xml:space="preserve">(6) </w:t>
      </w:r>
      <w:r>
        <w:rPr>
          <w:rStyle w:val="Satznummer"/>
        </w:rPr>
        <w:t>1</w:t>
      </w:r>
      <w:r>
        <w:t xml:space="preserve">Der Rat unterrichtet das Europäische Parlament in allen Einzelheiten über die Gründe, aus denen er seinen Standpunkt in erster Lesung festgelegt hat. </w:t>
      </w:r>
      <w:r>
        <w:rPr>
          <w:rStyle w:val="Satznummer"/>
        </w:rPr>
        <w:t>2</w:t>
      </w:r>
      <w:r>
        <w:t>Die Kommission unterrichtet das Europäische Parlament in vollem Umfang über ihren Standpunkt.</w:t>
      </w:r>
    </w:p>
    <w:p>
      <w:r>
        <w:rPr>
          <w:i/>
        </w:rPr>
        <w:t>Zweite Lesung</w:t>
      </w:r>
    </w:p>
    <w:p>
      <w:r>
        <w:t>(7) Hat das Europäische Parlament binnen drei Monaten nach der Übermittlung</w:t>
      </w:r>
    </w:p>
    <w:p>
      <w:pPr>
        <w:tabs>
          <w:tab w:pos="567" w:val="left"/>
        </w:tabs>
        <w:ind w:left="567" w:hanging="567"/>
      </w:pPr>
      <w:r>
        <w:t>a)</w:t>
      </w:r>
      <w:r>
        <w:tab/>
      </w:r>
      <w:r>
        <w:t>den Standpunkt des Rates in erster Lesung gebilligt oder sich nicht geäußert, so gilt der betreffende Rechtsakt als in der Fassung des Standpunkts des Rates erlassen;</w:t>
      </w:r>
    </w:p>
    <w:p>
      <w:pPr>
        <w:tabs>
          <w:tab w:pos="567" w:val="left"/>
        </w:tabs>
        <w:ind w:left="567" w:hanging="567"/>
      </w:pPr>
      <w:r>
        <w:t>b)</w:t>
      </w:r>
      <w:r>
        <w:tab/>
      </w:r>
      <w:r>
        <w:t>den Standpunkt des Rates in erster Lesung mit der Mehrheit seiner Mitglieder abgelehnt, so gilt der vorgeschlagene Rechtsakt als nicht erlassen;</w:t>
      </w:r>
    </w:p>
    <w:p>
      <w:pPr>
        <w:tabs>
          <w:tab w:pos="567" w:val="left"/>
        </w:tabs>
        <w:ind w:left="567" w:hanging="567"/>
      </w:pPr>
      <w:r>
        <w:t>c)</w:t>
      </w:r>
      <w:r>
        <w:tab/>
      </w:r>
      <w:r>
        <w:t>mit der Mehrheit seiner Mitglieder Abänderungen an dem Standpunkt des Rates in erster Lesung vorgeschlagen, so wird die abgeänderte Fassung dem Rat und der Kommission zugeleitet; die Kommission gibt eine Stellungnahme zu diesen Abänderungen ab.</w:t>
      </w:r>
    </w:p>
    <w:p>
      <w:r>
        <w:t>(8) Hat der Rat binnen drei Monaten nach Eingang der Abänderungen des Europäischen Parlaments mit qualifizierter Mehrheit</w:t>
      </w:r>
    </w:p>
    <w:p>
      <w:pPr>
        <w:tabs>
          <w:tab w:pos="567" w:val="left"/>
        </w:tabs>
        <w:ind w:left="567" w:hanging="567"/>
      </w:pPr>
      <w:r>
        <w:t>a)</w:t>
      </w:r>
      <w:r>
        <w:tab/>
      </w:r>
      <w:r>
        <w:t>alle diese Abänderungen gebilligt, so gilt der betreffende Rechtsakt als erlassen;</w:t>
      </w:r>
    </w:p>
    <w:p>
      <w:pPr>
        <w:tabs>
          <w:tab w:pos="567" w:val="left"/>
        </w:tabs>
        <w:ind w:left="567" w:hanging="567"/>
      </w:pPr>
      <w:r>
        <w:t>b)</w:t>
      </w:r>
      <w:r>
        <w:tab/>
      </w:r>
      <w:r>
        <w:t>nicht alle Abänderungen gebilligt, so beruft der Präsident des Rates im Einvernehmen mit dem Präsidenten des Europäischen Parlaments binnen sechs Wochen den Vermittlungsausschuss ein.</w:t>
      </w:r>
    </w:p>
    <w:p>
      <w:r>
        <w:t>(9) Über Abänderungen, zu denen die Kommission eine ablehnende Stellungnahme abgegeben hat, beschließt der Rat einstimmig.</w:t>
      </w:r>
    </w:p>
    <w:p>
      <w:r>
        <w:rPr>
          <w:i/>
        </w:rPr>
        <w:t>Vermittlung</w:t>
      </w:r>
    </w:p>
    <w:p>
      <w:r>
        <w:t>(10) Der Vermittlungsausschuss, der aus den Mitgliedern des Rates oder deren Vertretern und ebenso vielen das Europäische Parlament vertretenden Mitgliedern besteht, hat die Aufgabe, mit der qualifizierten Mehrheit der Mitglieder des Rates oder deren Vertretern und der Mehrheit der das Europäische Parlament vertretenden Mitglieder binnen sechs Wochen nach seiner Einberufung eine Einigung auf der Grundlage der Standpunkte des Europäischen Parlaments und des Rates in zweiter Lesung zu erzielen.</w:t>
      </w:r>
    </w:p>
    <w:p>
      <w:r>
        <w:t>(11) Die Kommission nimmt an den Arbeiten des Vermittlungsausschusses teil und ergreift alle erforderlichen Initiativen, um auf eine Annäherung der Standpunkte des Europäischen Parlaments und des Rates hinzuwirken.</w:t>
      </w:r>
    </w:p>
    <w:p>
      <w:r>
        <w:t>(12) Billigt der Vermittlungsausschuss binnen sechs Wochen nach seiner Einberufung keinen gemeinsamen Entwurf, so gilt der vorgeschlagene Rechtsakt als nicht erlassen.</w:t>
      </w:r>
    </w:p>
    <w:p>
      <w:r>
        <w:rPr>
          <w:i/>
        </w:rPr>
        <w:t>Dritte Lesung</w:t>
      </w:r>
    </w:p>
    <w:p>
      <w:r>
        <w:t xml:space="preserve">(13) </w:t>
      </w:r>
      <w:r>
        <w:rPr>
          <w:rStyle w:val="Satznummer"/>
        </w:rPr>
        <w:t>1</w:t>
      </w:r>
      <w:r>
        <w:t xml:space="preserve">Billigt der Vermittlungsausschuss innerhalb dieser Frist einen gemeinsamen Entwurf, so verfügen das Europäische Parlament und der Rat ab dieser Billigung über eine Frist von sechs Wochen, um den betreffenden Rechtsakt entsprechend diesem Entwurf zu erlassen, wobei im Europäischen Parlament die Mehrheit der abgegebenen Stimmen und im Rat die qualifizierte Mehrheit erforderlich ist. </w:t>
      </w:r>
      <w:r>
        <w:rPr>
          <w:rStyle w:val="Satznummer"/>
        </w:rPr>
        <w:t>2</w:t>
      </w:r>
      <w:r>
        <w:t>Andernfalls gilt der vorgeschlagene Rechtsakt als nicht erlassen.</w:t>
      </w:r>
    </w:p>
    <w:p>
      <w:r>
        <w:t>(14) Die in diesem Artikel genannten Fristen von drei Monaten beziehungsweise sechs Wochen werden auf Initiative des Europäischen Parlaments oder des Rates um höchstens einen Monat beziehungsweise zwei Wochen verlängert.</w:t>
      </w:r>
    </w:p>
    <w:p>
      <w:r>
        <w:rPr>
          <w:i/>
        </w:rPr>
        <w:t>Besondere Bestimmungen</w:t>
      </w:r>
    </w:p>
    <w:p>
      <w:r>
        <w:t>(15) Wird in den in den Verträgen vorgesehenen Fällen ein Gesetzgebungsakt auf Initiative einer Gruppe von Mitgliedstaaten, auf Empfehlung der Europäischen Zentralbank oder auf Antrag des Gerichtshofs im ordentlichen Gesetzgebungsverfahren erlassen, so finden Absatz 2, Absatz 6 Satz 2 und Absatz 9 keine Anwendung.</w:t>
      </w:r>
    </w:p>
    <w:p>
      <w:r>
        <w:rPr>
          <w:rStyle w:val="Satznummer"/>
        </w:rPr>
        <w:t>1</w:t>
      </w:r>
      <w:r>
        <w:t xml:space="preserve">In diesen Fällen übermitteln das Europäische Parlament und der Rat der Kommission den Entwurf des Rechtsakts sowie ihre jeweiligen Standpunkte in erster und zweiter Lesung. </w:t>
      </w:r>
      <w:r>
        <w:rPr>
          <w:rStyle w:val="Satznummer"/>
        </w:rPr>
        <w:t>2</w:t>
      </w:r>
      <w:r>
        <w:t xml:space="preserve">Das Europäische Parlament oder der Rat kann die Kommission während des gesamten Verfahrens um eine Stellungnahme bitten, die die Kommission auch von sich aus abgeben kann. </w:t>
      </w:r>
      <w:r>
        <w:rPr>
          <w:rStyle w:val="Satznummer"/>
        </w:rPr>
        <w:t>3</w:t>
      </w:r>
      <w:r>
        <w:t>Sie kann auch nach Maßgabe des Absatzes 11 an dem Vermittlungsausschuss teilnehmen, sofern sie dies für erforderlich hält.</w:t>
      </w:r>
    </w:p>
    <w:p>
      <w:pPr>
        <w:pStyle w:val="Heading5"/>
      </w:pPr>
      <w:bookmarkStart w:id="374" w:name="b371"/>
      <w:r>
        <w:t>Art 295</w:t>
      </w:r>
      <w:r>
        <w:t xml:space="preserve"> </w:t>
      </w:r>
      <w:r>
        <w:rPr>
          <w:rStyle w:val="Suchmarke"/>
        </w:rPr>
        <w:t>#295.#</w:t>
      </w:r>
      <w:bookmarkEnd w:id="374"/>
    </w:p>
    <w:p>
      <w:r>
        <w:rPr>
          <w:rStyle w:val="Satznummer"/>
        </w:rPr>
        <w:t>1</w:t>
      </w:r>
      <w:r>
        <w:t xml:space="preserve">Das Europäische Parlament, der Rat und die Kommission beraten sich und regeln einvernehmlich die Einzelheiten ihrer Zusammenarbeit. </w:t>
      </w:r>
      <w:r>
        <w:rPr>
          <w:rStyle w:val="Satznummer"/>
        </w:rPr>
        <w:t>2</w:t>
      </w:r>
      <w:r>
        <w:t>Dazu können sie unter Wahrung der Verträge interinstitutionelle Vereinbarungen schließen, die auch bindenden Charakter haben können.</w:t>
      </w:r>
    </w:p>
    <w:p>
      <w:pPr>
        <w:pStyle w:val="Heading5"/>
      </w:pPr>
      <w:bookmarkStart w:id="375" w:name="b372"/>
      <w:r>
        <w:t>Art 296</w:t>
      </w:r>
      <w:r>
        <w:t xml:space="preserve"> </w:t>
      </w:r>
      <w:r>
        <w:rPr>
          <w:rStyle w:val="Suchmarke"/>
        </w:rPr>
        <w:t>#296.#</w:t>
      </w:r>
      <w:bookmarkEnd w:id="375"/>
    </w:p>
    <w:p>
      <w:r>
        <w:rPr>
          <w:color w:val="404040"/>
          <w:sz w:val="21"/>
        </w:rPr>
        <w:t>(ex-Artikel 253 EGV)</w:t>
      </w:r>
    </w:p>
    <w:p>
      <w:r>
        <w:t>Wird die Art des zu erlassenden Rechtsakts von den Verträgen nicht vorgegeben, so entscheiden die Organe darüber von Fall zu Fall unter Einhaltung der geltenden Verfahren und des Grundsatzes der Verhältnismäßigkeit.</w:t>
      </w:r>
    </w:p>
    <w:p>
      <w:r>
        <w:t>Die Rechtsakte sind mit einer Begründung zu versehen und nehmen auf die in den Verträgen vorgesehenen Vorschläge, Initiativen, Empfehlungen, Anträge oder Stellungnahmen Bezug.</w:t>
      </w:r>
    </w:p>
    <w:p>
      <w:r>
        <w:t>Werden das Europäische Parlament und der Rat mit dem Entwurf eines Gesetzgebungsakts befasst, so nehmen sie keine Rechtsakte an, die gemäß dem für den betreffenden Bereich geltenden Gesetzgebungsverfahren nicht vorgesehen sind.</w:t>
      </w:r>
    </w:p>
    <w:p>
      <w:pPr>
        <w:pStyle w:val="Heading5"/>
      </w:pPr>
      <w:bookmarkStart w:id="376" w:name="b373"/>
      <w:r>
        <w:t>Art 297</w:t>
      </w:r>
      <w:r>
        <w:t xml:space="preserve"> </w:t>
      </w:r>
      <w:r>
        <w:rPr>
          <w:rStyle w:val="Suchmarke"/>
        </w:rPr>
        <w:t>#297.#</w:t>
      </w:r>
      <w:bookmarkEnd w:id="376"/>
    </w:p>
    <w:p>
      <w:r>
        <w:rPr>
          <w:color w:val="404040"/>
          <w:sz w:val="21"/>
        </w:rPr>
        <w:t>(ex-Artikel 254 EGV)</w:t>
      </w:r>
    </w:p>
    <w:p>
      <w:r>
        <w:t>(1) Gesetzgebungsakte, die gemäß dem ordentlichen Gesetzgebungsverfahren erlassen wurden, werden vom Präsidenten des Europäischen Parlaments und vom Präsidenten des Rates unterzeichnet.</w:t>
      </w:r>
    </w:p>
    <w:p>
      <w:r>
        <w:t>Gesetzgebungsakte, die gemäß einem besonderen Gesetzgebungsverfahren erlassen wurden, werden vom Präsidenten des Organs unterzeichnet, das sie erlassen hat.</w:t>
      </w:r>
    </w:p>
    <w:p>
      <w:r>
        <w:rPr>
          <w:rStyle w:val="Satznummer"/>
        </w:rPr>
        <w:t>1</w:t>
      </w:r>
      <w:r>
        <w:t xml:space="preserve">Die Gesetzgebungsakte werden im </w:t>
      </w:r>
      <w:r>
        <w:rPr>
          <w:i/>
        </w:rPr>
        <w:t>Amtsblatt der Europäischen Union</w:t>
      </w:r>
      <w:r>
        <w:t xml:space="preserve"> veröffentlicht. </w:t>
      </w:r>
      <w:r>
        <w:rPr>
          <w:rStyle w:val="Satznummer"/>
        </w:rPr>
        <w:t>2</w:t>
      </w:r>
      <w:r>
        <w:t>Sie treten zu dem durch sie festgelegten Zeitpunkt oder anderenfalls am zwanzigsten Tag nach ihrer Veröffentlichung in Kraft.</w:t>
      </w:r>
    </w:p>
    <w:p>
      <w:r>
        <w:t>(2) Rechtsakte ohne Gesetzescharakter, die als Verordnung, Richtlinie oder Beschluss, der an keinen bestimmten Adressaten gerichtet ist, erlassen wurden, werden vom Präsidenten des Organs unterzeichnet, das sie erlassen hat.</w:t>
      </w:r>
    </w:p>
    <w:p>
      <w:r>
        <w:rPr>
          <w:rStyle w:val="Satznummer"/>
        </w:rPr>
        <w:t>1</w:t>
      </w:r>
      <w:r>
        <w:t xml:space="preserve">Verordnungen, Richtlinien, die an alle Mitgliedstaaten gerichtet sind, sowie Beschlüsse, die an keinen bestimmten Adressaten gerichtet sind, werden im </w:t>
      </w:r>
      <w:r>
        <w:rPr>
          <w:i/>
        </w:rPr>
        <w:t>Amtsblatt der Europäischen Union</w:t>
      </w:r>
      <w:r>
        <w:t xml:space="preserve"> veröffentlicht. </w:t>
      </w:r>
      <w:r>
        <w:rPr>
          <w:rStyle w:val="Satznummer"/>
        </w:rPr>
        <w:t>2</w:t>
      </w:r>
      <w:r>
        <w:t>Sie treten zu dem durch sie festgelegten Zeitpunkt oder anderenfalls am zwanzigsten Tag nach ihrer Veröffentlichung in Kraft.</w:t>
      </w:r>
    </w:p>
    <w:p>
      <w:r>
        <w:t>Die anderen Richtlinien sowie die Beschlüsse, die an einen bestimmten Adressaten gerichtet sind, werden denjenigen, für die sie bestimmt sind, bekannt gegeben und durch diese Bekanntgabe wirksam.</w:t>
      </w:r>
    </w:p>
    <w:p>
      <w:pPr>
        <w:pStyle w:val="Heading5"/>
      </w:pPr>
      <w:bookmarkStart w:id="377" w:name="b374"/>
      <w:r>
        <w:t>Art 298</w:t>
      </w:r>
      <w:r>
        <w:t xml:space="preserve"> </w:t>
      </w:r>
      <w:r>
        <w:rPr>
          <w:rStyle w:val="Suchmarke"/>
        </w:rPr>
        <w:t>#298.#</w:t>
      </w:r>
      <w:bookmarkEnd w:id="377"/>
    </w:p>
    <w:p>
      <w:r>
        <w:t>(1) Zur Ausübung ihrer Aufgaben stützen sich die Organe, Einrichtungen und sonstigen Stellen der Union auf eine offene, effiziente und unabhängige europäische Verwaltung.</w:t>
      </w:r>
    </w:p>
    <w:p>
      <w:r>
        <w:t>(2) Die Bestimmungen zu diesem Zweck werden unter Beachtung des Statuts und der Beschäftigungsbedingungen nach Artikel 336 vom Europäischen Parlament und vom Rat gemäß dem ordentlichen Gesetzgebungsverfahren durch Verordnungen erlassen.</w:t>
      </w:r>
    </w:p>
    <w:p>
      <w:pPr>
        <w:pStyle w:val="Heading5"/>
      </w:pPr>
      <w:bookmarkStart w:id="378" w:name="b375"/>
      <w:r>
        <w:t>Art 299</w:t>
      </w:r>
      <w:r>
        <w:t xml:space="preserve"> </w:t>
      </w:r>
      <w:r>
        <w:rPr>
          <w:rStyle w:val="Suchmarke"/>
        </w:rPr>
        <w:t>#299.#</w:t>
      </w:r>
      <w:bookmarkEnd w:id="378"/>
    </w:p>
    <w:p>
      <w:r>
        <w:rPr>
          <w:color w:val="404040"/>
          <w:sz w:val="21"/>
        </w:rPr>
        <w:t>(ex-Artikel 256 EGV)</w:t>
      </w:r>
    </w:p>
    <w:p>
      <w:r>
        <w:t>Die Rechtsakte des Rates, der Kommission oder der Europäischen Zentralbank, die eine Zahlung auferlegen, sind vollstreckbare Titel; dies gilt nicht gegenüber Staaten.</w:t>
      </w:r>
    </w:p>
    <w:p>
      <w:r>
        <w:rPr>
          <w:rStyle w:val="Satznummer"/>
        </w:rPr>
        <w:t>1</w:t>
      </w:r>
      <w:r>
        <w:t xml:space="preserve">Die Zwangsvollstreckung erfolgt nach den Vorschriften des Zivilprozessrechts des Staates, in dessen Hoheitsgebiet sie stattfindet. </w:t>
      </w:r>
      <w:r>
        <w:rPr>
          <w:rStyle w:val="Satznummer"/>
        </w:rPr>
        <w:t>2</w:t>
      </w:r>
      <w:r>
        <w:t>Die Vollstreckungsklausel wird nach einer Prüfung, die sich lediglich auf die Echtheit des Titels erstrecken darf, von der staatlichen Behörde erteilt, welche die Regierung jedes Mitgliedstaats zu diesem Zweck bestimmt und der Kommission und dem Gerichtshof der Europäischen Union benennt.</w:t>
      </w:r>
    </w:p>
    <w:p>
      <w:r>
        <w:t>Sind diese Formvorschriften auf Antrag der die Vollstreckung betreibenden Partei erfüllt, so kann diese die Zwangsvollstreckung nach innerstaatlichem Recht betreiben, indem sie die zuständige Stelle unmittelbar anruft.</w:t>
      </w:r>
    </w:p>
    <w:p>
      <w:r>
        <w:rPr>
          <w:rStyle w:val="Satznummer"/>
        </w:rPr>
        <w:t>1</w:t>
      </w:r>
      <w:r>
        <w:t xml:space="preserve">Die Zwangsvollstreckung kann nur durch eine Entscheidung des Gerichtshofs der Europäischen Union ausgesetzt werden. </w:t>
      </w:r>
      <w:r>
        <w:rPr>
          <w:rStyle w:val="Satznummer"/>
        </w:rPr>
        <w:t>2</w:t>
      </w:r>
      <w:r>
        <w:t>Für die Prüfung der Ordnungsmäßigkeit der Vollstreckungsmaßnahmen sind jedoch die einzelstaatlichen Rechtsprechungsorgane zuständig.</w:t>
      </w:r>
    </w:p>
    <w:p>
      <w:pPr>
        <w:pStyle w:val="Heading3"/>
      </w:pPr>
      <w:bookmarkStart w:id="379" w:name="b376"/>
      <w:r>
        <w:t>KAPITEL 3 DIE BERATENDEN EINRICHTUNGEN DER UNION</w:t>
      </w:r>
      <w:bookmarkEnd w:id="379"/>
    </w:p>
    <w:p>
      <w:pPr>
        <w:pStyle w:val="Heading4"/>
      </w:pPr>
      <w:bookmarkStart w:id="380" w:name="b377"/>
      <w:r>
        <w:t>Art 300</w:t>
      </w:r>
      <w:r>
        <w:t xml:space="preserve"> </w:t>
      </w:r>
      <w:r>
        <w:rPr>
          <w:rStyle w:val="Suchmarke"/>
        </w:rPr>
        <w:t>#300.#</w:t>
      </w:r>
      <w:bookmarkEnd w:id="380"/>
    </w:p>
    <w:p>
      <w:r>
        <w:t>(1) Das Europäische Parlament, der Rat und die Kommission werden von einem Wirtschafts- und Sozialausschuss sowie einem Ausschuss der Regionen unterstützt, die beratende Aufgaben wahrnehmen.</w:t>
      </w:r>
    </w:p>
    <w:p>
      <w:r>
        <w:t>(2) Der Wirtschafts- und Sozialausschuss setzt sich zusammen aus Vertretern der Organisationen der Arbeitgeber und der Arbeitnehmer sowie anderen Vertretern der Zivilgesellschaft, insbesondere aus dem sozialen und wirtschaftlichen, dem staatsbürgerlichen, dem beruflichen und dem kulturellen Bereich.</w:t>
      </w:r>
    </w:p>
    <w:p>
      <w:r>
        <w:t>(3) Der Ausschuss der Regionen setzt sich zusammen aus Vertretern der regionalen und lokalen Gebietskörperschaften, die entweder ein auf Wahlen beruhendes Mandat in einer regionalen oder lokalen Gebietskörperschaft innehaben oder gegenüber einer gewählten Versammlung politisch verantwortlich sind.</w:t>
      </w:r>
    </w:p>
    <w:p>
      <w:r>
        <w:t xml:space="preserve">(4) </w:t>
      </w:r>
      <w:r>
        <w:rPr>
          <w:rStyle w:val="Satznummer"/>
        </w:rPr>
        <w:t>1</w:t>
      </w:r>
      <w:r>
        <w:t xml:space="preserve">Die Mitglieder des Wirtschafts- und Sozialausschusses und des Ausschusses der Regionen sind an keine Weisungen gebunden. </w:t>
      </w:r>
      <w:r>
        <w:rPr>
          <w:rStyle w:val="Satznummer"/>
        </w:rPr>
        <w:t>2</w:t>
      </w:r>
      <w:r>
        <w:t>Sie üben ihre Tätigkeit in voller Unabhängigkeit zum allgemeinen Wohl der Union aus.</w:t>
      </w:r>
    </w:p>
    <w:p>
      <w:r>
        <w:t xml:space="preserve">(5) </w:t>
      </w:r>
      <w:r>
        <w:rPr>
          <w:rStyle w:val="Satznummer"/>
        </w:rPr>
        <w:t>1</w:t>
      </w:r>
      <w:r>
        <w:t xml:space="preserve">Die Vorschriften der Absätze 2 und 3 über die Art der Zusammensetzung dieser Ausschüsse werden in regelmäßigen Abständen vom Rat überprüft, um der wirtschaftlichen, sozialen und demografischen Entwicklung in der Union Rechnung zu tragen. </w:t>
      </w:r>
      <w:r>
        <w:rPr>
          <w:rStyle w:val="Satznummer"/>
        </w:rPr>
        <w:t>2</w:t>
      </w:r>
      <w:r>
        <w:t>Der Rat erlässt auf Vorschlag der Kommission Beschlüsse zu diesem Zweck.</w:t>
      </w:r>
    </w:p>
    <w:p>
      <w:pPr>
        <w:pStyle w:val="Heading4"/>
      </w:pPr>
      <w:bookmarkStart w:id="381" w:name="b378"/>
      <w:r>
        <w:t>ABSCHNITT 1 DER WIRTSCHAFTS- UND SOZIALAUSSCHUSS</w:t>
      </w:r>
      <w:bookmarkEnd w:id="381"/>
    </w:p>
    <w:p>
      <w:pPr>
        <w:pStyle w:val="Heading5"/>
      </w:pPr>
      <w:bookmarkStart w:id="382" w:name="b379"/>
      <w:r>
        <w:t>Art 301</w:t>
      </w:r>
      <w:r>
        <w:t xml:space="preserve"> </w:t>
      </w:r>
      <w:r>
        <w:rPr>
          <w:rStyle w:val="Suchmarke"/>
        </w:rPr>
        <w:t>#301.#</w:t>
      </w:r>
      <w:bookmarkEnd w:id="382"/>
    </w:p>
    <w:p>
      <w:r>
        <w:rPr>
          <w:color w:val="404040"/>
          <w:sz w:val="21"/>
        </w:rPr>
        <w:t>(ex-Artikel 258 EGV)</w:t>
      </w:r>
    </w:p>
    <w:p>
      <w:r>
        <w:t>Der Wirtschafts- und Sozialausschuss hat höchstens dreihundertfünfzig Mitglieder.</w:t>
      </w:r>
    </w:p>
    <w:p>
      <w:r>
        <w:t>Der Rat erlässt einstimmig auf Vorschlag der Kommission einen Beschluss über die Zusammensetzung des Ausschusses.</w:t>
      </w:r>
    </w:p>
    <w:p>
      <w:r>
        <w:t>Der Rat setzt die Vergütungen für die Mitglieder des Ausschusses fest.</w:t>
      </w:r>
    </w:p>
    <w:p>
      <w:pPr>
        <w:pStyle w:val="Heading5"/>
      </w:pPr>
      <w:bookmarkStart w:id="383" w:name="b380"/>
      <w:r>
        <w:t>Art 302</w:t>
      </w:r>
      <w:r>
        <w:t xml:space="preserve"> </w:t>
      </w:r>
      <w:r>
        <w:rPr>
          <w:rStyle w:val="Suchmarke"/>
        </w:rPr>
        <w:t>#302.#</w:t>
      </w:r>
      <w:bookmarkEnd w:id="383"/>
    </w:p>
    <w:p>
      <w:r>
        <w:rPr>
          <w:color w:val="404040"/>
          <w:sz w:val="21"/>
        </w:rPr>
        <w:t>(ex-Artikel 259 EGV)</w:t>
      </w:r>
    </w:p>
    <w:p>
      <w:r>
        <w:t xml:space="preserve">(1) </w:t>
      </w:r>
      <w:r>
        <w:rPr>
          <w:rStyle w:val="Satznummer"/>
        </w:rPr>
        <w:t>1</w:t>
      </w:r>
      <w:r>
        <w:t xml:space="preserve">Die Mitglieder des Ausschusses werden für fünf Jahre ernannt. </w:t>
      </w:r>
      <w:r>
        <w:rPr>
          <w:rStyle w:val="Satznummer"/>
        </w:rPr>
        <w:t>2</w:t>
      </w:r>
      <w:r>
        <w:t xml:space="preserve">Der Rat nimmt die gemäß den Vorschlägen der einzelnen Mitgliedstaaten erstellte Liste der Mitglieder an. </w:t>
      </w:r>
      <w:r>
        <w:rPr>
          <w:rStyle w:val="Satznummer"/>
        </w:rPr>
        <w:t>3</w:t>
      </w:r>
      <w:r>
        <w:t>Die Wiederernennung der Mitglieder des Ausschusses ist zulässig.</w:t>
      </w:r>
    </w:p>
    <w:p>
      <w:r>
        <w:t xml:space="preserve">(2) </w:t>
      </w:r>
      <w:r>
        <w:rPr>
          <w:rStyle w:val="Satznummer"/>
        </w:rPr>
        <w:t>1</w:t>
      </w:r>
      <w:r>
        <w:t xml:space="preserve">Der Rat beschließt nach Anhörung der Kommission. </w:t>
      </w:r>
      <w:r>
        <w:rPr>
          <w:rStyle w:val="Satznummer"/>
        </w:rPr>
        <w:t>2</w:t>
      </w:r>
      <w:r>
        <w:t>Er kann die Meinung der maßgeblichen europäischen Organisationen der verschiedenen Zweige des Wirtschafts- und Soziallebens und der Zivilgesellschaft einholen, die von der Tätigkeit der Union betroffen sind.</w:t>
      </w:r>
    </w:p>
    <w:p>
      <w:pPr>
        <w:pStyle w:val="Heading5"/>
      </w:pPr>
      <w:bookmarkStart w:id="384" w:name="b381"/>
      <w:r>
        <w:t>Art 303</w:t>
      </w:r>
      <w:r>
        <w:t xml:space="preserve"> </w:t>
      </w:r>
      <w:r>
        <w:rPr>
          <w:rStyle w:val="Suchmarke"/>
        </w:rPr>
        <w:t>#303.#</w:t>
      </w:r>
      <w:bookmarkEnd w:id="384"/>
    </w:p>
    <w:p>
      <w:r>
        <w:rPr>
          <w:color w:val="404040"/>
          <w:sz w:val="21"/>
        </w:rPr>
        <w:t>(ex-Artikel 260 EGV)</w:t>
      </w:r>
    </w:p>
    <w:p>
      <w:r>
        <w:t>Der Ausschuss wählt aus seiner Mitte seinen Präsidenten und sein Präsidium auf zweieinhalb Jahre.</w:t>
      </w:r>
    </w:p>
    <w:p>
      <w:r>
        <w:t>Er gibt sich eine Geschäftsordnung.</w:t>
      </w:r>
    </w:p>
    <w:p>
      <w:r>
        <w:rPr>
          <w:rStyle w:val="Satznummer"/>
        </w:rPr>
        <w:t>1</w:t>
      </w:r>
      <w:r>
        <w:t xml:space="preserve">Der Ausschuss wird von seinem Präsidenten auf Antrag des Europäischen Parlaments, des Rates oder der Kommission einberufen. </w:t>
      </w:r>
      <w:r>
        <w:rPr>
          <w:rStyle w:val="Satznummer"/>
        </w:rPr>
        <w:t>2</w:t>
      </w:r>
      <w:r>
        <w:t>Er kann auch von sich aus zusammentreten.</w:t>
      </w:r>
    </w:p>
    <w:p>
      <w:pPr>
        <w:pStyle w:val="Heading5"/>
      </w:pPr>
      <w:bookmarkStart w:id="385" w:name="b382"/>
      <w:r>
        <w:t>Art 304</w:t>
      </w:r>
      <w:r>
        <w:t xml:space="preserve"> </w:t>
      </w:r>
      <w:r>
        <w:rPr>
          <w:rStyle w:val="Suchmarke"/>
        </w:rPr>
        <w:t>#304.#</w:t>
      </w:r>
      <w:bookmarkEnd w:id="385"/>
    </w:p>
    <w:p>
      <w:r>
        <w:rPr>
          <w:color w:val="404040"/>
          <w:sz w:val="21"/>
        </w:rPr>
        <w:t>(ex-Artikel 262 EGV)</w:t>
      </w:r>
    </w:p>
    <w:p>
      <w:r>
        <w:rPr>
          <w:rStyle w:val="Satznummer"/>
        </w:rPr>
        <w:t>1</w:t>
      </w:r>
      <w:r>
        <w:t xml:space="preserve">Der Ausschuss wird vom Europäischen Parlament, vom Rat oder der Kommission in den in den Verträgen vorgesehenen Fällen gehört. </w:t>
      </w:r>
      <w:r>
        <w:rPr>
          <w:rStyle w:val="Satznummer"/>
        </w:rPr>
        <w:t>2</w:t>
      </w:r>
      <w:r>
        <w:t xml:space="preserve">Er kann von diesen Organen in allen Fällen gehört werden, in denen diese es für zweckmäßig erachten. </w:t>
      </w:r>
      <w:r>
        <w:rPr>
          <w:rStyle w:val="Satznummer"/>
        </w:rPr>
        <w:t>3</w:t>
      </w:r>
      <w:r>
        <w:t>Er kann von sich aus eine Stellungnahme in den Fällen abgeben, in denen er dies für zweckmäßig erachtet.</w:t>
      </w:r>
    </w:p>
    <w:p>
      <w:r>
        <w:rPr>
          <w:rStyle w:val="Satznummer"/>
        </w:rPr>
        <w:t>1</w:t>
      </w:r>
      <w:r>
        <w:t xml:space="preserve">Wenn das Europäische Parlament, der Rat oder die Kommission es für notwendig erachten, setzen sie dem Ausschuss für die Vorlage seiner Stellungnahme eine Frist; diese beträgt mindestens einen Monat, vom Eingang der Mitteilung beim Präsidenten des Ausschusses an gerechnet. </w:t>
      </w:r>
      <w:r>
        <w:rPr>
          <w:rStyle w:val="Satznummer"/>
        </w:rPr>
        <w:t>2</w:t>
      </w:r>
      <w:r>
        <w:t>Nach Ablauf der Frist kann das Fehlen einer Stellungnahme unberücksichtigt bleiben.</w:t>
      </w:r>
    </w:p>
    <w:p>
      <w:r>
        <w:t>Die Stellungnahmen des Ausschusses sowie ein Bericht über die Beratungen werden dem Europäischen Parlament, dem Rat und der Kommission übermittelt.</w:t>
      </w:r>
    </w:p>
    <w:p>
      <w:pPr>
        <w:pStyle w:val="Heading4"/>
      </w:pPr>
      <w:bookmarkStart w:id="386" w:name="b383"/>
      <w:r>
        <w:t>ABSCHNITT 2 DER AUSSCHUSS DER REGIONEN</w:t>
      </w:r>
      <w:bookmarkEnd w:id="386"/>
    </w:p>
    <w:p>
      <w:pPr>
        <w:pStyle w:val="Heading5"/>
      </w:pPr>
      <w:bookmarkStart w:id="387" w:name="b384"/>
      <w:r>
        <w:t>Art 305</w:t>
      </w:r>
      <w:r>
        <w:t xml:space="preserve"> </w:t>
      </w:r>
      <w:r>
        <w:rPr>
          <w:rStyle w:val="Suchmarke"/>
        </w:rPr>
        <w:t>#305.#</w:t>
      </w:r>
      <w:bookmarkEnd w:id="387"/>
    </w:p>
    <w:p>
      <w:r>
        <w:rPr>
          <w:color w:val="404040"/>
          <w:sz w:val="21"/>
        </w:rPr>
        <w:t>(ex-Artikel 263 Absätze 2, 3 und 4 EGV)</w:t>
      </w:r>
    </w:p>
    <w:p>
      <w:r>
        <w:t>Der Ausschuss der Regionen hat höchstens dreihundertfünfzig Mitglieder.</w:t>
      </w:r>
    </w:p>
    <w:p>
      <w:r>
        <w:t>Der Rat erlässt einstimmig auf Vorschlag der Kommission einen Beschluss über die Zusammensetzung des Ausschusses.</w:t>
      </w:r>
    </w:p>
    <w:p>
      <w:r>
        <w:rPr>
          <w:rStyle w:val="Satznummer"/>
        </w:rPr>
        <w:t>1</w:t>
      </w:r>
      <w:r>
        <w:t xml:space="preserve">Die Mitglieder des Ausschusses sowie eine gleiche Anzahl von Stellvertretern werden auf fünf Jahre ernannt. </w:t>
      </w:r>
      <w:r>
        <w:rPr>
          <w:rStyle w:val="Satznummer"/>
        </w:rPr>
        <w:t>2</w:t>
      </w:r>
      <w:r>
        <w:t xml:space="preserve">Wiederernennung ist zulässig. </w:t>
      </w:r>
      <w:r>
        <w:rPr>
          <w:rStyle w:val="Satznummer"/>
        </w:rPr>
        <w:t>3</w:t>
      </w:r>
      <w:r>
        <w:t xml:space="preserve">Der Rat nimmt die gemäß den Vorschlägen der einzelnen Mitgliedstaaten erstellte Liste der Mitglieder und Stellvertreter an. </w:t>
      </w:r>
      <w:r>
        <w:rPr>
          <w:rStyle w:val="Satznummer"/>
        </w:rPr>
        <w:t>4</w:t>
      </w:r>
      <w:r>
        <w:t xml:space="preserve">Die Amtszeit der Mitglieder des Ausschusses endet automatisch bei Ablauf des in </w:t>
      </w:r>
      <w:hyperlink w:anchor="b377" w:history="1">
        <w:r>
          <w:rPr>
            <w:color w:val="0A3A8C"/>
            <w:u w:val="single"/>
          </w:rPr>
          <w:t xml:space="preserve">Artikel 300</w:t>
        </w:r>
      </w:hyperlink>
      <w:r>
        <w:t xml:space="preserve"> Absatz 3 genannten Mandats, aufgrund dessen sie vorgeschlagen wurden; für die verbleibende Amtszeit wird nach demselben Verfahren ein Nachfolger ernannt. </w:t>
      </w:r>
      <w:r>
        <w:rPr>
          <w:rStyle w:val="Satznummer"/>
        </w:rPr>
        <w:t>5</w:t>
      </w:r>
      <w:r>
        <w:t>Ein Mitglied des Ausschusses darf nicht gleichzeitig Mitglied des Europäischen Parlaments sein.</w:t>
      </w:r>
    </w:p>
    <w:p>
      <w:pPr>
        <w:pStyle w:val="Heading5"/>
      </w:pPr>
      <w:bookmarkStart w:id="388" w:name="b385"/>
      <w:r>
        <w:t>Art 306</w:t>
      </w:r>
      <w:r>
        <w:t xml:space="preserve"> </w:t>
      </w:r>
      <w:r>
        <w:rPr>
          <w:rStyle w:val="Suchmarke"/>
        </w:rPr>
        <w:t>#306.#</w:t>
      </w:r>
      <w:bookmarkEnd w:id="388"/>
    </w:p>
    <w:p>
      <w:r>
        <w:rPr>
          <w:color w:val="404040"/>
          <w:sz w:val="21"/>
        </w:rPr>
        <w:t>(ex-Artikel 264 EGV)</w:t>
      </w:r>
    </w:p>
    <w:p>
      <w:r>
        <w:t>Der Ausschuss der Regionen wählt aus seiner Mitte seinen Präsidenten und sein Präsidium auf zweieinhalb Jahre.</w:t>
      </w:r>
    </w:p>
    <w:p>
      <w:r>
        <w:t>Er gibt sich eine Geschäftsordnung.</w:t>
      </w:r>
    </w:p>
    <w:p>
      <w:r>
        <w:rPr>
          <w:rStyle w:val="Satznummer"/>
        </w:rPr>
        <w:t>1</w:t>
      </w:r>
      <w:r>
        <w:t xml:space="preserve">Der Ausschuss wird von seinem Präsidenten auf Antrag des Europäischen Parlaments, des Rates oder der Kommission einberufen. </w:t>
      </w:r>
      <w:r>
        <w:rPr>
          <w:rStyle w:val="Satznummer"/>
        </w:rPr>
        <w:t>2</w:t>
      </w:r>
      <w:r>
        <w:t>Er kann auch von sich aus zusammentreten.</w:t>
      </w:r>
    </w:p>
    <w:p>
      <w:pPr>
        <w:pStyle w:val="Heading5"/>
      </w:pPr>
      <w:bookmarkStart w:id="389" w:name="b386"/>
      <w:r>
        <w:t>Art 307</w:t>
      </w:r>
      <w:r>
        <w:t xml:space="preserve"> </w:t>
      </w:r>
      <w:r>
        <w:rPr>
          <w:rStyle w:val="Suchmarke"/>
        </w:rPr>
        <w:t>#307.#</w:t>
      </w:r>
      <w:bookmarkEnd w:id="389"/>
    </w:p>
    <w:p>
      <w:r>
        <w:rPr>
          <w:color w:val="404040"/>
          <w:sz w:val="21"/>
        </w:rPr>
        <w:t>(ex-Artikel 265 EGV)</w:t>
      </w:r>
    </w:p>
    <w:p>
      <w:r>
        <w:t>Der Ausschuss der Regionen wird vom Europäischen Parlament, vom Rat oder von der Kommission in den in den Verträgen vorgesehenen Fällen und in allen anderen Fällen gehört, in denen eines dieser Organe dies für zweckmäßig erachtet, insbesondere in Fällen, welche die grenzüberschreitende Zusammenarbeit betreffen.</w:t>
      </w:r>
    </w:p>
    <w:p>
      <w:r>
        <w:rPr>
          <w:rStyle w:val="Satznummer"/>
        </w:rPr>
        <w:t>1</w:t>
      </w:r>
      <w:r>
        <w:t xml:space="preserve">Wenn das Europäische Parlament, der Rat oder die Kommission es für notwendig erachten, setzen sie dem Ausschuss für die Vorlage seiner Stellungnahme eine Frist; diese beträgt mindestens einen Monat, vom Eingang der diesbezüglichen Mitteilung beim Präsidenten des Ausschusses an gerechnet. </w:t>
      </w:r>
      <w:r>
        <w:rPr>
          <w:rStyle w:val="Satznummer"/>
        </w:rPr>
        <w:t>2</w:t>
      </w:r>
      <w:r>
        <w:t>Nach Ablauf der Frist kann das Fehlen einer Stellungnahme unberücksichtigt bleiben.</w:t>
      </w:r>
    </w:p>
    <w:p>
      <w:r>
        <w:rPr>
          <w:rStyle w:val="Satznummer"/>
        </w:rPr>
        <w:t>1</w:t>
      </w:r>
      <w:r>
        <w:t xml:space="preserve">Wird der Wirtschafts- und Sozialausschuss nach </w:t>
      </w:r>
      <w:hyperlink w:anchor="b382" w:history="1">
        <w:r>
          <w:rPr>
            <w:color w:val="0A3A8C"/>
            <w:u w:val="single"/>
          </w:rPr>
          <w:t xml:space="preserve">Artikel 304</w:t>
        </w:r>
      </w:hyperlink>
      <w:r>
        <w:t xml:space="preserve"> gehört, so wird der Ausschuss der Regionen vom Europäischen Parlament, vom Rat oder von der Kommission über dieses Ersuchen um Stellungnahme unterrichtet. </w:t>
      </w:r>
      <w:r>
        <w:rPr>
          <w:rStyle w:val="Satznummer"/>
        </w:rPr>
        <w:t>2</w:t>
      </w:r>
      <w:r>
        <w:t>Der Ausschuss der Regionen kann, wenn er der Auffassung ist, dass spezifische regionale Interessen berührt werden, eine entsprechende Stellungnahme abgeben.</w:t>
      </w:r>
    </w:p>
    <w:p>
      <w:r>
        <w:t>Er kann, wenn er dies für zweckdienlich erachtet, von sich aus eine Stellungnahme abgeben.</w:t>
      </w:r>
    </w:p>
    <w:p>
      <w:r>
        <w:t>Die Stellungnahme des Ausschusses sowie ein Bericht über die Beratungen werden dem Europäischen Parlament, dem Rat und der Kommission übermittelt.</w:t>
      </w:r>
    </w:p>
    <w:p>
      <w:pPr>
        <w:pStyle w:val="Heading3"/>
      </w:pPr>
      <w:bookmarkStart w:id="390" w:name="b387"/>
      <w:r>
        <w:t>KAPITEL 4 DIE EUROPÄISCHE INVESTITIONSBANK</w:t>
      </w:r>
      <w:bookmarkEnd w:id="390"/>
    </w:p>
    <w:p>
      <w:pPr>
        <w:pStyle w:val="Heading4"/>
      </w:pPr>
      <w:bookmarkStart w:id="391" w:name="b388"/>
      <w:r>
        <w:t>Art 308</w:t>
      </w:r>
      <w:r>
        <w:t xml:space="preserve"> </w:t>
      </w:r>
      <w:r>
        <w:rPr>
          <w:rStyle w:val="Suchmarke"/>
        </w:rPr>
        <w:t>#308.#</w:t>
      </w:r>
      <w:bookmarkEnd w:id="391"/>
    </w:p>
    <w:p>
      <w:r>
        <w:rPr>
          <w:color w:val="404040"/>
          <w:sz w:val="21"/>
        </w:rPr>
        <w:t>(ex-Artikel 266 EGV)</w:t>
      </w:r>
    </w:p>
    <w:p>
      <w:r>
        <w:t>Die Europäische Investitionsbank besitzt Rechtspersönlichkeit.</w:t>
      </w:r>
    </w:p>
    <w:p>
      <w:r>
        <w:t>Mitglieder der Europäischen Investitionsbank sind die Mitgliedstaaten.</w:t>
      </w:r>
    </w:p>
    <w:p>
      <w:r>
        <w:rPr>
          <w:rStyle w:val="Satznummer"/>
        </w:rPr>
        <w:t>1</w:t>
      </w:r>
      <w:r>
        <w:t xml:space="preserve">Die Satzung der Europäischen Investitionsbank ist den Verträgen als Protokoll beigefügt. </w:t>
      </w:r>
      <w:r>
        <w:rPr>
          <w:rStyle w:val="Satznummer"/>
        </w:rPr>
        <w:t>2</w:t>
      </w:r>
      <w:r>
        <w:t>Der Rat kann auf Antrag der Europäischen Investitionsbank und nach Anhörung des Europäischen Parlaments und der Kommission oder auf Vorschlag der Kommission und nach Anhörung des Europäischen Parlaments und der Europäischen Investitionsbank die Satzung der Bank einstimmig gemäß einem besonderen Gesetzgebungsverfahren ändern.</w:t>
      </w:r>
    </w:p>
    <w:p>
      <w:pPr>
        <w:pStyle w:val="Heading4"/>
      </w:pPr>
      <w:bookmarkStart w:id="392" w:name="b389"/>
      <w:r>
        <w:t>Art 309</w:t>
      </w:r>
      <w:r>
        <w:t xml:space="preserve"> </w:t>
      </w:r>
      <w:r>
        <w:rPr>
          <w:rStyle w:val="Suchmarke"/>
        </w:rPr>
        <w:t>#309.#</w:t>
      </w:r>
      <w:bookmarkEnd w:id="392"/>
    </w:p>
    <w:p>
      <w:r>
        <w:rPr>
          <w:color w:val="404040"/>
          <w:sz w:val="21"/>
        </w:rPr>
        <w:t>(ex-Artikel 267 EGV)</w:t>
      </w:r>
    </w:p>
    <w:p>
      <w:r>
        <w:rPr>
          <w:rStyle w:val="Satznummer"/>
        </w:rPr>
        <w:t>1</w:t>
      </w:r>
      <w:r>
        <w:t xml:space="preserve">Aufgabe der Europäischen Investitionsbank ist es, zu einer ausgewogenen und reibungslosen Entwicklung des Binnenmarkts im Interesse der Union beizutragen; hierbei bedient sie sich des Kapitalmarkts sowie ihrer eigenen Mittel. </w:t>
      </w:r>
      <w:r>
        <w:rPr>
          <w:rStyle w:val="Satznummer"/>
        </w:rPr>
        <w:t>2</w:t>
      </w:r>
      <w:r>
        <w:t>In diesem Sinne erleichtert sie ohne Verfolgung eines Erwerbszwecks durch Gewährung von Darlehen und Bürgschaften die Finanzierung der nachstehend bezeichneten Vorhaben in allen Wirtschaftszweigen:</w:t>
      </w:r>
    </w:p>
    <w:p>
      <w:pPr>
        <w:tabs>
          <w:tab w:pos="567" w:val="left"/>
        </w:tabs>
        <w:ind w:left="567" w:hanging="567"/>
      </w:pPr>
      <w:r>
        <w:t>a)</w:t>
      </w:r>
      <w:r>
        <w:tab/>
      </w:r>
      <w:r>
        <w:t>Vorhaben zur Erschließung der weniger entwickelten Gebiete;</w:t>
      </w:r>
    </w:p>
    <w:p>
      <w:pPr>
        <w:tabs>
          <w:tab w:pos="567" w:val="left"/>
        </w:tabs>
        <w:ind w:left="567" w:hanging="567"/>
      </w:pPr>
      <w:r>
        <w:t>b)</w:t>
      </w:r>
      <w:r>
        <w:tab/>
      </w:r>
      <w:r>
        <w:t>Vorhaben zur Modernisierung oder Umstellung von Unternehmen oder zur Schaffung neuer Arbeitsmöglichkeiten, die sich aus der Errichtung oder dem Funktionieren des Binnenmarkts ergeben und wegen ihres Umfangs oder ihrer Art mit den in den einzelnen Mitgliedstaaten vorhandenen Mitteln nicht vollständig finanziert werden können;</w:t>
      </w:r>
    </w:p>
    <w:p>
      <w:pPr>
        <w:tabs>
          <w:tab w:pos="567" w:val="left"/>
        </w:tabs>
        <w:ind w:left="567" w:hanging="567"/>
      </w:pPr>
      <w:r>
        <w:t>c)</w:t>
      </w:r>
      <w:r>
        <w:tab/>
      </w:r>
      <w:r>
        <w:t>Vorhaben von gemeinsamem Interesse für mehrere Mitgliedstaaten, die wegen ihres Umfangs oder ihrer Art mit den in den einzelnen Mitgliedstaaten vorhandenen Mitteln nicht vollständig finanziert werden können.</w:t>
      </w:r>
    </w:p>
    <w:p>
      <w:r>
        <w:t>In Erfüllung ihrer Aufgabe erleichtert die Bank die Finanzierung von Investitionsprogrammen in Verbindung mit der Unterstützung aus den Strukturfonds und anderen Finanzierungsinstrumenten der Union.</w:t>
      </w:r>
    </w:p>
    <w:p>
      <w:pPr>
        <w:pStyle w:val="Heading2"/>
      </w:pPr>
      <w:bookmarkStart w:id="393" w:name="b390"/>
      <w:r>
        <w:t>TITEL II FINANZVORSCHRIFTEN</w:t>
      </w:r>
      <w:bookmarkEnd w:id="393"/>
    </w:p>
    <w:p>
      <w:pPr>
        <w:pStyle w:val="Heading3"/>
      </w:pPr>
      <w:bookmarkStart w:id="394" w:name="b391"/>
      <w:r>
        <w:t>Art 310</w:t>
      </w:r>
      <w:r>
        <w:t xml:space="preserve"> </w:t>
      </w:r>
      <w:r>
        <w:rPr>
          <w:rStyle w:val="Suchmarke"/>
        </w:rPr>
        <w:t>#310.#</w:t>
      </w:r>
      <w:bookmarkEnd w:id="394"/>
    </w:p>
    <w:p>
      <w:r>
        <w:rPr>
          <w:color w:val="404040"/>
          <w:sz w:val="21"/>
        </w:rPr>
        <w:t>(ex-Artikel 268 EGV)</w:t>
      </w:r>
    </w:p>
    <w:p>
      <w:r>
        <w:t>(1) Alle Einnahmen und Ausgaben der Union werden für jedes Haushaltsjahr veranschlagt und in den Haushaltsplan eingesetzt.</w:t>
      </w:r>
    </w:p>
    <w:p>
      <w:r>
        <w:t xml:space="preserve">Der jährliche Haushaltsplan der Union wird vom Europäischen Parlament und vom Rat nach Maßgabe des </w:t>
      </w:r>
      <w:hyperlink w:anchor="b398" w:history="1">
        <w:r>
          <w:rPr>
            <w:color w:val="0A3A8C"/>
            <w:u w:val="single"/>
          </w:rPr>
          <w:t xml:space="preserve">Artikels 314</w:t>
        </w:r>
      </w:hyperlink>
      <w:r>
        <w:t xml:space="preserve"> aufgestellt.</w:t>
      </w:r>
    </w:p>
    <w:p>
      <w:r>
        <w:t>Der Haushaltsplan ist in Einnahmen und Ausgaben auszugleichen.</w:t>
      </w:r>
    </w:p>
    <w:p>
      <w:r>
        <w:t xml:space="preserve">(2) Die in den Haushaltsplan eingesetzten Ausgaben werden für ein Haushaltsjahr entsprechend der Verordnung nach </w:t>
      </w:r>
      <w:hyperlink w:anchor="b408" w:history="1">
        <w:r>
          <w:rPr>
            <w:color w:val="0A3A8C"/>
            <w:u w:val="single"/>
          </w:rPr>
          <w:t xml:space="preserve">Artikel 322</w:t>
        </w:r>
      </w:hyperlink>
      <w:r>
        <w:t xml:space="preserve"> bewilligt.</w:t>
      </w:r>
    </w:p>
    <w:p>
      <w:r>
        <w:t xml:space="preserve">(3) Die Ausführung der in den Haushaltsplan eingesetzten Ausgaben setzt den Erlass eines verbindlichen Rechtsakts der Union voraus, mit dem die Maßnahme der Union und die Ausführung der entsprechenden Ausgabe entsprechend der Verordnung nach </w:t>
      </w:r>
      <w:hyperlink w:anchor="b408" w:history="1">
        <w:r>
          <w:rPr>
            <w:color w:val="0A3A8C"/>
            <w:u w:val="single"/>
          </w:rPr>
          <w:t xml:space="preserve">Artikel 322</w:t>
        </w:r>
      </w:hyperlink>
      <w:r>
        <w:t xml:space="preserve"> eine Rechtsgrundlage erhalten, soweit nicht diese Verordnung Ausnahmen vorsieht.</w:t>
      </w:r>
    </w:p>
    <w:p>
      <w:r>
        <w:t xml:space="preserve">(4) Um die Haushaltsdisziplin sicherzustellen, erlässt die Union keine Rechtsakte, die erhebliche Auswirkungen auf den Haushaltsplan haben könnten, ohne die Gewähr zu bieten, dass die mit diesen Rechtsakten verbundenen Ausgaben im Rahmen der Eigenmittel der Union und unter Einhaltung des mehrjährigen Finanzrahmens nach </w:t>
      </w:r>
      <w:hyperlink w:anchor="b395" w:history="1">
        <w:r>
          <w:rPr>
            <w:color w:val="0A3A8C"/>
            <w:u w:val="single"/>
          </w:rPr>
          <w:t xml:space="preserve">Artikel 312</w:t>
        </w:r>
      </w:hyperlink>
      <w:r>
        <w:t xml:space="preserve"> finanziert werden können.</w:t>
      </w:r>
    </w:p>
    <w:p>
      <w:r>
        <w:t xml:space="preserve">(5) </w:t>
      </w:r>
      <w:r>
        <w:rPr>
          <w:rStyle w:val="Satznummer"/>
        </w:rPr>
        <w:t>1</w:t>
      </w:r>
      <w:r>
        <w:t xml:space="preserve">Der Haushaltsplan wird entsprechend dem Grundsatz der Wirtschaftlichkeit der Haushaltsführung ausgeführt. </w:t>
      </w:r>
      <w:r>
        <w:rPr>
          <w:rStyle w:val="Satznummer"/>
        </w:rPr>
        <w:t>2</w:t>
      </w:r>
      <w:r>
        <w:t>Die Mitgliedstaaten arbeiten mit der Union zusammen, um sicherzustellen, dass die in den Haushaltsplan eingesetzten Mittel nach diesem Grundsatz verwendet werden.</w:t>
      </w:r>
    </w:p>
    <w:p>
      <w:r>
        <w:t>(6) Die Union und die Mitgliedstaaten bekämpfen nach Artikel 325 Betrügereien und sonstige gegen die finanziellen Interessen der Union gerichtete rechtswidrige Handlungen.</w:t>
      </w:r>
    </w:p>
    <w:p>
      <w:pPr>
        <w:pStyle w:val="Heading3"/>
      </w:pPr>
      <w:bookmarkStart w:id="395" w:name="b392"/>
      <w:r>
        <w:t>KAPITEL 1 DIE EIGENMITTEL DER UNION</w:t>
      </w:r>
      <w:bookmarkEnd w:id="395"/>
    </w:p>
    <w:p>
      <w:pPr>
        <w:pStyle w:val="Heading4"/>
      </w:pPr>
      <w:bookmarkStart w:id="396" w:name="b393"/>
      <w:r>
        <w:t>Art 311</w:t>
      </w:r>
      <w:r>
        <w:t xml:space="preserve"> </w:t>
      </w:r>
      <w:r>
        <w:rPr>
          <w:rStyle w:val="Suchmarke"/>
        </w:rPr>
        <w:t>#311.#</w:t>
      </w:r>
      <w:bookmarkEnd w:id="396"/>
    </w:p>
    <w:p>
      <w:r>
        <w:rPr>
          <w:color w:val="404040"/>
          <w:sz w:val="21"/>
        </w:rPr>
        <w:t>(ex-Artikel 269 EGV)</w:t>
      </w:r>
    </w:p>
    <w:p>
      <w:r>
        <w:t>Die Union stattet sich mit den erforderlichen Mitteln aus, um ihre Ziele erreichen und ihre Politik durchführen zu können.</w:t>
      </w:r>
    </w:p>
    <w:p>
      <w:r>
        <w:t>Der Haushalt wird unbeschadet der sonstigen Einnahmen vollständig aus Eigenmitteln finanziert.</w:t>
      </w:r>
    </w:p>
    <w:p>
      <w:r>
        <w:rPr>
          <w:rStyle w:val="Satznummer"/>
        </w:rPr>
        <w:t>1</w:t>
      </w:r>
      <w:r>
        <w:t xml:space="preserve">Der Rat erlässt gemäß einem besonderen Gesetzgebungsverfahren einstimmig und nach Anhörung des Europäischen Parlaments einen Beschluss, mit dem die Bestimmungen über das System der Eigenmittel der Union festgelegt werden. </w:t>
      </w:r>
      <w:r>
        <w:rPr>
          <w:rStyle w:val="Satznummer"/>
        </w:rPr>
        <w:t>2</w:t>
      </w:r>
      <w:r>
        <w:t xml:space="preserve">Darin können neue Kategorien von Eigenmitteln eingeführt oder bestehende Kategorien abgeschafft werden. </w:t>
      </w:r>
      <w:r>
        <w:rPr>
          <w:rStyle w:val="Satznummer"/>
        </w:rPr>
        <w:t>3</w:t>
      </w:r>
      <w:r>
        <w:t>Dieser Beschluss tritt erst nach Zustimmung der Mitgliedstaaten im Einklang mit ihren jeweiligen verfassungsrechtlichen Vorschriften in Kraft.</w:t>
      </w:r>
    </w:p>
    <w:p>
      <w:r>
        <w:rPr>
          <w:rStyle w:val="Satznummer"/>
        </w:rPr>
        <w:t>1</w:t>
      </w:r>
      <w:r>
        <w:t xml:space="preserve">Der Rat legt gemäß einem besonderen Gesetzgebungsverfahren durch Verordnungen Durchführungsmaßnahmen zu dem System der Eigenmittel der Union fest, sofern dies in dem nach Absatz 3 erlassenen Beschluss vorgesehen ist. </w:t>
      </w:r>
      <w:r>
        <w:rPr>
          <w:rStyle w:val="Satznummer"/>
        </w:rPr>
        <w:t>2</w:t>
      </w:r>
      <w:r>
        <w:t>Der Rat beschließt nach Zustimmung des Europäischen Parlaments.</w:t>
      </w:r>
    </w:p>
    <w:p>
      <w:pPr>
        <w:pStyle w:val="Heading3"/>
      </w:pPr>
      <w:bookmarkStart w:id="397" w:name="b394"/>
      <w:r>
        <w:t>KAPITEL 2 DER MEHRJÄHRIGE FINANZRAHMEN</w:t>
      </w:r>
      <w:bookmarkEnd w:id="397"/>
    </w:p>
    <w:p>
      <w:pPr>
        <w:pStyle w:val="Heading4"/>
      </w:pPr>
      <w:bookmarkStart w:id="398" w:name="b395"/>
      <w:r>
        <w:t>Art 312</w:t>
      </w:r>
      <w:r>
        <w:t xml:space="preserve"> </w:t>
      </w:r>
      <w:r>
        <w:rPr>
          <w:rStyle w:val="Suchmarke"/>
        </w:rPr>
        <w:t>#312.#</w:t>
      </w:r>
      <w:bookmarkEnd w:id="398"/>
    </w:p>
    <w:p>
      <w:r>
        <w:t>(1) Mit dem mehrjährigen Finanzrahmen soll sichergestellt werden, dass die Ausgaben der Union innerhalb der Grenzen ihrer Eigenmittel eine geordnete Entwicklung nehmen.</w:t>
      </w:r>
    </w:p>
    <w:p>
      <w:r>
        <w:t>Er wird für einen Zeitraum von mindestens fünf Jahren aufgestellt.</w:t>
      </w:r>
    </w:p>
    <w:p>
      <w:r>
        <w:t>Bei der Aufstellung des jährlichen Haushaltsplans der Union ist der mehrjährige Finanzrahmen einzuhalten.</w:t>
      </w:r>
    </w:p>
    <w:p>
      <w:r>
        <w:t xml:space="preserve">(2) </w:t>
      </w:r>
      <w:r>
        <w:rPr>
          <w:rStyle w:val="Satznummer"/>
        </w:rPr>
        <w:t>1</w:t>
      </w:r>
      <w:r>
        <w:t xml:space="preserve">Der Rat erlässt gemäß einem besonderen Gesetzgebungsverfahren eine Verordnung zur Festlegung des mehrjährigen Finanzrahmens. </w:t>
      </w:r>
      <w:r>
        <w:rPr>
          <w:rStyle w:val="Satznummer"/>
        </w:rPr>
        <w:t>2</w:t>
      </w:r>
      <w:r>
        <w:t>Er beschließt einstimmig nach Zustimmung des Europäischen Parlaments, die mit der Mehrheit seiner Mitglieder erteilt wird.</w:t>
      </w:r>
    </w:p>
    <w:p>
      <w:r>
        <w:t>Der Europäische Rat kann einstimmig einen Beschluss fassen, wonach der Rat mit qualifizierter Mehrheit beschließen kann, wenn er die in Unterabsatz 1 genannte Verordnung erlässt.</w:t>
      </w:r>
    </w:p>
    <w:p>
      <w:r>
        <w:t xml:space="preserve">(3) </w:t>
      </w:r>
      <w:r>
        <w:rPr>
          <w:rStyle w:val="Satznummer"/>
        </w:rPr>
        <w:t>1</w:t>
      </w:r>
      <w:r>
        <w:t xml:space="preserve">In dem Finanzrahmen werden die jährlichen Obergrenzen der Mittel für Verpflichtungen je Ausgabenkategorie und die jährliche Obergrenze der Mittel für Zahlungen festgelegt. </w:t>
      </w:r>
      <w:r>
        <w:rPr>
          <w:rStyle w:val="Satznummer"/>
        </w:rPr>
        <w:t>2</w:t>
      </w:r>
      <w:r>
        <w:t>Die Ausgabenkategorien, von denen es nur wenige geben darf, entsprechen den Haupttätigkeitsbereichen der Union.</w:t>
      </w:r>
    </w:p>
    <w:p>
      <w:r>
        <w:t>Der Finanzrahmen enthält auch alle sonstigen für den reibungslosen Ablauf des jährlichen Haushaltsverfahrens sachdienlichen Bestimmungen.</w:t>
      </w:r>
    </w:p>
    <w:p>
      <w:r>
        <w:t>(4) Hat der Rat bis zum Ablauf des vorangegangenen Finanzrahmens keine Verordnung zur Aufstellung eines neuen Finanzrahmens erlassen, so werden die Obergrenzen und sonstigen Bestimmungen des letzten Jahres des vorangegangenen Finanzrahmens bis zum Erlass dieses Rechtsakts fortgeschrieben.</w:t>
      </w:r>
    </w:p>
    <w:p>
      <w:r>
        <w:t>(5) Das Europäische Parlament, der Rat und die Kommission treffen während des gesamten Verfahrens zur Annahme des Finanzrahmens alle erforderlichen Maßnahmen, um den Erlass des Rechtsakts zu erleichtern.</w:t>
      </w:r>
    </w:p>
    <w:p>
      <w:pPr>
        <w:pStyle w:val="Heading3"/>
      </w:pPr>
      <w:bookmarkStart w:id="399" w:name="b396"/>
      <w:r>
        <w:t>KAPITEL 3 DER JAHRESHAUSHALTSPLAN DER UNION</w:t>
      </w:r>
      <w:bookmarkEnd w:id="399"/>
    </w:p>
    <w:p>
      <w:pPr>
        <w:pStyle w:val="Heading4"/>
      </w:pPr>
      <w:bookmarkStart w:id="400" w:name="b397"/>
      <w:r>
        <w:t>Art 313</w:t>
      </w:r>
      <w:r>
        <w:t xml:space="preserve"> </w:t>
      </w:r>
      <w:r>
        <w:rPr>
          <w:rStyle w:val="Suchmarke"/>
        </w:rPr>
        <w:t>#313.#</w:t>
      </w:r>
      <w:bookmarkEnd w:id="400"/>
    </w:p>
    <w:p>
      <w:r>
        <w:rPr>
          <w:color w:val="404040"/>
          <w:sz w:val="21"/>
        </w:rPr>
        <w:t>(ex-Artikel 272 Absatz 1 EGV)</w:t>
      </w:r>
    </w:p>
    <w:p>
      <w:r>
        <w:t>Das Haushaltsjahr beginnt am 1. Januar und endet am 31. Dezember.</w:t>
      </w:r>
    </w:p>
    <w:p>
      <w:pPr>
        <w:pStyle w:val="Heading4"/>
      </w:pPr>
      <w:bookmarkStart w:id="401" w:name="b398"/>
      <w:r>
        <w:t>Art 314</w:t>
      </w:r>
      <w:r>
        <w:t xml:space="preserve"> </w:t>
      </w:r>
      <w:r>
        <w:rPr>
          <w:rStyle w:val="Suchmarke"/>
        </w:rPr>
        <w:t>#314.#</w:t>
      </w:r>
      <w:bookmarkEnd w:id="401"/>
    </w:p>
    <w:p>
      <w:r>
        <w:rPr>
          <w:color w:val="404040"/>
          <w:sz w:val="21"/>
        </w:rPr>
        <w:t>(ex-Artikel 272 Absätze 2 bis 10 EGV)</w:t>
      </w:r>
    </w:p>
    <w:p>
      <w:r>
        <w:t>Das Europäische Parlament und der Rat legen den Jahreshaushaltsplan der Union im Rahmen eines besonderen Gesetzgebungsverfahrens nach den folgenden Bestimmungen fest:</w:t>
      </w:r>
    </w:p>
    <w:p>
      <w:pPr>
        <w:tabs>
          <w:tab w:pos="567" w:val="left"/>
        </w:tabs>
        <w:ind w:left="567" w:hanging="567"/>
      </w:pPr>
      <w:r>
        <w:t>(1)</w:t>
      </w:r>
      <w:r>
        <w:tab/>
      </w:r>
      <w:r>
        <w:t xml:space="preserve">Jedes Organ, mit Ausnahme der Europäischen Zentralbank, stellt vor dem 1. Juli einen Haushaltsvoranschlag für seine Ausgaben für das folgende Haushaltsjahr auf. </w:t>
      </w:r>
      <w:r>
        <w:rPr>
          <w:rStyle w:val="Satznummer"/>
        </w:rPr>
        <w:t>2</w:t>
      </w:r>
      <w:r>
        <w:t>Die Kommission fasst diese Voranschläge in einem Entwurf für den Haushaltsplan zusammen, der abweichende Voranschläge enthalten kann.</w:t>
      </w:r>
    </w:p>
    <w:p>
      <w:pPr>
        <w:ind w:left="567"/>
      </w:pPr>
      <w:r>
        <w:rPr>
          <w:rStyle w:val="Satznummer"/>
        </w:rPr>
        <w:t>3</w:t>
      </w:r>
      <w:r>
        <w:t>Dieser Entwurf umfasst den Ansatz der Einnahmen und den Ansatz der Ausgaben.</w:t>
      </w:r>
    </w:p>
    <w:p>
      <w:pPr>
        <w:tabs>
          <w:tab w:pos="567" w:val="left"/>
        </w:tabs>
        <w:ind w:left="567" w:hanging="567"/>
      </w:pPr>
      <w:r>
        <w:t>(2)</w:t>
      </w:r>
      <w:r>
        <w:tab/>
      </w:r>
      <w:r>
        <w:t>Die Kommission legt dem Europäischen Parlament und dem Rat spätestens am 1. September des Jahres, das dem entsprechenden Haushaltsjahr vorausgeht, einen Vorschlag mit dem Entwurf des Haushaltsplans vor.</w:t>
      </w:r>
    </w:p>
    <w:p>
      <w:pPr>
        <w:ind w:left="567"/>
      </w:pPr>
      <w:r>
        <w:rPr>
          <w:rStyle w:val="Satznummer"/>
        </w:rPr>
        <w:t>2</w:t>
      </w:r>
      <w:r>
        <w:t>Die Kommission kann den Entwurf des Haushaltsplans während des laufenden Verfahrens bis zur Einberufung des in Absatz 5 genannten Vermittlungsausschusses ändern.</w:t>
      </w:r>
    </w:p>
    <w:p>
      <w:pPr>
        <w:tabs>
          <w:tab w:pos="567" w:val="left"/>
        </w:tabs>
        <w:ind w:left="567" w:hanging="567"/>
      </w:pPr>
      <w:r>
        <w:t>(3)</w:t>
      </w:r>
      <w:r>
        <w:tab/>
      </w:r>
      <w:r>
        <w:t xml:space="preserve">Der Rat legt seinen Standpunkt zu dem Entwurf des Haushaltsplans fest und leitet ihn spätestens am 1. Oktober des Jahres, das dem entsprechenden Haushaltsjahr vorausgeht, dem Europäischen Parlament zu. </w:t>
      </w:r>
      <w:r>
        <w:rPr>
          <w:rStyle w:val="Satznummer"/>
        </w:rPr>
        <w:t>2</w:t>
      </w:r>
      <w:r>
        <w:t>Er unterrichtet das Europäische Parlament in vollem Umfang über die Gründe, aus denen er seinen Standpunkt festgelegt hat.</w:t>
      </w:r>
    </w:p>
    <w:p>
      <w:pPr>
        <w:tabs>
          <w:tab w:pos="567" w:val="left"/>
        </w:tabs>
        <w:ind w:left="567" w:hanging="567"/>
      </w:pPr>
      <w:r>
        <w:t>(4)</w:t>
      </w:r>
      <w:r>
        <w:tab/>
      </w:r>
      <w:r>
        <w:t>Hat das Europäische Parlament binnen 42 Tagen nach der Übermittlung</w:t>
      </w:r>
    </w:p>
    <w:p>
      <w:pPr>
        <w:tabs>
          <w:tab w:pos="1134" w:val="left"/>
        </w:tabs>
        <w:ind w:left="1134" w:hanging="567"/>
      </w:pPr>
      <w:r>
        <w:t>a)</w:t>
      </w:r>
      <w:r>
        <w:tab/>
      </w:r>
      <w:r>
        <w:t>den Standpunkt des Rates gebilligt, so ist der Haushaltsplan erlassen;</w:t>
      </w:r>
    </w:p>
    <w:p>
      <w:pPr>
        <w:tabs>
          <w:tab w:pos="1134" w:val="left"/>
        </w:tabs>
        <w:ind w:left="1134" w:hanging="567"/>
      </w:pPr>
      <w:r>
        <w:t>b)</w:t>
      </w:r>
      <w:r>
        <w:tab/>
      </w:r>
      <w:r>
        <w:t>keinen Beschluss gefasst, so gilt der Haushaltsplan als erlassen;</w:t>
      </w:r>
    </w:p>
    <w:p>
      <w:pPr>
        <w:tabs>
          <w:tab w:pos="1134" w:val="left"/>
        </w:tabs>
        <w:ind w:left="1134" w:hanging="567"/>
      </w:pPr>
      <w:r>
        <w:t>c)</w:t>
      </w:r>
      <w:r>
        <w:tab/>
      </w:r>
      <w:r>
        <w:t xml:space="preserve">mit der Mehrheit seiner Mitglieder Abänderungen angenommen, so wird die abgeänderte Fassung des Entwurfs dem Rat und der Kommission zugeleitet. </w:t>
      </w:r>
      <w:r>
        <w:rPr>
          <w:rStyle w:val="Satznummer"/>
        </w:rPr>
        <w:t>2</w:t>
      </w:r>
      <w:r>
        <w:t xml:space="preserve">Der Präsident des Europäischen Parlaments beruft im Einvernehmen mit dem Präsidenten des Rates umgehend den Vermittlungsausschuss ein. </w:t>
      </w:r>
      <w:r>
        <w:rPr>
          <w:rStyle w:val="Satznummer"/>
        </w:rPr>
        <w:t>3</w:t>
      </w:r>
      <w:r>
        <w:t>Der Vermittlungsausschuss tritt jedoch nicht zusammen, wenn der Rat dem Europäischen Parlament binnen zehn Tagen nach der Übermittlung des geänderten Entwurfs mitteilt, dass er alle seine Abänderungen billigt.</w:t>
      </w:r>
    </w:p>
    <w:p>
      <w:pPr>
        <w:tabs>
          <w:tab w:pos="567" w:val="left"/>
        </w:tabs>
        <w:ind w:left="567" w:hanging="567"/>
      </w:pPr>
      <w:r>
        <w:t>(5)</w:t>
      </w:r>
      <w:r>
        <w:tab/>
      </w:r>
      <w:r>
        <w:t>Der Vermittlungsausschuss, der aus den Mitgliedern des Rates oder deren Vertretern und ebenso vielen das Europäische Parlament vertretenden Mitgliedern besteht, hat die Aufgabe, binnen 21 Tagen nach seiner Einberufung auf der Grundlage der Standpunkte des Europäischen Parlaments und des Rates mit der qualifizierten Mehrheit der Mitglieder des Rates oder deren Vertretern und der Mehrheit der das Europäische Parlament vertretenden Mitglieder eine Einigung über einen gemeinsamen Entwurf zu erzielen.</w:t>
      </w:r>
    </w:p>
    <w:p>
      <w:pPr>
        <w:ind w:left="567"/>
      </w:pPr>
      <w:r>
        <w:rPr>
          <w:rStyle w:val="Satznummer"/>
        </w:rPr>
        <w:t>2</w:t>
      </w:r>
      <w:r>
        <w:t>Die Kommission nimmt an den Arbeiten des Vermittlungsausschusses teil und ergreift alle erforderlichen Initiativen, um eine Annäherung der Standpunkte des Europäischen Parlaments und des Rates zu bewirken.</w:t>
      </w:r>
    </w:p>
    <w:p>
      <w:pPr>
        <w:tabs>
          <w:tab w:pos="567" w:val="left"/>
        </w:tabs>
        <w:ind w:left="567" w:hanging="567"/>
      </w:pPr>
      <w:r>
        <w:t>(6)</w:t>
      </w:r>
      <w:r>
        <w:tab/>
      </w:r>
      <w:r>
        <w:t>Einigt sich der Vermittlungsausschuss innerhalb der in Absatz 5 genannten Frist von 21 Tagen auf einen gemeinsamen Entwurf, so verfügen das Europäische Parlament und der Rat ab dieser Einigung über eine Frist von 14 Tagen, um den gemeinsamen Entwurf zu billigen.</w:t>
      </w:r>
    </w:p>
    <w:p>
      <w:pPr>
        <w:tabs>
          <w:tab w:pos="567" w:val="left"/>
        </w:tabs>
        <w:ind w:left="567" w:hanging="567"/>
      </w:pPr>
      <w:r>
        <w:t>(7)</w:t>
      </w:r>
      <w:r>
        <w:tab/>
      </w:r>
      <w:r>
        <w:t>Wenn innerhalb der in Absatz 6 genannten Frist von 14 Tagen</w:t>
      </w:r>
    </w:p>
    <w:p>
      <w:pPr>
        <w:tabs>
          <w:tab w:pos="1134" w:val="left"/>
        </w:tabs>
        <w:ind w:left="1134" w:hanging="567"/>
      </w:pPr>
      <w:r>
        <w:t>a)</w:t>
      </w:r>
      <w:r>
        <w:tab/>
      </w:r>
      <w:r>
        <w:t>der gemeinsame Entwurf sowohl vom Europäischen Parlament als auch vom Rat gebilligt wird oder beide keinen Beschluss fassen oder eines dieser Organe den gemeinsamen Entwurf billigt, während das andere Organ keinen Beschluss fasst, so gilt der Haushaltsplan als entsprechend dem gemeinsamen Entwurf endgültig erlassen, oder</w:t>
      </w:r>
    </w:p>
    <w:p>
      <w:pPr>
        <w:tabs>
          <w:tab w:pos="1134" w:val="left"/>
        </w:tabs>
        <w:ind w:left="1134" w:hanging="567"/>
      </w:pPr>
      <w:r>
        <w:t>b)</w:t>
      </w:r>
      <w:r>
        <w:tab/>
      </w:r>
      <w:r>
        <w:t>der gemeinsame Entwurf sowohl vom Europäischen Parlament mit der Mehrheit seiner Mitglieder als auch vom Rat abgelehnt wird oder eines dieser Organe den gemeinsamen Entwurf ablehnt, während das andere Organ keinen Beschluss fasst, so legt die Kommission einen neuen Entwurf für den Haushaltsplan vor, oder</w:t>
      </w:r>
    </w:p>
    <w:p>
      <w:pPr>
        <w:tabs>
          <w:tab w:pos="1134" w:val="left"/>
        </w:tabs>
        <w:ind w:left="1134" w:hanging="567"/>
      </w:pPr>
      <w:r>
        <w:t>c)</w:t>
      </w:r>
      <w:r>
        <w:tab/>
      </w:r>
      <w:r>
        <w:t>der gemeinsame Entwurf vom Europäischen Parlament mit der Mehrheit seiner Mitglieder abgelehnt wird, während er vom Rat gebilligt wird, so legt die Kommission einen neuen Entwurf für den Haushaltsplan vor, oder</w:t>
      </w:r>
    </w:p>
    <w:p>
      <w:pPr>
        <w:tabs>
          <w:tab w:pos="1134" w:val="left"/>
        </w:tabs>
        <w:ind w:left="1134" w:hanging="567"/>
      </w:pPr>
      <w:r>
        <w:t>d)</w:t>
      </w:r>
      <w:r>
        <w:tab/>
      </w:r>
      <w:r>
        <w:t xml:space="preserve">der gemeinsame Entwurf vom Europäischen Parlament gebilligt wird, während er vom Rat abgelehnt wird, so kann das Europäische Parlament binnen 14 Tagen ab dem Tag der Ablehnung durch den Rat mit der Mehrheit seiner Mitglieder und drei Fünfteln der abgegebenen Stimmen beschließen, alle oder einige der in Absatz 4 Buchstabe c genannten Abänderungen zu bestätigen. </w:t>
      </w:r>
      <w:r>
        <w:rPr>
          <w:rStyle w:val="Satznummer"/>
        </w:rPr>
        <w:t>2</w:t>
      </w:r>
      <w:r>
        <w:t xml:space="preserve">Wird eine Abänderung des Europäischen Parlaments nicht bestätigt, so wird der im Vermittlungsausschuss vereinbarte Standpunkt zu dem Haushaltsposten, der Gegenstand der Abänderung ist, übernommen. </w:t>
      </w:r>
      <w:r>
        <w:rPr>
          <w:rStyle w:val="Satznummer"/>
        </w:rPr>
        <w:t>3</w:t>
      </w:r>
      <w:r>
        <w:t>Der Haushaltsplan gilt als auf dieser Grundlage endgültig erlassen.</w:t>
      </w:r>
    </w:p>
    <w:p>
      <w:pPr>
        <w:tabs>
          <w:tab w:pos="567" w:val="left"/>
        </w:tabs>
        <w:ind w:left="567" w:hanging="567"/>
      </w:pPr>
      <w:r>
        <w:t>(8)</w:t>
      </w:r>
      <w:r>
        <w:tab/>
      </w:r>
      <w:r>
        <w:t>Einigt sich der Vermittlungsausschuss nicht binnen der in Absatz 5 genannten Frist von 21 Tagen auf einen gemeinsamen Entwurf, so legt die Kommission einen neuen Entwurf für den Haushaltsplan vor.</w:t>
      </w:r>
    </w:p>
    <w:p>
      <w:pPr>
        <w:tabs>
          <w:tab w:pos="567" w:val="left"/>
        </w:tabs>
        <w:ind w:left="567" w:hanging="567"/>
      </w:pPr>
      <w:r>
        <w:t>(9)</w:t>
      </w:r>
      <w:r>
        <w:tab/>
      </w:r>
      <w:r>
        <w:t>Nach Abschluss des Verfahrens dieses Artikels stellt der Präsident des Europäischen Parlaments fest, dass der Haushaltsplan endgültig erlassen ist.</w:t>
      </w:r>
    </w:p>
    <w:p>
      <w:pPr>
        <w:tabs>
          <w:tab w:pos="567" w:val="left"/>
        </w:tabs>
        <w:ind w:left="567" w:hanging="567"/>
      </w:pPr>
      <w:r>
        <w:t>(10)</w:t>
      </w:r>
      <w:r>
        <w:tab/>
      </w:r>
      <w:r>
        <w:t>Jedes Organ übt die ihm aufgrund dieses Artikels zufallenden Befugnisse unter Wahrung der Verträge und der Rechtsakte aus, die auf der Grundlage der Verträge insbesondere im Bereich der Eigenmittel der Union und des Gleichgewichts von Einnahmen und Ausgaben erlassen wurden.</w:t>
      </w:r>
    </w:p>
    <w:p>
      <w:pPr>
        <w:pStyle w:val="Heading4"/>
      </w:pPr>
      <w:bookmarkStart w:id="402" w:name="b399"/>
      <w:r>
        <w:t>Art 315</w:t>
      </w:r>
      <w:r>
        <w:t xml:space="preserve"> </w:t>
      </w:r>
      <w:r>
        <w:rPr>
          <w:rStyle w:val="Suchmarke"/>
        </w:rPr>
        <w:t>#315.#</w:t>
      </w:r>
      <w:bookmarkEnd w:id="402"/>
    </w:p>
    <w:p>
      <w:r>
        <w:rPr>
          <w:color w:val="404040"/>
          <w:sz w:val="21"/>
        </w:rPr>
        <w:t>(ex-Artikel 273 EGV)</w:t>
      </w:r>
    </w:p>
    <w:p>
      <w:r>
        <w:t xml:space="preserve">Ist zu Beginn eines Haushaltsjahres der Haushaltsplan noch nicht endgültig erlassen, so können nach der gemäß </w:t>
      </w:r>
      <w:hyperlink w:anchor="b408" w:history="1">
        <w:r>
          <w:rPr>
            <w:color w:val="0A3A8C"/>
            <w:u w:val="single"/>
          </w:rPr>
          <w:t xml:space="preserve">Artikel 322</w:t>
        </w:r>
      </w:hyperlink>
      <w:r>
        <w:t xml:space="preserve"> festgelegten Haushaltsordnung für jedes Kapitel monatliche Ausgaben bis zur Höhe eines Zwölftels der im betreffenden Kapitel des Haushaltsplans des vorangegangenen Haushaltsjahres eingesetzten Mittel vorgenommen werden, die jedoch ein Zwölftel der Mittelansätze des gleichen Kapitels des Haushaltsplanentwurfs nicht überschreiten dürfen.</w:t>
      </w:r>
    </w:p>
    <w:p>
      <w:r>
        <w:rPr>
          <w:rStyle w:val="Satznummer"/>
        </w:rPr>
        <w:t>1</w:t>
      </w:r>
      <w:r>
        <w:t xml:space="preserve">Der Rat kann auf Vorschlag der Kommission unter Beachtung der sonstigen Bestimmungen des Absatzes 1 entsprechend der nach </w:t>
      </w:r>
      <w:hyperlink w:anchor="b408" w:history="1">
        <w:r>
          <w:rPr>
            <w:color w:val="0A3A8C"/>
            <w:u w:val="single"/>
          </w:rPr>
          <w:t xml:space="preserve">Artikel 322</w:t>
        </w:r>
      </w:hyperlink>
      <w:r>
        <w:t xml:space="preserve"> erlassenen Verordnung Ausgaben genehmigen, die über dieses Zwölftel hinausgehen. </w:t>
      </w:r>
      <w:r>
        <w:rPr>
          <w:rStyle w:val="Satznummer"/>
        </w:rPr>
        <w:t>2</w:t>
      </w:r>
      <w:r>
        <w:t>Er leitet seinen Beschluss unverzüglich dem Europäischen Parlament zu.</w:t>
      </w:r>
    </w:p>
    <w:p>
      <w:r>
        <w:t xml:space="preserve">In dem Beschluss nach Absatz 2 werden unter Beachtung der in </w:t>
      </w:r>
      <w:hyperlink w:anchor="b393" w:history="1">
        <w:r>
          <w:rPr>
            <w:color w:val="0A3A8C"/>
            <w:u w:val="single"/>
          </w:rPr>
          <w:t xml:space="preserve">Artikel 311</w:t>
        </w:r>
      </w:hyperlink>
      <w:r>
        <w:t xml:space="preserve"> genannten Rechtsakte die zur Durchführung dieses Artikels erforderlichen Maßnahmen betreffend die Mittel vorgesehen.</w:t>
      </w:r>
    </w:p>
    <w:p>
      <w:r>
        <w:t>Der Beschluss tritt 30 Tage nach seinem Erlass in Kraft, sofern das Europäische Parlament nicht innerhalb dieser Frist mit der Mehrheit seiner Mitglieder beschließt, diese Ausgaben zu kürzen.</w:t>
      </w:r>
    </w:p>
    <w:p>
      <w:pPr>
        <w:pStyle w:val="Heading4"/>
      </w:pPr>
      <w:bookmarkStart w:id="403" w:name="b400"/>
      <w:r>
        <w:t>Art 316</w:t>
      </w:r>
      <w:r>
        <w:t xml:space="preserve"> </w:t>
      </w:r>
      <w:r>
        <w:rPr>
          <w:rStyle w:val="Suchmarke"/>
        </w:rPr>
        <w:t>#316.#</w:t>
      </w:r>
      <w:bookmarkEnd w:id="403"/>
    </w:p>
    <w:p>
      <w:r>
        <w:rPr>
          <w:color w:val="404040"/>
          <w:sz w:val="21"/>
        </w:rPr>
        <w:t>(ex-Artikel 271 EGV)</w:t>
      </w:r>
    </w:p>
    <w:p>
      <w:r>
        <w:t xml:space="preserve">Nach Maßgabe der aufgrund des </w:t>
      </w:r>
      <w:hyperlink w:anchor="b408" w:history="1">
        <w:r>
          <w:rPr>
            <w:color w:val="0A3A8C"/>
            <w:u w:val="single"/>
          </w:rPr>
          <w:t xml:space="preserve">Artikels 322</w:t>
        </w:r>
      </w:hyperlink>
      <w:r>
        <w:t xml:space="preserve"> erlassenen Vorschriften dürfen die nicht für Personalausgaben vorgesehenen Mittel, die bis zum Ende der Durchführungszeit eines Haushaltsplans nicht verbraucht worden sind, lediglich auf das nächste Haushaltsjahr übertragen werden.</w:t>
      </w:r>
    </w:p>
    <w:p>
      <w:r>
        <w:t xml:space="preserve">Die vorgesehenen Mittel werden nach Kapiteln gegliedert, in denen die Ausgaben nach Art oder Bestimmung zusammengefasst sind; die Kapitel werden nach der gemäß </w:t>
      </w:r>
      <w:hyperlink w:anchor="b408" w:history="1">
        <w:r>
          <w:rPr>
            <w:color w:val="0A3A8C"/>
            <w:u w:val="single"/>
          </w:rPr>
          <w:t xml:space="preserve">Artikel 322</w:t>
        </w:r>
      </w:hyperlink>
      <w:r>
        <w:t xml:space="preserve"> festgelegten Haushaltsordnung unterteilt.</w:t>
      </w:r>
    </w:p>
    <w:p>
      <w:r>
        <w:t>Die Ausgaben des Europäischen Parlaments, des Europäischen Rates und des Rates, der Kommission sowie des Gerichtshofs der Europäischen Union werden unbeschadet einer besonderen Regelung für bestimmte gemeinsame Ausgaben in gesonderten Teilen des Haushaltsplans aufgeführt.</w:t>
      </w:r>
    </w:p>
    <w:p>
      <w:pPr>
        <w:pStyle w:val="Heading3"/>
      </w:pPr>
      <w:bookmarkStart w:id="404" w:name="b401"/>
      <w:r>
        <w:t>KAPITEL 4 AUSFÜHRUNG DES HAUSHALTSPLANS UND ENTLASTUNG</w:t>
      </w:r>
      <w:bookmarkEnd w:id="404"/>
    </w:p>
    <w:p>
      <w:pPr>
        <w:pStyle w:val="Heading4"/>
      </w:pPr>
      <w:bookmarkStart w:id="405" w:name="b402"/>
      <w:r>
        <w:t>Art 317</w:t>
      </w:r>
      <w:r>
        <w:t xml:space="preserve"> </w:t>
      </w:r>
      <w:r>
        <w:rPr>
          <w:rStyle w:val="Suchmarke"/>
        </w:rPr>
        <w:t>#317.#</w:t>
      </w:r>
      <w:bookmarkEnd w:id="405"/>
    </w:p>
    <w:p>
      <w:r>
        <w:rPr>
          <w:color w:val="404040"/>
          <w:sz w:val="21"/>
        </w:rPr>
        <w:t>(ex-Artikel 274 EGV)</w:t>
      </w:r>
    </w:p>
    <w:p>
      <w:r>
        <w:rPr>
          <w:rStyle w:val="Satznummer"/>
        </w:rPr>
        <w:t>1</w:t>
      </w:r>
      <w:r>
        <w:t xml:space="preserve">Die Kommission führt den Haushaltsplan zusammen mit den Mitgliedstaaten gemäß der nach </w:t>
      </w:r>
      <w:hyperlink w:anchor="b408" w:history="1">
        <w:r>
          <w:rPr>
            <w:color w:val="0A3A8C"/>
            <w:u w:val="single"/>
          </w:rPr>
          <w:t xml:space="preserve">Artikel 322</w:t>
        </w:r>
      </w:hyperlink>
      <w:r>
        <w:t xml:space="preserve"> festgelegten Haushaltsordnung in eigener Verantwortung und im Rahmen der zugewiesenen Mittel entsprechend dem Grundsatz der Wirtschaftlichkeit der Haushaltsführung aus. </w:t>
      </w:r>
      <w:r>
        <w:rPr>
          <w:rStyle w:val="Satznummer"/>
        </w:rPr>
        <w:t>2</w:t>
      </w:r>
      <w:r>
        <w:t>Die Mitgliedstaaten arbeiten mit der Kommission zusammen, um sicherzustellen, dass die Mittel nach dem Grundsatz der Wirtschaftlichkeit der Haushaltsführung verwendet werden.</w:t>
      </w:r>
    </w:p>
    <w:p>
      <w:r>
        <w:rPr>
          <w:rStyle w:val="Satznummer"/>
        </w:rPr>
        <w:t>1</w:t>
      </w:r>
      <w:r>
        <w:t xml:space="preserve">In der Haushaltsordnung sind die Kontroll- und Wirtschaftsprüfungspflichten der Mitgliedstaaten bei der Ausführung des Haushaltsplans sowie die damit verbundenen Verantwortlichkeiten geregelt. </w:t>
      </w:r>
      <w:r>
        <w:rPr>
          <w:rStyle w:val="Satznummer"/>
        </w:rPr>
        <w:t>2</w:t>
      </w:r>
      <w:r>
        <w:t>Darin sind ferner die Verantwortlichkeiten und die besonderen Einzelheiten geregelt, nach denen jedes Organ an der Vornahme seiner Ausgaben beteiligt ist.</w:t>
      </w:r>
    </w:p>
    <w:p>
      <w:r>
        <w:t xml:space="preserve">Die Kommission kann nach der gemäß </w:t>
      </w:r>
      <w:hyperlink w:anchor="b408" w:history="1">
        <w:r>
          <w:rPr>
            <w:color w:val="0A3A8C"/>
            <w:u w:val="single"/>
          </w:rPr>
          <w:t xml:space="preserve">Artikel 322</w:t>
        </w:r>
      </w:hyperlink>
      <w:r>
        <w:t xml:space="preserve"> festgelegten Haushaltsordnung Mittel von Kapitel zu Kapitel oder von Untergliederung zu Untergliederung übertragen.</w:t>
      </w:r>
    </w:p>
    <w:p>
      <w:pPr>
        <w:pStyle w:val="Heading4"/>
      </w:pPr>
      <w:bookmarkStart w:id="406" w:name="b403"/>
      <w:r>
        <w:t>Art 318</w:t>
      </w:r>
      <w:r>
        <w:t xml:space="preserve"> </w:t>
      </w:r>
      <w:r>
        <w:rPr>
          <w:rStyle w:val="Suchmarke"/>
        </w:rPr>
        <w:t>#318.#</w:t>
      </w:r>
      <w:bookmarkEnd w:id="406"/>
    </w:p>
    <w:p>
      <w:r>
        <w:rPr>
          <w:color w:val="404040"/>
          <w:sz w:val="21"/>
        </w:rPr>
        <w:t>(ex-Artikel 275 EGV)</w:t>
      </w:r>
    </w:p>
    <w:p>
      <w:r>
        <w:rPr>
          <w:rStyle w:val="Satznummer"/>
        </w:rPr>
        <w:t>1</w:t>
      </w:r>
      <w:r>
        <w:t xml:space="preserve">Die Kommission legt dem Europäischen Parlament und dem Rat jährlich die Rechnung des abgelaufenen Haushaltsjahres für die Rechnungsvorgänge des Haushaltsplans vor. </w:t>
      </w:r>
      <w:r>
        <w:rPr>
          <w:rStyle w:val="Satznummer"/>
        </w:rPr>
        <w:t>2</w:t>
      </w:r>
      <w:r>
        <w:t>Sie übermittelt ihnen ferner eine Übersicht über das Vermögen und die Schulden der Union.</w:t>
      </w:r>
    </w:p>
    <w:p>
      <w:r>
        <w:t xml:space="preserve">Die Kommission legt dem Europäischen Parlament und dem Rat ferner einen Evaluierungsbericht zu den Finanzen der Union vor, der sich auf die Ergebnisse stützt, die insbesondere in Bezug auf die Vorgaben erzielt wurden, die vom Europäischen Parlament und vom Rat nach </w:t>
      </w:r>
      <w:hyperlink w:anchor="b404" w:history="1">
        <w:r>
          <w:rPr>
            <w:color w:val="0A3A8C"/>
            <w:u w:val="single"/>
          </w:rPr>
          <w:t xml:space="preserve">Artikel 319</w:t>
        </w:r>
      </w:hyperlink>
      <w:r>
        <w:t xml:space="preserve"> erteilt wurden.</w:t>
      </w:r>
    </w:p>
    <w:p>
      <w:pPr>
        <w:pStyle w:val="Heading4"/>
      </w:pPr>
      <w:bookmarkStart w:id="407" w:name="b404"/>
      <w:r>
        <w:t>Art 319</w:t>
      </w:r>
      <w:r>
        <w:t xml:space="preserve"> </w:t>
      </w:r>
      <w:r>
        <w:rPr>
          <w:rStyle w:val="Suchmarke"/>
        </w:rPr>
        <w:t>#319.#</w:t>
      </w:r>
      <w:bookmarkEnd w:id="407"/>
    </w:p>
    <w:p>
      <w:r>
        <w:rPr>
          <w:color w:val="404040"/>
          <w:sz w:val="21"/>
        </w:rPr>
        <w:t>(ex-Artikel 276 EGV)</w:t>
      </w:r>
    </w:p>
    <w:p>
      <w:r>
        <w:t xml:space="preserve">(1) </w:t>
      </w:r>
      <w:r>
        <w:rPr>
          <w:rStyle w:val="Satznummer"/>
        </w:rPr>
        <w:t>1</w:t>
      </w:r>
      <w:r>
        <w:t xml:space="preserve">Auf Empfehlung des Rates erteilt das Europäische Parlament der Kommission Entlastung zur Ausführung des Haushaltsplans. </w:t>
      </w:r>
      <w:r>
        <w:rPr>
          <w:rStyle w:val="Satznummer"/>
        </w:rPr>
        <w:t>2</w:t>
      </w:r>
      <w:r>
        <w:t xml:space="preserve">Zu diesem Zweck prüft es nach dem Rat die Rechnung, die Übersicht und den Evaluierungsbericht nach </w:t>
      </w:r>
      <w:hyperlink w:anchor="b403" w:history="1">
        <w:r>
          <w:rPr>
            <w:color w:val="0A3A8C"/>
            <w:u w:val="single"/>
          </w:rPr>
          <w:t xml:space="preserve">Artikel 318</w:t>
        </w:r>
      </w:hyperlink>
      <w:r>
        <w:t xml:space="preserve"> sowie den Jahresbericht des Rechnungshofs zusammen mit den Antworten der kontrollierten Organe auf dessen Bemerkungen, die in </w:t>
      </w:r>
      <w:hyperlink w:anchor="b360" w:history="1">
        <w:r>
          <w:rPr>
            <w:color w:val="0A3A8C"/>
            <w:u w:val="single"/>
          </w:rPr>
          <w:t xml:space="preserve">Artikel 287</w:t>
        </w:r>
      </w:hyperlink>
      <w:r>
        <w:t xml:space="preserve"> Absatz 1 Unterabsatz 2 genannte Zuverlässigkeitserklärung und die einschlägigen Sonderberichte des Rechnungshofs.</w:t>
      </w:r>
    </w:p>
    <w:p>
      <w:r>
        <w:t xml:space="preserve">(2) </w:t>
      </w:r>
      <w:r>
        <w:rPr>
          <w:rStyle w:val="Satznummer"/>
        </w:rPr>
        <w:t>1</w:t>
      </w:r>
      <w:r>
        <w:t xml:space="preserve">Das Europäische Parlament kann vor der Entlastung der Kommission sowie auch zu anderen Zwecken im Zusammenhang mit der Ausübung ihrer Haushaltsbefugnisse die Kommission auffordern, Auskunft über die Vornahme der Ausgaben oder die Arbeitsweise der Finanzkontrollsysteme zu erteilen. </w:t>
      </w:r>
      <w:r>
        <w:rPr>
          <w:rStyle w:val="Satznummer"/>
        </w:rPr>
        <w:t>2</w:t>
      </w:r>
      <w:r>
        <w:t>Die Kommission legt dem Europäischen Parlament auf dessen Ersuchen alle notwendigen Informationen vor.</w:t>
      </w:r>
    </w:p>
    <w:p>
      <w:r>
        <w:t>(3) Die Kommission trifft alle zweckdienlichen Maßnahmen, um den Bemerkungen in den Entlastungsbeschlüssen und anderen Bemerkungen des Europäischen Parlaments zur Vornahme der Ausgaben sowie den Erläuterungen, die den Entlastungsempfehlungen des Rates beigefügt sind, nachzukommen.</w:t>
      </w:r>
    </w:p>
    <w:p>
      <w:r>
        <w:rPr>
          <w:rStyle w:val="Satznummer"/>
        </w:rPr>
        <w:t>1</w:t>
      </w:r>
      <w:r>
        <w:t xml:space="preserve">Auf Ersuchen des Europäischen Parlaments oder des Rates erstattet die Kommission Bericht über die Maßnahmen, die aufgrund dieser Bemerkungen und Erläuterungen getroffen wurden, insbesondere über die Weisungen, die den für die Ausführung des Haushaltsplans zuständigen Dienststellen erteilt worden sind. </w:t>
      </w:r>
      <w:r>
        <w:rPr>
          <w:rStyle w:val="Satznummer"/>
        </w:rPr>
        <w:t>2</w:t>
      </w:r>
      <w:r>
        <w:t>Diese Berichte sind auch dem Rechnungshof zuzuleiten.</w:t>
      </w:r>
    </w:p>
    <w:p>
      <w:pPr>
        <w:pStyle w:val="Heading3"/>
      </w:pPr>
      <w:bookmarkStart w:id="408" w:name="b405"/>
      <w:r>
        <w:t>KAPITEL 5 GEMEINSAME BESTIMMUNGEN</w:t>
      </w:r>
      <w:bookmarkEnd w:id="408"/>
    </w:p>
    <w:p>
      <w:pPr>
        <w:pStyle w:val="Heading4"/>
      </w:pPr>
      <w:bookmarkStart w:id="409" w:name="b406"/>
      <w:r>
        <w:t>Art 320</w:t>
      </w:r>
      <w:r>
        <w:t xml:space="preserve"> </w:t>
      </w:r>
      <w:r>
        <w:rPr>
          <w:rStyle w:val="Suchmarke"/>
        </w:rPr>
        <w:t>#320.#</w:t>
      </w:r>
      <w:bookmarkEnd w:id="409"/>
    </w:p>
    <w:p>
      <w:r>
        <w:rPr>
          <w:color w:val="404040"/>
          <w:sz w:val="21"/>
        </w:rPr>
        <w:t>(ex-Artikel 277 EGV)</w:t>
      </w:r>
    </w:p>
    <w:p>
      <w:r>
        <w:t>Der mehrjährige Finanzrahmen und der Jahreshaushaltsplan werden in Euro aufgestellt.</w:t>
      </w:r>
    </w:p>
    <w:p>
      <w:pPr>
        <w:pStyle w:val="Heading4"/>
      </w:pPr>
      <w:bookmarkStart w:id="410" w:name="b407"/>
      <w:r>
        <w:t>Art 321</w:t>
      </w:r>
      <w:r>
        <w:t xml:space="preserve"> </w:t>
      </w:r>
      <w:r>
        <w:rPr>
          <w:rStyle w:val="Suchmarke"/>
        </w:rPr>
        <w:t>#321.#</w:t>
      </w:r>
      <w:bookmarkEnd w:id="410"/>
    </w:p>
    <w:p>
      <w:r>
        <w:rPr>
          <w:color w:val="404040"/>
          <w:sz w:val="21"/>
        </w:rPr>
        <w:t>(ex-Artikel 278 EGV)</w:t>
      </w:r>
    </w:p>
    <w:p>
      <w:r>
        <w:rPr>
          <w:rStyle w:val="Satznummer"/>
        </w:rPr>
        <w:t>1</w:t>
      </w:r>
      <w:r>
        <w:t xml:space="preserve">Die Kommission kann vorbehaltlich der Unterrichtung der zuständigen Behörden der betreffenden Mitgliedstaaten ihre Guthaben in der Währung eines dieser Staaten in die Währung eines anderen Mitgliedstaats transferieren, soweit dies erforderlich ist, um diese Guthaben für die in den Verträgen vorgesehenen Zwecke zu verwenden. </w:t>
      </w:r>
      <w:r>
        <w:rPr>
          <w:rStyle w:val="Satznummer"/>
        </w:rPr>
        <w:t>2</w:t>
      </w:r>
      <w:r>
        <w:t>Besitzt die Kommission verfügbare oder flüssige Guthaben in der benötigten Währung, so vermeidet sie soweit möglich derartige Transferierungen.</w:t>
      </w:r>
    </w:p>
    <w:p>
      <w:r>
        <w:rPr>
          <w:rStyle w:val="Satznummer"/>
        </w:rPr>
        <w:t>1</w:t>
      </w:r>
      <w:r>
        <w:t xml:space="preserve">Die Kommission verkehrt mit jedem Mitgliedstaat über die von diesem bezeichnete Behörde. </w:t>
      </w:r>
      <w:r>
        <w:rPr>
          <w:rStyle w:val="Satznummer"/>
        </w:rPr>
        <w:t>2</w:t>
      </w:r>
      <w:r>
        <w:t>Bei der Durchführung ihrer Finanzgeschäfte nimmt sie die Notenbank des betreffenden Mitgliedstaats oder ein anderes von diesem genehmigtes Finanzinstitut in Anspruch.</w:t>
      </w:r>
    </w:p>
    <w:p>
      <w:pPr>
        <w:pStyle w:val="Heading4"/>
      </w:pPr>
      <w:bookmarkStart w:id="411" w:name="b408"/>
      <w:r>
        <w:t>Art 322</w:t>
      </w:r>
      <w:r>
        <w:t xml:space="preserve"> </w:t>
      </w:r>
      <w:r>
        <w:rPr>
          <w:rStyle w:val="Suchmarke"/>
        </w:rPr>
        <w:t>#322.#</w:t>
      </w:r>
      <w:bookmarkEnd w:id="411"/>
    </w:p>
    <w:p>
      <w:r>
        <w:rPr>
          <w:color w:val="404040"/>
          <w:sz w:val="21"/>
        </w:rPr>
        <w:t>(ex-Artikel 279 EGV)</w:t>
      </w:r>
    </w:p>
    <w:p>
      <w:r>
        <w:t>(1) Das Europäische Parlament und der Rat erlassen gemäß dem ordentlichen Gesetzgebungsverfahren durch Verordnungen nach Anhörung des Rechnungshofs</w:t>
      </w:r>
    </w:p>
    <w:p>
      <w:pPr>
        <w:tabs>
          <w:tab w:pos="567" w:val="left"/>
        </w:tabs>
        <w:ind w:left="567" w:hanging="567"/>
      </w:pPr>
      <w:r>
        <w:t>a)</w:t>
      </w:r>
      <w:r>
        <w:tab/>
      </w:r>
      <w:r>
        <w:t>die Haushaltsvorschriften, in denen insbesondere die Aufstellung und Ausführung des Haushaltsplans sowie die Rechnungslegung und Rechnungsprüfung im Einzelnen geregelt werden;</w:t>
      </w:r>
    </w:p>
    <w:p>
      <w:pPr>
        <w:tabs>
          <w:tab w:pos="567" w:val="left"/>
        </w:tabs>
        <w:ind w:left="567" w:hanging="567"/>
      </w:pPr>
      <w:r>
        <w:t>b)</w:t>
      </w:r>
      <w:r>
        <w:tab/>
      </w:r>
      <w:r>
        <w:t>die Vorschriften, die die Kontrolle der Verantwortung der Finanzakteure und insbesondere der Anweisungsbefugten und der Rechnungsführer regeln.</w:t>
      </w:r>
    </w:p>
    <w:p>
      <w:r>
        <w:t>(2) Der Rat legt auf Vorschlag der Kommission und nach Anhörung des Europäischen Parlaments und des Rechnungshofs die Einzelheiten und das Verfahren fest, nach denen die Haushaltseinnahmen, die in der Regelung über die Eigenmittel der Union vorgesehen sind, der Kommission zur Verfügung gestellt werden, sowie die Maßnahmen, die zu treffen sind, um gegebenenfalls die erforderlichen Kassenmittel bereitzustellen.</w:t>
      </w:r>
    </w:p>
    <w:p>
      <w:pPr>
        <w:pStyle w:val="Heading4"/>
      </w:pPr>
      <w:bookmarkStart w:id="412" w:name="b409"/>
      <w:r>
        <w:t>Art 323</w:t>
      </w:r>
      <w:r>
        <w:t xml:space="preserve"> </w:t>
      </w:r>
      <w:r>
        <w:rPr>
          <w:rStyle w:val="Suchmarke"/>
        </w:rPr>
        <w:t>#323.#</w:t>
      </w:r>
      <w:bookmarkEnd w:id="412"/>
    </w:p>
    <w:p>
      <w:r>
        <w:t>Das Europäische Parlament, der Rat und die Kommission stellen sicher, dass der Union die Finanzmittel zur Verfügung stehen, die es ihr ermöglichen, ihren rechtlichen Verpflichtungen gegenüber Dritten nachzukommen.</w:t>
      </w:r>
    </w:p>
    <w:p>
      <w:pPr>
        <w:pStyle w:val="Heading4"/>
      </w:pPr>
      <w:bookmarkStart w:id="413" w:name="b410"/>
      <w:r>
        <w:t>Art 324</w:t>
      </w:r>
      <w:r>
        <w:t xml:space="preserve"> </w:t>
      </w:r>
      <w:r>
        <w:rPr>
          <w:rStyle w:val="Suchmarke"/>
        </w:rPr>
        <w:t>#324.#</w:t>
      </w:r>
      <w:bookmarkEnd w:id="413"/>
    </w:p>
    <w:p>
      <w:r>
        <w:rPr>
          <w:rStyle w:val="Satznummer"/>
        </w:rPr>
        <w:t>1</w:t>
      </w:r>
      <w:r>
        <w:t xml:space="preserve">Auf Initiative der Kommission werden im Rahmen der nach diesem Titel vorgesehenen Haushaltsverfahren regelmäßige Treffen der Präsidenten des Europäischen Parlaments, des Rates und der Kommission einberufen. </w:t>
      </w:r>
      <w:r>
        <w:rPr>
          <w:rStyle w:val="Satznummer"/>
        </w:rPr>
        <w:t>2</w:t>
      </w:r>
      <w:r>
        <w:t>Diese treffen alle erforderlichen Maßnahmen, um die Abstimmung und Annäherung der Standpunkte der Organe, denen sie vorstehen, zu fördern und so die Durchführung dieses Titels zu erleichtern.</w:t>
      </w:r>
    </w:p>
    <w:p>
      <w:pPr>
        <w:pStyle w:val="Heading3"/>
      </w:pPr>
      <w:bookmarkStart w:id="414" w:name="b411"/>
      <w:r>
        <w:t>KAPITEL 6 BETRUGSBEKÄMPFUNG</w:t>
      </w:r>
      <w:bookmarkEnd w:id="414"/>
    </w:p>
    <w:p>
      <w:pPr>
        <w:pStyle w:val="Heading4"/>
      </w:pPr>
      <w:bookmarkStart w:id="415" w:name="b412"/>
      <w:r>
        <w:t>Art 325</w:t>
      </w:r>
      <w:r>
        <w:t xml:space="preserve"> </w:t>
      </w:r>
      <w:r>
        <w:rPr>
          <w:rStyle w:val="Suchmarke"/>
        </w:rPr>
        <w:t>#325.#</w:t>
      </w:r>
      <w:bookmarkEnd w:id="415"/>
    </w:p>
    <w:p>
      <w:r>
        <w:rPr>
          <w:color w:val="404040"/>
          <w:sz w:val="21"/>
        </w:rPr>
        <w:t>(ex-Artikel 280 EGV)</w:t>
      </w:r>
    </w:p>
    <w:p>
      <w:r>
        <w:t>(1) Die Union und die Mitgliedstaaten bekämpfen Betrügereien und sonstige gegen die finanziellen Interessen der Union gerichtete rechtswidrige Handlungen mit Maßnahmen nach diesem Artikel, die abschreckend sind und in den Mitgliedstaaten sowie in den Organen, Einrichtungen und sonstigen Stellen der Union einen effektiven Schutz bewirken.</w:t>
      </w:r>
    </w:p>
    <w:p>
      <w:r>
        <w:t>(2) Zur Bekämpfung von Betrügereien, die sich gegen die finanziellen Interessen der Union richten, ergreifen die Mitgliedstaaten die gleichen Maßnahmen, die sie auch zur Bekämpfung von Betrügereien ergreifen, die sich gegen ihre eigenen finanziellen Interessen richten.</w:t>
      </w:r>
    </w:p>
    <w:p>
      <w:r>
        <w:t xml:space="preserve">(3) </w:t>
      </w:r>
      <w:r>
        <w:rPr>
          <w:rStyle w:val="Satznummer"/>
        </w:rPr>
        <w:t>1</w:t>
      </w:r>
      <w:r>
        <w:t xml:space="preserve">Die Mitgliedstaaten koordinieren unbeschadet der sonstigen Bestimmungen der Verträge ihre Tätigkeit zum Schutz der finanziellen Interessen der Union vor Betrügereien. </w:t>
      </w:r>
      <w:r>
        <w:rPr>
          <w:rStyle w:val="Satznummer"/>
        </w:rPr>
        <w:t>2</w:t>
      </w:r>
      <w:r>
        <w:t>Sie sorgen zu diesem Zweck zusammen mit der Kommission für eine enge, regelmäßige Zusammenarbeit zwischen den zuständigen Behörden.</w:t>
      </w:r>
    </w:p>
    <w:p>
      <w:r>
        <w:t>(4) Zur Gewährleistung eines effektiven und gleichwertigen Schutzes in den Mitgliedstaaten sowie in den Organen, Einrichtungen und sonstigen Stellen der Union beschließen das Europäische Parlament und der Rat gemäß dem ordentlichen Gesetzgebungsverfahren nach Anhörung des Rechnungshofs die erforderlichen Maßnahmen zur Verhütung und Bekämpfung von Betrügereien, die sich gegen die finanziellen Interessen der Union richten.</w:t>
      </w:r>
    </w:p>
    <w:p>
      <w:r>
        <w:t>(5) Die Kommission legt in Zusammenarbeit mit den Mitgliedstaaten dem Europäischen Parlament und dem Rat jährlich einen Bericht über die Maßnahmen vor, die zur Durchführung dieses Artikels getroffen wurden.</w:t>
      </w:r>
    </w:p>
    <w:p>
      <w:pPr>
        <w:pStyle w:val="Heading2"/>
      </w:pPr>
      <w:bookmarkStart w:id="416" w:name="b413"/>
      <w:r>
        <w:t>TITEL III VERSTÄRKTE ZUSAMMENARBEIT</w:t>
      </w:r>
      <w:bookmarkEnd w:id="416"/>
    </w:p>
    <w:p>
      <w:pPr>
        <w:pStyle w:val="Heading3"/>
      </w:pPr>
      <w:bookmarkStart w:id="417" w:name="b414"/>
      <w:r>
        <w:t>Art 326</w:t>
      </w:r>
      <w:r>
        <w:t xml:space="preserve"> </w:t>
      </w:r>
      <w:r>
        <w:rPr>
          <w:rStyle w:val="Suchmarke"/>
        </w:rPr>
        <w:t>#326.#</w:t>
      </w:r>
      <w:bookmarkEnd w:id="417"/>
    </w:p>
    <w:p>
      <w:r>
        <w:rPr>
          <w:color w:val="404040"/>
          <w:sz w:val="21"/>
        </w:rPr>
        <w:t>(ex-Artikel 27a bis 27e, 40 bis 40b und 43 bis 45 EUV sowie ex-Artikel 11 und 11a EGV)</w:t>
      </w:r>
    </w:p>
    <w:p>
      <w:r>
        <w:t>Eine Verstärkte Zusammenarbeit achtet die Verträge und das Recht der Union.</w:t>
      </w:r>
    </w:p>
    <w:p>
      <w:r>
        <w:rPr>
          <w:rStyle w:val="Satznummer"/>
        </w:rPr>
        <w:t>1</w:t>
      </w:r>
      <w:r>
        <w:t xml:space="preserve">Sie darf weder den Binnenmarkt noch den wirtschaftlichen, sozialen und territorialen Zusammenhalt beeinträchtigen. </w:t>
      </w:r>
      <w:r>
        <w:rPr>
          <w:rStyle w:val="Satznummer"/>
        </w:rPr>
        <w:t>2</w:t>
      </w:r>
      <w:r>
        <w:t>Sie darf für den Handel zwischen den Mitgliedstaaten weder ein Hindernis noch eine Diskriminierung darstellen noch darf sie zu Verzerrungen des Wettbewerbs zwischen den Mitgliedstaaten führen.</w:t>
      </w:r>
    </w:p>
    <w:p>
      <w:pPr>
        <w:pStyle w:val="Heading3"/>
      </w:pPr>
      <w:bookmarkStart w:id="418" w:name="b415"/>
      <w:r>
        <w:t>Art 327</w:t>
      </w:r>
      <w:r>
        <w:t xml:space="preserve"> </w:t>
      </w:r>
      <w:r>
        <w:rPr>
          <w:rStyle w:val="Suchmarke"/>
        </w:rPr>
        <w:t>#327.#</w:t>
      </w:r>
      <w:bookmarkEnd w:id="418"/>
    </w:p>
    <w:p>
      <w:r>
        <w:rPr>
          <w:color w:val="404040"/>
          <w:sz w:val="21"/>
        </w:rPr>
        <w:t>(ex-Artikel 27a bis 27e, 40 bis 40b und 43 bis 45 EUV sowie ex-Artikel 11 und 11a EGV)</w:t>
      </w:r>
    </w:p>
    <w:p>
      <w:r>
        <w:rPr>
          <w:rStyle w:val="Satznummer"/>
        </w:rPr>
        <w:t>1</w:t>
      </w:r>
      <w:r>
        <w:t xml:space="preserve">Eine Verstärkte Zusammenarbeit achtet die Zuständigkeiten, Rechte und Pflichten der nicht an der Zusammenarbeit beteiligten Mitgliedstaaten. </w:t>
      </w:r>
      <w:r>
        <w:rPr>
          <w:rStyle w:val="Satznummer"/>
        </w:rPr>
        <w:t>2</w:t>
      </w:r>
      <w:r>
        <w:t>Diese stehen der Durchführung der Verstärkten Zusammenarbeit durch die daran beteiligten Mitgliedstaaten nicht im Wege.</w:t>
      </w:r>
    </w:p>
    <w:p>
      <w:pPr>
        <w:pStyle w:val="Heading3"/>
      </w:pPr>
      <w:bookmarkStart w:id="419" w:name="b416"/>
      <w:r>
        <w:t>Art 328</w:t>
      </w:r>
      <w:r>
        <w:t xml:space="preserve"> </w:t>
      </w:r>
      <w:r>
        <w:rPr>
          <w:rStyle w:val="Suchmarke"/>
        </w:rPr>
        <w:t>#328.#</w:t>
      </w:r>
      <w:bookmarkEnd w:id="419"/>
    </w:p>
    <w:p>
      <w:r>
        <w:rPr>
          <w:color w:val="404040"/>
          <w:sz w:val="21"/>
        </w:rPr>
        <w:t>(ex-Artikel 27a bis 27e, 40 bis 40b und 43 bis 45 EUV sowie ex-Artikel 11 und 11a EGV)</w:t>
      </w:r>
    </w:p>
    <w:p>
      <w:r>
        <w:t xml:space="preserve">(1) </w:t>
      </w:r>
      <w:r>
        <w:rPr>
          <w:rStyle w:val="Satznummer"/>
        </w:rPr>
        <w:t>1</w:t>
      </w:r>
      <w:r>
        <w:t xml:space="preserve">Bei ihrer Begründung steht eine Verstärkte Zusammenarbeit allen Mitgliedstaaten offen, sofern sie die in dem hierzu ermächtigenden Beschluss gegebenenfalls festgelegten Teilnahmevoraussetzungen erfüllen. </w:t>
      </w:r>
      <w:r>
        <w:rPr>
          <w:rStyle w:val="Satznummer"/>
        </w:rPr>
        <w:t>2</w:t>
      </w:r>
      <w:r>
        <w:t>Dies gilt auch zu jedem anderen Zeitpunkt, sofern sie neben den genannten Voraussetzungen auch die in diesem Rahmen bereits erlassenen Rechtsakte beachten.</w:t>
      </w:r>
    </w:p>
    <w:p>
      <w:r>
        <w:t>Die Kommission und die an einer Verstärkten Zusammenarbeit teilnehmenden Mitgliedstaaten tragen dafür Sorge, dass die Teilnahme möglichst vieler Mitgliedstaaten gefördert wird.</w:t>
      </w:r>
    </w:p>
    <w:p>
      <w:r>
        <w:t>(2) Die Kommission und gegebenenfalls der Hohe Vertreter der Union für die Außen- und Sicherheitspolitik unterrichten das Europäische Parlament und den Rat regelmäßig über die Entwicklung einer Verstärkten Zusammenarbeit.</w:t>
      </w:r>
    </w:p>
    <w:p>
      <w:pPr>
        <w:pStyle w:val="Heading3"/>
      </w:pPr>
      <w:bookmarkStart w:id="420" w:name="b417"/>
      <w:r>
        <w:t>Art 329</w:t>
      </w:r>
      <w:r>
        <w:t xml:space="preserve"> </w:t>
      </w:r>
      <w:r>
        <w:rPr>
          <w:rStyle w:val="Suchmarke"/>
        </w:rPr>
        <w:t>#329.#</w:t>
      </w:r>
      <w:bookmarkEnd w:id="420"/>
    </w:p>
    <w:p>
      <w:r>
        <w:rPr>
          <w:color w:val="404040"/>
          <w:sz w:val="21"/>
        </w:rPr>
        <w:t>(ex-Artikel 27a bis 27e, 40 bis 40b und 43 bis 45 EUV sowie ex-Artikel 11 und 11a EGV)</w:t>
      </w:r>
    </w:p>
    <w:p>
      <w:r>
        <w:t xml:space="preserve">(1) </w:t>
      </w:r>
      <w:r>
        <w:rPr>
          <w:rStyle w:val="Satznummer"/>
        </w:rPr>
        <w:t>1</w:t>
      </w:r>
      <w:r>
        <w:t xml:space="preserve">Die Mitgliedstaaten, die in einem der Bereiche der Verträge – mit Ausnahme der Bereiche, für die die Union die ausschließliche Zuständigkeit besitzt, und der Gemeinsamen Außen- und Sicherheitspolitik – untereinander eine Verstärkte Zusammenarbeit begründen möchten, richten einen Antrag an die Kommission, in dem der Anwendungsbereich und die Ziele aufgeführt werden, die mit der beabsichtigten Verstärkten Zusammenarbeit angestrebt werden. </w:t>
      </w:r>
      <w:r>
        <w:rPr>
          <w:rStyle w:val="Satznummer"/>
        </w:rPr>
        <w:t>2</w:t>
      </w:r>
      <w:r>
        <w:t xml:space="preserve">Die Kommission kann dem Rat einen entsprechenden Vorschlag vorlegen. </w:t>
      </w:r>
      <w:r>
        <w:rPr>
          <w:rStyle w:val="Satznummer"/>
        </w:rPr>
        <w:t>3</w:t>
      </w:r>
      <w:r>
        <w:t>Legt die Kommission keinen Vorschlag vor, so teilt sie den betroffenen Mitgliedstaaten ihre Gründe dafür mit.</w:t>
      </w:r>
    </w:p>
    <w:p>
      <w:r>
        <w:t>Die Ermächtigung zur Einleitung einer Verstärkten Zusammenarbeit nach Unterabsatz 1 wird vom Rat auf Vorschlag der Kommission und nach Zustimmung des Europäischen Parlaments erteilt.</w:t>
      </w:r>
    </w:p>
    <w:p>
      <w:r>
        <w:t xml:space="preserve">(2) </w:t>
      </w:r>
      <w:r>
        <w:rPr>
          <w:rStyle w:val="Satznummer"/>
        </w:rPr>
        <w:t>1</w:t>
      </w:r>
      <w:r>
        <w:t xml:space="preserve">Der Antrag der Mitgliedstaaten, die untereinander im Rahmen der Gemeinsamen Außen- und Sicherheitspolitik eine Verstärkte Zusammenarbeit begründen möchten, wird an den Rat gerichtet. </w:t>
      </w:r>
      <w:r>
        <w:rPr>
          <w:rStyle w:val="Satznummer"/>
        </w:rPr>
        <w:t>2</w:t>
      </w:r>
      <w:r>
        <w:t xml:space="preserve">Er wird dem Hohen Vertreter der Union für die Außen- und Sicherheitspolitik, der zur Kohärenz der beabsichtigten Verstärkten Zusammenarbeit mit der Gemeinsamen Außen- und Sicherheitspolitik der Union Stellung nimmt, sowie der Kommission übermittelt, die insbesondere zur Kohärenz der beabsichtigten Verstärkten Zusammenarbeit mit der Politik der Union in anderen Bereichen Stellung nimmt. </w:t>
      </w:r>
      <w:r>
        <w:rPr>
          <w:rStyle w:val="Satznummer"/>
        </w:rPr>
        <w:t>3</w:t>
      </w:r>
      <w:r>
        <w:t>Der Antrag wird ferner dem Europäischen Parlament zur Unterrichtung übermittelt.</w:t>
      </w:r>
    </w:p>
    <w:p>
      <w:r>
        <w:t>Die Ermächtigung zur Einleitung einer Verstärkten Zusammenarbeit wird mit einem Beschluss des Rates erteilt, der einstimmig beschließt.</w:t>
      </w:r>
    </w:p>
    <w:p>
      <w:pPr>
        <w:pStyle w:val="Heading3"/>
      </w:pPr>
      <w:bookmarkStart w:id="421" w:name="b418"/>
      <w:r>
        <w:t>Art 330</w:t>
      </w:r>
      <w:r>
        <w:t xml:space="preserve"> </w:t>
      </w:r>
      <w:r>
        <w:rPr>
          <w:rStyle w:val="Suchmarke"/>
        </w:rPr>
        <w:t>#330.#</w:t>
      </w:r>
      <w:bookmarkEnd w:id="421"/>
    </w:p>
    <w:p>
      <w:r>
        <w:rPr>
          <w:color w:val="404040"/>
          <w:sz w:val="21"/>
        </w:rPr>
        <w:t>(ex-Artikel 27a bis 27e, 40 bis 40b und 43 bis 45 EUV sowie ex-Artikel 11 und 11a EGV)</w:t>
      </w:r>
    </w:p>
    <w:p>
      <w:r>
        <w:t>Alle Mitglieder des Rates können an dessen Beratungen teilnehmen, aber nur die Mitglieder des Rates, die die an der Verstärkten Zusammenarbeit beteiligten Mitgliedstaaten vertreten, sind stimmberechtigt.</w:t>
      </w:r>
    </w:p>
    <w:p>
      <w:r>
        <w:t>Die Einstimmigkeit bezieht sich allein auf die Stimmen der Vertreter der an der Verstärkten Zusammenarbeit beteiligten Mitgliedstaaten.</w:t>
      </w:r>
    </w:p>
    <w:p>
      <w:r>
        <w:t xml:space="preserve">Die qualifizierte Mehrheit bestimmt sich nach </w:t>
      </w:r>
      <w:hyperlink w:anchor="b307" w:history="1">
        <w:r>
          <w:rPr>
            <w:color w:val="0A3A8C"/>
            <w:u w:val="single"/>
          </w:rPr>
          <w:t xml:space="preserve">Artikel 238</w:t>
        </w:r>
      </w:hyperlink>
      <w:r>
        <w:t xml:space="preserve"> Absatz 3.</w:t>
      </w:r>
    </w:p>
    <w:p>
      <w:pPr>
        <w:pStyle w:val="Heading3"/>
      </w:pPr>
      <w:bookmarkStart w:id="422" w:name="b419"/>
      <w:r>
        <w:t>Art 331</w:t>
      </w:r>
      <w:r>
        <w:t xml:space="preserve"> </w:t>
      </w:r>
      <w:r>
        <w:rPr>
          <w:rStyle w:val="Suchmarke"/>
        </w:rPr>
        <w:t>#331.#</w:t>
      </w:r>
      <w:bookmarkEnd w:id="422"/>
    </w:p>
    <w:p>
      <w:r>
        <w:rPr>
          <w:color w:val="404040"/>
          <w:sz w:val="21"/>
        </w:rPr>
        <w:t>(ex-Artikel 27a bis 27e, 40 bis 40b und 43 bis 45 EUV sowie ex-Artikel 11 und 11a EGV)</w:t>
      </w:r>
    </w:p>
    <w:p>
      <w:r>
        <w:t xml:space="preserve">(1) Jeder Mitgliedstaat, der sich einer bestehenden Verstärkten Zusammenarbeit in einem der in </w:t>
      </w:r>
      <w:hyperlink w:anchor="b417" w:history="1">
        <w:r>
          <w:rPr>
            <w:color w:val="0A3A8C"/>
            <w:u w:val="single"/>
          </w:rPr>
          <w:t xml:space="preserve">Artikel 329</w:t>
        </w:r>
      </w:hyperlink>
      <w:r>
        <w:t xml:space="preserve"> Absatz 1 genannten Bereiche anschließen will, teilt dem Rat und der Kommission seine Absicht mit.</w:t>
      </w:r>
    </w:p>
    <w:p>
      <w:r>
        <w:rPr>
          <w:rStyle w:val="Satznummer"/>
        </w:rPr>
        <w:t>1</w:t>
      </w:r>
      <w:r>
        <w:t xml:space="preserve">Die Kommission bestätigt binnen vier Monaten nach Eingang der Mitteilung die Beteiligung des betreffenden Mitgliedstaats. </w:t>
      </w:r>
      <w:r>
        <w:rPr>
          <w:rStyle w:val="Satznummer"/>
        </w:rPr>
        <w:t>2</w:t>
      </w:r>
      <w:r>
        <w:t>Dabei stellt sie gegebenenfalls fest, dass die Beteiligungsvoraussetzungen erfüllt sind, und erlässt die notwendigen Übergangsmaßnahmen zur Anwendung der im Rahmen der Verstärkten Zusammenarbeit bereits erlassenen Rechtsakte.</w:t>
      </w:r>
    </w:p>
    <w:p>
      <w:r>
        <w:rPr>
          <w:rStyle w:val="Satznummer"/>
        </w:rPr>
        <w:t>1</w:t>
      </w:r>
      <w:r>
        <w:t xml:space="preserve">Ist die Kommission jedoch der Auffassung, dass die Beteiligungsvoraussetzungen nicht erfüllt sind, so gibt sie an, welche Bestimmungen zur Erfüllung dieser Voraussetzungen erlassen werden müssen, und legt eine Frist für die erneute Prüfung des Antrags fest. </w:t>
      </w:r>
      <w:r>
        <w:rPr>
          <w:rStyle w:val="Satznummer"/>
        </w:rPr>
        <w:t>2</w:t>
      </w:r>
      <w:r>
        <w:t xml:space="preserve">Nach Ablauf dieser Frist prüft sie den Antrag erneut nach dem in Unterabsatz 2 vorgesehenen Verfahren. </w:t>
      </w:r>
      <w:r>
        <w:rPr>
          <w:rStyle w:val="Satznummer"/>
        </w:rPr>
        <w:t>3</w:t>
      </w:r>
      <w:r>
        <w:t xml:space="preserve">Ist die Kommission der Auffassung, dass die Beteiligungsvoraussetzungen weiterhin nicht erfüllt sind, so kann der betreffende Mitgliedstaat mit dieser Frage den Rat befassen, der über den Antrag befindet. </w:t>
      </w:r>
      <w:r>
        <w:rPr>
          <w:rStyle w:val="Satznummer"/>
        </w:rPr>
        <w:t>4</w:t>
      </w:r>
      <w:r>
        <w:t xml:space="preserve">Der Rat beschließt nach </w:t>
      </w:r>
      <w:hyperlink w:anchor="b418" w:history="1">
        <w:r>
          <w:rPr>
            <w:color w:val="0A3A8C"/>
            <w:u w:val="single"/>
          </w:rPr>
          <w:t xml:space="preserve">Artikel 330</w:t>
        </w:r>
      </w:hyperlink>
      <w:r>
        <w:t xml:space="preserve">. </w:t>
      </w:r>
      <w:r>
        <w:rPr>
          <w:rStyle w:val="Satznummer"/>
        </w:rPr>
        <w:t>5</w:t>
      </w:r>
      <w:r>
        <w:t>Er kann außerdem auf Vorschlag der Kommission die in Unterabsatz 2 genannten Übergangsmaßnahmen erlassen.</w:t>
      </w:r>
    </w:p>
    <w:p>
      <w:r>
        <w:t>(2) Jeder Mitgliedstaat, der an einer bestehenden Verstärkten Zusammenarbeit im Rahmen der Gemeinsamen Außen- und Sicherheitspolitik teilnehmen möchte, teilt dem Rat, dem Hohen Vertreter der Union für die Außen- und Sicherheitspolitik und der Kommission seine Absicht mit.</w:t>
      </w:r>
    </w:p>
    <w:p>
      <w:r>
        <w:rPr>
          <w:rStyle w:val="Satznummer"/>
        </w:rPr>
        <w:t>1</w:t>
      </w:r>
      <w:r>
        <w:t xml:space="preserve">Der Rat bestätigt die Teilnahme des betreffenden Mitgliedstaats nach Anhörung des Hohen Vertreters der Union für die Außen- und Sicherheitspolitik und gegebenenfalls nach der Feststellung, dass die Teilnahmevoraussetzungen erfüllt sind. </w:t>
      </w:r>
      <w:r>
        <w:rPr>
          <w:rStyle w:val="Satznummer"/>
        </w:rPr>
        <w:t>2</w:t>
      </w:r>
      <w:r>
        <w:t xml:space="preserve">Der Rat kann auf Vorschlag des Hohen Vertreters ferner die notwendigen Übergangsmaßnahmen zur Anwendung der im Rahmen der Verstärkten Zusammenarbeit bereits erlassenen Rechtsakte treffen. </w:t>
      </w:r>
      <w:r>
        <w:rPr>
          <w:rStyle w:val="Satznummer"/>
        </w:rPr>
        <w:t>3</w:t>
      </w:r>
      <w:r>
        <w:t>Ist der Rat jedoch der Auffassung, dass die Teilnahmevoraussetzungen nicht erfüllt sind, so gibt er an, welche Schritte zur Erfüllung dieser Voraussetzungen notwendig sind, und legt eine Frist für die erneute Prüfung des Antrags auf Teilnahme fest.</w:t>
      </w:r>
    </w:p>
    <w:p>
      <w:r>
        <w:t xml:space="preserve">Für die Zwecke dieses Absatzes beschließt der Rat einstimmig nach </w:t>
      </w:r>
      <w:hyperlink w:anchor="b418" w:history="1">
        <w:r>
          <w:rPr>
            <w:color w:val="0A3A8C"/>
            <w:u w:val="single"/>
          </w:rPr>
          <w:t xml:space="preserve">Artikel 330</w:t>
        </w:r>
      </w:hyperlink>
      <w:r>
        <w:t>.</w:t>
      </w:r>
    </w:p>
    <w:p>
      <w:pPr>
        <w:pStyle w:val="Heading3"/>
      </w:pPr>
      <w:bookmarkStart w:id="423" w:name="b420"/>
      <w:r>
        <w:t>Art 332</w:t>
      </w:r>
      <w:r>
        <w:t xml:space="preserve"> </w:t>
      </w:r>
      <w:r>
        <w:rPr>
          <w:rStyle w:val="Suchmarke"/>
        </w:rPr>
        <w:t>#332.#</w:t>
      </w:r>
      <w:bookmarkEnd w:id="423"/>
    </w:p>
    <w:p>
      <w:r>
        <w:rPr>
          <w:color w:val="404040"/>
          <w:sz w:val="21"/>
        </w:rPr>
        <w:t>(ex-Artikel 27a bis 27e, 40 bis 40b und 43 bis 45 EUV sowie ex-Artikel 11 und 11a EGV)</w:t>
      </w:r>
    </w:p>
    <w:p>
      <w:r>
        <w:t>Die sich aus der Durchführung einer Verstärkten Zusammenarbeit ergebenden Ausgaben, mit Ausnahme der Verwaltungskosten der Organe, werden von den beteiligten Mitgliedstaaten getragen, sofern der Rat nicht nach Anhörung des Europäischen Parlaments durch einstimmigen Beschluss sämtlicher Mitglieder des Rates etwas anderes beschließt.</w:t>
      </w:r>
    </w:p>
    <w:p>
      <w:pPr>
        <w:pStyle w:val="Heading3"/>
      </w:pPr>
      <w:bookmarkStart w:id="424" w:name="b421"/>
      <w:r>
        <w:t>Art 333</w:t>
      </w:r>
      <w:r>
        <w:t xml:space="preserve"> </w:t>
      </w:r>
      <w:r>
        <w:rPr>
          <w:rStyle w:val="Suchmarke"/>
        </w:rPr>
        <w:t>#333.#</w:t>
      </w:r>
      <w:bookmarkEnd w:id="424"/>
    </w:p>
    <w:p>
      <w:r>
        <w:rPr>
          <w:color w:val="404040"/>
          <w:sz w:val="21"/>
        </w:rPr>
        <w:t>(ex-Artikel 27a bis 27e, 40 bis 40b und 43 bis 45 EUV sowie ex-Artikel 11 und 11a EGV)</w:t>
      </w:r>
    </w:p>
    <w:p>
      <w:r>
        <w:t xml:space="preserve">(1) Wenn nach einer Bestimmung der Verträge, die im Rahmen einer Verstärkten Zusammenarbeit angewendet werden könnte, der Rat einstimmig beschließen muss, kann der Rat nach </w:t>
      </w:r>
      <w:hyperlink w:anchor="b418" w:history="1">
        <w:r>
          <w:rPr>
            <w:color w:val="0A3A8C"/>
            <w:u w:val="single"/>
          </w:rPr>
          <w:t xml:space="preserve">Artikel 330</w:t>
        </w:r>
      </w:hyperlink>
      <w:r>
        <w:t xml:space="preserve"> einstimmig einen Beschluss dahin gehend erlassen, dass er mit qualifizierter Mehrheit beschließt.</w:t>
      </w:r>
    </w:p>
    <w:p>
      <w:r>
        <w:t xml:space="preserve">(2) </w:t>
      </w:r>
      <w:r>
        <w:rPr>
          <w:rStyle w:val="Satznummer"/>
        </w:rPr>
        <w:t>1</w:t>
      </w:r>
      <w:r>
        <w:t xml:space="preserve">Wenn nach einer Bestimmung der Verträge, die im Rahmen einer Verstärkten Zusammenarbeit angewendet werden könnte, Rechtsakte vom Rat gemäß einem besonderen Gesetzgebungsverfahren erlassen werden müssen, kann der Rat nach </w:t>
      </w:r>
      <w:hyperlink w:anchor="b418" w:history="1">
        <w:r>
          <w:rPr>
            <w:color w:val="0A3A8C"/>
            <w:u w:val="single"/>
          </w:rPr>
          <w:t xml:space="preserve">Artikel 330</w:t>
        </w:r>
      </w:hyperlink>
      <w:r>
        <w:t xml:space="preserve"> einstimmig einen Beschluss dahin gehend erlassen, dass er gemäß dem ordentlichen Gesetzgebungsverfahren beschließt. </w:t>
      </w:r>
      <w:r>
        <w:rPr>
          <w:rStyle w:val="Satznummer"/>
        </w:rPr>
        <w:t>2</w:t>
      </w:r>
      <w:r>
        <w:t>Der Rat beschließt nach Anhörung des Europäischen Parlaments.</w:t>
      </w:r>
    </w:p>
    <w:p>
      <w:r>
        <w:t>(3) Die Absätze 1 und 2 gelten nicht für Beschlüsse mit militärischen oder verteidigungspolitischen Bezügen.</w:t>
      </w:r>
    </w:p>
    <w:p>
      <w:pPr>
        <w:pStyle w:val="Heading3"/>
      </w:pPr>
      <w:bookmarkStart w:id="425" w:name="b422"/>
      <w:r>
        <w:t>Art 334</w:t>
      </w:r>
      <w:r>
        <w:t xml:space="preserve"> </w:t>
      </w:r>
      <w:r>
        <w:rPr>
          <w:rStyle w:val="Suchmarke"/>
        </w:rPr>
        <w:t>#334.#</w:t>
      </w:r>
      <w:bookmarkEnd w:id="425"/>
    </w:p>
    <w:p>
      <w:r>
        <w:rPr>
          <w:color w:val="404040"/>
          <w:sz w:val="21"/>
        </w:rPr>
        <w:t>(ex-Artikel 27a bis 27e, 40 bis 40b und 43 bis 45 EUV sowie ex-Artikel 11 und 11a EGV)</w:t>
      </w:r>
    </w:p>
    <w:p>
      <w:r>
        <w:t>Der Rat und die Kommission stellen sicher, dass die im Rahmen einer Verstärkten Zusammenarbeit durchgeführten Maßnahmen untereinander und mit der Politik der Union im Einklang stehen, und arbeiten entsprechend zusammen.</w:t>
      </w:r>
    </w:p>
    <w:p>
      <w:pPr>
        <w:pStyle w:val="Heading1"/>
      </w:pPr>
      <w:bookmarkStart w:id="426" w:name="b423"/>
      <w:r>
        <w:t>SIEBTER TEIL ALLGEMEINE UND SCHLUSSBESTIMMUNGEN</w:t>
      </w:r>
      <w:bookmarkEnd w:id="426"/>
    </w:p>
    <w:p>
      <w:pPr>
        <w:pStyle w:val="Heading2"/>
      </w:pPr>
      <w:bookmarkStart w:id="427" w:name="b424"/>
      <w:r>
        <w:t>Art 335</w:t>
      </w:r>
      <w:r>
        <w:t xml:space="preserve"> </w:t>
      </w:r>
      <w:r>
        <w:rPr>
          <w:rStyle w:val="Suchmarke"/>
        </w:rPr>
        <w:t>#335.#</w:t>
      </w:r>
      <w:bookmarkEnd w:id="427"/>
    </w:p>
    <w:p>
      <w:r>
        <w:rPr>
          <w:color w:val="404040"/>
          <w:sz w:val="21"/>
        </w:rPr>
        <w:t>(ex-Artikel 282 EGV)</w:t>
      </w:r>
    </w:p>
    <w:p>
      <w:r>
        <w:rPr>
          <w:rStyle w:val="Satznummer"/>
        </w:rPr>
        <w:t>1</w:t>
      </w:r>
      <w:r>
        <w:t xml:space="preserve">Die Union besitzt in jedem Mitgliedstaat die weitestgehende Rechts- und Geschäftsfähigkeit, die juristischen Personen nach dessen Rechtsvorschriften zuerkannt ist; sie kann insbesondere bewegliches und unbewegliches Vermögen erwerben und veräußern sowie vor Gericht stehen. </w:t>
      </w:r>
      <w:r>
        <w:rPr>
          <w:rStyle w:val="Satznummer"/>
        </w:rPr>
        <w:t>2</w:t>
      </w:r>
      <w:r>
        <w:t xml:space="preserve">Zu diesem Zweck wird sie von der Kommission vertreten. </w:t>
      </w:r>
      <w:r>
        <w:rPr>
          <w:rStyle w:val="Satznummer"/>
        </w:rPr>
        <w:t>3</w:t>
      </w:r>
      <w:r>
        <w:t>In Fragen, die das Funktionieren der einzelnen Organe betreffen, wird die Union hingegen aufgrund von deren Verwaltungsautonomie von dem betreffenden Organ vertreten.</w:t>
      </w:r>
    </w:p>
    <w:p>
      <w:pPr>
        <w:pStyle w:val="Heading2"/>
      </w:pPr>
      <w:bookmarkStart w:id="428" w:name="b425"/>
      <w:r>
        <w:t>Art 336</w:t>
      </w:r>
      <w:r>
        <w:t xml:space="preserve"> </w:t>
      </w:r>
      <w:r>
        <w:rPr>
          <w:rStyle w:val="Suchmarke"/>
        </w:rPr>
        <w:t>#336.#</w:t>
      </w:r>
      <w:bookmarkEnd w:id="428"/>
    </w:p>
    <w:p>
      <w:r>
        <w:rPr>
          <w:color w:val="404040"/>
          <w:sz w:val="21"/>
        </w:rPr>
        <w:t>(ex-Artikel 283 EGV)</w:t>
      </w:r>
    </w:p>
    <w:p>
      <w:r>
        <w:t>Das Europäische Parlament und der Rat erlassen gemäß dem ordentlichen Gesetzgebungsverfahren durch Verordnungen nach Anhörung der anderen betroffenen Organe das Statut der Beamten der Europäischen Union und die Beschäftigungsbedingungen für die sonstigen Bediensteten der Union.</w:t>
      </w:r>
    </w:p>
    <w:p>
      <w:pPr>
        <w:pStyle w:val="Heading2"/>
      </w:pPr>
      <w:bookmarkStart w:id="429" w:name="b426"/>
      <w:r>
        <w:t>Art 337</w:t>
      </w:r>
      <w:r>
        <w:t xml:space="preserve"> </w:t>
      </w:r>
      <w:r>
        <w:rPr>
          <w:rStyle w:val="Suchmarke"/>
        </w:rPr>
        <w:t>#337.#</w:t>
      </w:r>
      <w:bookmarkEnd w:id="429"/>
    </w:p>
    <w:p>
      <w:r>
        <w:rPr>
          <w:color w:val="404040"/>
          <w:sz w:val="21"/>
        </w:rPr>
        <w:t>(ex-Artikel 284 EGV)</w:t>
      </w:r>
    </w:p>
    <w:p>
      <w:r>
        <w:t>Zur Erfüllung der ihr übertragenen Aufgaben kann die Kommission alle erforderlichen Auskünfte einholen und alle erforderlichen Nachprüfungen vornehmen; der Rahmen und die nähere Maßgabe hierfür werden vom Rat, der mit einfacher Mehrheit beschließt, gemäß den Bestimmungen der Verträge festgelegt.</w:t>
      </w:r>
    </w:p>
    <w:p>
      <w:pPr>
        <w:pStyle w:val="Heading2"/>
      </w:pPr>
      <w:bookmarkStart w:id="430" w:name="b427"/>
      <w:r>
        <w:t>Art 338</w:t>
      </w:r>
      <w:r>
        <w:t xml:space="preserve"> </w:t>
      </w:r>
      <w:r>
        <w:rPr>
          <w:rStyle w:val="Suchmarke"/>
        </w:rPr>
        <w:t>#338.#</w:t>
      </w:r>
      <w:bookmarkEnd w:id="430"/>
    </w:p>
    <w:p>
      <w:r>
        <w:rPr>
          <w:color w:val="404040"/>
          <w:sz w:val="21"/>
        </w:rPr>
        <w:t>(ex-Artikel 285 EGV)</w:t>
      </w:r>
    </w:p>
    <w:p>
      <w:r>
        <w:t>(1) Unbeschadet des Artikels 5 des Protokolls über die Satzung des Europäischen Systems der Zentralbanken und der Europäischen Zentralbank beschließen das Europäische Parlament und der Rat gemäß dem ordentlichen Gesetzgebungsverfahren Maßnahmen für die Erstellung von Statistiken, wenn dies für die Durchführung der Tätigkeiten der Union erforderlich ist.</w:t>
      </w:r>
    </w:p>
    <w:p>
      <w:r>
        <w:t>(2) Die Erstellung der Unionsstatistiken erfolgt unter Wahrung der Unparteilichkeit, der Zuverlässigkeit, der Objektivität, der wissenschaftlichen Unabhängigkeit, der Kostenwirksamkeit und der statistischen Geheimhaltung; der Wirtschaft dürfen dadurch keine übermäßigen Belastungen entstehen.</w:t>
      </w:r>
    </w:p>
    <w:p>
      <w:pPr>
        <w:pStyle w:val="Heading2"/>
      </w:pPr>
      <w:bookmarkStart w:id="431" w:name="b428"/>
      <w:r>
        <w:t>Art 339</w:t>
      </w:r>
      <w:r>
        <w:t xml:space="preserve"> </w:t>
      </w:r>
      <w:r>
        <w:rPr>
          <w:rStyle w:val="Suchmarke"/>
        </w:rPr>
        <w:t>#339.#</w:t>
      </w:r>
      <w:bookmarkEnd w:id="431"/>
    </w:p>
    <w:p>
      <w:r>
        <w:rPr>
          <w:color w:val="404040"/>
          <w:sz w:val="21"/>
        </w:rPr>
        <w:t>(ex-Artikel 287 EGV)</w:t>
      </w:r>
    </w:p>
    <w:p>
      <w:r>
        <w:t>Die Mitglieder der Organe der Union, die Mitglieder der Ausschüsse sowie die Beamten und sonstigen Bediensteten der Union sind verpflichtet, auch nach Beendigung ihrer Amtstätigkeit Auskünfte, die ihrem Wesen nach unter das Berufsgeheimnis fallen, nicht preiszugeben; dies gilt insbesondere für Auskünfte über Unternehmen sowie deren Geschäftsbeziehungen oder Kostenelemente.</w:t>
      </w:r>
    </w:p>
    <w:p>
      <w:pPr>
        <w:pStyle w:val="Heading2"/>
      </w:pPr>
      <w:bookmarkStart w:id="432" w:name="b429"/>
      <w:r>
        <w:t>Art 340</w:t>
      </w:r>
      <w:r>
        <w:t xml:space="preserve"> </w:t>
      </w:r>
      <w:r>
        <w:rPr>
          <w:rStyle w:val="Suchmarke"/>
        </w:rPr>
        <w:t>#340.#</w:t>
      </w:r>
      <w:bookmarkEnd w:id="432"/>
    </w:p>
    <w:p>
      <w:r>
        <w:rPr>
          <w:color w:val="404040"/>
          <w:sz w:val="21"/>
        </w:rPr>
        <w:t>(ex-Artikel 288 EGV)</w:t>
      </w:r>
    </w:p>
    <w:p>
      <w:r>
        <w:t>Die vertragliche Haftung der Union bestimmt sich nach dem Recht, das auf den betreffenden Vertrag anzuwenden ist.</w:t>
      </w:r>
    </w:p>
    <w:p>
      <w:r>
        <w:t>Im Bereich der außervertraglichen Haftung ersetzt die Union den durch ihre Organe oder Bediensteten in Ausübung ihrer Amtstätigkeit verursachten Schaden nach den allgemeinen Rechtsgrundsätzen, die den Rechtsordnungen der Mitgliedstaaten gemeinsam sind.</w:t>
      </w:r>
    </w:p>
    <w:p>
      <w:r>
        <w:t>Abweichend von Absatz 2 ersetzt die Europäische Zentralbank den durch sie oder ihre Bediensteten in Ausübung ihrer Amtstätigkeit verursachten Schaden nach den allgemeinen Rechtsgrundsätzen, die den Rechtsordnungen der Mitgliedstaaten gemeinsam sind.</w:t>
      </w:r>
    </w:p>
    <w:p>
      <w:r>
        <w:t>Die persönliche Haftung der Bediensteten gegenüber der Union bestimmt sich nach den Vorschriften ihres Statuts oder der für sie geltenden Beschäftigungsbedingungen.</w:t>
      </w:r>
    </w:p>
    <w:p>
      <w:pPr>
        <w:pStyle w:val="Heading2"/>
      </w:pPr>
      <w:bookmarkStart w:id="433" w:name="b430"/>
      <w:r>
        <w:t>Art 341</w:t>
      </w:r>
      <w:r>
        <w:t xml:space="preserve"> </w:t>
      </w:r>
      <w:r>
        <w:rPr>
          <w:rStyle w:val="Suchmarke"/>
        </w:rPr>
        <w:t>#341.#</w:t>
      </w:r>
      <w:bookmarkEnd w:id="433"/>
    </w:p>
    <w:p>
      <w:r>
        <w:rPr>
          <w:color w:val="404040"/>
          <w:sz w:val="21"/>
        </w:rPr>
        <w:t>(ex-Artikel 289 EGV)</w:t>
      </w:r>
    </w:p>
    <w:p>
      <w:r>
        <w:t>Der Sitz der Organe der Union wird im Einvernehmen zwischen den Regierungen der Mitgliedstaaten bestimmt.</w:t>
      </w:r>
    </w:p>
    <w:p>
      <w:pPr>
        <w:pStyle w:val="Heading2"/>
      </w:pPr>
      <w:bookmarkStart w:id="434" w:name="b431"/>
      <w:r>
        <w:t>Art 342</w:t>
      </w:r>
      <w:r>
        <w:t xml:space="preserve"> </w:t>
      </w:r>
      <w:r>
        <w:rPr>
          <w:rStyle w:val="Suchmarke"/>
        </w:rPr>
        <w:t>#342.#</w:t>
      </w:r>
      <w:bookmarkEnd w:id="434"/>
    </w:p>
    <w:p>
      <w:r>
        <w:rPr>
          <w:color w:val="404040"/>
          <w:sz w:val="21"/>
        </w:rPr>
        <w:t>(ex-Artikel 290 EGV)</w:t>
      </w:r>
    </w:p>
    <w:p>
      <w:r>
        <w:t>Die Regelung der Sprachenfrage für die Organe der Union wird unbeschadet der Satzung des Gerichtshofs der Europäischen Union vom Rat einstimmig durch Verordnungen getroffen.</w:t>
      </w:r>
    </w:p>
    <w:p>
      <w:pPr>
        <w:pStyle w:val="Heading2"/>
      </w:pPr>
      <w:bookmarkStart w:id="435" w:name="b432"/>
      <w:r>
        <w:t>Art 343</w:t>
      </w:r>
      <w:r>
        <w:t xml:space="preserve"> </w:t>
      </w:r>
      <w:r>
        <w:rPr>
          <w:rStyle w:val="Suchmarke"/>
        </w:rPr>
        <w:t>#343.#</w:t>
      </w:r>
      <w:bookmarkEnd w:id="435"/>
    </w:p>
    <w:p>
      <w:r>
        <w:rPr>
          <w:color w:val="404040"/>
          <w:sz w:val="21"/>
        </w:rPr>
        <w:t>(ex-Artikel 291 EGV)</w:t>
      </w:r>
    </w:p>
    <w:p>
      <w:r>
        <w:rPr>
          <w:rStyle w:val="Satznummer"/>
        </w:rPr>
        <w:t>1</w:t>
      </w:r>
      <w:r>
        <w:t xml:space="preserve">Die Union genießt im Hoheitsgebiet der Mitgliedstaaten die zur Erfüllung ihrer Aufgabe erforderlichen Vorrechte und Befreiungen nach Maßgabe des Protokolls vom 8. April 1965 über die Vorrechte und Befreiungen der Europäischen Union. </w:t>
      </w:r>
      <w:r>
        <w:rPr>
          <w:rStyle w:val="Satznummer"/>
        </w:rPr>
        <w:t>2</w:t>
      </w:r>
      <w:r>
        <w:t>Dasselbe gilt für die Europäische Zentralbank und die Europäische Investitionsbank.</w:t>
      </w:r>
    </w:p>
    <w:p>
      <w:pPr>
        <w:pStyle w:val="Heading2"/>
      </w:pPr>
      <w:bookmarkStart w:id="436" w:name="b433"/>
      <w:r>
        <w:t>Art 344</w:t>
      </w:r>
      <w:r>
        <w:t xml:space="preserve"> </w:t>
      </w:r>
      <w:r>
        <w:rPr>
          <w:rStyle w:val="Suchmarke"/>
        </w:rPr>
        <w:t>#344.#</w:t>
      </w:r>
      <w:bookmarkEnd w:id="436"/>
    </w:p>
    <w:p>
      <w:r>
        <w:rPr>
          <w:color w:val="404040"/>
          <w:sz w:val="21"/>
        </w:rPr>
        <w:t>(ex-Artikel 292 EGV)</w:t>
      </w:r>
    </w:p>
    <w:p>
      <w:r>
        <w:t>Die Mitgliedstaaten verpflichten sich, Streitigkeiten über die Auslegung oder Anwendung der Verträge nicht anders als hierin vorgesehen zu regeln.</w:t>
      </w:r>
    </w:p>
    <w:p>
      <w:pPr>
        <w:pStyle w:val="Heading2"/>
      </w:pPr>
      <w:bookmarkStart w:id="437" w:name="b434"/>
      <w:r>
        <w:t>Art 345</w:t>
      </w:r>
      <w:r>
        <w:t xml:space="preserve"> </w:t>
      </w:r>
      <w:r>
        <w:rPr>
          <w:rStyle w:val="Suchmarke"/>
        </w:rPr>
        <w:t>#345.#</w:t>
      </w:r>
      <w:bookmarkEnd w:id="437"/>
    </w:p>
    <w:p>
      <w:r>
        <w:rPr>
          <w:color w:val="404040"/>
          <w:sz w:val="21"/>
        </w:rPr>
        <w:t>(ex-Artikel 295 EGV)</w:t>
      </w:r>
    </w:p>
    <w:p>
      <w:r>
        <w:t>Die Verträge lassen die Eigentumsordnung in den verschiedenen Mitgliedstaaten unberührt.</w:t>
      </w:r>
    </w:p>
    <w:p>
      <w:pPr>
        <w:pStyle w:val="Heading2"/>
      </w:pPr>
      <w:bookmarkStart w:id="438" w:name="b435"/>
      <w:r>
        <w:t>Art 346</w:t>
      </w:r>
      <w:r>
        <w:t xml:space="preserve"> </w:t>
      </w:r>
      <w:r>
        <w:rPr>
          <w:rStyle w:val="Suchmarke"/>
        </w:rPr>
        <w:t>#346.#</w:t>
      </w:r>
      <w:bookmarkEnd w:id="438"/>
    </w:p>
    <w:p>
      <w:r>
        <w:rPr>
          <w:color w:val="404040"/>
          <w:sz w:val="21"/>
        </w:rPr>
        <w:t>(ex-Artikel 296 EGV)</w:t>
      </w:r>
    </w:p>
    <w:p>
      <w:r>
        <w:t>(1) Die Vorschriften der Verträge stehen folgenden Bestimmungen nicht entgegen:</w:t>
      </w:r>
    </w:p>
    <w:p>
      <w:pPr>
        <w:tabs>
          <w:tab w:pos="567" w:val="left"/>
        </w:tabs>
        <w:ind w:left="567" w:hanging="567"/>
      </w:pPr>
      <w:r>
        <w:t>a)</w:t>
      </w:r>
      <w:r>
        <w:tab/>
      </w:r>
      <w:r>
        <w:t>Ein Mitgliedstaat ist nicht verpflichtet, Auskünfte zu erteilen, deren Preisgabe seines Erachtens seinen wesentlichen Sicherheitsinteressen widerspricht;</w:t>
      </w:r>
    </w:p>
    <w:p>
      <w:pPr>
        <w:tabs>
          <w:tab w:pos="567" w:val="left"/>
        </w:tabs>
        <w:ind w:left="567" w:hanging="567"/>
      </w:pPr>
      <w:r>
        <w:t>b)</w:t>
      </w:r>
      <w:r>
        <w:tab/>
      </w:r>
      <w:r>
        <w:t>jeder Mitgliedstaat kann die Maßnahmen ergreifen, die seines Erachtens für die Wahrung seiner wesentlichen Sicherheitsinteressen erforderlich sind, soweit sie die Erzeugung von Waffen, Munition und Kriegsmaterial oder den Handel damit betreffen; diese Maßnahmen dürfen auf dem Binnenmarkt die Wettbewerbsbedingungen hinsichtlich der nicht eigens für militärische Zwecke bestimmten Waren nicht beeinträchtigen.</w:t>
      </w:r>
    </w:p>
    <w:p>
      <w:r>
        <w:t>(2) Der Rat kann die von ihm am 15. April 1958 festgelegte Liste der Waren, auf die Absatz 1 Buchstabe b Anwendung findet, einstimmig auf Vorschlag der Kommission ändern.</w:t>
      </w:r>
    </w:p>
    <w:p>
      <w:pPr>
        <w:pStyle w:val="Heading2"/>
      </w:pPr>
      <w:bookmarkStart w:id="439" w:name="b436"/>
      <w:r>
        <w:t>Art 347</w:t>
      </w:r>
      <w:r>
        <w:t xml:space="preserve"> </w:t>
      </w:r>
      <w:r>
        <w:rPr>
          <w:rStyle w:val="Suchmarke"/>
        </w:rPr>
        <w:t>#347.#</w:t>
      </w:r>
      <w:bookmarkEnd w:id="439"/>
    </w:p>
    <w:p>
      <w:r>
        <w:rPr>
          <w:color w:val="404040"/>
          <w:sz w:val="21"/>
        </w:rPr>
        <w:t>(ex-Artikel 297 EGV)</w:t>
      </w:r>
    </w:p>
    <w:p>
      <w:r>
        <w:t>Die Mitgliedstaaten setzen sich miteinander ins Benehmen, um durch gemeinsames Vorgehen zu verhindern, dass das Funktionieren des Binnenmarkts durch Maßnahmen beeinträchtigt wird, die ein Mitgliedstaat bei einer schwerwiegenden innerstaatlichen Störung der öffentlichen Ordnung, im Kriegsfall, bei einer ernsten, eine Kriegsgefahr darstellenden internationalen Spannung oder in Erfüllung der Verpflichtungen trifft, die er im Hinblick auf die Aufrechterhaltung des Friedens und der internationalen Sicherheit übernommen hat.</w:t>
      </w:r>
    </w:p>
    <w:p>
      <w:pPr>
        <w:pStyle w:val="Heading2"/>
      </w:pPr>
      <w:bookmarkStart w:id="440" w:name="b437"/>
      <w:r>
        <w:t>Art 348</w:t>
      </w:r>
      <w:r>
        <w:t xml:space="preserve"> </w:t>
      </w:r>
      <w:r>
        <w:rPr>
          <w:rStyle w:val="Suchmarke"/>
        </w:rPr>
        <w:t>#348.#</w:t>
      </w:r>
      <w:bookmarkEnd w:id="440"/>
    </w:p>
    <w:p>
      <w:r>
        <w:rPr>
          <w:color w:val="404040"/>
          <w:sz w:val="21"/>
        </w:rPr>
        <w:t>(ex-Artikel 298 EGV)</w:t>
      </w:r>
    </w:p>
    <w:p>
      <w:r>
        <w:t xml:space="preserve">Werden auf dem Binnenmarkt die Wettbewerbsbedingungen durch Maßnahmen aufgrund der </w:t>
      </w:r>
      <w:hyperlink w:anchor="b435" w:history="1">
        <w:r>
          <w:rPr>
            <w:color w:val="0A3A8C"/>
            <w:u w:val="single"/>
          </w:rPr>
          <w:t xml:space="preserve">Artikel 346</w:t>
        </w:r>
      </w:hyperlink>
      <w:r>
        <w:t xml:space="preserve"> und </w:t>
      </w:r>
      <w:hyperlink w:anchor="b436" w:history="1">
        <w:r>
          <w:rPr>
            <w:color w:val="0A3A8C"/>
            <w:u w:val="single"/>
          </w:rPr>
          <w:t xml:space="preserve">347</w:t>
        </w:r>
      </w:hyperlink>
      <w:r>
        <w:t xml:space="preserve"> verfälscht, so prüft die Kommission gemeinsam mit dem beteiligten Staat, wie diese Maßnahmen den Vorschriften der Verträge angepasst werden können.</w:t>
      </w:r>
    </w:p>
    <w:p>
      <w:r>
        <w:rPr>
          <w:rStyle w:val="Satznummer"/>
        </w:rPr>
        <w:t>1</w:t>
      </w:r>
      <w:r>
        <w:t xml:space="preserve">In Abweichung von dem in den </w:t>
      </w:r>
      <w:hyperlink w:anchor="b329" w:history="1">
        <w:r>
          <w:rPr>
            <w:color w:val="0A3A8C"/>
            <w:u w:val="single"/>
          </w:rPr>
          <w:t xml:space="preserve">Artikeln 258</w:t>
        </w:r>
      </w:hyperlink>
      <w:r>
        <w:t xml:space="preserve"> und </w:t>
      </w:r>
      <w:hyperlink w:anchor="b330" w:history="1">
        <w:r>
          <w:rPr>
            <w:color w:val="0A3A8C"/>
            <w:u w:val="single"/>
          </w:rPr>
          <w:t xml:space="preserve">259</w:t>
        </w:r>
      </w:hyperlink>
      <w:r>
        <w:t xml:space="preserve"> vorgesehenen Verfahren kann die Kommission oder ein Mitgliedstaat den Gerichtshof unmittelbar anrufen, wenn die Kommission oder der Staat der Auffassung ist, dass ein anderer Mitgliedstaat die in den </w:t>
      </w:r>
      <w:hyperlink w:anchor="b435" w:history="1">
        <w:r>
          <w:rPr>
            <w:color w:val="0A3A8C"/>
            <w:u w:val="single"/>
          </w:rPr>
          <w:t xml:space="preserve">Artikeln 346</w:t>
        </w:r>
      </w:hyperlink>
      <w:r>
        <w:t xml:space="preserve"> und </w:t>
      </w:r>
      <w:hyperlink w:anchor="b436" w:history="1">
        <w:r>
          <w:rPr>
            <w:color w:val="0A3A8C"/>
            <w:u w:val="single"/>
          </w:rPr>
          <w:t xml:space="preserve">347</w:t>
        </w:r>
      </w:hyperlink>
      <w:r>
        <w:t xml:space="preserve"> vorgesehenen Befugnisse missbraucht. </w:t>
      </w:r>
      <w:r>
        <w:rPr>
          <w:rStyle w:val="Satznummer"/>
        </w:rPr>
        <w:t>2</w:t>
      </w:r>
      <w:r>
        <w:t>Der Gerichtshof entscheidet unter Ausschluss der Öffentlichkeit.</w:t>
      </w:r>
    </w:p>
    <w:p>
      <w:pPr>
        <w:pStyle w:val="Heading2"/>
      </w:pPr>
      <w:bookmarkStart w:id="441" w:name="b438"/>
      <w:r>
        <w:t>Art 349</w:t>
      </w:r>
      <w:r>
        <w:t xml:space="preserve"> </w:t>
      </w:r>
      <w:r>
        <w:rPr>
          <w:rStyle w:val="Suchmarke"/>
        </w:rPr>
        <w:t>#349.#</w:t>
      </w:r>
      <w:bookmarkEnd w:id="441"/>
    </w:p>
    <w:p>
      <w:r>
        <w:rPr>
          <w:color w:val="404040"/>
          <w:sz w:val="21"/>
        </w:rPr>
        <w:t>(ex-Artikel 299 Absatz 2 Unterabsätze 2, 3 und 4 EGV)</w:t>
      </w:r>
    </w:p>
    <w:p>
      <w:r>
        <w:rPr>
          <w:rStyle w:val="Satznummer"/>
        </w:rPr>
        <w:t>1</w:t>
      </w:r>
      <w:r>
        <w:t xml:space="preserve">Unter Berücksichtigung der strukturbedingten sozialen und wirtschaftlichen Lage von Guadeloupe, Französisch-Guayana, Martinique, Mayotte, Réunion ————— und Saint-Martin, der Azoren, Madeiras und der Kanarischen Inseln, die durch die Faktoren Abgelegenheit, Insellage, geringe Größe, schwierige Relief- und Klimabedingungen und wirtschaftliche Abhängigkeit von einigen wenigen Erzeugnissen erschwert wird, die als ständige Gegebenheiten und durch ihr Zusammenwirken die Entwicklung schwer beeinträchtigen, beschließt der Rat auf Vorschlag der Kommission nach Anhörung des Europäischen Parlaments spezifische Maßnahmen, die insbesondere darauf abzielen, die Bedingungen für die Anwendung der Verträge auf die genannten Gebiete, einschließlich gemeinsamer Politiken, festzulegen. </w:t>
      </w:r>
      <w:r>
        <w:rPr>
          <w:rStyle w:val="Satznummer"/>
        </w:rPr>
        <w:t>2</w:t>
      </w:r>
      <w:r>
        <w:t>Werden die betreffenden spezifischen Maßnahmen vom Rat gemäß einem besonderen Gesetzgebungsverfahren erlassen, so beschließt er ebenfalls auf Vorschlag der Kommission und nach Anhörung des Europäischen Parlaments.</w:t>
      </w:r>
    </w:p>
    <w:p>
      <w:r>
        <w:t>Die Maßnahmen nach Absatz 1 betreffen insbesondere die Zoll- und Handelspolitik, Steuerpolitik, Freizonen, Agrar- und Fischereipolitik, die Bedingungen für die Versorgung mit Rohstoffen und grundlegenden Verbrauchsgütern, staatliche Beihilfen sowie die Bedingungen für den Zugang zu den Strukturfonds und zu den horizontalen Unionsprogrammen.</w:t>
      </w:r>
    </w:p>
    <w:p>
      <w:r>
        <w:t>Der Rat beschließt die in Absatz 1 genannten Maßnahmen unter Berücksichtigung der besonderen Merkmale und Zwänge der Gebiete in äußerster Randlage, ohne dabei die Integrität und Kohärenz der Rechtsordnung der Union, die auch den Binnenmarkt und die gemeinsamen Politiken umfasst, auszuhöhlen.</w:t>
      </w:r>
    </w:p>
    <w:p>
      <w:pPr>
        <w:pStyle w:val="Heading2"/>
      </w:pPr>
      <w:bookmarkStart w:id="442" w:name="b439"/>
      <w:r>
        <w:t>Art 350</w:t>
      </w:r>
      <w:r>
        <w:t xml:space="preserve"> </w:t>
      </w:r>
      <w:r>
        <w:rPr>
          <w:rStyle w:val="Suchmarke"/>
        </w:rPr>
        <w:t>#350.#</w:t>
      </w:r>
      <w:bookmarkEnd w:id="442"/>
    </w:p>
    <w:p>
      <w:r>
        <w:rPr>
          <w:color w:val="404040"/>
          <w:sz w:val="21"/>
        </w:rPr>
        <w:t>(ex-Artikel 306 EGV)</w:t>
      </w:r>
    </w:p>
    <w:p>
      <w:r>
        <w:t>Die Verträge stehen dem Bestehen und der Durchführung der regionalen Zusammenschlüsse zwischen Belgien und Luxemburg sowie zwischen Belgien, Luxemburg und den Niederlanden nicht entgegen, soweit die Ziele dieser Zusammenschlüsse durch Anwendung der Verträge nicht erreicht sind.</w:t>
      </w:r>
    </w:p>
    <w:p>
      <w:pPr>
        <w:pStyle w:val="Heading2"/>
      </w:pPr>
      <w:bookmarkStart w:id="443" w:name="b440"/>
      <w:r>
        <w:t>Art 351</w:t>
      </w:r>
      <w:r>
        <w:t xml:space="preserve"> </w:t>
      </w:r>
      <w:r>
        <w:rPr>
          <w:rStyle w:val="Suchmarke"/>
        </w:rPr>
        <w:t>#351.#</w:t>
      </w:r>
      <w:bookmarkEnd w:id="443"/>
    </w:p>
    <w:p>
      <w:r>
        <w:rPr>
          <w:color w:val="404040"/>
          <w:sz w:val="21"/>
        </w:rPr>
        <w:t>(ex-Artikel 307 EGV)</w:t>
      </w:r>
    </w:p>
    <w:p>
      <w:r>
        <w:t>Die Rechte und Pflichten aus Übereinkünften, die vor dem 1. Januar 1958 oder, im Falle später beigetretener Staaten, vor dem Zeitpunkt ihres Beitritts zwischen einem oder mehreren Mitgliedstaaten einerseits und einem oder mehreren dritten Ländern andererseits geschlossen wurden, werden durch die Verträge nicht berührt.</w:t>
      </w:r>
    </w:p>
    <w:p>
      <w:r>
        <w:rPr>
          <w:rStyle w:val="Satznummer"/>
        </w:rPr>
        <w:t>1</w:t>
      </w:r>
      <w:r>
        <w:t xml:space="preserve">Soweit diese Übereinkünfte mit den Verträgen nicht vereinbar sind, wenden der oder die betreffenden Mitgliedstaaten alle geeigneten Mittel an, um die festgestellten Unvereinbarkeiten zu beheben. </w:t>
      </w:r>
      <w:r>
        <w:rPr>
          <w:rStyle w:val="Satznummer"/>
        </w:rPr>
        <w:t>2</w:t>
      </w:r>
      <w:r>
        <w:t>Erforderlichenfalls leisten die Mitgliedstaaten zu diesem Zweck einander Hilfe; sie nehmen gegebenenfalls eine gemeinsame Haltung ein.</w:t>
      </w:r>
    </w:p>
    <w:p>
      <w:r>
        <w:t>Bei Anwendung der in Absatz 1 bezeichneten Übereinkünfte tragen die Mitgliedstaaten dem Umstand Rechnung, dass die in den Verträgen von jedem Mitgliedstaat gewährten Vorteile Bestandteil der Errichtung der Union sind und daher in untrennbarem Zusammenhang stehen mit der Schaffung gemeinsamer Organe, der Übertragung von Zuständigkeiten auf diese und der Gewährung der gleichen Vorteile durch alle anderen Mitgliedstaaten.</w:t>
      </w:r>
    </w:p>
    <w:p>
      <w:pPr>
        <w:pStyle w:val="Heading2"/>
      </w:pPr>
      <w:bookmarkStart w:id="444" w:name="b441"/>
      <w:r>
        <w:t>Art 352</w:t>
      </w:r>
      <w:r>
        <w:t xml:space="preserve"> </w:t>
      </w:r>
      <w:r>
        <w:rPr>
          <w:rStyle w:val="Suchmarke"/>
        </w:rPr>
        <w:t>#352.#</w:t>
      </w:r>
      <w:bookmarkEnd w:id="444"/>
    </w:p>
    <w:p>
      <w:r>
        <w:rPr>
          <w:color w:val="404040"/>
          <w:sz w:val="21"/>
        </w:rPr>
        <w:t>(ex-Artikel 308 EGV)</w:t>
      </w:r>
    </w:p>
    <w:p>
      <w:r>
        <w:t xml:space="preserve">(1) </w:t>
      </w:r>
      <w:r>
        <w:rPr>
          <w:rStyle w:val="Satznummer"/>
        </w:rPr>
        <w:t>1</w:t>
      </w:r>
      <w:r>
        <w:t xml:space="preserve">Erscheint ein Tätigwerden der Union im Rahmen der in den Verträgen festgelegten Politikbereiche erforderlich, um eines der Ziele der Verträge zu verwirklichen, und sind in den Verträgen die hierfür erforderlichen Befugnisse nicht vorgesehen, so erlässt der Rat einstimmig auf Vorschlag der Kommission und nach Zustimmung des Europäischen Parlaments die geeigneten Vorschriften. </w:t>
      </w:r>
      <w:r>
        <w:rPr>
          <w:rStyle w:val="Satznummer"/>
        </w:rPr>
        <w:t>2</w:t>
      </w:r>
      <w:r>
        <w:t>Werden diese Vorschriften vom Rat gemäß einem besonderen Gesetzgebungsverfahren erlassen, so beschließt er ebenfalls einstimmig auf Vorschlag der Kommission und nach Zustimmung des Europäischen Parlaments.</w:t>
      </w:r>
    </w:p>
    <w:p>
      <w:r>
        <w:t>(2) Die Kommission macht die nationalen Parlamente im Rahmen des Verfahrens zur Kontrolle der Einhaltung des Subsidiaritätsprinzips nach Artikel 5 Absatz 3 des Vertrags über die Europäische Union auf die Vorschläge aufmerksam, die sich auf diesen Artikel stützen.</w:t>
      </w:r>
    </w:p>
    <w:p>
      <w:r>
        <w:t>(3) Die auf diesem Artikel beruhenden Maßnahmen dürfen keine Harmonisierung der Rechtsvorschriften der Mitgliedstaaten in den Fällen beinhalten, in denen die Verträge eine solche Harmonisierung ausschließen.</w:t>
      </w:r>
    </w:p>
    <w:p>
      <w:r>
        <w:t>(4) Dieser Artikel kann nicht als Grundlage für die Verwirklichung von Zielen der Gemeinsamen Außen- und Sicherheitspolitik dienen, und Rechtsakte, die nach diesem Artikel erlassen werden, müssen innerhalb der in Artikel 40 Absatz 2 des Vertrags über die Europäische Union festgelegten Grenzen bleiben.</w:t>
      </w:r>
    </w:p>
    <w:p>
      <w:pPr>
        <w:pStyle w:val="Heading2"/>
      </w:pPr>
      <w:bookmarkStart w:id="445" w:name="b442"/>
      <w:r>
        <w:t>Art 353</w:t>
      </w:r>
      <w:r>
        <w:t xml:space="preserve"> </w:t>
      </w:r>
      <w:r>
        <w:rPr>
          <w:rStyle w:val="Suchmarke"/>
        </w:rPr>
        <w:t>#353.#</w:t>
      </w:r>
      <w:bookmarkEnd w:id="445"/>
    </w:p>
    <w:p>
      <w:r>
        <w:t>Artikel 48 Absatz 7 des Vertrags über die Europäische Union findet keine Anwendung auf die folgenden Artikel:</w:t>
      </w:r>
    </w:p>
    <w:p>
      <w:pPr>
        <w:tabs>
          <w:tab w:pos="567" w:val="left"/>
        </w:tabs>
        <w:ind w:left="567" w:hanging="567"/>
      </w:pPr>
      <w:r>
        <w:t>—</w:t>
      </w:r>
      <w:r>
        <w:tab/>
      </w:r>
      <w:hyperlink w:anchor="b393" w:history="1">
        <w:r>
          <w:rPr>
            <w:color w:val="0A3A8C"/>
            <w:u w:val="single"/>
          </w:rPr>
          <w:t xml:space="preserve">Artikel 311</w:t>
        </w:r>
      </w:hyperlink>
      <w:r>
        <w:t xml:space="preserve"> Absätze 3 und 4,</w:t>
      </w:r>
    </w:p>
    <w:p>
      <w:pPr>
        <w:tabs>
          <w:tab w:pos="567" w:val="left"/>
        </w:tabs>
        <w:ind w:left="567" w:hanging="567"/>
      </w:pPr>
      <w:r>
        <w:t>—</w:t>
      </w:r>
      <w:r>
        <w:tab/>
      </w:r>
      <w:hyperlink w:anchor="b395" w:history="1">
        <w:r>
          <w:rPr>
            <w:color w:val="0A3A8C"/>
            <w:u w:val="single"/>
          </w:rPr>
          <w:t xml:space="preserve">Artikel 312</w:t>
        </w:r>
      </w:hyperlink>
      <w:r>
        <w:t xml:space="preserve"> Absatz 2 Unterabsatz 1,</w:t>
      </w:r>
    </w:p>
    <w:p>
      <w:pPr>
        <w:tabs>
          <w:tab w:pos="567" w:val="left"/>
        </w:tabs>
        <w:ind w:left="567" w:hanging="567"/>
      </w:pPr>
      <w:r>
        <w:t>—</w:t>
      </w:r>
      <w:r>
        <w:tab/>
      </w:r>
      <w:hyperlink w:anchor="b441" w:history="1">
        <w:r>
          <w:rPr>
            <w:color w:val="0A3A8C"/>
            <w:u w:val="single"/>
          </w:rPr>
          <w:t xml:space="preserve">Artikel 352</w:t>
        </w:r>
      </w:hyperlink>
      <w:r>
        <w:t xml:space="preserve"> und</w:t>
      </w:r>
    </w:p>
    <w:p>
      <w:pPr>
        <w:tabs>
          <w:tab w:pos="567" w:val="left"/>
        </w:tabs>
        <w:ind w:left="567" w:hanging="567"/>
      </w:pPr>
      <w:r>
        <w:t>—</w:t>
      </w:r>
      <w:r>
        <w:tab/>
      </w:r>
      <w:hyperlink w:anchor="b443" w:history="1">
        <w:r>
          <w:rPr>
            <w:color w:val="0A3A8C"/>
            <w:u w:val="single"/>
          </w:rPr>
          <w:t xml:space="preserve">Artikel 354</w:t>
        </w:r>
      </w:hyperlink>
      <w:r>
        <w:t>.</w:t>
      </w:r>
    </w:p>
    <w:p>
      <w:pPr>
        <w:pStyle w:val="Heading2"/>
      </w:pPr>
      <w:bookmarkStart w:id="446" w:name="b443"/>
      <w:r>
        <w:t>Art 354</w:t>
      </w:r>
      <w:r>
        <w:t xml:space="preserve"> </w:t>
      </w:r>
      <w:r>
        <w:rPr>
          <w:rStyle w:val="Suchmarke"/>
        </w:rPr>
        <w:t>#354.#</w:t>
      </w:r>
      <w:bookmarkEnd w:id="446"/>
    </w:p>
    <w:p>
      <w:r>
        <w:rPr>
          <w:color w:val="404040"/>
          <w:sz w:val="21"/>
        </w:rPr>
        <w:t>(ex-Artikel 309 EGV)</w:t>
      </w:r>
    </w:p>
    <w:p>
      <w:r>
        <w:rPr>
          <w:rStyle w:val="Satznummer"/>
        </w:rPr>
        <w:t>1</w:t>
      </w:r>
      <w:r>
        <w:t xml:space="preserve">Für die Zwecke des Artikels 7 des Vertrags über die Europäische Union über die Aussetzung bestimmter mit der Zugehörigkeit zur Union verbundener Rechte ist das Mitglied des Europäischen Rates oder des Rates, das den betroffenen Mitgliedstaat vertritt, nicht stimmberechtigt und der betreffende Mitgliedstaat wird bei der Berechnung des Drittels oder der vier Fünftel der Mitgliedstaaten nach den Absätzen 1 und 2 des genannten Artikels nicht berücksichtigt. </w:t>
      </w:r>
      <w:r>
        <w:rPr>
          <w:rStyle w:val="Satznummer"/>
        </w:rPr>
        <w:t>2</w:t>
      </w:r>
      <w:r>
        <w:t>Die Stimmenthaltung von anwesenden oder vertretenen Mitgliedern steht dem Erlass von Beschlüssen nach Absatz 2 des genannten Artikels nicht entgegen.</w:t>
      </w:r>
    </w:p>
    <w:p>
      <w:r>
        <w:t>Für den Erlass von Beschlüssen nach Artikel 7 Absätze 3 und 4 des Vertrags über die Europäische Union bestimmt sich die qualifizierte Mehrheit nach Artikel 238 Absatz 3 Buchstabe b dieses Vertrags.</w:t>
      </w:r>
    </w:p>
    <w:p>
      <w:r>
        <w:t>Beschließt der Rat nach dem Erlass eines Beschlusses über die Aussetzung der Stimmrechte nach Artikel 7 Absatz 3 des Vertrags über die Europäische Union auf der Grundlage einer Bestimmung der Verträge mit qualifizierter Mehrheit, so bestimmt sich die qualifizierte Mehrheit hierfür nach Artikel 238 Absatz 3 Buchstabe b dieses Vertrags oder, wenn der Rat auf Vorschlag der Kommission oder des Hohen Vertreters der Union für die Außen- und Sicherheitspolitik handelt, nach Artikel 238 Absatz 3 Buchstabe a.</w:t>
      </w:r>
    </w:p>
    <w:p>
      <w:r>
        <w:t>Für die Zwecke des Artikels 7 des Vertrags über die Europäische Union beschließt das Europäische Parlament mit der Mehrheit von zwei Dritteln der abgegebenen Stimmen und mit der Mehrheit seiner Mitglieder.</w:t>
      </w:r>
    </w:p>
    <w:p>
      <w:pPr>
        <w:pStyle w:val="Heading2"/>
      </w:pPr>
      <w:bookmarkStart w:id="447" w:name="b444"/>
      <w:r>
        <w:t>Art 355</w:t>
      </w:r>
      <w:r>
        <w:t xml:space="preserve"> </w:t>
      </w:r>
      <w:r>
        <w:rPr>
          <w:rStyle w:val="Suchmarke"/>
        </w:rPr>
        <w:t>#355.#</w:t>
      </w:r>
      <w:bookmarkEnd w:id="447"/>
    </w:p>
    <w:p>
      <w:r>
        <w:rPr>
          <w:color w:val="404040"/>
          <w:sz w:val="21"/>
        </w:rPr>
        <w:t>(ex-Artikel 299 Absatz 2 Unterabsatz 1 und Absätze 3 bis 6 EGV)</w:t>
      </w:r>
    </w:p>
    <w:p>
      <w:r>
        <w:t>Zusätzlich zu den Bestimmungen des Artikels 52 des Vertrags über die Europäische Union über den räumlichen Geltungsbereich der Verträge gelten folgende Bestimmungen:</w:t>
      </w:r>
    </w:p>
    <w:p>
      <w:pPr>
        <w:tabs>
          <w:tab w:pos="567" w:val="left"/>
        </w:tabs>
        <w:ind w:left="567" w:hanging="567"/>
      </w:pPr>
      <w:r>
        <w:t>(1)</w:t>
      </w:r>
      <w:r>
        <w:tab/>
      </w:r>
      <w:r>
        <w:t xml:space="preserve">Die Verträge gelten nach </w:t>
      </w:r>
      <w:hyperlink w:anchor="b438" w:history="1">
        <w:r>
          <w:rPr>
            <w:color w:val="0A3A8C"/>
            <w:u w:val="single"/>
          </w:rPr>
          <w:t xml:space="preserve">Artikel 349</w:t>
        </w:r>
      </w:hyperlink>
      <w:r>
        <w:t xml:space="preserve"> für Guadeloupe, Französisch-Guayana, Martinique, Mayotte, Réunion, ————— Saint Martin, die Azoren, Madeira und die Kanarischen Inseln.</w:t>
      </w:r>
    </w:p>
    <w:p>
      <w:pPr>
        <w:tabs>
          <w:tab w:pos="567" w:val="left"/>
        </w:tabs>
        <w:ind w:left="567" w:hanging="567"/>
      </w:pPr>
      <w:r>
        <w:t>(2)</w:t>
      </w:r>
      <w:r>
        <w:tab/>
      </w:r>
      <w:r>
        <w:t>Für die in Anhang II aufgeführten überseeischen Länder und Hoheitsgebiete gilt das besondere Assoziierungssystem, das im Vierten Teil festgelegt ist.</w:t>
      </w:r>
    </w:p>
    <w:p>
      <w:pPr>
        <w:ind w:left="567"/>
      </w:pPr>
      <w:r>
        <w:rPr>
          <w:rStyle w:val="Satznummer"/>
        </w:rPr>
        <w:t>2</w:t>
      </w:r>
      <w:r>
        <w:t>Die Verträge finden keine Anwendung auf die überseeischen Länder und Hoheitsgebiete, die besondere Beziehungen zum Vereinigten Königreich Großbritannien und Nordirland unterhalten und die in dem genannten Anhang nicht aufgeführt sind.</w:t>
      </w:r>
    </w:p>
    <w:p>
      <w:pPr>
        <w:tabs>
          <w:tab w:pos="567" w:val="left"/>
        </w:tabs>
        <w:ind w:left="567" w:hanging="567"/>
      </w:pPr>
      <w:r>
        <w:t>(3)</w:t>
      </w:r>
      <w:r>
        <w:tab/>
      </w:r>
      <w:r>
        <w:t>Die Verträge finden auf die europäischen Hoheitsgebiete Anwendung, deren auswärtige Beziehungen ein Mitgliedstaat wahrnimmt.</w:t>
      </w:r>
    </w:p>
    <w:p>
      <w:pPr>
        <w:tabs>
          <w:tab w:pos="567" w:val="left"/>
        </w:tabs>
        <w:ind w:left="567" w:hanging="567"/>
      </w:pPr>
      <w:r>
        <w:t>(4)</w:t>
      </w:r>
      <w:r>
        <w:tab/>
      </w:r>
      <w:r>
        <w:t>Die Verträge finden entsprechend den Bestimmungen des Protokolls Nr. 2 zur Akte über die Bedingungen des Beitritts der Republik Österreich, der Republik Finnland und des Königreichs Schweden auf die Ålandinseln Anwendung.</w:t>
      </w:r>
    </w:p>
    <w:p>
      <w:pPr>
        <w:tabs>
          <w:tab w:pos="567" w:val="left"/>
        </w:tabs>
        <w:ind w:left="567" w:hanging="567"/>
      </w:pPr>
      <w:r>
        <w:t>(5)</w:t>
      </w:r>
      <w:r>
        <w:tab/>
      </w:r>
      <w:r>
        <w:t>Abweichend von Artikel 52 des Vertrags über die Europäische Union und von den Absätzen 1 bis 4 dieses Artikels gilt:</w:t>
      </w:r>
    </w:p>
    <w:p>
      <w:pPr>
        <w:tabs>
          <w:tab w:pos="1134" w:val="left"/>
        </w:tabs>
        <w:ind w:left="1134" w:hanging="567"/>
      </w:pPr>
      <w:r>
        <w:t>a)</w:t>
      </w:r>
      <w:r>
        <w:tab/>
      </w:r>
      <w:r>
        <w:t>Die Verträge finden auf die Färöer keine Anwendung.</w:t>
      </w:r>
    </w:p>
    <w:p>
      <w:pPr>
        <w:tabs>
          <w:tab w:pos="1134" w:val="left"/>
        </w:tabs>
        <w:ind w:left="1134" w:hanging="567"/>
      </w:pPr>
      <w:r>
        <w:t>b)</w:t>
      </w:r>
      <w:r>
        <w:tab/>
      </w:r>
      <w:r>
        <w:t>Die Verträge finden auf die Hoheitszonen des Vereinigten Königreichs auf Zypern, Akrotiri und Dhekelia, nur insoweit Anwendung, als dies erforderlich ist, um die Anwendung der Regelungen des Protokolls über die Hoheitszonen des Vereinigten Königreichs Großbritannien und Nordirland in Zypern, das der Akte über die Bedingungen des Beitritts der Tschechischen Republik, der Republik Estland, der Republik Zypern, der Republik Lettland, der Republik Litauen, der Republik Ungarn, der Republik Malta, der Republik Polen, der Republik Slowenien und der Slowakischen Republik zur Europäischen Union beigefügt ist, nach Maßgabe jenes Protokolls sicherzustellen.</w:t>
      </w:r>
    </w:p>
    <w:p>
      <w:pPr>
        <w:tabs>
          <w:tab w:pos="1134" w:val="left"/>
        </w:tabs>
        <w:ind w:left="1134" w:hanging="567"/>
      </w:pPr>
      <w:r>
        <w:t>c)</w:t>
      </w:r>
      <w:r>
        <w:tab/>
      </w:r>
      <w:r>
        <w:t>Die Verträge finden auf die Kanalinseln und die Insel Man nur insoweit Anwendung, als dies erforderlich ist, um die Anwendung der Regelung sicherzustellen, die in dem am 22. Januar 1972 unterzeichneten Vertrag über den Beitritt neuer Mitgliedstaaten zur Europäischen Wirtschaftsgemeinschaft und zur Europäischen Atomgemeinschaft für diese Inseln vorgesehen ist.</w:t>
      </w:r>
    </w:p>
    <w:p>
      <w:pPr>
        <w:tabs>
          <w:tab w:pos="567" w:val="left"/>
        </w:tabs>
        <w:ind w:left="567" w:hanging="567"/>
      </w:pPr>
      <w:r>
        <w:t>(6)</w:t>
      </w:r>
      <w:r>
        <w:tab/>
      </w:r>
      <w:r>
        <w:t xml:space="preserve">Der Europäische Rat kann auf Initiative des betroffenen Mitgliedstaats einen Beschluss zur Änderung des Status eines in den Absätzen 1 und 2 genannten dänischen, französischen oder niederländischen Landes oder Hoheitsgebiets gegenüber der Union erlassen. </w:t>
      </w:r>
      <w:r>
        <w:rPr>
          <w:rStyle w:val="Satznummer"/>
        </w:rPr>
        <w:t>2</w:t>
      </w:r>
      <w:r>
        <w:t>Der Europäische Rat beschließt einstimmig nach Anhörung der Kommission.</w:t>
      </w:r>
    </w:p>
    <w:p>
      <w:pPr>
        <w:pStyle w:val="Heading2"/>
      </w:pPr>
      <w:bookmarkStart w:id="448" w:name="b445"/>
      <w:r>
        <w:t>Art 356</w:t>
      </w:r>
      <w:r>
        <w:t xml:space="preserve"> </w:t>
      </w:r>
      <w:r>
        <w:rPr>
          <w:rStyle w:val="Suchmarke"/>
        </w:rPr>
        <w:t>#356.#</w:t>
      </w:r>
      <w:bookmarkEnd w:id="448"/>
    </w:p>
    <w:p>
      <w:r>
        <w:rPr>
          <w:color w:val="404040"/>
          <w:sz w:val="21"/>
        </w:rPr>
        <w:t>(ex-Artikel 312 EGV)</w:t>
      </w:r>
    </w:p>
    <w:p>
      <w:r>
        <w:t>Dieser Vertrag gilt auf unbegrenzte Zeit.</w:t>
      </w:r>
    </w:p>
    <w:p>
      <w:pPr>
        <w:pStyle w:val="Heading2"/>
      </w:pPr>
      <w:bookmarkStart w:id="449" w:name="b446"/>
      <w:r>
        <w:t>Art 357</w:t>
      </w:r>
      <w:r>
        <w:t xml:space="preserve"> </w:t>
      </w:r>
      <w:r>
        <w:rPr>
          <w:rStyle w:val="Suchmarke"/>
        </w:rPr>
        <w:t>#357.#</w:t>
      </w:r>
      <w:bookmarkEnd w:id="449"/>
    </w:p>
    <w:p>
      <w:r>
        <w:rPr>
          <w:color w:val="404040"/>
          <w:sz w:val="21"/>
        </w:rPr>
        <w:t>(ex-Artikel 313 EGV)</w:t>
      </w:r>
    </w:p>
    <w:p>
      <w:r>
        <w:rPr>
          <w:rStyle w:val="Satznummer"/>
        </w:rPr>
        <w:t>1</w:t>
      </w:r>
      <w:r>
        <w:t xml:space="preserve">Dieser Vertrag bedarf der Ratifizierung durch die Hohen Vertragsparteien gemäß ihren verfassungsrechtlichen Vorschriften. </w:t>
      </w:r>
      <w:r>
        <w:rPr>
          <w:rStyle w:val="Satznummer"/>
        </w:rPr>
        <w:t>2</w:t>
      </w:r>
      <w:r>
        <w:t>Die Ratifikationsurkunden werden bei der Regierung der Italienischen Republik hinterlegt.</w:t>
      </w:r>
    </w:p>
    <w:p>
      <w:r>
        <w:rPr>
          <w:rStyle w:val="Satznummer"/>
        </w:rPr>
        <w:t>1</w:t>
      </w:r>
      <w:r>
        <w:t xml:space="preserve">Dieser Vertrag tritt am ersten Tag des auf die Hinterlegung der letzten Ratifikationsurkunde folgenden Monats in Kraft. </w:t>
      </w:r>
      <w:r>
        <w:rPr>
          <w:rStyle w:val="Satznummer"/>
        </w:rPr>
        <w:t>2</w:t>
      </w:r>
      <w:r>
        <w:t>Findet diese Hinterlegung weniger als fünfzehn Tage vor Beginn des folgenden Monats statt, so tritt der Vertrag am ersten Tag des zweiten Monats nach dieser Hinterlegung in Kraft.</w:t>
      </w:r>
    </w:p>
    <w:p>
      <w:pPr>
        <w:pStyle w:val="Heading2"/>
      </w:pPr>
      <w:bookmarkStart w:id="450" w:name="b447"/>
      <w:r>
        <w:t>Art 358</w:t>
      </w:r>
      <w:r>
        <w:t xml:space="preserve"> </w:t>
      </w:r>
      <w:r>
        <w:rPr>
          <w:rStyle w:val="Suchmarke"/>
        </w:rPr>
        <w:t>#358.#</w:t>
      </w:r>
      <w:bookmarkEnd w:id="450"/>
    </w:p>
    <w:p>
      <w:r>
        <w:t>Die Bestimmungen des Artikels 55 des Vertrags über die Europäische Union sind auf diesen Vertrag anwendbar.</w:t>
      </w:r>
    </w:p>
    <w:p>
      <w:r>
        <w:t>ZU URKUND DESSEN haben die unterzeichneten Bevollmächtigten ihre Unterschriften unter diesen Vertrag gesetzt.</w:t>
      </w:r>
    </w:p>
    <w:p>
      <w:r>
        <w:t>Geschehen zu Rom am fünfundzwanzigsten März neunzehnhundertsiebenundfünfzig.</w:t>
      </w:r>
    </w:p>
    <w:p>
      <w:r>
        <w:t>(</w:t>
      </w:r>
      <w:r>
        <w:rPr>
          <w:i/>
        </w:rPr>
        <w:t>Aufzählung der Unterzeichner nicht wiedergegeben</w:t>
      </w:r>
      <w:r>
        <w:t>)</w:t>
      </w:r>
    </w:p>
    <w:p>
      <w:pPr>
        <w:spacing w:before="480"/>
      </w:pPr>
      <w:r>
        <w:t xml:space="preserve">Ende des Gesetzes: Vertrag über die Arbeitsweise der Europäischen Union (AEUV)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ur-lex.europa.eu/legal-content/DE/TXT/?uri=CELEX:02016E/TXT-20250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 über die Arbeitsweise der Europäischen Union (AEUV)</dc:title>
  <dc:subject>Nicht amtliche Fassung</dc:subject>
  <dc:creator>Barrierefreie Gesetze</dc:creator>
  <cp:keywords/>
  <dc:description/>
  <cp:lastModifiedBy>Barrierefreie Gesetze</cp:lastModifiedBy>
  <cp:revision>1</cp:revision>
  <dcterms:created xsi:type="dcterms:W3CDTF">2026-10-20T13:32:19Z</dcterms:created>
  <dcterms:modified xsi:type="dcterms:W3CDTF">2026-10-20T13:32:19Z</dcterms:modified>
  <cp:category/>
  <dc:language>de-DE</dc:language>
</cp:coreProperties>
</file>