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Zivilprozessordnung (ZPO)</w:t>
      </w:r>
    </w:p>
    <w:p>
      <w:pPr>
        <w:pStyle w:val="Stand"/>
      </w:pPr>
      <w:r>
        <w:rPr>
          <w:b/>
        </w:rPr>
        <w:t>Nicht amtliche Fassung.</w:t>
      </w:r>
    </w:p>
    <w:p>
      <w:pPr>
        <w:pStyle w:val="Stand"/>
      </w:pPr>
      <w:r>
        <w:t>Die Satznummern sind berechnet, nicht amtlich.</w:t>
      </w:r>
    </w:p>
    <w:p>
      <w:pPr>
        <w:pStyle w:val="Stand"/>
      </w:pPr>
      <w:r>
        <w:rPr>
          <w:b/>
        </w:rPr>
        <w:t xml:space="preserve">Erstfassung/Ausfertigung: </w:t>
      </w:r>
      <w:r>
        <w:t>12.09.1950</w:t>
      </w:r>
    </w:p>
    <w:p>
      <w:pPr>
        <w:pStyle w:val="Stand"/>
      </w:pPr>
      <w:r>
        <w:rPr>
          <w:b/>
        </w:rPr>
        <w:t xml:space="preserve">Letzte Änderung: </w:t>
      </w:r>
      <w:r>
        <w:t>zuletzt geändert Art. 2 G v. 22.12.2025 I Nr. 349</w:t>
      </w:r>
    </w:p>
    <w:p>
      <w:pPr>
        <w:pStyle w:val="Stand"/>
      </w:pPr>
      <w:r>
        <w:rPr>
          <w:b/>
        </w:rPr>
        <w:t xml:space="preserve">Neufassung: </w:t>
      </w:r>
      <w:r>
        <w:t>Bek. v. 05.12.2005 I 3202; 2006 I 431; 2007 I 1781</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Buch 1 Allgemeine Vorschriften</w:t>
        </w:r>
      </w:hyperlink>
    </w:p>
    <w:p>
      <w:pPr>
        <w:pStyle w:val="Übersicht"/>
        <w:ind w:left="340"/>
      </w:pPr>
      <w:hyperlink w:anchor="b1" w:history="1">
        <w:r>
          <w:rPr>
            <w:b/>
            <w:color w:val="0A3A8C"/>
            <w:u w:val="single"/>
          </w:rPr>
          <w:t xml:space="preserve">Abschnitt 1 Gerichte</w:t>
        </w:r>
      </w:hyperlink>
    </w:p>
    <w:p>
      <w:pPr>
        <w:pStyle w:val="Übersicht"/>
        <w:ind w:left="680"/>
      </w:pPr>
      <w:hyperlink w:anchor="b2" w:history="1">
        <w:r>
          <w:rPr>
            <w:b/>
            <w:color w:val="0A3A8C"/>
            <w:u w:val="single"/>
          </w:rPr>
          <w:t xml:space="preserve">Titel 1 Sachliche Zuständigkeit der
Gerichte und Wertvorschriften</w:t>
        </w:r>
      </w:hyperlink>
    </w:p>
    <w:p>
      <w:pPr>
        <w:pStyle w:val="Übersicht"/>
        <w:ind w:left="1020"/>
      </w:pPr>
      <w:hyperlink w:anchor="b3" w:history="1">
        <w:r>
          <w:rPr>
            <w:color w:val="0A3A8C"/>
            <w:u w:val="single"/>
          </w:rPr>
          <w:t xml:space="preserve">§ 1 Sachliche Zuständigkeit</w:t>
        </w:r>
      </w:hyperlink>
    </w:p>
    <w:p>
      <w:pPr>
        <w:pStyle w:val="Übersicht"/>
        <w:ind w:left="1020"/>
      </w:pPr>
      <w:hyperlink w:anchor="b4" w:history="1">
        <w:r>
          <w:rPr>
            <w:color w:val="0A3A8C"/>
            <w:u w:val="single"/>
          </w:rPr>
          <w:t xml:space="preserve">§ 2 Bedeutung des Wertes</w:t>
        </w:r>
      </w:hyperlink>
    </w:p>
    <w:p>
      <w:pPr>
        <w:pStyle w:val="Übersicht"/>
        <w:ind w:left="1020"/>
      </w:pPr>
      <w:hyperlink w:anchor="b5" w:history="1">
        <w:r>
          <w:rPr>
            <w:color w:val="0A3A8C"/>
            <w:u w:val="single"/>
          </w:rPr>
          <w:t xml:space="preserve">§ 3 Wertfestsetzung nach freiem Ermessen</w:t>
        </w:r>
      </w:hyperlink>
    </w:p>
    <w:p>
      <w:pPr>
        <w:pStyle w:val="Übersicht"/>
        <w:ind w:left="1020"/>
      </w:pPr>
      <w:hyperlink w:anchor="b6" w:history="1">
        <w:r>
          <w:rPr>
            <w:color w:val="0A3A8C"/>
            <w:u w:val="single"/>
          </w:rPr>
          <w:t xml:space="preserve">§ 4 Wertberechnung; Nebenforderungen</w:t>
        </w:r>
      </w:hyperlink>
    </w:p>
    <w:p>
      <w:pPr>
        <w:pStyle w:val="Übersicht"/>
        <w:ind w:left="1020"/>
      </w:pPr>
      <w:hyperlink w:anchor="b7" w:history="1">
        <w:r>
          <w:rPr>
            <w:color w:val="0A3A8C"/>
            <w:u w:val="single"/>
          </w:rPr>
          <w:t xml:space="preserve">§ 5 Mehrere Ansprüche</w:t>
        </w:r>
      </w:hyperlink>
    </w:p>
    <w:p>
      <w:pPr>
        <w:pStyle w:val="Übersicht"/>
        <w:ind w:left="1020"/>
      </w:pPr>
      <w:hyperlink w:anchor="b8" w:history="1">
        <w:r>
          <w:rPr>
            <w:color w:val="0A3A8C"/>
            <w:u w:val="single"/>
          </w:rPr>
          <w:t xml:space="preserve">§ 6 Besitz; Sicherstellung; Pfandrecht</w:t>
        </w:r>
      </w:hyperlink>
    </w:p>
    <w:p>
      <w:pPr>
        <w:pStyle w:val="Übersicht"/>
        <w:ind w:left="1020"/>
      </w:pPr>
      <w:hyperlink w:anchor="b9" w:history="1">
        <w:r>
          <w:rPr>
            <w:color w:val="0A3A8C"/>
            <w:u w:val="single"/>
          </w:rPr>
          <w:t xml:space="preserve">§ 7 Grunddienstbarkeit</w:t>
        </w:r>
      </w:hyperlink>
    </w:p>
    <w:p>
      <w:pPr>
        <w:pStyle w:val="Übersicht"/>
        <w:ind w:left="1020"/>
      </w:pPr>
      <w:hyperlink w:anchor="b10" w:history="1">
        <w:r>
          <w:rPr>
            <w:color w:val="0A3A8C"/>
            <w:u w:val="single"/>
          </w:rPr>
          <w:t xml:space="preserve">§ 8 Pacht- oder Mietverhältnis</w:t>
        </w:r>
      </w:hyperlink>
    </w:p>
    <w:p>
      <w:pPr>
        <w:pStyle w:val="Übersicht"/>
        <w:ind w:left="1020"/>
      </w:pPr>
      <w:hyperlink w:anchor="b11" w:history="1">
        <w:r>
          <w:rPr>
            <w:color w:val="0A3A8C"/>
            <w:u w:val="single"/>
          </w:rPr>
          <w:t xml:space="preserve">§ 9 Wiederkehrende Nutzungen oder Leistungen</w:t>
        </w:r>
      </w:hyperlink>
    </w:p>
    <w:p>
      <w:pPr>
        <w:pStyle w:val="Übersicht"/>
        <w:ind w:left="1020"/>
      </w:pPr>
      <w:hyperlink w:anchor="b12" w:history="1">
        <w:r>
          <w:rPr>
            <w:color w:val="0A3A8C"/>
            <w:u w:val="single"/>
          </w:rPr>
          <w:t xml:space="preserve">§ 10</w:t>
        </w:r>
      </w:hyperlink>
    </w:p>
    <w:p>
      <w:pPr>
        <w:pStyle w:val="Übersicht"/>
        <w:ind w:left="1020"/>
      </w:pPr>
      <w:hyperlink w:anchor="b13" w:history="1">
        <w:r>
          <w:rPr>
            <w:color w:val="0A3A8C"/>
            <w:u w:val="single"/>
          </w:rPr>
          <w:t xml:space="preserve">§ 11 Bindende Entscheidung über Unzuständigkeit</w:t>
        </w:r>
      </w:hyperlink>
    </w:p>
    <w:p>
      <w:pPr>
        <w:pStyle w:val="Übersicht"/>
        <w:ind w:left="680"/>
      </w:pPr>
      <w:hyperlink w:anchor="b14" w:history="1">
        <w:r>
          <w:rPr>
            <w:b/>
            <w:color w:val="0A3A8C"/>
            <w:u w:val="single"/>
          </w:rPr>
          <w:t xml:space="preserve">Titel 2 Gerichtsstand</w:t>
        </w:r>
      </w:hyperlink>
    </w:p>
    <w:p>
      <w:pPr>
        <w:pStyle w:val="Übersicht"/>
        <w:ind w:left="1020"/>
      </w:pPr>
      <w:hyperlink w:anchor="b15" w:history="1">
        <w:r>
          <w:rPr>
            <w:color w:val="0A3A8C"/>
            <w:u w:val="single"/>
          </w:rPr>
          <w:t xml:space="preserve">§ 12 Allgemeiner Gerichtsstand; Begriff</w:t>
        </w:r>
      </w:hyperlink>
    </w:p>
    <w:p>
      <w:pPr>
        <w:pStyle w:val="Übersicht"/>
        <w:ind w:left="1020"/>
      </w:pPr>
      <w:hyperlink w:anchor="b16" w:history="1">
        <w:r>
          <w:rPr>
            <w:color w:val="0A3A8C"/>
            <w:u w:val="single"/>
          </w:rPr>
          <w:t xml:space="preserve">§ 13 Allgemeiner Gerichtsstand des Wohnsitzes</w:t>
        </w:r>
      </w:hyperlink>
    </w:p>
    <w:p>
      <w:pPr>
        <w:pStyle w:val="Übersicht"/>
        <w:ind w:left="1020"/>
      </w:pPr>
      <w:hyperlink w:anchor="b17" w:history="1">
        <w:r>
          <w:rPr>
            <w:color w:val="0A3A8C"/>
            <w:u w:val="single"/>
          </w:rPr>
          <w:t xml:space="preserve">§ 14</w:t>
        </w:r>
      </w:hyperlink>
    </w:p>
    <w:p>
      <w:pPr>
        <w:pStyle w:val="Übersicht"/>
        <w:ind w:left="1020"/>
      </w:pPr>
      <w:hyperlink w:anchor="b18" w:history="1">
        <w:r>
          <w:rPr>
            <w:color w:val="0A3A8C"/>
            <w:u w:val="single"/>
          </w:rPr>
          <w:t xml:space="preserve">§ 15 Allgemeiner Gerichtsstand für exterritoriale Deutsche</w:t>
        </w:r>
      </w:hyperlink>
    </w:p>
    <w:p>
      <w:pPr>
        <w:pStyle w:val="Übersicht"/>
        <w:ind w:left="1020"/>
      </w:pPr>
      <w:hyperlink w:anchor="b19" w:history="1">
        <w:r>
          <w:rPr>
            <w:color w:val="0A3A8C"/>
            <w:u w:val="single"/>
          </w:rPr>
          <w:t xml:space="preserve">§ 16 Allgemeiner Gerichtsstand wohnsitzloser Personen</w:t>
        </w:r>
      </w:hyperlink>
    </w:p>
    <w:p>
      <w:pPr>
        <w:pStyle w:val="Übersicht"/>
        <w:ind w:left="1020"/>
      </w:pPr>
      <w:hyperlink w:anchor="b20" w:history="1">
        <w:r>
          <w:rPr>
            <w:color w:val="0A3A8C"/>
            <w:u w:val="single"/>
          </w:rPr>
          <w:t xml:space="preserve">§ 17 Allgemeiner Gerichtsstand juristischer Personen</w:t>
        </w:r>
      </w:hyperlink>
    </w:p>
    <w:p>
      <w:pPr>
        <w:pStyle w:val="Übersicht"/>
        <w:ind w:left="1020"/>
      </w:pPr>
      <w:hyperlink w:anchor="b21" w:history="1">
        <w:r>
          <w:rPr>
            <w:color w:val="0A3A8C"/>
            <w:u w:val="single"/>
          </w:rPr>
          <w:t xml:space="preserve">§ 18 Allgemeiner Gerichtsstand des Fiskus</w:t>
        </w:r>
      </w:hyperlink>
    </w:p>
    <w:p>
      <w:pPr>
        <w:pStyle w:val="Übersicht"/>
        <w:ind w:left="1020"/>
      </w:pPr>
      <w:hyperlink w:anchor="b22" w:history="1">
        <w:r>
          <w:rPr>
            <w:color w:val="0A3A8C"/>
            <w:u w:val="single"/>
          </w:rPr>
          <w:t xml:space="preserve">§ 19 Mehrere Gerichtsbezirke am Behördensitz</w:t>
        </w:r>
      </w:hyperlink>
    </w:p>
    <w:p>
      <w:pPr>
        <w:pStyle w:val="Übersicht"/>
        <w:ind w:left="1020"/>
      </w:pPr>
      <w:hyperlink w:anchor="b23" w:history="1">
        <w:r>
          <w:rPr>
            <w:color w:val="0A3A8C"/>
            <w:u w:val="single"/>
          </w:rPr>
          <w:t xml:space="preserve">§ 19a Allgemeiner Gerichtsstand des Insolvenzverwalters</w:t>
        </w:r>
      </w:hyperlink>
    </w:p>
    <w:p>
      <w:pPr>
        <w:pStyle w:val="Übersicht"/>
        <w:ind w:left="1020"/>
      </w:pPr>
      <w:hyperlink w:anchor="b24" w:history="1">
        <w:r>
          <w:rPr>
            <w:color w:val="0A3A8C"/>
            <w:u w:val="single"/>
          </w:rPr>
          <w:t xml:space="preserve">§ 19b Ausschließlicher Gerichtsstand bei restrukturierungsbezogenen Klagen; Verordnungsermächtigung</w:t>
        </w:r>
      </w:hyperlink>
    </w:p>
    <w:p>
      <w:pPr>
        <w:pStyle w:val="Übersicht"/>
        <w:ind w:left="1020"/>
      </w:pPr>
      <w:hyperlink w:anchor="b25" w:history="1">
        <w:r>
          <w:rPr>
            <w:color w:val="0A3A8C"/>
            <w:u w:val="single"/>
          </w:rPr>
          <w:t xml:space="preserve">§ 20 Besonderer Gerichtsstand des Aufenthaltsorts</w:t>
        </w:r>
      </w:hyperlink>
    </w:p>
    <w:p>
      <w:pPr>
        <w:pStyle w:val="Übersicht"/>
        <w:ind w:left="1020"/>
      </w:pPr>
      <w:hyperlink w:anchor="b26" w:history="1">
        <w:r>
          <w:rPr>
            <w:color w:val="0A3A8C"/>
            <w:u w:val="single"/>
          </w:rPr>
          <w:t xml:space="preserve">§ 21 Besonderer Gerichtsstand der Niederlassung</w:t>
        </w:r>
      </w:hyperlink>
    </w:p>
    <w:p>
      <w:pPr>
        <w:pStyle w:val="Übersicht"/>
        <w:ind w:left="1020"/>
      </w:pPr>
      <w:hyperlink w:anchor="b27" w:history="1">
        <w:r>
          <w:rPr>
            <w:color w:val="0A3A8C"/>
            <w:u w:val="single"/>
          </w:rPr>
          <w:t xml:space="preserve">§ 22 Besonderer Gerichtsstand der Mitgliedschaft</w:t>
        </w:r>
      </w:hyperlink>
    </w:p>
    <w:p>
      <w:pPr>
        <w:pStyle w:val="Übersicht"/>
        <w:ind w:left="1020"/>
      </w:pPr>
      <w:hyperlink w:anchor="b28" w:history="1">
        <w:r>
          <w:rPr>
            <w:color w:val="0A3A8C"/>
            <w:u w:val="single"/>
          </w:rPr>
          <w:t xml:space="preserve">§ 23 Besonderer Gerichtsstand des Vermögens und des Gegenstands</w:t>
        </w:r>
      </w:hyperlink>
    </w:p>
    <w:p>
      <w:pPr>
        <w:pStyle w:val="Übersicht"/>
        <w:ind w:left="1020"/>
      </w:pPr>
      <w:hyperlink w:anchor="b29" w:history="1">
        <w:r>
          <w:rPr>
            <w:color w:val="0A3A8C"/>
            <w:u w:val="single"/>
          </w:rPr>
          <w:t xml:space="preserve">§ 24 Ausschließlicher dinglicher Gerichtsstand</w:t>
        </w:r>
      </w:hyperlink>
    </w:p>
    <w:p>
      <w:pPr>
        <w:pStyle w:val="Übersicht"/>
        <w:ind w:left="1020"/>
      </w:pPr>
      <w:hyperlink w:anchor="b30" w:history="1">
        <w:r>
          <w:rPr>
            <w:color w:val="0A3A8C"/>
            <w:u w:val="single"/>
          </w:rPr>
          <w:t xml:space="preserve">§ 25 Dinglicher Gerichtsstand des Sachzusammenhanges</w:t>
        </w:r>
      </w:hyperlink>
    </w:p>
    <w:p>
      <w:pPr>
        <w:pStyle w:val="Übersicht"/>
        <w:ind w:left="1020"/>
      </w:pPr>
      <w:hyperlink w:anchor="b31" w:history="1">
        <w:r>
          <w:rPr>
            <w:color w:val="0A3A8C"/>
            <w:u w:val="single"/>
          </w:rPr>
          <w:t xml:space="preserve">§ 26 Dinglicher Gerichtsstand für persönliche Klagen</w:t>
        </w:r>
      </w:hyperlink>
    </w:p>
    <w:p>
      <w:pPr>
        <w:pStyle w:val="Übersicht"/>
        <w:ind w:left="1020"/>
      </w:pPr>
      <w:hyperlink w:anchor="b32" w:history="1">
        <w:r>
          <w:rPr>
            <w:color w:val="0A3A8C"/>
            <w:u w:val="single"/>
          </w:rPr>
          <w:t xml:space="preserve">§ 27 Besonderer Gerichtsstand der Erbschaft</w:t>
        </w:r>
      </w:hyperlink>
    </w:p>
    <w:p>
      <w:pPr>
        <w:pStyle w:val="Übersicht"/>
        <w:ind w:left="1020"/>
      </w:pPr>
      <w:hyperlink w:anchor="b33" w:history="1">
        <w:r>
          <w:rPr>
            <w:color w:val="0A3A8C"/>
            <w:u w:val="single"/>
          </w:rPr>
          <w:t xml:space="preserve">§ 28 Erweiterter Gerichtsstand der Erbschaft</w:t>
        </w:r>
      </w:hyperlink>
    </w:p>
    <w:p>
      <w:pPr>
        <w:pStyle w:val="Übersicht"/>
        <w:ind w:left="1020"/>
      </w:pPr>
      <w:hyperlink w:anchor="b34" w:history="1">
        <w:r>
          <w:rPr>
            <w:color w:val="0A3A8C"/>
            <w:u w:val="single"/>
          </w:rPr>
          <w:t xml:space="preserve">§ 29 Besonderer Gerichtsstand des Erfüllungsorts</w:t>
        </w:r>
      </w:hyperlink>
    </w:p>
    <w:p>
      <w:pPr>
        <w:pStyle w:val="Übersicht"/>
        <w:ind w:left="1020"/>
      </w:pPr>
      <w:hyperlink w:anchor="b35" w:history="1">
        <w:r>
          <w:rPr>
            <w:color w:val="0A3A8C"/>
            <w:u w:val="single"/>
          </w:rPr>
          <w:t xml:space="preserve">§ 29a Ausschließlicher Gerichtsstand bei Miet- oder Pachträumen</w:t>
        </w:r>
      </w:hyperlink>
    </w:p>
    <w:p>
      <w:pPr>
        <w:pStyle w:val="Übersicht"/>
        <w:ind w:left="1020"/>
      </w:pPr>
      <w:hyperlink w:anchor="b36" w:history="1">
        <w:r>
          <w:rPr>
            <w:color w:val="0A3A8C"/>
            <w:u w:val="single"/>
          </w:rPr>
          <w:t xml:space="preserve">§ 29b (weggefallen)</w:t>
        </w:r>
      </w:hyperlink>
    </w:p>
    <w:p>
      <w:pPr>
        <w:pStyle w:val="Übersicht"/>
        <w:ind w:left="1020"/>
      </w:pPr>
      <w:hyperlink w:anchor="b37" w:history="1">
        <w:r>
          <w:rPr>
            <w:color w:val="0A3A8C"/>
            <w:u w:val="single"/>
          </w:rPr>
          <w:t xml:space="preserve">§ 29c Besonderer Gerichtsstand für Haustürgeschäfte</w:t>
        </w:r>
      </w:hyperlink>
    </w:p>
    <w:p>
      <w:pPr>
        <w:pStyle w:val="Übersicht"/>
        <w:ind w:left="1020"/>
      </w:pPr>
      <w:hyperlink w:anchor="b38" w:history="1">
        <w:r>
          <w:rPr>
            <w:color w:val="0A3A8C"/>
            <w:u w:val="single"/>
          </w:rPr>
          <w:t xml:space="preserve">§ 30 Gerichtsstand bei Beförderungen</w:t>
        </w:r>
      </w:hyperlink>
    </w:p>
    <w:p>
      <w:pPr>
        <w:pStyle w:val="Übersicht"/>
        <w:ind w:left="1020"/>
      </w:pPr>
      <w:hyperlink w:anchor="b39" w:history="1">
        <w:r>
          <w:rPr>
            <w:color w:val="0A3A8C"/>
            <w:u w:val="single"/>
          </w:rPr>
          <w:t xml:space="preserve">§ 30a Gerichtsstand bei Bergungsansprüchen</w:t>
        </w:r>
      </w:hyperlink>
    </w:p>
    <w:p>
      <w:pPr>
        <w:pStyle w:val="Übersicht"/>
        <w:ind w:left="1020"/>
      </w:pPr>
      <w:hyperlink w:anchor="b40" w:history="1">
        <w:r>
          <w:rPr>
            <w:color w:val="0A3A8C"/>
            <w:u w:val="single"/>
          </w:rPr>
          <w:t xml:space="preserve">§ 31 Besonderer Gerichtsstand der Vermögensverwaltung</w:t>
        </w:r>
      </w:hyperlink>
    </w:p>
    <w:p>
      <w:pPr>
        <w:pStyle w:val="Übersicht"/>
        <w:ind w:left="1020"/>
      </w:pPr>
      <w:hyperlink w:anchor="b41" w:history="1">
        <w:r>
          <w:rPr>
            <w:color w:val="0A3A8C"/>
            <w:u w:val="single"/>
          </w:rPr>
          <w:t xml:space="preserve">§ 32 Besonderer Gerichtsstand der unerlaubten Handlung</w:t>
        </w:r>
      </w:hyperlink>
    </w:p>
    <w:p>
      <w:pPr>
        <w:pStyle w:val="Übersicht"/>
        <w:ind w:left="1020"/>
      </w:pPr>
      <w:hyperlink w:anchor="b42" w:history="1">
        <w:r>
          <w:rPr>
            <w:color w:val="0A3A8C"/>
            <w:u w:val="single"/>
          </w:rPr>
          <w:t xml:space="preserve">§ 32a Ausschließlicher Gerichtsstand der Umwelteinwirkung</w:t>
        </w:r>
      </w:hyperlink>
    </w:p>
    <w:p>
      <w:pPr>
        <w:pStyle w:val="Übersicht"/>
        <w:ind w:left="1020"/>
      </w:pPr>
      <w:hyperlink w:anchor="b43" w:history="1">
        <w:r>
          <w:rPr>
            <w:color w:val="0A3A8C"/>
            <w:u w:val="single"/>
          </w:rPr>
          <w:t xml:space="preserve">§ 32b Ausschließlicher Gerichtsstand bei musterverfahrensfähigen Ansprüchen</w:t>
        </w:r>
      </w:hyperlink>
    </w:p>
    <w:p>
      <w:pPr>
        <w:pStyle w:val="Übersicht"/>
        <w:ind w:left="1020"/>
      </w:pPr>
      <w:hyperlink w:anchor="b44" w:history="1">
        <w:r>
          <w:rPr>
            <w:color w:val="0A3A8C"/>
            <w:u w:val="single"/>
          </w:rPr>
          <w:t xml:space="preserve">§ 33 Besonderer Gerichtsstand der Widerklage</w:t>
        </w:r>
      </w:hyperlink>
    </w:p>
    <w:p>
      <w:pPr>
        <w:pStyle w:val="Übersicht"/>
        <w:ind w:left="1020"/>
      </w:pPr>
      <w:hyperlink w:anchor="b45" w:history="1">
        <w:r>
          <w:rPr>
            <w:color w:val="0A3A8C"/>
            <w:u w:val="single"/>
          </w:rPr>
          <w:t xml:space="preserve">§ 34 Besonderer Gerichtsstand des Hauptprozesses</w:t>
        </w:r>
      </w:hyperlink>
    </w:p>
    <w:p>
      <w:pPr>
        <w:pStyle w:val="Übersicht"/>
        <w:ind w:left="1020"/>
      </w:pPr>
      <w:hyperlink w:anchor="b46" w:history="1">
        <w:r>
          <w:rPr>
            <w:color w:val="0A3A8C"/>
            <w:u w:val="single"/>
          </w:rPr>
          <w:t xml:space="preserve">§ 35 Wahl unter mehreren Gerichtsständen</w:t>
        </w:r>
      </w:hyperlink>
    </w:p>
    <w:p>
      <w:pPr>
        <w:pStyle w:val="Übersicht"/>
        <w:ind w:left="1020"/>
      </w:pPr>
      <w:hyperlink w:anchor="b47" w:history="1">
        <w:r>
          <w:rPr>
            <w:color w:val="0A3A8C"/>
            <w:u w:val="single"/>
          </w:rPr>
          <w:t xml:space="preserve">§ 36 Gerichtliche Bestimmung der Zuständigkeit</w:t>
        </w:r>
      </w:hyperlink>
    </w:p>
    <w:p>
      <w:pPr>
        <w:pStyle w:val="Übersicht"/>
        <w:ind w:left="1020"/>
      </w:pPr>
      <w:hyperlink w:anchor="b48" w:history="1">
        <w:r>
          <w:rPr>
            <w:color w:val="0A3A8C"/>
            <w:u w:val="single"/>
          </w:rPr>
          <w:t xml:space="preserve">§ 37 Verfahren bei gerichtlicher Bestimmung</w:t>
        </w:r>
      </w:hyperlink>
    </w:p>
    <w:p>
      <w:pPr>
        <w:pStyle w:val="Übersicht"/>
        <w:ind w:left="680"/>
      </w:pPr>
      <w:hyperlink w:anchor="b49" w:history="1">
        <w:r>
          <w:rPr>
            <w:b/>
            <w:color w:val="0A3A8C"/>
            <w:u w:val="single"/>
          </w:rPr>
          <w:t xml:space="preserve">Titel 3 Vereinbarung über die
Zuständigkeit der Gerichte</w:t>
        </w:r>
      </w:hyperlink>
    </w:p>
    <w:p>
      <w:pPr>
        <w:pStyle w:val="Übersicht"/>
        <w:ind w:left="1020"/>
      </w:pPr>
      <w:hyperlink w:anchor="b50" w:history="1">
        <w:r>
          <w:rPr>
            <w:color w:val="0A3A8C"/>
            <w:u w:val="single"/>
          </w:rPr>
          <w:t xml:space="preserve">§ 38 Zugelassene Gerichtsstandsvereinbarung</w:t>
        </w:r>
      </w:hyperlink>
    </w:p>
    <w:p>
      <w:pPr>
        <w:pStyle w:val="Übersicht"/>
        <w:ind w:left="1020"/>
      </w:pPr>
      <w:hyperlink w:anchor="b51" w:history="1">
        <w:r>
          <w:rPr>
            <w:color w:val="0A3A8C"/>
            <w:u w:val="single"/>
          </w:rPr>
          <w:t xml:space="preserve">§ 39 Zuständigkeit infolge rügeloser Verhandlung</w:t>
        </w:r>
      </w:hyperlink>
    </w:p>
    <w:p>
      <w:pPr>
        <w:pStyle w:val="Übersicht"/>
        <w:ind w:left="1020"/>
      </w:pPr>
      <w:hyperlink w:anchor="b52" w:history="1">
        <w:r>
          <w:rPr>
            <w:color w:val="0A3A8C"/>
            <w:u w:val="single"/>
          </w:rPr>
          <w:t xml:space="preserve">§ 40 Unwirksame und unzulässige Gerichtsstandsvereinbarung</w:t>
        </w:r>
      </w:hyperlink>
    </w:p>
    <w:p>
      <w:pPr>
        <w:pStyle w:val="Übersicht"/>
        <w:ind w:left="680"/>
      </w:pPr>
      <w:hyperlink w:anchor="b53" w:history="1">
        <w:r>
          <w:rPr>
            <w:b/>
            <w:color w:val="0A3A8C"/>
            <w:u w:val="single"/>
          </w:rPr>
          <w:t xml:space="preserve">Titel 4 Ausschließung und Ablehnung
der Gerichtspersonen</w:t>
        </w:r>
      </w:hyperlink>
    </w:p>
    <w:p>
      <w:pPr>
        <w:pStyle w:val="Übersicht"/>
        <w:ind w:left="1020"/>
      </w:pPr>
      <w:hyperlink w:anchor="b54" w:history="1">
        <w:r>
          <w:rPr>
            <w:color w:val="0A3A8C"/>
            <w:u w:val="single"/>
          </w:rPr>
          <w:t xml:space="preserve">§ 41 Ausschluss von der Ausübung des Richteramtes</w:t>
        </w:r>
      </w:hyperlink>
    </w:p>
    <w:p>
      <w:pPr>
        <w:pStyle w:val="Übersicht"/>
        <w:ind w:left="1020"/>
      </w:pPr>
      <w:hyperlink w:anchor="b55" w:history="1">
        <w:r>
          <w:rPr>
            <w:color w:val="0A3A8C"/>
            <w:u w:val="single"/>
          </w:rPr>
          <w:t xml:space="preserve">§ 42 Ablehnung eines Richters</w:t>
        </w:r>
      </w:hyperlink>
    </w:p>
    <w:p>
      <w:pPr>
        <w:pStyle w:val="Übersicht"/>
        <w:ind w:left="1020"/>
      </w:pPr>
      <w:hyperlink w:anchor="b56" w:history="1">
        <w:r>
          <w:rPr>
            <w:color w:val="0A3A8C"/>
            <w:u w:val="single"/>
          </w:rPr>
          <w:t xml:space="preserve">§ 43 Verlust des Ablehnungsrechts</w:t>
        </w:r>
      </w:hyperlink>
    </w:p>
    <w:p>
      <w:pPr>
        <w:pStyle w:val="Übersicht"/>
        <w:ind w:left="1020"/>
      </w:pPr>
      <w:hyperlink w:anchor="b57" w:history="1">
        <w:r>
          <w:rPr>
            <w:color w:val="0A3A8C"/>
            <w:u w:val="single"/>
          </w:rPr>
          <w:t xml:space="preserve">§ 44 Ablehnungsgesuch</w:t>
        </w:r>
      </w:hyperlink>
    </w:p>
    <w:p>
      <w:pPr>
        <w:pStyle w:val="Übersicht"/>
        <w:ind w:left="1020"/>
      </w:pPr>
      <w:hyperlink w:anchor="b58" w:history="1">
        <w:r>
          <w:rPr>
            <w:color w:val="0A3A8C"/>
            <w:u w:val="single"/>
          </w:rPr>
          <w:t xml:space="preserve">§ 45 Entscheidung über das Ablehnungsgesuch</w:t>
        </w:r>
      </w:hyperlink>
    </w:p>
    <w:p>
      <w:pPr>
        <w:pStyle w:val="Übersicht"/>
        <w:ind w:left="1020"/>
      </w:pPr>
      <w:hyperlink w:anchor="b59" w:history="1">
        <w:r>
          <w:rPr>
            <w:color w:val="0A3A8C"/>
            <w:u w:val="single"/>
          </w:rPr>
          <w:t xml:space="preserve">§ 46 Entscheidung und Rechtsmittel</w:t>
        </w:r>
      </w:hyperlink>
    </w:p>
    <w:p>
      <w:pPr>
        <w:pStyle w:val="Übersicht"/>
        <w:ind w:left="1020"/>
      </w:pPr>
      <w:hyperlink w:anchor="b60" w:history="1">
        <w:r>
          <w:rPr>
            <w:color w:val="0A3A8C"/>
            <w:u w:val="single"/>
          </w:rPr>
          <w:t xml:space="preserve">§ 47 Unaufschiebbare Amtshandlungen</w:t>
        </w:r>
      </w:hyperlink>
    </w:p>
    <w:p>
      <w:pPr>
        <w:pStyle w:val="Übersicht"/>
        <w:ind w:left="1020"/>
      </w:pPr>
      <w:hyperlink w:anchor="b61" w:history="1">
        <w:r>
          <w:rPr>
            <w:color w:val="0A3A8C"/>
            <w:u w:val="single"/>
          </w:rPr>
          <w:t xml:space="preserve">§ 48 Selbstablehnung; Ablehnung von Amts wegen</w:t>
        </w:r>
      </w:hyperlink>
    </w:p>
    <w:p>
      <w:pPr>
        <w:pStyle w:val="Übersicht"/>
        <w:ind w:left="1020"/>
      </w:pPr>
      <w:hyperlink w:anchor="b62" w:history="1">
        <w:r>
          <w:rPr>
            <w:color w:val="0A3A8C"/>
            <w:u w:val="single"/>
          </w:rPr>
          <w:t xml:space="preserve">§ 49 Urkundsbeamte</w:t>
        </w:r>
      </w:hyperlink>
    </w:p>
    <w:p>
      <w:pPr>
        <w:pStyle w:val="Übersicht"/>
        <w:ind w:left="340"/>
      </w:pPr>
      <w:hyperlink w:anchor="b63" w:history="1">
        <w:r>
          <w:rPr>
            <w:b/>
            <w:color w:val="0A3A8C"/>
            <w:u w:val="single"/>
          </w:rPr>
          <w:t xml:space="preserve">Abschnitt 2 Parteien</w:t>
        </w:r>
      </w:hyperlink>
    </w:p>
    <w:p>
      <w:pPr>
        <w:pStyle w:val="Übersicht"/>
        <w:ind w:left="680"/>
      </w:pPr>
      <w:hyperlink w:anchor="b64" w:history="1">
        <w:r>
          <w:rPr>
            <w:b/>
            <w:color w:val="0A3A8C"/>
            <w:u w:val="single"/>
          </w:rPr>
          <w:t xml:space="preserve">Titel 1 Parteifähigkeit;
Prozessfähigkeit</w:t>
        </w:r>
      </w:hyperlink>
    </w:p>
    <w:p>
      <w:pPr>
        <w:pStyle w:val="Übersicht"/>
        <w:ind w:left="1020"/>
      </w:pPr>
      <w:hyperlink w:anchor="b65" w:history="1">
        <w:r>
          <w:rPr>
            <w:color w:val="0A3A8C"/>
            <w:u w:val="single"/>
          </w:rPr>
          <w:t xml:space="preserve">§ 50 Parteifähigkeit</w:t>
        </w:r>
      </w:hyperlink>
    </w:p>
    <w:p>
      <w:pPr>
        <w:pStyle w:val="Übersicht"/>
        <w:ind w:left="1020"/>
      </w:pPr>
      <w:hyperlink w:anchor="b66" w:history="1">
        <w:r>
          <w:rPr>
            <w:color w:val="0A3A8C"/>
            <w:u w:val="single"/>
          </w:rPr>
          <w:t xml:space="preserve">§ 51 Prozessfähigkeit; gesetzliche Vertretung; Prozessführung</w:t>
        </w:r>
      </w:hyperlink>
    </w:p>
    <w:p>
      <w:pPr>
        <w:pStyle w:val="Übersicht"/>
        <w:ind w:left="1020"/>
      </w:pPr>
      <w:hyperlink w:anchor="b67" w:history="1">
        <w:r>
          <w:rPr>
            <w:color w:val="0A3A8C"/>
            <w:u w:val="single"/>
          </w:rPr>
          <w:t xml:space="preserve">§ 52 Umfang der Prozessfähigkeit</w:t>
        </w:r>
      </w:hyperlink>
    </w:p>
    <w:p>
      <w:pPr>
        <w:pStyle w:val="Übersicht"/>
        <w:ind w:left="1020"/>
      </w:pPr>
      <w:hyperlink w:anchor="b68" w:history="1">
        <w:r>
          <w:rPr>
            <w:color w:val="0A3A8C"/>
            <w:u w:val="single"/>
          </w:rPr>
          <w:t xml:space="preserve">§ 53 Prozessfähigkeit bei rechtlicher Betreuung</w:t>
        </w:r>
      </w:hyperlink>
    </w:p>
    <w:p>
      <w:pPr>
        <w:pStyle w:val="Übersicht"/>
        <w:ind w:left="1020"/>
      </w:pPr>
      <w:hyperlink w:anchor="b69" w:history="1">
        <w:r>
          <w:rPr>
            <w:color w:val="0A3A8C"/>
            <w:u w:val="single"/>
          </w:rPr>
          <w:t xml:space="preserve">§ 54 Besondere Ermächtigung zu Prozesshandlungen</w:t>
        </w:r>
      </w:hyperlink>
    </w:p>
    <w:p>
      <w:pPr>
        <w:pStyle w:val="Übersicht"/>
        <w:ind w:left="1020"/>
      </w:pPr>
      <w:hyperlink w:anchor="b70" w:history="1">
        <w:r>
          <w:rPr>
            <w:color w:val="0A3A8C"/>
            <w:u w:val="single"/>
          </w:rPr>
          <w:t xml:space="preserve">§ 55 Prozessfähigkeit von Ausländern</w:t>
        </w:r>
      </w:hyperlink>
    </w:p>
    <w:p>
      <w:pPr>
        <w:pStyle w:val="Übersicht"/>
        <w:ind w:left="1020"/>
      </w:pPr>
      <w:hyperlink w:anchor="b71" w:history="1">
        <w:r>
          <w:rPr>
            <w:color w:val="0A3A8C"/>
            <w:u w:val="single"/>
          </w:rPr>
          <w:t xml:space="preserve">§ 56 Prüfung von Amts wegen</w:t>
        </w:r>
      </w:hyperlink>
    </w:p>
    <w:p>
      <w:pPr>
        <w:pStyle w:val="Übersicht"/>
        <w:ind w:left="1020"/>
      </w:pPr>
      <w:hyperlink w:anchor="b72" w:history="1">
        <w:r>
          <w:rPr>
            <w:color w:val="0A3A8C"/>
            <w:u w:val="single"/>
          </w:rPr>
          <w:t xml:space="preserve">§ 57 Prozesspfleger</w:t>
        </w:r>
      </w:hyperlink>
    </w:p>
    <w:p>
      <w:pPr>
        <w:pStyle w:val="Übersicht"/>
        <w:ind w:left="1020"/>
      </w:pPr>
      <w:hyperlink w:anchor="b73" w:history="1">
        <w:r>
          <w:rPr>
            <w:color w:val="0A3A8C"/>
            <w:u w:val="single"/>
          </w:rPr>
          <w:t xml:space="preserve">§ 58 Prozesspfleger bei herrenlosem Grundstück oder Schiff</w:t>
        </w:r>
      </w:hyperlink>
    </w:p>
    <w:p>
      <w:pPr>
        <w:pStyle w:val="Übersicht"/>
        <w:ind w:left="680"/>
      </w:pPr>
      <w:hyperlink w:anchor="b74" w:history="1">
        <w:r>
          <w:rPr>
            <w:b/>
            <w:color w:val="0A3A8C"/>
            <w:u w:val="single"/>
          </w:rPr>
          <w:t xml:space="preserve">Titel 2 Streitgenossenschaft</w:t>
        </w:r>
      </w:hyperlink>
    </w:p>
    <w:p>
      <w:pPr>
        <w:pStyle w:val="Übersicht"/>
        <w:ind w:left="1020"/>
      </w:pPr>
      <w:hyperlink w:anchor="b75" w:history="1">
        <w:r>
          <w:rPr>
            <w:color w:val="0A3A8C"/>
            <w:u w:val="single"/>
          </w:rPr>
          <w:t xml:space="preserve">§ 59 Streitgenossenschaft bei Rechtsgemeinschaft oder Identität des Grundes</w:t>
        </w:r>
      </w:hyperlink>
    </w:p>
    <w:p>
      <w:pPr>
        <w:pStyle w:val="Übersicht"/>
        <w:ind w:left="1020"/>
      </w:pPr>
      <w:hyperlink w:anchor="b76" w:history="1">
        <w:r>
          <w:rPr>
            <w:color w:val="0A3A8C"/>
            <w:u w:val="single"/>
          </w:rPr>
          <w:t xml:space="preserve">§ 60 Streitgenossenschaft bei Gleichartigkeit der Ansprüche</w:t>
        </w:r>
      </w:hyperlink>
    </w:p>
    <w:p>
      <w:pPr>
        <w:pStyle w:val="Übersicht"/>
        <w:ind w:left="1020"/>
      </w:pPr>
      <w:hyperlink w:anchor="b77" w:history="1">
        <w:r>
          <w:rPr>
            <w:color w:val="0A3A8C"/>
            <w:u w:val="single"/>
          </w:rPr>
          <w:t xml:space="preserve">§ 61 Wirkung der Streitgenossenschaft</w:t>
        </w:r>
      </w:hyperlink>
    </w:p>
    <w:p>
      <w:pPr>
        <w:pStyle w:val="Übersicht"/>
        <w:ind w:left="1020"/>
      </w:pPr>
      <w:hyperlink w:anchor="b78" w:history="1">
        <w:r>
          <w:rPr>
            <w:color w:val="0A3A8C"/>
            <w:u w:val="single"/>
          </w:rPr>
          <w:t xml:space="preserve">§ 62 Notwendige Streitgenossenschaft</w:t>
        </w:r>
      </w:hyperlink>
    </w:p>
    <w:p>
      <w:pPr>
        <w:pStyle w:val="Übersicht"/>
        <w:ind w:left="1020"/>
      </w:pPr>
      <w:hyperlink w:anchor="b79" w:history="1">
        <w:r>
          <w:rPr>
            <w:color w:val="0A3A8C"/>
            <w:u w:val="single"/>
          </w:rPr>
          <w:t xml:space="preserve">§ 63 Prozessbetrieb; Ladungen</w:t>
        </w:r>
      </w:hyperlink>
    </w:p>
    <w:p>
      <w:pPr>
        <w:pStyle w:val="Übersicht"/>
        <w:ind w:left="680"/>
      </w:pPr>
      <w:hyperlink w:anchor="b80" w:history="1">
        <w:r>
          <w:rPr>
            <w:b/>
            <w:color w:val="0A3A8C"/>
            <w:u w:val="single"/>
          </w:rPr>
          <w:t xml:space="preserve">Titel 3 Beteiligung Dritter am
Rechtsstreit</w:t>
        </w:r>
      </w:hyperlink>
    </w:p>
    <w:p>
      <w:pPr>
        <w:pStyle w:val="Übersicht"/>
        <w:ind w:left="1020"/>
      </w:pPr>
      <w:hyperlink w:anchor="b81" w:history="1">
        <w:r>
          <w:rPr>
            <w:color w:val="0A3A8C"/>
            <w:u w:val="single"/>
          </w:rPr>
          <w:t xml:space="preserve">§ 64 Hauptintervention</w:t>
        </w:r>
      </w:hyperlink>
    </w:p>
    <w:p>
      <w:pPr>
        <w:pStyle w:val="Übersicht"/>
        <w:ind w:left="1020"/>
      </w:pPr>
      <w:hyperlink w:anchor="b82" w:history="1">
        <w:r>
          <w:rPr>
            <w:color w:val="0A3A8C"/>
            <w:u w:val="single"/>
          </w:rPr>
          <w:t xml:space="preserve">§ 65 Aussetzung des Hauptprozesses</w:t>
        </w:r>
      </w:hyperlink>
    </w:p>
    <w:p>
      <w:pPr>
        <w:pStyle w:val="Übersicht"/>
        <w:ind w:left="1020"/>
      </w:pPr>
      <w:hyperlink w:anchor="b83" w:history="1">
        <w:r>
          <w:rPr>
            <w:color w:val="0A3A8C"/>
            <w:u w:val="single"/>
          </w:rPr>
          <w:t xml:space="preserve">§ 66 Nebenintervention</w:t>
        </w:r>
      </w:hyperlink>
    </w:p>
    <w:p>
      <w:pPr>
        <w:pStyle w:val="Übersicht"/>
        <w:ind w:left="1020"/>
      </w:pPr>
      <w:hyperlink w:anchor="b84" w:history="1">
        <w:r>
          <w:rPr>
            <w:color w:val="0A3A8C"/>
            <w:u w:val="single"/>
          </w:rPr>
          <w:t xml:space="preserve">§ 67 Rechtsstellung des Nebenintervenienten</w:t>
        </w:r>
      </w:hyperlink>
    </w:p>
    <w:p>
      <w:pPr>
        <w:pStyle w:val="Übersicht"/>
        <w:ind w:left="1020"/>
      </w:pPr>
      <w:hyperlink w:anchor="b85" w:history="1">
        <w:r>
          <w:rPr>
            <w:color w:val="0A3A8C"/>
            <w:u w:val="single"/>
          </w:rPr>
          <w:t xml:space="preserve">§ 68 Wirkung der Nebenintervention</w:t>
        </w:r>
      </w:hyperlink>
    </w:p>
    <w:p>
      <w:pPr>
        <w:pStyle w:val="Übersicht"/>
        <w:ind w:left="1020"/>
      </w:pPr>
      <w:hyperlink w:anchor="b86" w:history="1">
        <w:r>
          <w:rPr>
            <w:color w:val="0A3A8C"/>
            <w:u w:val="single"/>
          </w:rPr>
          <w:t xml:space="preserve">§ 69 Streitgenössische Nebenintervention</w:t>
        </w:r>
      </w:hyperlink>
    </w:p>
    <w:p>
      <w:pPr>
        <w:pStyle w:val="Übersicht"/>
        <w:ind w:left="1020"/>
      </w:pPr>
      <w:hyperlink w:anchor="b87" w:history="1">
        <w:r>
          <w:rPr>
            <w:color w:val="0A3A8C"/>
            <w:u w:val="single"/>
          </w:rPr>
          <w:t xml:space="preserve">§ 70 Beitritt des Nebenintervenienten</w:t>
        </w:r>
      </w:hyperlink>
    </w:p>
    <w:p>
      <w:pPr>
        <w:pStyle w:val="Übersicht"/>
        <w:ind w:left="1020"/>
      </w:pPr>
      <w:hyperlink w:anchor="b88" w:history="1">
        <w:r>
          <w:rPr>
            <w:color w:val="0A3A8C"/>
            <w:u w:val="single"/>
          </w:rPr>
          <w:t xml:space="preserve">§ 71 Zwischenstreit über Nebenintervention</w:t>
        </w:r>
      </w:hyperlink>
    </w:p>
    <w:p>
      <w:pPr>
        <w:pStyle w:val="Übersicht"/>
        <w:ind w:left="1020"/>
      </w:pPr>
      <w:hyperlink w:anchor="b89" w:history="1">
        <w:r>
          <w:rPr>
            <w:color w:val="0A3A8C"/>
            <w:u w:val="single"/>
          </w:rPr>
          <w:t xml:space="preserve">§ 72 Zulässigkeit der Streitverkündung</w:t>
        </w:r>
      </w:hyperlink>
    </w:p>
    <w:p>
      <w:pPr>
        <w:pStyle w:val="Übersicht"/>
        <w:ind w:left="1020"/>
      </w:pPr>
      <w:hyperlink w:anchor="b90" w:history="1">
        <w:r>
          <w:rPr>
            <w:color w:val="0A3A8C"/>
            <w:u w:val="single"/>
          </w:rPr>
          <w:t xml:space="preserve">§ 73 Form der Streitverkündung</w:t>
        </w:r>
      </w:hyperlink>
    </w:p>
    <w:p>
      <w:pPr>
        <w:pStyle w:val="Übersicht"/>
        <w:ind w:left="1020"/>
      </w:pPr>
      <w:hyperlink w:anchor="b91" w:history="1">
        <w:r>
          <w:rPr>
            <w:color w:val="0A3A8C"/>
            <w:u w:val="single"/>
          </w:rPr>
          <w:t xml:space="preserve">§ 74 Wirkung der Streitverkündung</w:t>
        </w:r>
      </w:hyperlink>
    </w:p>
    <w:p>
      <w:pPr>
        <w:pStyle w:val="Übersicht"/>
        <w:ind w:left="1020"/>
      </w:pPr>
      <w:hyperlink w:anchor="b92" w:history="1">
        <w:r>
          <w:rPr>
            <w:color w:val="0A3A8C"/>
            <w:u w:val="single"/>
          </w:rPr>
          <w:t xml:space="preserve">§ 75 Gläubigerstreit</w:t>
        </w:r>
      </w:hyperlink>
    </w:p>
    <w:p>
      <w:pPr>
        <w:pStyle w:val="Übersicht"/>
        <w:ind w:left="1020"/>
      </w:pPr>
      <w:hyperlink w:anchor="b93" w:history="1">
        <w:r>
          <w:rPr>
            <w:color w:val="0A3A8C"/>
            <w:u w:val="single"/>
          </w:rPr>
          <w:t xml:space="preserve">§ 76 Urheberbenennung bei Besitz</w:t>
        </w:r>
      </w:hyperlink>
    </w:p>
    <w:p>
      <w:pPr>
        <w:pStyle w:val="Übersicht"/>
        <w:ind w:left="1020"/>
      </w:pPr>
      <w:hyperlink w:anchor="b94" w:history="1">
        <w:r>
          <w:rPr>
            <w:color w:val="0A3A8C"/>
            <w:u w:val="single"/>
          </w:rPr>
          <w:t xml:space="preserve">§ 77 Urheberbenennung bei Eigentumsbeeinträchtigung</w:t>
        </w:r>
      </w:hyperlink>
    </w:p>
    <w:p>
      <w:pPr>
        <w:pStyle w:val="Übersicht"/>
        <w:ind w:left="680"/>
      </w:pPr>
      <w:hyperlink w:anchor="b95" w:history="1">
        <w:r>
          <w:rPr>
            <w:b/>
            <w:color w:val="0A3A8C"/>
            <w:u w:val="single"/>
          </w:rPr>
          <w:t xml:space="preserve">Titel 4 Prozessbevollmächtigte und
Beistände</w:t>
        </w:r>
      </w:hyperlink>
    </w:p>
    <w:p>
      <w:pPr>
        <w:pStyle w:val="Übersicht"/>
        <w:ind w:left="1020"/>
      </w:pPr>
      <w:hyperlink w:anchor="b96" w:history="1">
        <w:r>
          <w:rPr>
            <w:color w:val="0A3A8C"/>
            <w:u w:val="single"/>
          </w:rPr>
          <w:t xml:space="preserve">§ 78 Anwaltsprozess</w:t>
        </w:r>
      </w:hyperlink>
    </w:p>
    <w:p>
      <w:pPr>
        <w:pStyle w:val="Übersicht"/>
        <w:ind w:left="1020"/>
      </w:pPr>
      <w:hyperlink w:anchor="b97" w:history="1">
        <w:r>
          <w:rPr>
            <w:color w:val="0A3A8C"/>
            <w:u w:val="single"/>
          </w:rPr>
          <w:t xml:space="preserve">§ 78a</w:t>
        </w:r>
      </w:hyperlink>
    </w:p>
    <w:p>
      <w:pPr>
        <w:pStyle w:val="Übersicht"/>
        <w:ind w:left="1020"/>
      </w:pPr>
      <w:hyperlink w:anchor="b98" w:history="1">
        <w:r>
          <w:rPr>
            <w:color w:val="0A3A8C"/>
            <w:u w:val="single"/>
          </w:rPr>
          <w:t xml:space="preserve">§ 78b Notanwalt</w:t>
        </w:r>
      </w:hyperlink>
    </w:p>
    <w:p>
      <w:pPr>
        <w:pStyle w:val="Übersicht"/>
        <w:ind w:left="1020"/>
      </w:pPr>
      <w:hyperlink w:anchor="b99" w:history="1">
        <w:r>
          <w:rPr>
            <w:color w:val="0A3A8C"/>
            <w:u w:val="single"/>
          </w:rPr>
          <w:t xml:space="preserve">§ 78c Auswahl des Rechtsanwalts</w:t>
        </w:r>
      </w:hyperlink>
    </w:p>
    <w:p>
      <w:pPr>
        <w:pStyle w:val="Übersicht"/>
        <w:ind w:left="1020"/>
      </w:pPr>
      <w:hyperlink w:anchor="b100" w:history="1">
        <w:r>
          <w:rPr>
            <w:color w:val="0A3A8C"/>
            <w:u w:val="single"/>
          </w:rPr>
          <w:t xml:space="preserve">§ 79 Parteiprozess</w:t>
        </w:r>
      </w:hyperlink>
    </w:p>
    <w:p>
      <w:pPr>
        <w:pStyle w:val="Übersicht"/>
        <w:ind w:left="1020"/>
      </w:pPr>
      <w:hyperlink w:anchor="b101" w:history="1">
        <w:r>
          <w:rPr>
            <w:color w:val="0A3A8C"/>
            <w:u w:val="single"/>
          </w:rPr>
          <w:t xml:space="preserve">§ 80 Prozessvollmacht</w:t>
        </w:r>
      </w:hyperlink>
    </w:p>
    <w:p>
      <w:pPr>
        <w:pStyle w:val="Übersicht"/>
        <w:ind w:left="1020"/>
      </w:pPr>
      <w:hyperlink w:anchor="b102" w:history="1">
        <w:r>
          <w:rPr>
            <w:color w:val="0A3A8C"/>
            <w:u w:val="single"/>
          </w:rPr>
          <w:t xml:space="preserve">§ 81 Umfang der Prozessvollmacht</w:t>
        </w:r>
      </w:hyperlink>
    </w:p>
    <w:p>
      <w:pPr>
        <w:pStyle w:val="Übersicht"/>
        <w:ind w:left="1020"/>
      </w:pPr>
      <w:hyperlink w:anchor="b103" w:history="1">
        <w:r>
          <w:rPr>
            <w:color w:val="0A3A8C"/>
            <w:u w:val="single"/>
          </w:rPr>
          <w:t xml:space="preserve">§ 82 Geltung für Nebenverfahren</w:t>
        </w:r>
      </w:hyperlink>
    </w:p>
    <w:p>
      <w:pPr>
        <w:pStyle w:val="Übersicht"/>
        <w:ind w:left="1020"/>
      </w:pPr>
      <w:hyperlink w:anchor="b104" w:history="1">
        <w:r>
          <w:rPr>
            <w:color w:val="0A3A8C"/>
            <w:u w:val="single"/>
          </w:rPr>
          <w:t xml:space="preserve">§ 83 Beschränkung der Prozessvollmacht</w:t>
        </w:r>
      </w:hyperlink>
    </w:p>
    <w:p>
      <w:pPr>
        <w:pStyle w:val="Übersicht"/>
        <w:ind w:left="1020"/>
      </w:pPr>
      <w:hyperlink w:anchor="b105" w:history="1">
        <w:r>
          <w:rPr>
            <w:color w:val="0A3A8C"/>
            <w:u w:val="single"/>
          </w:rPr>
          <w:t xml:space="preserve">§ 84 Mehrere Prozessbevollmächtigte</w:t>
        </w:r>
      </w:hyperlink>
    </w:p>
    <w:p>
      <w:pPr>
        <w:pStyle w:val="Übersicht"/>
        <w:ind w:left="1020"/>
      </w:pPr>
      <w:hyperlink w:anchor="b106" w:history="1">
        <w:r>
          <w:rPr>
            <w:color w:val="0A3A8C"/>
            <w:u w:val="single"/>
          </w:rPr>
          <w:t xml:space="preserve">§ 85 Wirkung der Prozessvollmacht</w:t>
        </w:r>
      </w:hyperlink>
    </w:p>
    <w:p>
      <w:pPr>
        <w:pStyle w:val="Übersicht"/>
        <w:ind w:left="1020"/>
      </w:pPr>
      <w:hyperlink w:anchor="b107" w:history="1">
        <w:r>
          <w:rPr>
            <w:color w:val="0A3A8C"/>
            <w:u w:val="single"/>
          </w:rPr>
          <w:t xml:space="preserve">§ 86 Fortbestand der Prozessvollmacht</w:t>
        </w:r>
      </w:hyperlink>
    </w:p>
    <w:p>
      <w:pPr>
        <w:pStyle w:val="Übersicht"/>
        <w:ind w:left="1020"/>
      </w:pPr>
      <w:hyperlink w:anchor="b108" w:history="1">
        <w:r>
          <w:rPr>
            <w:color w:val="0A3A8C"/>
            <w:u w:val="single"/>
          </w:rPr>
          <w:t xml:space="preserve">§ 87 Erlöschen der Vollmacht</w:t>
        </w:r>
      </w:hyperlink>
    </w:p>
    <w:p>
      <w:pPr>
        <w:pStyle w:val="Übersicht"/>
        <w:ind w:left="1020"/>
      </w:pPr>
      <w:hyperlink w:anchor="b109" w:history="1">
        <w:r>
          <w:rPr>
            <w:color w:val="0A3A8C"/>
            <w:u w:val="single"/>
          </w:rPr>
          <w:t xml:space="preserve">§ 88 Mangel der Vollmacht</w:t>
        </w:r>
      </w:hyperlink>
    </w:p>
    <w:p>
      <w:pPr>
        <w:pStyle w:val="Übersicht"/>
        <w:ind w:left="1020"/>
      </w:pPr>
      <w:hyperlink w:anchor="b110" w:history="1">
        <w:r>
          <w:rPr>
            <w:color w:val="0A3A8C"/>
            <w:u w:val="single"/>
          </w:rPr>
          <w:t xml:space="preserve">§ 89 Vollmachtloser Vertreter</w:t>
        </w:r>
      </w:hyperlink>
    </w:p>
    <w:p>
      <w:pPr>
        <w:pStyle w:val="Übersicht"/>
        <w:ind w:left="1020"/>
      </w:pPr>
      <w:hyperlink w:anchor="b111" w:history="1">
        <w:r>
          <w:rPr>
            <w:color w:val="0A3A8C"/>
            <w:u w:val="single"/>
          </w:rPr>
          <w:t xml:space="preserve">§ 90 Beistand</w:t>
        </w:r>
      </w:hyperlink>
    </w:p>
    <w:p>
      <w:pPr>
        <w:pStyle w:val="Übersicht"/>
        <w:ind w:left="680"/>
      </w:pPr>
      <w:hyperlink w:anchor="b112" w:history="1">
        <w:r>
          <w:rPr>
            <w:b/>
            <w:color w:val="0A3A8C"/>
            <w:u w:val="single"/>
          </w:rPr>
          <w:t xml:space="preserve">Titel 5 Prozesskosten</w:t>
        </w:r>
      </w:hyperlink>
    </w:p>
    <w:p>
      <w:pPr>
        <w:pStyle w:val="Übersicht"/>
        <w:ind w:left="1020"/>
      </w:pPr>
      <w:hyperlink w:anchor="b113" w:history="1">
        <w:r>
          <w:rPr>
            <w:color w:val="0A3A8C"/>
            <w:u w:val="single"/>
          </w:rPr>
          <w:t xml:space="preserve">§ 91 Grundsatz und Umfang der Kostenpflicht</w:t>
        </w:r>
      </w:hyperlink>
    </w:p>
    <w:p>
      <w:pPr>
        <w:pStyle w:val="Übersicht"/>
        <w:ind w:left="1020"/>
      </w:pPr>
      <w:hyperlink w:anchor="b114" w:history="1">
        <w:r>
          <w:rPr>
            <w:color w:val="0A3A8C"/>
            <w:u w:val="single"/>
          </w:rPr>
          <w:t xml:space="preserve">§ 91a Kosten bei Erledigung der Hauptsache</w:t>
        </w:r>
      </w:hyperlink>
    </w:p>
    <w:p>
      <w:pPr>
        <w:pStyle w:val="Übersicht"/>
        <w:ind w:left="1020"/>
      </w:pPr>
      <w:hyperlink w:anchor="b115" w:history="1">
        <w:r>
          <w:rPr>
            <w:color w:val="0A3A8C"/>
            <w:u w:val="single"/>
          </w:rPr>
          <w:t xml:space="preserve">§ 92 Kosten bei teilweisem Obsiegen</w:t>
        </w:r>
      </w:hyperlink>
    </w:p>
    <w:p>
      <w:pPr>
        <w:pStyle w:val="Übersicht"/>
        <w:ind w:left="1020"/>
      </w:pPr>
      <w:hyperlink w:anchor="b116" w:history="1">
        <w:r>
          <w:rPr>
            <w:color w:val="0A3A8C"/>
            <w:u w:val="single"/>
          </w:rPr>
          <w:t xml:space="preserve">§ 93 Kosten bei sofortigem Anerkenntnis</w:t>
        </w:r>
      </w:hyperlink>
    </w:p>
    <w:p>
      <w:pPr>
        <w:pStyle w:val="Übersicht"/>
        <w:ind w:left="1020"/>
      </w:pPr>
      <w:hyperlink w:anchor="b117" w:history="1">
        <w:r>
          <w:rPr>
            <w:color w:val="0A3A8C"/>
            <w:u w:val="single"/>
          </w:rPr>
          <w:t xml:space="preserve">§ 93a (weggefallen)</w:t>
        </w:r>
      </w:hyperlink>
    </w:p>
    <w:p>
      <w:pPr>
        <w:pStyle w:val="Übersicht"/>
        <w:ind w:left="1020"/>
      </w:pPr>
      <w:hyperlink w:anchor="b118" w:history="1">
        <w:r>
          <w:rPr>
            <w:color w:val="0A3A8C"/>
            <w:u w:val="single"/>
          </w:rPr>
          <w:t xml:space="preserve">§ 93b Kosten bei Räumungsklagen</w:t>
        </w:r>
      </w:hyperlink>
    </w:p>
    <w:p>
      <w:pPr>
        <w:pStyle w:val="Übersicht"/>
        <w:ind w:left="1020"/>
      </w:pPr>
      <w:hyperlink w:anchor="b119" w:history="1">
        <w:r>
          <w:rPr>
            <w:color w:val="0A3A8C"/>
            <w:u w:val="single"/>
          </w:rPr>
          <w:t xml:space="preserve">§ 94 Kosten bei übergegangenem Anspruch</w:t>
        </w:r>
      </w:hyperlink>
    </w:p>
    <w:p>
      <w:pPr>
        <w:pStyle w:val="Übersicht"/>
        <w:ind w:left="1020"/>
      </w:pPr>
      <w:hyperlink w:anchor="b120" w:history="1">
        <w:r>
          <w:rPr>
            <w:color w:val="0A3A8C"/>
            <w:u w:val="single"/>
          </w:rPr>
          <w:t xml:space="preserve">§ 95 Kosten bei Säumnis oder Verschulden</w:t>
        </w:r>
      </w:hyperlink>
    </w:p>
    <w:p>
      <w:pPr>
        <w:pStyle w:val="Übersicht"/>
        <w:ind w:left="1020"/>
      </w:pPr>
      <w:hyperlink w:anchor="b121" w:history="1">
        <w:r>
          <w:rPr>
            <w:color w:val="0A3A8C"/>
            <w:u w:val="single"/>
          </w:rPr>
          <w:t xml:space="preserve">§ 96 Kosten erfolgloser Angriffs- oder Verteidigungsmittel</w:t>
        </w:r>
      </w:hyperlink>
    </w:p>
    <w:p>
      <w:pPr>
        <w:pStyle w:val="Übersicht"/>
        <w:ind w:left="1020"/>
      </w:pPr>
      <w:hyperlink w:anchor="b122" w:history="1">
        <w:r>
          <w:rPr>
            <w:color w:val="0A3A8C"/>
            <w:u w:val="single"/>
          </w:rPr>
          <w:t xml:space="preserve">§ 97 Rechtsmittelkosten</w:t>
        </w:r>
      </w:hyperlink>
    </w:p>
    <w:p>
      <w:pPr>
        <w:pStyle w:val="Übersicht"/>
        <w:ind w:left="1020"/>
      </w:pPr>
      <w:hyperlink w:anchor="b123" w:history="1">
        <w:r>
          <w:rPr>
            <w:color w:val="0A3A8C"/>
            <w:u w:val="single"/>
          </w:rPr>
          <w:t xml:space="preserve">§ 98 Vergleichskosten</w:t>
        </w:r>
      </w:hyperlink>
    </w:p>
    <w:p>
      <w:pPr>
        <w:pStyle w:val="Übersicht"/>
        <w:ind w:left="1020"/>
      </w:pPr>
      <w:hyperlink w:anchor="b124" w:history="1">
        <w:r>
          <w:rPr>
            <w:color w:val="0A3A8C"/>
            <w:u w:val="single"/>
          </w:rPr>
          <w:t xml:space="preserve">§ 99 Anfechtung von Kostenentscheidungen</w:t>
        </w:r>
      </w:hyperlink>
    </w:p>
    <w:p>
      <w:pPr>
        <w:pStyle w:val="Übersicht"/>
        <w:ind w:left="1020"/>
      </w:pPr>
      <w:hyperlink w:anchor="b125" w:history="1">
        <w:r>
          <w:rPr>
            <w:color w:val="0A3A8C"/>
            <w:u w:val="single"/>
          </w:rPr>
          <w:t xml:space="preserve">§ 100 Kosten bei Streitgenossen</w:t>
        </w:r>
      </w:hyperlink>
    </w:p>
    <w:p>
      <w:pPr>
        <w:pStyle w:val="Übersicht"/>
        <w:ind w:left="1020"/>
      </w:pPr>
      <w:hyperlink w:anchor="b126" w:history="1">
        <w:r>
          <w:rPr>
            <w:color w:val="0A3A8C"/>
            <w:u w:val="single"/>
          </w:rPr>
          <w:t xml:space="preserve">§ 101 Kosten einer Nebenintervention</w:t>
        </w:r>
      </w:hyperlink>
    </w:p>
    <w:p>
      <w:pPr>
        <w:pStyle w:val="Übersicht"/>
        <w:ind w:left="1020"/>
      </w:pPr>
      <w:hyperlink w:anchor="b127" w:history="1">
        <w:r>
          <w:rPr>
            <w:color w:val="0A3A8C"/>
            <w:u w:val="single"/>
          </w:rPr>
          <w:t xml:space="preserve">§ 102 Änderung der Kostenentscheidung</w:t>
        </w:r>
      </w:hyperlink>
    </w:p>
    <w:p>
      <w:pPr>
        <w:pStyle w:val="Übersicht"/>
        <w:ind w:left="1020"/>
      </w:pPr>
      <w:hyperlink w:anchor="b128" w:history="1">
        <w:r>
          <w:rPr>
            <w:color w:val="0A3A8C"/>
            <w:u w:val="single"/>
          </w:rPr>
          <w:t xml:space="preserve">§ 103 Kostenfestsetzungsgrundlage; Kostenfestsetzungsantrag</w:t>
        </w:r>
      </w:hyperlink>
    </w:p>
    <w:p>
      <w:pPr>
        <w:pStyle w:val="Übersicht"/>
        <w:ind w:left="1020"/>
      </w:pPr>
      <w:hyperlink w:anchor="b129" w:history="1">
        <w:r>
          <w:rPr>
            <w:color w:val="0A3A8C"/>
            <w:u w:val="single"/>
          </w:rPr>
          <w:t xml:space="preserve">§ 104 Kostenfestsetzungsverfahren</w:t>
        </w:r>
      </w:hyperlink>
    </w:p>
    <w:p>
      <w:pPr>
        <w:pStyle w:val="Übersicht"/>
        <w:ind w:left="1020"/>
      </w:pPr>
      <w:hyperlink w:anchor="b130" w:history="1">
        <w:r>
          <w:rPr>
            <w:color w:val="0A3A8C"/>
            <w:u w:val="single"/>
          </w:rPr>
          <w:t xml:space="preserve">§ 105 Vereinfachter Kostenfestsetzungsbeschluss</w:t>
        </w:r>
      </w:hyperlink>
    </w:p>
    <w:p>
      <w:pPr>
        <w:pStyle w:val="Übersicht"/>
        <w:ind w:left="1020"/>
      </w:pPr>
      <w:hyperlink w:anchor="b131" w:history="1">
        <w:r>
          <w:rPr>
            <w:color w:val="0A3A8C"/>
            <w:u w:val="single"/>
          </w:rPr>
          <w:t xml:space="preserve">§ 106 Verteilung nach Quoten</w:t>
        </w:r>
      </w:hyperlink>
    </w:p>
    <w:p>
      <w:pPr>
        <w:pStyle w:val="Übersicht"/>
        <w:ind w:left="1020"/>
      </w:pPr>
      <w:hyperlink w:anchor="b132" w:history="1">
        <w:r>
          <w:rPr>
            <w:color w:val="0A3A8C"/>
            <w:u w:val="single"/>
          </w:rPr>
          <w:t xml:space="preserve">§ 107 Änderung nach Streitwertfestsetzung</w:t>
        </w:r>
      </w:hyperlink>
    </w:p>
    <w:p>
      <w:pPr>
        <w:pStyle w:val="Übersicht"/>
        <w:ind w:left="680"/>
      </w:pPr>
      <w:hyperlink w:anchor="b133" w:history="1">
        <w:r>
          <w:rPr>
            <w:b/>
            <w:color w:val="0A3A8C"/>
            <w:u w:val="single"/>
          </w:rPr>
          <w:t xml:space="preserve">Titel 6 Sicherheitsleistung</w:t>
        </w:r>
      </w:hyperlink>
    </w:p>
    <w:p>
      <w:pPr>
        <w:pStyle w:val="Übersicht"/>
        <w:ind w:left="1020"/>
      </w:pPr>
      <w:hyperlink w:anchor="b134" w:history="1">
        <w:r>
          <w:rPr>
            <w:color w:val="0A3A8C"/>
            <w:u w:val="single"/>
          </w:rPr>
          <w:t xml:space="preserve">§ 108 Art und Höhe der Sicherheit</w:t>
        </w:r>
      </w:hyperlink>
    </w:p>
    <w:p>
      <w:pPr>
        <w:pStyle w:val="Übersicht"/>
        <w:ind w:left="1020"/>
      </w:pPr>
      <w:hyperlink w:anchor="b135" w:history="1">
        <w:r>
          <w:rPr>
            <w:color w:val="0A3A8C"/>
            <w:u w:val="single"/>
          </w:rPr>
          <w:t xml:space="preserve">§ 109 Rückgabe der Sicherheit</w:t>
        </w:r>
      </w:hyperlink>
    </w:p>
    <w:p>
      <w:pPr>
        <w:pStyle w:val="Übersicht"/>
        <w:ind w:left="1020"/>
      </w:pPr>
      <w:hyperlink w:anchor="b136" w:history="1">
        <w:r>
          <w:rPr>
            <w:color w:val="0A3A8C"/>
            <w:u w:val="single"/>
          </w:rPr>
          <w:t xml:space="preserve">§ 110 Prozesskostensicherheit</w:t>
        </w:r>
      </w:hyperlink>
    </w:p>
    <w:p>
      <w:pPr>
        <w:pStyle w:val="Übersicht"/>
        <w:ind w:left="1020"/>
      </w:pPr>
      <w:hyperlink w:anchor="b137" w:history="1">
        <w:r>
          <w:rPr>
            <w:color w:val="0A3A8C"/>
            <w:u w:val="single"/>
          </w:rPr>
          <w:t xml:space="preserve">§ 111 Nachträgliche Prozesskostensicherheit</w:t>
        </w:r>
      </w:hyperlink>
    </w:p>
    <w:p>
      <w:pPr>
        <w:pStyle w:val="Übersicht"/>
        <w:ind w:left="1020"/>
      </w:pPr>
      <w:hyperlink w:anchor="b138" w:history="1">
        <w:r>
          <w:rPr>
            <w:color w:val="0A3A8C"/>
            <w:u w:val="single"/>
          </w:rPr>
          <w:t xml:space="preserve">§ 112 Höhe der Prozesskostensicherheit</w:t>
        </w:r>
      </w:hyperlink>
    </w:p>
    <w:p>
      <w:pPr>
        <w:pStyle w:val="Übersicht"/>
        <w:ind w:left="1020"/>
      </w:pPr>
      <w:hyperlink w:anchor="b139" w:history="1">
        <w:r>
          <w:rPr>
            <w:color w:val="0A3A8C"/>
            <w:u w:val="single"/>
          </w:rPr>
          <w:t xml:space="preserve">§ 113 Fristbestimmung für Prozesskostensicherheit</w:t>
        </w:r>
      </w:hyperlink>
    </w:p>
    <w:p>
      <w:pPr>
        <w:pStyle w:val="Übersicht"/>
        <w:ind w:left="680"/>
      </w:pPr>
      <w:hyperlink w:anchor="b140" w:history="1">
        <w:r>
          <w:rPr>
            <w:b/>
            <w:color w:val="0A3A8C"/>
            <w:u w:val="single"/>
          </w:rPr>
          <w:t xml:space="preserve">Titel 7 Prozesskostenhilfe und
Prozesskostenvorschuss</w:t>
        </w:r>
      </w:hyperlink>
    </w:p>
    <w:p>
      <w:pPr>
        <w:pStyle w:val="Übersicht"/>
        <w:ind w:left="1020"/>
      </w:pPr>
      <w:hyperlink w:anchor="b141" w:history="1">
        <w:r>
          <w:rPr>
            <w:color w:val="0A3A8C"/>
            <w:u w:val="single"/>
          </w:rPr>
          <w:t xml:space="preserve">§ 114 Voraussetzungen</w:t>
        </w:r>
      </w:hyperlink>
    </w:p>
    <w:p>
      <w:pPr>
        <w:pStyle w:val="Übersicht"/>
        <w:ind w:left="1020"/>
      </w:pPr>
      <w:hyperlink w:anchor="b142" w:history="1">
        <w:r>
          <w:rPr>
            <w:color w:val="0A3A8C"/>
            <w:u w:val="single"/>
          </w:rPr>
          <w:t xml:space="preserve">§ 115 Einsatz von Einkommen und Vermögen</w:t>
        </w:r>
      </w:hyperlink>
    </w:p>
    <w:p>
      <w:pPr>
        <w:pStyle w:val="Übersicht"/>
        <w:ind w:left="1020"/>
      </w:pPr>
      <w:hyperlink w:anchor="b143" w:history="1">
        <w:r>
          <w:rPr>
            <w:color w:val="0A3A8C"/>
            <w:u w:val="single"/>
          </w:rPr>
          <w:t xml:space="preserve">§ 116 Partei kraft Amtes; juristische Person; parteifähige Vereinigung</w:t>
        </w:r>
      </w:hyperlink>
    </w:p>
    <w:p>
      <w:pPr>
        <w:pStyle w:val="Übersicht"/>
        <w:ind w:left="1020"/>
      </w:pPr>
      <w:hyperlink w:anchor="b144" w:history="1">
        <w:r>
          <w:rPr>
            <w:color w:val="0A3A8C"/>
            <w:u w:val="single"/>
          </w:rPr>
          <w:t xml:space="preserve">§ 117 Antrag; Verordnungsermächtigung</w:t>
        </w:r>
      </w:hyperlink>
    </w:p>
    <w:p>
      <w:pPr>
        <w:pStyle w:val="Übersicht"/>
        <w:ind w:left="1020"/>
      </w:pPr>
      <w:hyperlink w:anchor="b145" w:history="1">
        <w:r>
          <w:rPr>
            <w:color w:val="0A3A8C"/>
            <w:u w:val="single"/>
          </w:rPr>
          <w:t xml:space="preserve">§ 118 Bewilligungsverfahren</w:t>
        </w:r>
      </w:hyperlink>
    </w:p>
    <w:p>
      <w:pPr>
        <w:pStyle w:val="Übersicht"/>
        <w:ind w:left="1020"/>
      </w:pPr>
      <w:hyperlink w:anchor="b146" w:history="1">
        <w:r>
          <w:rPr>
            <w:color w:val="0A3A8C"/>
            <w:u w:val="single"/>
          </w:rPr>
          <w:t xml:space="preserve">§ 119 Bewilligung</w:t>
        </w:r>
      </w:hyperlink>
    </w:p>
    <w:p>
      <w:pPr>
        <w:pStyle w:val="Übersicht"/>
        <w:ind w:left="1020"/>
      </w:pPr>
      <w:hyperlink w:anchor="b147" w:history="1">
        <w:r>
          <w:rPr>
            <w:color w:val="0A3A8C"/>
            <w:u w:val="single"/>
          </w:rPr>
          <w:t xml:space="preserve">§ 120 Festsetzung von Zahlungen</w:t>
        </w:r>
      </w:hyperlink>
    </w:p>
    <w:p>
      <w:pPr>
        <w:pStyle w:val="Übersicht"/>
        <w:ind w:left="1020"/>
      </w:pPr>
      <w:hyperlink w:anchor="b148" w:history="1">
        <w:r>
          <w:rPr>
            <w:color w:val="0A3A8C"/>
            <w:u w:val="single"/>
          </w:rPr>
          <w:t xml:space="preserve">§ 120a Änderung der Bewilligung</w:t>
        </w:r>
      </w:hyperlink>
    </w:p>
    <w:p>
      <w:pPr>
        <w:pStyle w:val="Übersicht"/>
        <w:ind w:left="1020"/>
      </w:pPr>
      <w:hyperlink w:anchor="b149" w:history="1">
        <w:r>
          <w:rPr>
            <w:color w:val="0A3A8C"/>
            <w:u w:val="single"/>
          </w:rPr>
          <w:t xml:space="preserve">§ 121 Beiordnung eines Rechtsanwalts</w:t>
        </w:r>
      </w:hyperlink>
    </w:p>
    <w:p>
      <w:pPr>
        <w:pStyle w:val="Übersicht"/>
        <w:ind w:left="1020"/>
      </w:pPr>
      <w:hyperlink w:anchor="b150" w:history="1">
        <w:r>
          <w:rPr>
            <w:color w:val="0A3A8C"/>
            <w:u w:val="single"/>
          </w:rPr>
          <w:t xml:space="preserve">§ 122 Wirkung der Prozesskostenhilfe</w:t>
        </w:r>
      </w:hyperlink>
    </w:p>
    <w:p>
      <w:pPr>
        <w:pStyle w:val="Übersicht"/>
        <w:ind w:left="1020"/>
      </w:pPr>
      <w:hyperlink w:anchor="b151" w:history="1">
        <w:r>
          <w:rPr>
            <w:color w:val="0A3A8C"/>
            <w:u w:val="single"/>
          </w:rPr>
          <w:t xml:space="preserve">§ 123 Kostenerstattung</w:t>
        </w:r>
      </w:hyperlink>
    </w:p>
    <w:p>
      <w:pPr>
        <w:pStyle w:val="Übersicht"/>
        <w:ind w:left="1020"/>
      </w:pPr>
      <w:hyperlink w:anchor="b152" w:history="1">
        <w:r>
          <w:rPr>
            <w:color w:val="0A3A8C"/>
            <w:u w:val="single"/>
          </w:rPr>
          <w:t xml:space="preserve">§ 124 Aufhebung der Bewilligung</w:t>
        </w:r>
      </w:hyperlink>
    </w:p>
    <w:p>
      <w:pPr>
        <w:pStyle w:val="Übersicht"/>
        <w:ind w:left="1020"/>
      </w:pPr>
      <w:hyperlink w:anchor="b153" w:history="1">
        <w:r>
          <w:rPr>
            <w:color w:val="0A3A8C"/>
            <w:u w:val="single"/>
          </w:rPr>
          <w:t xml:space="preserve">§ 125 Einziehung der Kosten</w:t>
        </w:r>
      </w:hyperlink>
    </w:p>
    <w:p>
      <w:pPr>
        <w:pStyle w:val="Übersicht"/>
        <w:ind w:left="1020"/>
      </w:pPr>
      <w:hyperlink w:anchor="b154" w:history="1">
        <w:r>
          <w:rPr>
            <w:color w:val="0A3A8C"/>
            <w:u w:val="single"/>
          </w:rPr>
          <w:t xml:space="preserve">§ 126 Beitreibung der Rechtsanwaltskosten</w:t>
        </w:r>
      </w:hyperlink>
    </w:p>
    <w:p>
      <w:pPr>
        <w:pStyle w:val="Übersicht"/>
        <w:ind w:left="1020"/>
      </w:pPr>
      <w:hyperlink w:anchor="b155" w:history="1">
        <w:r>
          <w:rPr>
            <w:color w:val="0A3A8C"/>
            <w:u w:val="single"/>
          </w:rPr>
          <w:t xml:space="preserve">§ 127 Entscheidungen</w:t>
        </w:r>
      </w:hyperlink>
    </w:p>
    <w:p>
      <w:pPr>
        <w:pStyle w:val="Übersicht"/>
        <w:ind w:left="340"/>
      </w:pPr>
      <w:hyperlink w:anchor="b156" w:history="1">
        <w:r>
          <w:rPr>
            <w:b/>
            <w:color w:val="0A3A8C"/>
            <w:u w:val="single"/>
          </w:rPr>
          <w:t xml:space="preserve">Abschnitt 3 Verfahren</w:t>
        </w:r>
      </w:hyperlink>
    </w:p>
    <w:p>
      <w:pPr>
        <w:pStyle w:val="Übersicht"/>
        <w:ind w:left="680"/>
      </w:pPr>
      <w:hyperlink w:anchor="b157" w:history="1">
        <w:r>
          <w:rPr>
            <w:b/>
            <w:color w:val="0A3A8C"/>
            <w:u w:val="single"/>
          </w:rPr>
          <w:t xml:space="preserve">Titel 1 Mündliche Verhandlung</w:t>
        </w:r>
      </w:hyperlink>
    </w:p>
    <w:p>
      <w:pPr>
        <w:pStyle w:val="Übersicht"/>
        <w:ind w:left="1020"/>
      </w:pPr>
      <w:hyperlink w:anchor="b158" w:history="1">
        <w:r>
          <w:rPr>
            <w:color w:val="0A3A8C"/>
            <w:u w:val="single"/>
          </w:rPr>
          <w:t xml:space="preserve">§ 128 Grundsatz der Mündlichkeit; schriftliches Verfahren</w:t>
        </w:r>
      </w:hyperlink>
    </w:p>
    <w:p>
      <w:pPr>
        <w:pStyle w:val="Übersicht"/>
        <w:ind w:left="1020"/>
      </w:pPr>
      <w:hyperlink w:anchor="b159" w:history="1">
        <w:r>
          <w:rPr>
            <w:color w:val="0A3A8C"/>
            <w:u w:val="single"/>
          </w:rPr>
          <w:t xml:space="preserve">§ 128a Videoverhandlung</w:t>
        </w:r>
      </w:hyperlink>
    </w:p>
    <w:p>
      <w:pPr>
        <w:pStyle w:val="Übersicht"/>
        <w:ind w:left="1020"/>
      </w:pPr>
      <w:hyperlink w:anchor="b160" w:history="1">
        <w:r>
          <w:rPr>
            <w:color w:val="0A3A8C"/>
            <w:u w:val="single"/>
          </w:rPr>
          <w:t xml:space="preserve">§ 129 Vorbereitende Schriftsätze</w:t>
        </w:r>
      </w:hyperlink>
    </w:p>
    <w:p>
      <w:pPr>
        <w:pStyle w:val="Übersicht"/>
        <w:ind w:left="1020"/>
      </w:pPr>
      <w:hyperlink w:anchor="b161" w:history="1">
        <w:r>
          <w:rPr>
            <w:color w:val="0A3A8C"/>
            <w:u w:val="single"/>
          </w:rPr>
          <w:t xml:space="preserve">§ 129a Anträge und Erklärungen zu Protokoll</w:t>
        </w:r>
      </w:hyperlink>
    </w:p>
    <w:p>
      <w:pPr>
        <w:pStyle w:val="Übersicht"/>
        <w:ind w:left="1020"/>
      </w:pPr>
      <w:hyperlink w:anchor="b162" w:history="1">
        <w:r>
          <w:rPr>
            <w:color w:val="0A3A8C"/>
            <w:u w:val="single"/>
          </w:rPr>
          <w:t xml:space="preserve">§ 130 Inhalt der Schriftsätze</w:t>
        </w:r>
      </w:hyperlink>
    </w:p>
    <w:p>
      <w:pPr>
        <w:pStyle w:val="Übersicht"/>
        <w:ind w:left="1020"/>
      </w:pPr>
      <w:hyperlink w:anchor="b163" w:history="1">
        <w:r>
          <w:rPr>
            <w:color w:val="0A3A8C"/>
            <w:u w:val="single"/>
          </w:rPr>
          <w:t xml:space="preserve">§ 130a Elektronisches Dokument; Verordnungsermächtigung</w:t>
        </w:r>
      </w:hyperlink>
    </w:p>
    <w:p>
      <w:pPr>
        <w:pStyle w:val="Übersicht"/>
        <w:ind w:left="1020"/>
      </w:pPr>
      <w:hyperlink w:anchor="b164" w:history="1">
        <w:r>
          <w:rPr>
            <w:color w:val="0A3A8C"/>
            <w:u w:val="single"/>
          </w:rPr>
          <w:t xml:space="preserve">§ 130b Gerichtliches elektronisches Dokument</w:t>
        </w:r>
      </w:hyperlink>
    </w:p>
    <w:p>
      <w:pPr>
        <w:pStyle w:val="Übersicht"/>
        <w:ind w:left="1020"/>
      </w:pPr>
      <w:hyperlink w:anchor="b165" w:history="1">
        <w:r>
          <w:rPr>
            <w:color w:val="0A3A8C"/>
            <w:u w:val="single"/>
          </w:rPr>
          <w:t xml:space="preserve">§ 130c Formulare; Verordnungsermächtigung</w:t>
        </w:r>
      </w:hyperlink>
    </w:p>
    <w:p>
      <w:pPr>
        <w:pStyle w:val="Übersicht"/>
        <w:ind w:left="1020"/>
      </w:pPr>
      <w:hyperlink w:anchor="b166" w:history="1">
        <w:r>
          <w:rPr>
            <w:color w:val="0A3A8C"/>
            <w:u w:val="single"/>
          </w:rPr>
          <w:t xml:space="preserve">§ 130d Nutzungspflicht für Rechtsanwälte und Behörden</w:t>
        </w:r>
      </w:hyperlink>
    </w:p>
    <w:p>
      <w:pPr>
        <w:pStyle w:val="Übersicht"/>
        <w:ind w:left="1020"/>
      </w:pPr>
      <w:hyperlink w:anchor="b167" w:history="1">
        <w:r>
          <w:rPr>
            <w:color w:val="0A3A8C"/>
            <w:u w:val="single"/>
          </w:rPr>
          <w:t xml:space="preserve">§ 130e Formfiktion</w:t>
        </w:r>
      </w:hyperlink>
    </w:p>
    <w:p>
      <w:pPr>
        <w:pStyle w:val="Übersicht"/>
        <w:ind w:left="1020"/>
      </w:pPr>
      <w:hyperlink w:anchor="b168" w:history="1">
        <w:r>
          <w:rPr>
            <w:color w:val="0A3A8C"/>
            <w:u w:val="single"/>
          </w:rPr>
          <w:t xml:space="preserve">§ 131 Beifügung von Urkunden</w:t>
        </w:r>
      </w:hyperlink>
    </w:p>
    <w:p>
      <w:pPr>
        <w:pStyle w:val="Übersicht"/>
        <w:ind w:left="1020"/>
      </w:pPr>
      <w:hyperlink w:anchor="b169" w:history="1">
        <w:r>
          <w:rPr>
            <w:color w:val="0A3A8C"/>
            <w:u w:val="single"/>
          </w:rPr>
          <w:t xml:space="preserve">§ 132 Fristen für Schriftsätze</w:t>
        </w:r>
      </w:hyperlink>
    </w:p>
    <w:p>
      <w:pPr>
        <w:pStyle w:val="Übersicht"/>
        <w:ind w:left="1020"/>
      </w:pPr>
      <w:hyperlink w:anchor="b170" w:history="1">
        <w:r>
          <w:rPr>
            <w:color w:val="0A3A8C"/>
            <w:u w:val="single"/>
          </w:rPr>
          <w:t xml:space="preserve">§ 133 Abschriften</w:t>
        </w:r>
      </w:hyperlink>
    </w:p>
    <w:p>
      <w:pPr>
        <w:pStyle w:val="Übersicht"/>
        <w:ind w:left="1020"/>
      </w:pPr>
      <w:hyperlink w:anchor="b171" w:history="1">
        <w:r>
          <w:rPr>
            <w:color w:val="0A3A8C"/>
            <w:u w:val="single"/>
          </w:rPr>
          <w:t xml:space="preserve">§ 134 Einsicht von Urkunden</w:t>
        </w:r>
      </w:hyperlink>
    </w:p>
    <w:p>
      <w:pPr>
        <w:pStyle w:val="Übersicht"/>
        <w:ind w:left="1020"/>
      </w:pPr>
      <w:hyperlink w:anchor="b172" w:history="1">
        <w:r>
          <w:rPr>
            <w:color w:val="0A3A8C"/>
            <w:u w:val="single"/>
          </w:rPr>
          <w:t xml:space="preserve">§ 135 Mitteilung von Urkunden unter Rechtsanwälten</w:t>
        </w:r>
      </w:hyperlink>
    </w:p>
    <w:p>
      <w:pPr>
        <w:pStyle w:val="Übersicht"/>
        <w:ind w:left="1020"/>
      </w:pPr>
      <w:hyperlink w:anchor="b173" w:history="1">
        <w:r>
          <w:rPr>
            <w:color w:val="0A3A8C"/>
            <w:u w:val="single"/>
          </w:rPr>
          <w:t xml:space="preserve">§ 136 Prozessleitung durch Vorsitzenden</w:t>
        </w:r>
      </w:hyperlink>
    </w:p>
    <w:p>
      <w:pPr>
        <w:pStyle w:val="Übersicht"/>
        <w:ind w:left="1020"/>
      </w:pPr>
      <w:hyperlink w:anchor="b174" w:history="1">
        <w:r>
          <w:rPr>
            <w:color w:val="0A3A8C"/>
            <w:u w:val="single"/>
          </w:rPr>
          <w:t xml:space="preserve">§ 137 Gang der mündlichen Verhandlung</w:t>
        </w:r>
      </w:hyperlink>
    </w:p>
    <w:p>
      <w:pPr>
        <w:pStyle w:val="Übersicht"/>
        <w:ind w:left="1020"/>
      </w:pPr>
      <w:hyperlink w:anchor="b175" w:history="1">
        <w:r>
          <w:rPr>
            <w:color w:val="0A3A8C"/>
            <w:u w:val="single"/>
          </w:rPr>
          <w:t xml:space="preserve">§ 138 Erklärungspflicht über Tatsachen; Wahrheitspflicht</w:t>
        </w:r>
      </w:hyperlink>
    </w:p>
    <w:p>
      <w:pPr>
        <w:pStyle w:val="Übersicht"/>
        <w:ind w:left="1020"/>
      </w:pPr>
      <w:hyperlink w:anchor="b176" w:history="1">
        <w:r>
          <w:rPr>
            <w:color w:val="0A3A8C"/>
            <w:u w:val="single"/>
          </w:rPr>
          <w:t xml:space="preserve">§ 139 Materielle Prozessleitung</w:t>
        </w:r>
      </w:hyperlink>
    </w:p>
    <w:p>
      <w:pPr>
        <w:pStyle w:val="Übersicht"/>
        <w:ind w:left="1020"/>
      </w:pPr>
      <w:hyperlink w:anchor="b177" w:history="1">
        <w:r>
          <w:rPr>
            <w:color w:val="0A3A8C"/>
            <w:u w:val="single"/>
          </w:rPr>
          <w:t xml:space="preserve">§ 140 Beanstandung von Prozessleitung oder Fragen</w:t>
        </w:r>
      </w:hyperlink>
    </w:p>
    <w:p>
      <w:pPr>
        <w:pStyle w:val="Übersicht"/>
        <w:ind w:left="1020"/>
      </w:pPr>
      <w:hyperlink w:anchor="b178" w:history="1">
        <w:r>
          <w:rPr>
            <w:color w:val="0A3A8C"/>
            <w:u w:val="single"/>
          </w:rPr>
          <w:t xml:space="preserve">§ 141 Anordnung des persönlichen Erscheinens</w:t>
        </w:r>
      </w:hyperlink>
    </w:p>
    <w:p>
      <w:pPr>
        <w:pStyle w:val="Übersicht"/>
        <w:ind w:left="1020"/>
      </w:pPr>
      <w:hyperlink w:anchor="b179" w:history="1">
        <w:r>
          <w:rPr>
            <w:color w:val="0A3A8C"/>
            <w:u w:val="single"/>
          </w:rPr>
          <w:t xml:space="preserve">§ 142 Anordnung der Urkundenvorlegung</w:t>
        </w:r>
      </w:hyperlink>
    </w:p>
    <w:p>
      <w:pPr>
        <w:pStyle w:val="Übersicht"/>
        <w:ind w:left="1020"/>
      </w:pPr>
      <w:hyperlink w:anchor="b180" w:history="1">
        <w:r>
          <w:rPr>
            <w:color w:val="0A3A8C"/>
            <w:u w:val="single"/>
          </w:rPr>
          <w:t xml:space="preserve">§ 143 Anordnung der Aktenübermittlung</w:t>
        </w:r>
      </w:hyperlink>
    </w:p>
    <w:p>
      <w:pPr>
        <w:pStyle w:val="Übersicht"/>
        <w:ind w:left="1020"/>
      </w:pPr>
      <w:hyperlink w:anchor="b181" w:history="1">
        <w:r>
          <w:rPr>
            <w:color w:val="0A3A8C"/>
            <w:u w:val="single"/>
          </w:rPr>
          <w:t xml:space="preserve">§ 144 Augenschein; Sachverständige</w:t>
        </w:r>
      </w:hyperlink>
    </w:p>
    <w:p>
      <w:pPr>
        <w:pStyle w:val="Übersicht"/>
        <w:ind w:left="1020"/>
      </w:pPr>
      <w:hyperlink w:anchor="b182" w:history="1">
        <w:r>
          <w:rPr>
            <w:color w:val="0A3A8C"/>
            <w:u w:val="single"/>
          </w:rPr>
          <w:t xml:space="preserve">§ 145 Prozesstrennung</w:t>
        </w:r>
      </w:hyperlink>
    </w:p>
    <w:p>
      <w:pPr>
        <w:pStyle w:val="Übersicht"/>
        <w:ind w:left="1020"/>
      </w:pPr>
      <w:hyperlink w:anchor="b183" w:history="1">
        <w:r>
          <w:rPr>
            <w:color w:val="0A3A8C"/>
            <w:u w:val="single"/>
          </w:rPr>
          <w:t xml:space="preserve">§ 146 Beschränkung auf einzelne Angriffs- und Verteidigungsmittel</w:t>
        </w:r>
      </w:hyperlink>
    </w:p>
    <w:p>
      <w:pPr>
        <w:pStyle w:val="Übersicht"/>
        <w:ind w:left="1020"/>
      </w:pPr>
      <w:hyperlink w:anchor="b184" w:history="1">
        <w:r>
          <w:rPr>
            <w:color w:val="0A3A8C"/>
            <w:u w:val="single"/>
          </w:rPr>
          <w:t xml:space="preserve">§ 147 Prozessverbindung</w:t>
        </w:r>
      </w:hyperlink>
    </w:p>
    <w:p>
      <w:pPr>
        <w:pStyle w:val="Übersicht"/>
        <w:ind w:left="1020"/>
      </w:pPr>
      <w:hyperlink w:anchor="b185" w:history="1">
        <w:r>
          <w:rPr>
            <w:color w:val="0A3A8C"/>
            <w:u w:val="single"/>
          </w:rPr>
          <w:t xml:space="preserve">§ 148 Aussetzung bei Vorgreiflichkeit</w:t>
        </w:r>
      </w:hyperlink>
    </w:p>
    <w:p>
      <w:pPr>
        <w:pStyle w:val="Übersicht"/>
        <w:ind w:left="1020"/>
      </w:pPr>
      <w:hyperlink w:anchor="b186" w:history="1">
        <w:r>
          <w:rPr>
            <w:color w:val="0A3A8C"/>
            <w:u w:val="single"/>
          </w:rPr>
          <w:t xml:space="preserve">§ 149 Aussetzung bei Verdacht einer Straftat</w:t>
        </w:r>
      </w:hyperlink>
    </w:p>
    <w:p>
      <w:pPr>
        <w:pStyle w:val="Übersicht"/>
        <w:ind w:left="1020"/>
      </w:pPr>
      <w:hyperlink w:anchor="b187" w:history="1">
        <w:r>
          <w:rPr>
            <w:color w:val="0A3A8C"/>
            <w:u w:val="single"/>
          </w:rPr>
          <w:t xml:space="preserve">§ 150 Aufhebung von Trennung, Verbindung oder Aussetzung</w:t>
        </w:r>
      </w:hyperlink>
    </w:p>
    <w:p>
      <w:pPr>
        <w:pStyle w:val="Übersicht"/>
        <w:ind w:left="1020"/>
      </w:pPr>
      <w:hyperlink w:anchor="b188" w:history="1">
        <w:r>
          <w:rPr>
            <w:color w:val="0A3A8C"/>
            <w:u w:val="single"/>
          </w:rPr>
          <w:t xml:space="preserve">§ 151</w:t>
        </w:r>
      </w:hyperlink>
    </w:p>
    <w:p>
      <w:pPr>
        <w:pStyle w:val="Übersicht"/>
        <w:ind w:left="1020"/>
      </w:pPr>
      <w:hyperlink w:anchor="b189" w:history="1">
        <w:r>
          <w:rPr>
            <w:color w:val="0A3A8C"/>
            <w:u w:val="single"/>
          </w:rPr>
          <w:t xml:space="preserve">§ 152 Aussetzung bei Eheaufhebungsantrag</w:t>
        </w:r>
      </w:hyperlink>
    </w:p>
    <w:p>
      <w:pPr>
        <w:pStyle w:val="Übersicht"/>
        <w:ind w:left="1020"/>
      </w:pPr>
      <w:hyperlink w:anchor="b190" w:history="1">
        <w:r>
          <w:rPr>
            <w:color w:val="0A3A8C"/>
            <w:u w:val="single"/>
          </w:rPr>
          <w:t xml:space="preserve">§ 153 Aussetzung bei Vaterschaftsanfechtungsklage</w:t>
        </w:r>
      </w:hyperlink>
    </w:p>
    <w:p>
      <w:pPr>
        <w:pStyle w:val="Übersicht"/>
        <w:ind w:left="1020"/>
      </w:pPr>
      <w:hyperlink w:anchor="b191" w:history="1">
        <w:r>
          <w:rPr>
            <w:color w:val="0A3A8C"/>
            <w:u w:val="single"/>
          </w:rPr>
          <w:t xml:space="preserve">§ 154 Aussetzung bei Ehe- oder Kindschaftsstreit</w:t>
        </w:r>
      </w:hyperlink>
    </w:p>
    <w:p>
      <w:pPr>
        <w:pStyle w:val="Übersicht"/>
        <w:ind w:left="1020"/>
      </w:pPr>
      <w:hyperlink w:anchor="b192" w:history="1">
        <w:r>
          <w:rPr>
            <w:color w:val="0A3A8C"/>
            <w:u w:val="single"/>
          </w:rPr>
          <w:t xml:space="preserve">§ 155 Aufhebung der Aussetzung bei Verzögerung</w:t>
        </w:r>
      </w:hyperlink>
    </w:p>
    <w:p>
      <w:pPr>
        <w:pStyle w:val="Übersicht"/>
        <w:ind w:left="1020"/>
      </w:pPr>
      <w:hyperlink w:anchor="b193" w:history="1">
        <w:r>
          <w:rPr>
            <w:color w:val="0A3A8C"/>
            <w:u w:val="single"/>
          </w:rPr>
          <w:t xml:space="preserve">§ 156 Wiedereröffnung der Verhandlung</w:t>
        </w:r>
      </w:hyperlink>
    </w:p>
    <w:p>
      <w:pPr>
        <w:pStyle w:val="Übersicht"/>
        <w:ind w:left="1020"/>
      </w:pPr>
      <w:hyperlink w:anchor="b194" w:history="1">
        <w:r>
          <w:rPr>
            <w:color w:val="0A3A8C"/>
            <w:u w:val="single"/>
          </w:rPr>
          <w:t xml:space="preserve">§ 157 Untervertretung in der Verhandlung</w:t>
        </w:r>
      </w:hyperlink>
    </w:p>
    <w:p>
      <w:pPr>
        <w:pStyle w:val="Übersicht"/>
        <w:ind w:left="1020"/>
      </w:pPr>
      <w:hyperlink w:anchor="b195" w:history="1">
        <w:r>
          <w:rPr>
            <w:color w:val="0A3A8C"/>
            <w:u w:val="single"/>
          </w:rPr>
          <w:t xml:space="preserve">§ 158 Entfernung infolge Prozessleitungsanordnung</w:t>
        </w:r>
      </w:hyperlink>
    </w:p>
    <w:p>
      <w:pPr>
        <w:pStyle w:val="Übersicht"/>
        <w:ind w:left="1020"/>
      </w:pPr>
      <w:hyperlink w:anchor="b196" w:history="1">
        <w:r>
          <w:rPr>
            <w:color w:val="0A3A8C"/>
            <w:u w:val="single"/>
          </w:rPr>
          <w:t xml:space="preserve">§ 159 Protokollaufnahme</w:t>
        </w:r>
      </w:hyperlink>
    </w:p>
    <w:p>
      <w:pPr>
        <w:pStyle w:val="Übersicht"/>
        <w:ind w:left="1020"/>
      </w:pPr>
      <w:hyperlink w:anchor="b197" w:history="1">
        <w:r>
          <w:rPr>
            <w:color w:val="0A3A8C"/>
            <w:u w:val="single"/>
          </w:rPr>
          <w:t xml:space="preserve">§ 160 Inhalt des Protokolls</w:t>
        </w:r>
      </w:hyperlink>
    </w:p>
    <w:p>
      <w:pPr>
        <w:pStyle w:val="Übersicht"/>
        <w:ind w:left="1020"/>
      </w:pPr>
      <w:hyperlink w:anchor="b198" w:history="1">
        <w:r>
          <w:rPr>
            <w:color w:val="0A3A8C"/>
            <w:u w:val="single"/>
          </w:rPr>
          <w:t xml:space="preserve">§ 160a Vorläufige Protokollaufzeichnung</w:t>
        </w:r>
      </w:hyperlink>
    </w:p>
    <w:p>
      <w:pPr>
        <w:pStyle w:val="Übersicht"/>
        <w:ind w:left="1020"/>
      </w:pPr>
      <w:hyperlink w:anchor="b199" w:history="1">
        <w:r>
          <w:rPr>
            <w:color w:val="0A3A8C"/>
            <w:u w:val="single"/>
          </w:rPr>
          <w:t xml:space="preserve">§ 161 Entbehrliche Feststellungen</w:t>
        </w:r>
      </w:hyperlink>
    </w:p>
    <w:p>
      <w:pPr>
        <w:pStyle w:val="Übersicht"/>
        <w:ind w:left="1020"/>
      </w:pPr>
      <w:hyperlink w:anchor="b200" w:history="1">
        <w:r>
          <w:rPr>
            <w:color w:val="0A3A8C"/>
            <w:u w:val="single"/>
          </w:rPr>
          <w:t xml:space="preserve">§ 162 Genehmigung des Protokolls</w:t>
        </w:r>
      </w:hyperlink>
    </w:p>
    <w:p>
      <w:pPr>
        <w:pStyle w:val="Übersicht"/>
        <w:ind w:left="1020"/>
      </w:pPr>
      <w:hyperlink w:anchor="b201" w:history="1">
        <w:r>
          <w:rPr>
            <w:color w:val="0A3A8C"/>
            <w:u w:val="single"/>
          </w:rPr>
          <w:t xml:space="preserve">§ 163 Unterschreiben des Protokolls</w:t>
        </w:r>
      </w:hyperlink>
    </w:p>
    <w:p>
      <w:pPr>
        <w:pStyle w:val="Übersicht"/>
        <w:ind w:left="1020"/>
      </w:pPr>
      <w:hyperlink w:anchor="b202" w:history="1">
        <w:r>
          <w:rPr>
            <w:color w:val="0A3A8C"/>
            <w:u w:val="single"/>
          </w:rPr>
          <w:t xml:space="preserve">§ 164 Protokollberichtigung</w:t>
        </w:r>
      </w:hyperlink>
    </w:p>
    <w:p>
      <w:pPr>
        <w:pStyle w:val="Übersicht"/>
        <w:ind w:left="1020"/>
      </w:pPr>
      <w:hyperlink w:anchor="b203" w:history="1">
        <w:r>
          <w:rPr>
            <w:color w:val="0A3A8C"/>
            <w:u w:val="single"/>
          </w:rPr>
          <w:t xml:space="preserve">§ 165 Beweiskraft des Protokolls</w:t>
        </w:r>
      </w:hyperlink>
    </w:p>
    <w:p>
      <w:pPr>
        <w:pStyle w:val="Übersicht"/>
        <w:ind w:left="680"/>
      </w:pPr>
      <w:hyperlink w:anchor="b204" w:history="1">
        <w:r>
          <w:rPr>
            <w:b/>
            <w:color w:val="0A3A8C"/>
            <w:u w:val="single"/>
          </w:rPr>
          <w:t xml:space="preserve">Titel 2 Verfahren bei Zustellungen</w:t>
        </w:r>
      </w:hyperlink>
    </w:p>
    <w:p>
      <w:pPr>
        <w:pStyle w:val="Übersicht"/>
        <w:ind w:left="1020"/>
      </w:pPr>
      <w:hyperlink w:anchor="b205" w:history="1">
        <w:r>
          <w:rPr>
            <w:b/>
            <w:color w:val="0A3A8C"/>
            <w:u w:val="single"/>
          </w:rPr>
          <w:t xml:space="preserve">Untertitel 1 Zustellungen von Amts wegen</w:t>
        </w:r>
      </w:hyperlink>
    </w:p>
    <w:p>
      <w:pPr>
        <w:pStyle w:val="Übersicht"/>
        <w:ind w:left="1361"/>
      </w:pPr>
      <w:hyperlink w:anchor="b206" w:history="1">
        <w:r>
          <w:rPr>
            <w:color w:val="0A3A8C"/>
            <w:u w:val="single"/>
          </w:rPr>
          <w:t xml:space="preserve">§ 166 Zustellung</w:t>
        </w:r>
      </w:hyperlink>
    </w:p>
    <w:p>
      <w:pPr>
        <w:pStyle w:val="Übersicht"/>
        <w:ind w:left="1361"/>
      </w:pPr>
      <w:hyperlink w:anchor="b207" w:history="1">
        <w:r>
          <w:rPr>
            <w:color w:val="0A3A8C"/>
            <w:u w:val="single"/>
          </w:rPr>
          <w:t xml:space="preserve">§ 167 Rückwirkung der Zustellung</w:t>
        </w:r>
      </w:hyperlink>
    </w:p>
    <w:p>
      <w:pPr>
        <w:pStyle w:val="Übersicht"/>
        <w:ind w:left="1361"/>
      </w:pPr>
      <w:hyperlink w:anchor="b208" w:history="1">
        <w:r>
          <w:rPr>
            <w:color w:val="0A3A8C"/>
            <w:u w:val="single"/>
          </w:rPr>
          <w:t xml:space="preserve">§ 168 Aufgaben der Geschäftsstelle</w:t>
        </w:r>
      </w:hyperlink>
    </w:p>
    <w:p>
      <w:pPr>
        <w:pStyle w:val="Übersicht"/>
        <w:ind w:left="1361"/>
      </w:pPr>
      <w:hyperlink w:anchor="b209" w:history="1">
        <w:r>
          <w:rPr>
            <w:color w:val="0A3A8C"/>
            <w:u w:val="single"/>
          </w:rPr>
          <w:t xml:space="preserve">§ 169 Bescheinigung des Zeitpunktes der Zustellung; Beglaubigung</w:t>
        </w:r>
      </w:hyperlink>
    </w:p>
    <w:p>
      <w:pPr>
        <w:pStyle w:val="Übersicht"/>
        <w:ind w:left="1361"/>
      </w:pPr>
      <w:hyperlink w:anchor="b210" w:history="1">
        <w:r>
          <w:rPr>
            <w:color w:val="0A3A8C"/>
            <w:u w:val="single"/>
          </w:rPr>
          <w:t xml:space="preserve">§ 170 Zustellung an Vertreter</w:t>
        </w:r>
      </w:hyperlink>
    </w:p>
    <w:p>
      <w:pPr>
        <w:pStyle w:val="Übersicht"/>
        <w:ind w:left="1361"/>
      </w:pPr>
      <w:hyperlink w:anchor="b211" w:history="1">
        <w:r>
          <w:rPr>
            <w:color w:val="0A3A8C"/>
            <w:u w:val="single"/>
          </w:rPr>
          <w:t xml:space="preserve">§ 170a Zustellung bei rechtlicher Betreuung</w:t>
        </w:r>
      </w:hyperlink>
    </w:p>
    <w:p>
      <w:pPr>
        <w:pStyle w:val="Übersicht"/>
        <w:ind w:left="1361"/>
      </w:pPr>
      <w:hyperlink w:anchor="b212" w:history="1">
        <w:r>
          <w:rPr>
            <w:color w:val="0A3A8C"/>
            <w:u w:val="single"/>
          </w:rPr>
          <w:t xml:space="preserve">§ 171 Zustellung an Bevollmächtigte</w:t>
        </w:r>
      </w:hyperlink>
    </w:p>
    <w:p>
      <w:pPr>
        <w:pStyle w:val="Übersicht"/>
        <w:ind w:left="1361"/>
      </w:pPr>
      <w:hyperlink w:anchor="b213" w:history="1">
        <w:r>
          <w:rPr>
            <w:color w:val="0A3A8C"/>
            <w:u w:val="single"/>
          </w:rPr>
          <w:t xml:space="preserve">§ 172 Zustellung an Prozessbevollmächtigte</w:t>
        </w:r>
      </w:hyperlink>
    </w:p>
    <w:p>
      <w:pPr>
        <w:pStyle w:val="Übersicht"/>
        <w:ind w:left="1361"/>
      </w:pPr>
      <w:hyperlink w:anchor="b214" w:history="1">
        <w:r>
          <w:rPr>
            <w:color w:val="0A3A8C"/>
            <w:u w:val="single"/>
          </w:rPr>
          <w:t xml:space="preserve">§ 173 Zustellung von elektronischen Dokumenten</w:t>
        </w:r>
      </w:hyperlink>
    </w:p>
    <w:p>
      <w:pPr>
        <w:pStyle w:val="Übersicht"/>
        <w:ind w:left="1361"/>
      </w:pPr>
      <w:hyperlink w:anchor="b215" w:history="1">
        <w:r>
          <w:rPr>
            <w:color w:val="0A3A8C"/>
            <w:u w:val="single"/>
          </w:rPr>
          <w:t xml:space="preserve">§ 174 Zustellung durch Aushändigung an der Amtsstelle</w:t>
        </w:r>
      </w:hyperlink>
    </w:p>
    <w:p>
      <w:pPr>
        <w:pStyle w:val="Übersicht"/>
        <w:ind w:left="1361"/>
      </w:pPr>
      <w:hyperlink w:anchor="b216" w:history="1">
        <w:r>
          <w:rPr>
            <w:color w:val="0A3A8C"/>
            <w:u w:val="single"/>
          </w:rPr>
          <w:t xml:space="preserve">§ 175 Zustellung von Schriftstücken gegen Empfangsbekenntnis</w:t>
        </w:r>
      </w:hyperlink>
    </w:p>
    <w:p>
      <w:pPr>
        <w:pStyle w:val="Übersicht"/>
        <w:ind w:left="1361"/>
      </w:pPr>
      <w:hyperlink w:anchor="b217" w:history="1">
        <w:r>
          <w:rPr>
            <w:color w:val="0A3A8C"/>
            <w:u w:val="single"/>
          </w:rPr>
          <w:t xml:space="preserve">§ 176 Zustellung durch Einschreiben mit Rückschein; Zustellungsauftrag</w:t>
        </w:r>
      </w:hyperlink>
    </w:p>
    <w:p>
      <w:pPr>
        <w:pStyle w:val="Übersicht"/>
        <w:ind w:left="1361"/>
      </w:pPr>
      <w:hyperlink w:anchor="b218" w:history="1">
        <w:r>
          <w:rPr>
            <w:color w:val="0A3A8C"/>
            <w:u w:val="single"/>
          </w:rPr>
          <w:t xml:space="preserve">§ 177 Ort der Zustellung</w:t>
        </w:r>
      </w:hyperlink>
    </w:p>
    <w:p>
      <w:pPr>
        <w:pStyle w:val="Übersicht"/>
        <w:ind w:left="1361"/>
      </w:pPr>
      <w:hyperlink w:anchor="b219" w:history="1">
        <w:r>
          <w:rPr>
            <w:color w:val="0A3A8C"/>
            <w:u w:val="single"/>
          </w:rPr>
          <w:t xml:space="preserve">§ 178 Ersatzzustellung in der Wohnung, in Geschäftsräumen und Einrichtungen</w:t>
        </w:r>
      </w:hyperlink>
    </w:p>
    <w:p>
      <w:pPr>
        <w:pStyle w:val="Übersicht"/>
        <w:ind w:left="1361"/>
      </w:pPr>
      <w:hyperlink w:anchor="b220" w:history="1">
        <w:r>
          <w:rPr>
            <w:color w:val="0A3A8C"/>
            <w:u w:val="single"/>
          </w:rPr>
          <w:t xml:space="preserve">§ 179 Zustellung bei verweigerter Annahme</w:t>
        </w:r>
      </w:hyperlink>
    </w:p>
    <w:p>
      <w:pPr>
        <w:pStyle w:val="Übersicht"/>
        <w:ind w:left="1361"/>
      </w:pPr>
      <w:hyperlink w:anchor="b221" w:history="1">
        <w:r>
          <w:rPr>
            <w:color w:val="0A3A8C"/>
            <w:u w:val="single"/>
          </w:rPr>
          <w:t xml:space="preserve">§ 180 Ersatzzustellung durch Einlegen in den Briefkasten</w:t>
        </w:r>
      </w:hyperlink>
    </w:p>
    <w:p>
      <w:pPr>
        <w:pStyle w:val="Übersicht"/>
        <w:ind w:left="1361"/>
      </w:pPr>
      <w:hyperlink w:anchor="b222" w:history="1">
        <w:r>
          <w:rPr>
            <w:color w:val="0A3A8C"/>
            <w:u w:val="single"/>
          </w:rPr>
          <w:t xml:space="preserve">§ 181 Ersatzzustellung durch Niederlegung</w:t>
        </w:r>
      </w:hyperlink>
    </w:p>
    <w:p>
      <w:pPr>
        <w:pStyle w:val="Übersicht"/>
        <w:ind w:left="1361"/>
      </w:pPr>
      <w:hyperlink w:anchor="b223" w:history="1">
        <w:r>
          <w:rPr>
            <w:color w:val="0A3A8C"/>
            <w:u w:val="single"/>
          </w:rPr>
          <w:t xml:space="preserve">§ 182 Zustellungsurkunde</w:t>
        </w:r>
      </w:hyperlink>
    </w:p>
    <w:p>
      <w:pPr>
        <w:pStyle w:val="Übersicht"/>
        <w:ind w:left="1361"/>
      </w:pPr>
      <w:hyperlink w:anchor="b224" w:history="1">
        <w:r>
          <w:rPr>
            <w:color w:val="0A3A8C"/>
            <w:u w:val="single"/>
          </w:rPr>
          <w:t xml:space="preserve">§ 183 Zustellung im Ausland</w:t>
        </w:r>
      </w:hyperlink>
    </w:p>
    <w:p>
      <w:pPr>
        <w:pStyle w:val="Übersicht"/>
        <w:ind w:left="1361"/>
      </w:pPr>
      <w:hyperlink w:anchor="b225" w:history="1">
        <w:r>
          <w:rPr>
            <w:color w:val="0A3A8C"/>
            <w:u w:val="single"/>
          </w:rPr>
          <w:t xml:space="preserve">§ 184 Zustellungsbevollmächtigter; Zustellung durch Aufgabe zur Post</w:t>
        </w:r>
      </w:hyperlink>
    </w:p>
    <w:p>
      <w:pPr>
        <w:pStyle w:val="Übersicht"/>
        <w:ind w:left="1361"/>
      </w:pPr>
      <w:hyperlink w:anchor="b226" w:history="1">
        <w:r>
          <w:rPr>
            <w:color w:val="0A3A8C"/>
            <w:u w:val="single"/>
          </w:rPr>
          <w:t xml:space="preserve">§ 185 Öffentliche Zustellung</w:t>
        </w:r>
      </w:hyperlink>
    </w:p>
    <w:p>
      <w:pPr>
        <w:pStyle w:val="Übersicht"/>
        <w:ind w:left="1361"/>
      </w:pPr>
      <w:hyperlink w:anchor="b227" w:history="1">
        <w:r>
          <w:rPr>
            <w:color w:val="0A3A8C"/>
            <w:u w:val="single"/>
          </w:rPr>
          <w:t xml:space="preserve">§ 186 Bewilligung und Ausführung der öffentlichen Zustellung</w:t>
        </w:r>
      </w:hyperlink>
    </w:p>
    <w:p>
      <w:pPr>
        <w:pStyle w:val="Übersicht"/>
        <w:ind w:left="1361"/>
      </w:pPr>
      <w:hyperlink w:anchor="b228" w:history="1">
        <w:r>
          <w:rPr>
            <w:color w:val="0A3A8C"/>
            <w:u w:val="single"/>
          </w:rPr>
          <w:t xml:space="preserve">§ 187 Veröffentlichung der Benachrichtigung</w:t>
        </w:r>
      </w:hyperlink>
    </w:p>
    <w:p>
      <w:pPr>
        <w:pStyle w:val="Übersicht"/>
        <w:ind w:left="1361"/>
      </w:pPr>
      <w:hyperlink w:anchor="b229" w:history="1">
        <w:r>
          <w:rPr>
            <w:color w:val="0A3A8C"/>
            <w:u w:val="single"/>
          </w:rPr>
          <w:t xml:space="preserve">§ 188 Zeitpunkt der öffentlichen Zustellung</w:t>
        </w:r>
      </w:hyperlink>
    </w:p>
    <w:p>
      <w:pPr>
        <w:pStyle w:val="Übersicht"/>
        <w:ind w:left="1361"/>
      </w:pPr>
      <w:hyperlink w:anchor="b230" w:history="1">
        <w:r>
          <w:rPr>
            <w:color w:val="0A3A8C"/>
            <w:u w:val="single"/>
          </w:rPr>
          <w:t xml:space="preserve">§ 189 Heilung von Zustellungsmängeln</w:t>
        </w:r>
      </w:hyperlink>
    </w:p>
    <w:p>
      <w:pPr>
        <w:pStyle w:val="Übersicht"/>
        <w:ind w:left="1361"/>
      </w:pPr>
      <w:hyperlink w:anchor="b231" w:history="1">
        <w:r>
          <w:rPr>
            <w:color w:val="0A3A8C"/>
            <w:u w:val="single"/>
          </w:rPr>
          <w:t xml:space="preserve">§ 190 Einheitliche Zustellungsformulare</w:t>
        </w:r>
      </w:hyperlink>
    </w:p>
    <w:p>
      <w:pPr>
        <w:pStyle w:val="Übersicht"/>
        <w:ind w:left="1020"/>
      </w:pPr>
      <w:hyperlink w:anchor="b232" w:history="1">
        <w:r>
          <w:rPr>
            <w:b/>
            <w:color w:val="0A3A8C"/>
            <w:u w:val="single"/>
          </w:rPr>
          <w:t xml:space="preserve">Untertitel 2 Zustellungen auf Betreiben der Parteien</w:t>
        </w:r>
      </w:hyperlink>
    </w:p>
    <w:p>
      <w:pPr>
        <w:pStyle w:val="Übersicht"/>
        <w:ind w:left="1361"/>
      </w:pPr>
      <w:hyperlink w:anchor="b233" w:history="1">
        <w:r>
          <w:rPr>
            <w:color w:val="0A3A8C"/>
            <w:u w:val="single"/>
          </w:rPr>
          <w:t xml:space="preserve">§ 191 Zustellung</w:t>
        </w:r>
      </w:hyperlink>
    </w:p>
    <w:p>
      <w:pPr>
        <w:pStyle w:val="Übersicht"/>
        <w:ind w:left="1361"/>
      </w:pPr>
      <w:hyperlink w:anchor="b234" w:history="1">
        <w:r>
          <w:rPr>
            <w:color w:val="0A3A8C"/>
            <w:u w:val="single"/>
          </w:rPr>
          <w:t xml:space="preserve">§ 192 Zustellung durch Gerichtsvollzieher</w:t>
        </w:r>
      </w:hyperlink>
    </w:p>
    <w:p>
      <w:pPr>
        <w:pStyle w:val="Übersicht"/>
        <w:ind w:left="1361"/>
      </w:pPr>
      <w:hyperlink w:anchor="b235" w:history="1">
        <w:r>
          <w:rPr>
            <w:color w:val="0A3A8C"/>
            <w:u w:val="single"/>
          </w:rPr>
          <w:t xml:space="preserve">§ 193 Zustellung von Schriftstücken</w:t>
        </w:r>
      </w:hyperlink>
    </w:p>
    <w:p>
      <w:pPr>
        <w:pStyle w:val="Übersicht"/>
        <w:ind w:left="1361"/>
      </w:pPr>
      <w:hyperlink w:anchor="b236" w:history="1">
        <w:r>
          <w:rPr>
            <w:color w:val="0A3A8C"/>
            <w:u w:val="single"/>
          </w:rPr>
          <w:t xml:space="preserve">§ 193a Zustellung von elektronischen Dokumenten</w:t>
        </w:r>
      </w:hyperlink>
    </w:p>
    <w:p>
      <w:pPr>
        <w:pStyle w:val="Übersicht"/>
        <w:ind w:left="1361"/>
      </w:pPr>
      <w:hyperlink w:anchor="b237" w:history="1">
        <w:r>
          <w:rPr>
            <w:color w:val="0A3A8C"/>
            <w:u w:val="single"/>
          </w:rPr>
          <w:t xml:space="preserve">§ 194 Zustellungsauftrag</w:t>
        </w:r>
      </w:hyperlink>
    </w:p>
    <w:p>
      <w:pPr>
        <w:pStyle w:val="Übersicht"/>
        <w:ind w:left="1361"/>
      </w:pPr>
      <w:hyperlink w:anchor="b238" w:history="1">
        <w:r>
          <w:rPr>
            <w:color w:val="0A3A8C"/>
            <w:u w:val="single"/>
          </w:rPr>
          <w:t xml:space="preserve">§ 195 Zustellung von Anwalt zu Anwalt</w:t>
        </w:r>
      </w:hyperlink>
    </w:p>
    <w:p>
      <w:pPr>
        <w:pStyle w:val="Übersicht"/>
        <w:ind w:left="1361"/>
      </w:pPr>
      <w:hyperlink w:anchor="b239" w:history="1">
        <w:r>
          <w:rPr>
            <w:color w:val="0A3A8C"/>
            <w:u w:val="single"/>
          </w:rPr>
          <w:t xml:space="preserve">§§ 195a bis 213a (weggefallen)</w:t>
        </w:r>
      </w:hyperlink>
    </w:p>
    <w:p>
      <w:pPr>
        <w:pStyle w:val="Übersicht"/>
        <w:ind w:left="680"/>
      </w:pPr>
      <w:hyperlink w:anchor="b240" w:history="1">
        <w:r>
          <w:rPr>
            <w:b/>
            <w:color w:val="0A3A8C"/>
            <w:u w:val="single"/>
          </w:rPr>
          <w:t xml:space="preserve">Titel 3 Ladungen, Termine und Fristen</w:t>
        </w:r>
      </w:hyperlink>
    </w:p>
    <w:p>
      <w:pPr>
        <w:pStyle w:val="Übersicht"/>
        <w:ind w:left="1020"/>
      </w:pPr>
      <w:hyperlink w:anchor="b241" w:history="1">
        <w:r>
          <w:rPr>
            <w:color w:val="0A3A8C"/>
            <w:u w:val="single"/>
          </w:rPr>
          <w:t xml:space="preserve">§ 214 Ladung zum Termin</w:t>
        </w:r>
      </w:hyperlink>
    </w:p>
    <w:p>
      <w:pPr>
        <w:pStyle w:val="Übersicht"/>
        <w:ind w:left="1020"/>
      </w:pPr>
      <w:hyperlink w:anchor="b242" w:history="1">
        <w:r>
          <w:rPr>
            <w:color w:val="0A3A8C"/>
            <w:u w:val="single"/>
          </w:rPr>
          <w:t xml:space="preserve">§ 215 Notwendiger Inhalt der Ladung zur mündlichen Verhandlung</w:t>
        </w:r>
      </w:hyperlink>
    </w:p>
    <w:p>
      <w:pPr>
        <w:pStyle w:val="Übersicht"/>
        <w:ind w:left="1020"/>
      </w:pPr>
      <w:hyperlink w:anchor="b243" w:history="1">
        <w:r>
          <w:rPr>
            <w:color w:val="0A3A8C"/>
            <w:u w:val="single"/>
          </w:rPr>
          <w:t xml:space="preserve">§ 216 Terminsbestimmung</w:t>
        </w:r>
      </w:hyperlink>
    </w:p>
    <w:p>
      <w:pPr>
        <w:pStyle w:val="Übersicht"/>
        <w:ind w:left="1020"/>
      </w:pPr>
      <w:hyperlink w:anchor="b244" w:history="1">
        <w:r>
          <w:rPr>
            <w:color w:val="0A3A8C"/>
            <w:u w:val="single"/>
          </w:rPr>
          <w:t xml:space="preserve">§ 217 Ladungsfrist</w:t>
        </w:r>
      </w:hyperlink>
    </w:p>
    <w:p>
      <w:pPr>
        <w:pStyle w:val="Übersicht"/>
        <w:ind w:left="1020"/>
      </w:pPr>
      <w:hyperlink w:anchor="b245" w:history="1">
        <w:r>
          <w:rPr>
            <w:color w:val="0A3A8C"/>
            <w:u w:val="single"/>
          </w:rPr>
          <w:t xml:space="preserve">§ 218 Entbehrlichkeit der Ladung</w:t>
        </w:r>
      </w:hyperlink>
    </w:p>
    <w:p>
      <w:pPr>
        <w:pStyle w:val="Übersicht"/>
        <w:ind w:left="1020"/>
      </w:pPr>
      <w:hyperlink w:anchor="b246" w:history="1">
        <w:r>
          <w:rPr>
            <w:color w:val="0A3A8C"/>
            <w:u w:val="single"/>
          </w:rPr>
          <w:t xml:space="preserve">§ 219 Terminsort</w:t>
        </w:r>
      </w:hyperlink>
    </w:p>
    <w:p>
      <w:pPr>
        <w:pStyle w:val="Übersicht"/>
        <w:ind w:left="1020"/>
      </w:pPr>
      <w:hyperlink w:anchor="b247" w:history="1">
        <w:r>
          <w:rPr>
            <w:color w:val="0A3A8C"/>
            <w:u w:val="single"/>
          </w:rPr>
          <w:t xml:space="preserve">§ 220 Aufruf der Sache; versäumter Termin</w:t>
        </w:r>
      </w:hyperlink>
    </w:p>
    <w:p>
      <w:pPr>
        <w:pStyle w:val="Übersicht"/>
        <w:ind w:left="1020"/>
      </w:pPr>
      <w:hyperlink w:anchor="b248" w:history="1">
        <w:r>
          <w:rPr>
            <w:color w:val="0A3A8C"/>
            <w:u w:val="single"/>
          </w:rPr>
          <w:t xml:space="preserve">§ 221 Fristbeginn</w:t>
        </w:r>
      </w:hyperlink>
    </w:p>
    <w:p>
      <w:pPr>
        <w:pStyle w:val="Übersicht"/>
        <w:ind w:left="1020"/>
      </w:pPr>
      <w:hyperlink w:anchor="b249" w:history="1">
        <w:r>
          <w:rPr>
            <w:color w:val="0A3A8C"/>
            <w:u w:val="single"/>
          </w:rPr>
          <w:t xml:space="preserve">§ 222 Fristberechnung</w:t>
        </w:r>
      </w:hyperlink>
    </w:p>
    <w:p>
      <w:pPr>
        <w:pStyle w:val="Übersicht"/>
        <w:ind w:left="1020"/>
      </w:pPr>
      <w:hyperlink w:anchor="b250" w:history="1">
        <w:r>
          <w:rPr>
            <w:color w:val="0A3A8C"/>
            <w:u w:val="single"/>
          </w:rPr>
          <w:t xml:space="preserve">§ 223</w:t>
        </w:r>
      </w:hyperlink>
    </w:p>
    <w:p>
      <w:pPr>
        <w:pStyle w:val="Übersicht"/>
        <w:ind w:left="1020"/>
      </w:pPr>
      <w:hyperlink w:anchor="b251" w:history="1">
        <w:r>
          <w:rPr>
            <w:color w:val="0A3A8C"/>
            <w:u w:val="single"/>
          </w:rPr>
          <w:t xml:space="preserve">§ 224 Fristkürzung; Fristverlängerung</w:t>
        </w:r>
      </w:hyperlink>
    </w:p>
    <w:p>
      <w:pPr>
        <w:pStyle w:val="Übersicht"/>
        <w:ind w:left="1020"/>
      </w:pPr>
      <w:hyperlink w:anchor="b252" w:history="1">
        <w:r>
          <w:rPr>
            <w:color w:val="0A3A8C"/>
            <w:u w:val="single"/>
          </w:rPr>
          <w:t xml:space="preserve">§ 225 Verfahren bei Friständerung</w:t>
        </w:r>
      </w:hyperlink>
    </w:p>
    <w:p>
      <w:pPr>
        <w:pStyle w:val="Übersicht"/>
        <w:ind w:left="1020"/>
      </w:pPr>
      <w:hyperlink w:anchor="b253" w:history="1">
        <w:r>
          <w:rPr>
            <w:color w:val="0A3A8C"/>
            <w:u w:val="single"/>
          </w:rPr>
          <w:t xml:space="preserve">§ 226 Abkürzung von Zwischenfristen</w:t>
        </w:r>
      </w:hyperlink>
    </w:p>
    <w:p>
      <w:pPr>
        <w:pStyle w:val="Übersicht"/>
        <w:ind w:left="1020"/>
      </w:pPr>
      <w:hyperlink w:anchor="b254" w:history="1">
        <w:r>
          <w:rPr>
            <w:color w:val="0A3A8C"/>
            <w:u w:val="single"/>
          </w:rPr>
          <w:t xml:space="preserve">§ 227 Terminsänderung</w:t>
        </w:r>
      </w:hyperlink>
    </w:p>
    <w:p>
      <w:pPr>
        <w:pStyle w:val="Übersicht"/>
        <w:ind w:left="1020"/>
      </w:pPr>
      <w:hyperlink w:anchor="b255" w:history="1">
        <w:r>
          <w:rPr>
            <w:color w:val="0A3A8C"/>
            <w:u w:val="single"/>
          </w:rPr>
          <w:t xml:space="preserve">§ 228</w:t>
        </w:r>
      </w:hyperlink>
    </w:p>
    <w:p>
      <w:pPr>
        <w:pStyle w:val="Übersicht"/>
        <w:ind w:left="1020"/>
      </w:pPr>
      <w:hyperlink w:anchor="b256" w:history="1">
        <w:r>
          <w:rPr>
            <w:color w:val="0A3A8C"/>
            <w:u w:val="single"/>
          </w:rPr>
          <w:t xml:space="preserve">§ 229 Beauftragter oder ersuchter Richter</w:t>
        </w:r>
      </w:hyperlink>
    </w:p>
    <w:p>
      <w:pPr>
        <w:pStyle w:val="Übersicht"/>
        <w:ind w:left="680"/>
      </w:pPr>
      <w:hyperlink w:anchor="b257" w:history="1">
        <w:r>
          <w:rPr>
            <w:b/>
            <w:color w:val="0A3A8C"/>
            <w:u w:val="single"/>
          </w:rPr>
          <w:t xml:space="preserve">Titel 4 Folgen der Versäumung; Rechtsbehelfsbelehrung; Wiedereinsetzung in den vorigen Stand</w:t>
        </w:r>
      </w:hyperlink>
    </w:p>
    <w:p>
      <w:pPr>
        <w:pStyle w:val="Übersicht"/>
        <w:ind w:left="1020"/>
      </w:pPr>
      <w:hyperlink w:anchor="b258" w:history="1">
        <w:r>
          <w:rPr>
            <w:color w:val="0A3A8C"/>
            <w:u w:val="single"/>
          </w:rPr>
          <w:t xml:space="preserve">§ 230 Allgemeine Versäumungsfolge</w:t>
        </w:r>
      </w:hyperlink>
    </w:p>
    <w:p>
      <w:pPr>
        <w:pStyle w:val="Übersicht"/>
        <w:ind w:left="1020"/>
      </w:pPr>
      <w:hyperlink w:anchor="b259" w:history="1">
        <w:r>
          <w:rPr>
            <w:color w:val="0A3A8C"/>
            <w:u w:val="single"/>
          </w:rPr>
          <w:t xml:space="preserve">§ 231 Keine Androhung; Nachholung der Prozesshandlung</w:t>
        </w:r>
      </w:hyperlink>
    </w:p>
    <w:p>
      <w:pPr>
        <w:pStyle w:val="Übersicht"/>
        <w:ind w:left="1020"/>
      </w:pPr>
      <w:hyperlink w:anchor="b260" w:history="1">
        <w:r>
          <w:rPr>
            <w:color w:val="0A3A8C"/>
            <w:u w:val="single"/>
          </w:rPr>
          <w:t xml:space="preserve">§ 232 Rechtsbehelfsbelehrung</w:t>
        </w:r>
      </w:hyperlink>
    </w:p>
    <w:p>
      <w:pPr>
        <w:pStyle w:val="Übersicht"/>
        <w:ind w:left="1020"/>
      </w:pPr>
      <w:hyperlink w:anchor="b261" w:history="1">
        <w:r>
          <w:rPr>
            <w:color w:val="0A3A8C"/>
            <w:u w:val="single"/>
          </w:rPr>
          <w:t xml:space="preserve">§ 233 Wiedereinsetzung in den vorigen Stand</w:t>
        </w:r>
      </w:hyperlink>
    </w:p>
    <w:p>
      <w:pPr>
        <w:pStyle w:val="Übersicht"/>
        <w:ind w:left="1020"/>
      </w:pPr>
      <w:hyperlink w:anchor="b262" w:history="1">
        <w:r>
          <w:rPr>
            <w:color w:val="0A3A8C"/>
            <w:u w:val="single"/>
          </w:rPr>
          <w:t xml:space="preserve">§ 234 Wiedereinsetzungsfrist</w:t>
        </w:r>
      </w:hyperlink>
    </w:p>
    <w:p>
      <w:pPr>
        <w:pStyle w:val="Übersicht"/>
        <w:ind w:left="1020"/>
      </w:pPr>
      <w:hyperlink w:anchor="b263" w:history="1">
        <w:r>
          <w:rPr>
            <w:color w:val="0A3A8C"/>
            <w:u w:val="single"/>
          </w:rPr>
          <w:t xml:space="preserve">§ 235</w:t>
        </w:r>
      </w:hyperlink>
    </w:p>
    <w:p>
      <w:pPr>
        <w:pStyle w:val="Übersicht"/>
        <w:ind w:left="1020"/>
      </w:pPr>
      <w:hyperlink w:anchor="b264" w:history="1">
        <w:r>
          <w:rPr>
            <w:color w:val="0A3A8C"/>
            <w:u w:val="single"/>
          </w:rPr>
          <w:t xml:space="preserve">§ 236 Wiedereinsetzungsantrag</w:t>
        </w:r>
      </w:hyperlink>
    </w:p>
    <w:p>
      <w:pPr>
        <w:pStyle w:val="Übersicht"/>
        <w:ind w:left="1020"/>
      </w:pPr>
      <w:hyperlink w:anchor="b265" w:history="1">
        <w:r>
          <w:rPr>
            <w:color w:val="0A3A8C"/>
            <w:u w:val="single"/>
          </w:rPr>
          <w:t xml:space="preserve">§ 237 Zuständigkeit für Wiedereinsetzung</w:t>
        </w:r>
      </w:hyperlink>
    </w:p>
    <w:p>
      <w:pPr>
        <w:pStyle w:val="Übersicht"/>
        <w:ind w:left="1020"/>
      </w:pPr>
      <w:hyperlink w:anchor="b266" w:history="1">
        <w:r>
          <w:rPr>
            <w:color w:val="0A3A8C"/>
            <w:u w:val="single"/>
          </w:rPr>
          <w:t xml:space="preserve">§ 238 Verfahren bei Wiedereinsetzung</w:t>
        </w:r>
      </w:hyperlink>
    </w:p>
    <w:p>
      <w:pPr>
        <w:pStyle w:val="Übersicht"/>
        <w:ind w:left="680"/>
      </w:pPr>
      <w:hyperlink w:anchor="b267" w:history="1">
        <w:r>
          <w:rPr>
            <w:b/>
            <w:color w:val="0A3A8C"/>
            <w:u w:val="single"/>
          </w:rPr>
          <w:t xml:space="preserve">Titel 5 Unterbrechung und
Aussetzung des Verfahrens</w:t>
        </w:r>
      </w:hyperlink>
    </w:p>
    <w:p>
      <w:pPr>
        <w:pStyle w:val="Übersicht"/>
        <w:ind w:left="1020"/>
      </w:pPr>
      <w:hyperlink w:anchor="b268" w:history="1">
        <w:r>
          <w:rPr>
            <w:color w:val="0A3A8C"/>
            <w:u w:val="single"/>
          </w:rPr>
          <w:t xml:space="preserve">§ 239 Unterbrechung durch Tod der Partei</w:t>
        </w:r>
      </w:hyperlink>
    </w:p>
    <w:p>
      <w:pPr>
        <w:pStyle w:val="Übersicht"/>
        <w:ind w:left="1020"/>
      </w:pPr>
      <w:hyperlink w:anchor="b269" w:history="1">
        <w:r>
          <w:rPr>
            <w:color w:val="0A3A8C"/>
            <w:u w:val="single"/>
          </w:rPr>
          <w:t xml:space="preserve">§ 240 Unterbrechung durch Insolvenzverfahren</w:t>
        </w:r>
      </w:hyperlink>
    </w:p>
    <w:p>
      <w:pPr>
        <w:pStyle w:val="Übersicht"/>
        <w:ind w:left="1020"/>
      </w:pPr>
      <w:hyperlink w:anchor="b270" w:history="1">
        <w:r>
          <w:rPr>
            <w:color w:val="0A3A8C"/>
            <w:u w:val="single"/>
          </w:rPr>
          <w:t xml:space="preserve">§ 241 Unterbrechung durch Prozessunfähigkeit</w:t>
        </w:r>
      </w:hyperlink>
    </w:p>
    <w:p>
      <w:pPr>
        <w:pStyle w:val="Übersicht"/>
        <w:ind w:left="1020"/>
      </w:pPr>
      <w:hyperlink w:anchor="b271" w:history="1">
        <w:r>
          <w:rPr>
            <w:color w:val="0A3A8C"/>
            <w:u w:val="single"/>
          </w:rPr>
          <w:t xml:space="preserve">§ 242 Unterbrechung durch Nacherbfolge</w:t>
        </w:r>
      </w:hyperlink>
    </w:p>
    <w:p>
      <w:pPr>
        <w:pStyle w:val="Übersicht"/>
        <w:ind w:left="1020"/>
      </w:pPr>
      <w:hyperlink w:anchor="b272" w:history="1">
        <w:r>
          <w:rPr>
            <w:color w:val="0A3A8C"/>
            <w:u w:val="single"/>
          </w:rPr>
          <w:t xml:space="preserve">§ 243 Aufnahme bei Nachlasspflegschaft und Testamentsvollstreckung</w:t>
        </w:r>
      </w:hyperlink>
    </w:p>
    <w:p>
      <w:pPr>
        <w:pStyle w:val="Übersicht"/>
        <w:ind w:left="1020"/>
      </w:pPr>
      <w:hyperlink w:anchor="b273" w:history="1">
        <w:r>
          <w:rPr>
            <w:color w:val="0A3A8C"/>
            <w:u w:val="single"/>
          </w:rPr>
          <w:t xml:space="preserve">§ 244 Unterbrechung durch Anwaltsverlust</w:t>
        </w:r>
      </w:hyperlink>
    </w:p>
    <w:p>
      <w:pPr>
        <w:pStyle w:val="Übersicht"/>
        <w:ind w:left="1020"/>
      </w:pPr>
      <w:hyperlink w:anchor="b274" w:history="1">
        <w:r>
          <w:rPr>
            <w:color w:val="0A3A8C"/>
            <w:u w:val="single"/>
          </w:rPr>
          <w:t xml:space="preserve">§ 245 Unterbrechung durch Stillstand der Rechtspflege</w:t>
        </w:r>
      </w:hyperlink>
    </w:p>
    <w:p>
      <w:pPr>
        <w:pStyle w:val="Übersicht"/>
        <w:ind w:left="1020"/>
      </w:pPr>
      <w:hyperlink w:anchor="b275" w:history="1">
        <w:r>
          <w:rPr>
            <w:color w:val="0A3A8C"/>
            <w:u w:val="single"/>
          </w:rPr>
          <w:t xml:space="preserve">§ 246 Aussetzung bei Vertretung durch Prozessbevollmächtigten</w:t>
        </w:r>
      </w:hyperlink>
    </w:p>
    <w:p>
      <w:pPr>
        <w:pStyle w:val="Übersicht"/>
        <w:ind w:left="1020"/>
      </w:pPr>
      <w:hyperlink w:anchor="b276" w:history="1">
        <w:r>
          <w:rPr>
            <w:color w:val="0A3A8C"/>
            <w:u w:val="single"/>
          </w:rPr>
          <w:t xml:space="preserve">§ 247 Aussetzung bei abgeschnittenem Verkehr</w:t>
        </w:r>
      </w:hyperlink>
    </w:p>
    <w:p>
      <w:pPr>
        <w:pStyle w:val="Übersicht"/>
        <w:ind w:left="1020"/>
      </w:pPr>
      <w:hyperlink w:anchor="b277" w:history="1">
        <w:r>
          <w:rPr>
            <w:color w:val="0A3A8C"/>
            <w:u w:val="single"/>
          </w:rPr>
          <w:t xml:space="preserve">§ 248 Verfahren bei Aussetzung</w:t>
        </w:r>
      </w:hyperlink>
    </w:p>
    <w:p>
      <w:pPr>
        <w:pStyle w:val="Übersicht"/>
        <w:ind w:left="1020"/>
      </w:pPr>
      <w:hyperlink w:anchor="b278" w:history="1">
        <w:r>
          <w:rPr>
            <w:color w:val="0A3A8C"/>
            <w:u w:val="single"/>
          </w:rPr>
          <w:t xml:space="preserve">§ 249 Wirkung von Unterbrechung und Aussetzung</w:t>
        </w:r>
      </w:hyperlink>
    </w:p>
    <w:p>
      <w:pPr>
        <w:pStyle w:val="Übersicht"/>
        <w:ind w:left="1020"/>
      </w:pPr>
      <w:hyperlink w:anchor="b279" w:history="1">
        <w:r>
          <w:rPr>
            <w:color w:val="0A3A8C"/>
            <w:u w:val="single"/>
          </w:rPr>
          <w:t xml:space="preserve">§ 250 Form von Aufnahme und Anzeige</w:t>
        </w:r>
      </w:hyperlink>
    </w:p>
    <w:p>
      <w:pPr>
        <w:pStyle w:val="Übersicht"/>
        <w:ind w:left="1020"/>
      </w:pPr>
      <w:hyperlink w:anchor="b280" w:history="1">
        <w:r>
          <w:rPr>
            <w:color w:val="0A3A8C"/>
            <w:u w:val="single"/>
          </w:rPr>
          <w:t xml:space="preserve">§ 251 Ruhen des Verfahrens</w:t>
        </w:r>
      </w:hyperlink>
    </w:p>
    <w:p>
      <w:pPr>
        <w:pStyle w:val="Übersicht"/>
        <w:ind w:left="1020"/>
      </w:pPr>
      <w:hyperlink w:anchor="b281" w:history="1">
        <w:r>
          <w:rPr>
            <w:color w:val="0A3A8C"/>
            <w:u w:val="single"/>
          </w:rPr>
          <w:t xml:space="preserve">§ 251a Säumnis beider Parteien; Entscheidung nach Lage der Akten</w:t>
        </w:r>
      </w:hyperlink>
    </w:p>
    <w:p>
      <w:pPr>
        <w:pStyle w:val="Übersicht"/>
        <w:ind w:left="1020"/>
      </w:pPr>
      <w:hyperlink w:anchor="b282" w:history="1">
        <w:r>
          <w:rPr>
            <w:color w:val="0A3A8C"/>
            <w:u w:val="single"/>
          </w:rPr>
          <w:t xml:space="preserve">§ 252 Rechtsmittel bei Aussetzung</w:t>
        </w:r>
      </w:hyperlink>
    </w:p>
    <w:p>
      <w:pPr>
        <w:pStyle w:val="Übersicht"/>
        <w:ind w:left="0"/>
      </w:pPr>
      <w:hyperlink w:anchor="b283" w:history="1">
        <w:r>
          <w:rPr>
            <w:b/>
            <w:color w:val="0A3A8C"/>
            <w:u w:val="single"/>
          </w:rPr>
          <w:t xml:space="preserve">Buch 2 Verfahren im ersten Rechtszug</w:t>
        </w:r>
      </w:hyperlink>
    </w:p>
    <w:p>
      <w:pPr>
        <w:pStyle w:val="Übersicht"/>
        <w:ind w:left="340"/>
      </w:pPr>
      <w:hyperlink w:anchor="b284" w:history="1">
        <w:r>
          <w:rPr>
            <w:b/>
            <w:color w:val="0A3A8C"/>
            <w:u w:val="single"/>
          </w:rPr>
          <w:t xml:space="preserve">Abschnitt 1 Verfahren vor den
Landgerichten</w:t>
        </w:r>
      </w:hyperlink>
    </w:p>
    <w:p>
      <w:pPr>
        <w:pStyle w:val="Übersicht"/>
        <w:ind w:left="680"/>
      </w:pPr>
      <w:hyperlink w:anchor="b285" w:history="1">
        <w:r>
          <w:rPr>
            <w:b/>
            <w:color w:val="0A3A8C"/>
            <w:u w:val="single"/>
          </w:rPr>
          <w:t xml:space="preserve">Titel 1 Verfahren bis zum Urteil</w:t>
        </w:r>
      </w:hyperlink>
    </w:p>
    <w:p>
      <w:pPr>
        <w:pStyle w:val="Übersicht"/>
        <w:ind w:left="1020"/>
      </w:pPr>
      <w:hyperlink w:anchor="b286" w:history="1">
        <w:r>
          <w:rPr>
            <w:color w:val="0A3A8C"/>
            <w:u w:val="single"/>
          </w:rPr>
          <w:t xml:space="preserve">§ 253 Klageschrift</w:t>
        </w:r>
      </w:hyperlink>
    </w:p>
    <w:p>
      <w:pPr>
        <w:pStyle w:val="Übersicht"/>
        <w:ind w:left="1020"/>
      </w:pPr>
      <w:hyperlink w:anchor="b287" w:history="1">
        <w:r>
          <w:rPr>
            <w:color w:val="0A3A8C"/>
            <w:u w:val="single"/>
          </w:rPr>
          <w:t xml:space="preserve">§ 254 Stufenklage</w:t>
        </w:r>
      </w:hyperlink>
    </w:p>
    <w:p>
      <w:pPr>
        <w:pStyle w:val="Übersicht"/>
        <w:ind w:left="1020"/>
      </w:pPr>
      <w:hyperlink w:anchor="b288" w:history="1">
        <w:r>
          <w:rPr>
            <w:color w:val="0A3A8C"/>
            <w:u w:val="single"/>
          </w:rPr>
          <w:t xml:space="preserve">§ 255 Fristbestimmung im Urteil</w:t>
        </w:r>
      </w:hyperlink>
    </w:p>
    <w:p>
      <w:pPr>
        <w:pStyle w:val="Übersicht"/>
        <w:ind w:left="1020"/>
      </w:pPr>
      <w:hyperlink w:anchor="b289" w:history="1">
        <w:r>
          <w:rPr>
            <w:color w:val="0A3A8C"/>
            <w:u w:val="single"/>
          </w:rPr>
          <w:t xml:space="preserve">§ 256 Feststellungsklage</w:t>
        </w:r>
      </w:hyperlink>
    </w:p>
    <w:p>
      <w:pPr>
        <w:pStyle w:val="Übersicht"/>
        <w:ind w:left="1020"/>
      </w:pPr>
      <w:hyperlink w:anchor="b290" w:history="1">
        <w:r>
          <w:rPr>
            <w:color w:val="0A3A8C"/>
            <w:u w:val="single"/>
          </w:rPr>
          <w:t xml:space="preserve">§ 257 Klage auf künftige Zahlung oder Räumung</w:t>
        </w:r>
      </w:hyperlink>
    </w:p>
    <w:p>
      <w:pPr>
        <w:pStyle w:val="Übersicht"/>
        <w:ind w:left="1020"/>
      </w:pPr>
      <w:hyperlink w:anchor="b291" w:history="1">
        <w:r>
          <w:rPr>
            <w:color w:val="0A3A8C"/>
            <w:u w:val="single"/>
          </w:rPr>
          <w:t xml:space="preserve">§ 258 Klage auf wiederkehrende Leistungen</w:t>
        </w:r>
      </w:hyperlink>
    </w:p>
    <w:p>
      <w:pPr>
        <w:pStyle w:val="Übersicht"/>
        <w:ind w:left="1020"/>
      </w:pPr>
      <w:hyperlink w:anchor="b292" w:history="1">
        <w:r>
          <w:rPr>
            <w:color w:val="0A3A8C"/>
            <w:u w:val="single"/>
          </w:rPr>
          <w:t xml:space="preserve">§ 259 Klage wegen Besorgnis nicht rechtzeitiger Leistung</w:t>
        </w:r>
      </w:hyperlink>
    </w:p>
    <w:p>
      <w:pPr>
        <w:pStyle w:val="Übersicht"/>
        <w:ind w:left="1020"/>
      </w:pPr>
      <w:hyperlink w:anchor="b293" w:history="1">
        <w:r>
          <w:rPr>
            <w:color w:val="0A3A8C"/>
            <w:u w:val="single"/>
          </w:rPr>
          <w:t xml:space="preserve">§ 260 Anspruchshäufung</w:t>
        </w:r>
      </w:hyperlink>
    </w:p>
    <w:p>
      <w:pPr>
        <w:pStyle w:val="Übersicht"/>
        <w:ind w:left="1020"/>
      </w:pPr>
      <w:hyperlink w:anchor="b294" w:history="1">
        <w:r>
          <w:rPr>
            <w:color w:val="0A3A8C"/>
            <w:u w:val="single"/>
          </w:rPr>
          <w:t xml:space="preserve">§ 261 Rechtshängigkeit</w:t>
        </w:r>
      </w:hyperlink>
    </w:p>
    <w:p>
      <w:pPr>
        <w:pStyle w:val="Übersicht"/>
        <w:ind w:left="1020"/>
      </w:pPr>
      <w:hyperlink w:anchor="b295" w:history="1">
        <w:r>
          <w:rPr>
            <w:color w:val="0A3A8C"/>
            <w:u w:val="single"/>
          </w:rPr>
          <w:t xml:space="preserve">§ 262 Sonstige Wirkungen der Rechtshängigkeit</w:t>
        </w:r>
      </w:hyperlink>
    </w:p>
    <w:p>
      <w:pPr>
        <w:pStyle w:val="Übersicht"/>
        <w:ind w:left="1020"/>
      </w:pPr>
      <w:hyperlink w:anchor="b296" w:history="1">
        <w:r>
          <w:rPr>
            <w:color w:val="0A3A8C"/>
            <w:u w:val="single"/>
          </w:rPr>
          <w:t xml:space="preserve">§ 263 Klageänderung</w:t>
        </w:r>
      </w:hyperlink>
    </w:p>
    <w:p>
      <w:pPr>
        <w:pStyle w:val="Übersicht"/>
        <w:ind w:left="1020"/>
      </w:pPr>
      <w:hyperlink w:anchor="b297" w:history="1">
        <w:r>
          <w:rPr>
            <w:color w:val="0A3A8C"/>
            <w:u w:val="single"/>
          </w:rPr>
          <w:t xml:space="preserve">§ 264 Keine Klageänderung</w:t>
        </w:r>
      </w:hyperlink>
    </w:p>
    <w:p>
      <w:pPr>
        <w:pStyle w:val="Übersicht"/>
        <w:ind w:left="1020"/>
      </w:pPr>
      <w:hyperlink w:anchor="b298" w:history="1">
        <w:r>
          <w:rPr>
            <w:color w:val="0A3A8C"/>
            <w:u w:val="single"/>
          </w:rPr>
          <w:t xml:space="preserve">§ 265 Veräußerung oder Abtretung der Streitsache</w:t>
        </w:r>
      </w:hyperlink>
    </w:p>
    <w:p>
      <w:pPr>
        <w:pStyle w:val="Übersicht"/>
        <w:ind w:left="1020"/>
      </w:pPr>
      <w:hyperlink w:anchor="b299" w:history="1">
        <w:r>
          <w:rPr>
            <w:color w:val="0A3A8C"/>
            <w:u w:val="single"/>
          </w:rPr>
          <w:t xml:space="preserve">§ 266 Veräußerung eines Grundstücks</w:t>
        </w:r>
      </w:hyperlink>
    </w:p>
    <w:p>
      <w:pPr>
        <w:pStyle w:val="Übersicht"/>
        <w:ind w:left="1020"/>
      </w:pPr>
      <w:hyperlink w:anchor="b300" w:history="1">
        <w:r>
          <w:rPr>
            <w:color w:val="0A3A8C"/>
            <w:u w:val="single"/>
          </w:rPr>
          <w:t xml:space="preserve">§ 267 Vermutete Einwilligung in die Klageänderung</w:t>
        </w:r>
      </w:hyperlink>
    </w:p>
    <w:p>
      <w:pPr>
        <w:pStyle w:val="Übersicht"/>
        <w:ind w:left="1020"/>
      </w:pPr>
      <w:hyperlink w:anchor="b301" w:history="1">
        <w:r>
          <w:rPr>
            <w:color w:val="0A3A8C"/>
            <w:u w:val="single"/>
          </w:rPr>
          <w:t xml:space="preserve">§ 268 Unanfechtbarkeit der Entscheidung</w:t>
        </w:r>
      </w:hyperlink>
    </w:p>
    <w:p>
      <w:pPr>
        <w:pStyle w:val="Übersicht"/>
        <w:ind w:left="1020"/>
      </w:pPr>
      <w:hyperlink w:anchor="b302" w:history="1">
        <w:r>
          <w:rPr>
            <w:color w:val="0A3A8C"/>
            <w:u w:val="single"/>
          </w:rPr>
          <w:t xml:space="preserve">§ 269 Klagerücknahme</w:t>
        </w:r>
      </w:hyperlink>
    </w:p>
    <w:p>
      <w:pPr>
        <w:pStyle w:val="Übersicht"/>
        <w:ind w:left="1020"/>
      </w:pPr>
      <w:hyperlink w:anchor="b303" w:history="1">
        <w:r>
          <w:rPr>
            <w:color w:val="0A3A8C"/>
            <w:u w:val="single"/>
          </w:rPr>
          <w:t xml:space="preserve">§ 270 Zustellung; formlose Mitteilung</w:t>
        </w:r>
      </w:hyperlink>
    </w:p>
    <w:p>
      <w:pPr>
        <w:pStyle w:val="Übersicht"/>
        <w:ind w:left="1020"/>
      </w:pPr>
      <w:hyperlink w:anchor="b304" w:history="1">
        <w:r>
          <w:rPr>
            <w:color w:val="0A3A8C"/>
            <w:u w:val="single"/>
          </w:rPr>
          <w:t xml:space="preserve">§ 271 Zustellung der Klageschrift</w:t>
        </w:r>
      </w:hyperlink>
    </w:p>
    <w:p>
      <w:pPr>
        <w:pStyle w:val="Übersicht"/>
        <w:ind w:left="1020"/>
      </w:pPr>
      <w:hyperlink w:anchor="b305" w:history="1">
        <w:r>
          <w:rPr>
            <w:color w:val="0A3A8C"/>
            <w:u w:val="single"/>
          </w:rPr>
          <w:t xml:space="preserve">§ 272 Bestimmung der Verfahrensweise</w:t>
        </w:r>
      </w:hyperlink>
    </w:p>
    <w:p>
      <w:pPr>
        <w:pStyle w:val="Übersicht"/>
        <w:ind w:left="1020"/>
      </w:pPr>
      <w:hyperlink w:anchor="b306" w:history="1">
        <w:r>
          <w:rPr>
            <w:color w:val="0A3A8C"/>
            <w:u w:val="single"/>
          </w:rPr>
          <w:t xml:space="preserve">§ 273 Vorbereitung des Termins</w:t>
        </w:r>
      </w:hyperlink>
    </w:p>
    <w:p>
      <w:pPr>
        <w:pStyle w:val="Übersicht"/>
        <w:ind w:left="1020"/>
      </w:pPr>
      <w:hyperlink w:anchor="b307" w:history="1">
        <w:r>
          <w:rPr>
            <w:color w:val="0A3A8C"/>
            <w:u w:val="single"/>
          </w:rPr>
          <w:t xml:space="preserve">§ 273a Geheimhaltung</w:t>
        </w:r>
      </w:hyperlink>
    </w:p>
    <w:p>
      <w:pPr>
        <w:pStyle w:val="Übersicht"/>
        <w:ind w:left="1020"/>
      </w:pPr>
      <w:hyperlink w:anchor="b308" w:history="1">
        <w:r>
          <w:rPr>
            <w:color w:val="0A3A8C"/>
            <w:u w:val="single"/>
          </w:rPr>
          <w:t xml:space="preserve">§ 274 Ladung der Parteien; Einlassungsfrist</w:t>
        </w:r>
      </w:hyperlink>
    </w:p>
    <w:p>
      <w:pPr>
        <w:pStyle w:val="Übersicht"/>
        <w:ind w:left="1020"/>
      </w:pPr>
      <w:hyperlink w:anchor="b309" w:history="1">
        <w:r>
          <w:rPr>
            <w:color w:val="0A3A8C"/>
            <w:u w:val="single"/>
          </w:rPr>
          <w:t xml:space="preserve">§ 275 Früher erster Termin</w:t>
        </w:r>
      </w:hyperlink>
    </w:p>
    <w:p>
      <w:pPr>
        <w:pStyle w:val="Übersicht"/>
        <w:ind w:left="1020"/>
      </w:pPr>
      <w:hyperlink w:anchor="b310" w:history="1">
        <w:r>
          <w:rPr>
            <w:color w:val="0A3A8C"/>
            <w:u w:val="single"/>
          </w:rPr>
          <w:t xml:space="preserve">§ 276 Schriftliches Vorverfahren</w:t>
        </w:r>
      </w:hyperlink>
    </w:p>
    <w:p>
      <w:pPr>
        <w:pStyle w:val="Übersicht"/>
        <w:ind w:left="1020"/>
      </w:pPr>
      <w:hyperlink w:anchor="b311" w:history="1">
        <w:r>
          <w:rPr>
            <w:color w:val="0A3A8C"/>
            <w:u w:val="single"/>
          </w:rPr>
          <w:t xml:space="preserve">§ 277 Klageerwiderung; Replik</w:t>
        </w:r>
      </w:hyperlink>
    </w:p>
    <w:p>
      <w:pPr>
        <w:pStyle w:val="Übersicht"/>
        <w:ind w:left="1020"/>
      </w:pPr>
      <w:hyperlink w:anchor="b312" w:history="1">
        <w:r>
          <w:rPr>
            <w:color w:val="0A3A8C"/>
            <w:u w:val="single"/>
          </w:rPr>
          <w:t xml:space="preserve">§ 278 Gütliche Streitbeilegung, Güteverhandlung, Vergleich</w:t>
        </w:r>
      </w:hyperlink>
    </w:p>
    <w:p>
      <w:pPr>
        <w:pStyle w:val="Übersicht"/>
        <w:ind w:left="1020"/>
      </w:pPr>
      <w:hyperlink w:anchor="b313" w:history="1">
        <w:r>
          <w:rPr>
            <w:color w:val="0A3A8C"/>
            <w:u w:val="single"/>
          </w:rPr>
          <w:t xml:space="preserve">§ 278a Mediation, außergerichtliche Konfliktbeilegung</w:t>
        </w:r>
      </w:hyperlink>
    </w:p>
    <w:p>
      <w:pPr>
        <w:pStyle w:val="Übersicht"/>
        <w:ind w:left="1020"/>
      </w:pPr>
      <w:hyperlink w:anchor="b314" w:history="1">
        <w:r>
          <w:rPr>
            <w:color w:val="0A3A8C"/>
            <w:u w:val="single"/>
          </w:rPr>
          <w:t xml:space="preserve">§ 279 Mündliche Verhandlung</w:t>
        </w:r>
      </w:hyperlink>
    </w:p>
    <w:p>
      <w:pPr>
        <w:pStyle w:val="Übersicht"/>
        <w:ind w:left="1020"/>
      </w:pPr>
      <w:hyperlink w:anchor="b315" w:history="1">
        <w:r>
          <w:rPr>
            <w:color w:val="0A3A8C"/>
            <w:u w:val="single"/>
          </w:rPr>
          <w:t xml:space="preserve">§ 280 Abgesonderte Verhandlung über Zulässigkeit der Klage</w:t>
        </w:r>
      </w:hyperlink>
    </w:p>
    <w:p>
      <w:pPr>
        <w:pStyle w:val="Übersicht"/>
        <w:ind w:left="1020"/>
      </w:pPr>
      <w:hyperlink w:anchor="b316" w:history="1">
        <w:r>
          <w:rPr>
            <w:color w:val="0A3A8C"/>
            <w:u w:val="single"/>
          </w:rPr>
          <w:t xml:space="preserve">§ 281 Verweisung bei Unzuständigkeit</w:t>
        </w:r>
      </w:hyperlink>
    </w:p>
    <w:p>
      <w:pPr>
        <w:pStyle w:val="Übersicht"/>
        <w:ind w:left="1020"/>
      </w:pPr>
      <w:hyperlink w:anchor="b317" w:history="1">
        <w:r>
          <w:rPr>
            <w:color w:val="0A3A8C"/>
            <w:u w:val="single"/>
          </w:rPr>
          <w:t xml:space="preserve">§ 282 Rechtzeitigkeit des Vorbringens</w:t>
        </w:r>
      </w:hyperlink>
    </w:p>
    <w:p>
      <w:pPr>
        <w:pStyle w:val="Übersicht"/>
        <w:ind w:left="1020"/>
      </w:pPr>
      <w:hyperlink w:anchor="b318" w:history="1">
        <w:r>
          <w:rPr>
            <w:color w:val="0A3A8C"/>
            <w:u w:val="single"/>
          </w:rPr>
          <w:t xml:space="preserve">§ 283 Schriftsatzfrist für Erklärungen zum Vorbringen des Gegners</w:t>
        </w:r>
      </w:hyperlink>
    </w:p>
    <w:p>
      <w:pPr>
        <w:pStyle w:val="Übersicht"/>
        <w:ind w:left="1020"/>
      </w:pPr>
      <w:hyperlink w:anchor="b319" w:history="1">
        <w:r>
          <w:rPr>
            <w:color w:val="0A3A8C"/>
            <w:u w:val="single"/>
          </w:rPr>
          <w:t xml:space="preserve">§ 283a Sicherungsanordnung</w:t>
        </w:r>
      </w:hyperlink>
    </w:p>
    <w:p>
      <w:pPr>
        <w:pStyle w:val="Übersicht"/>
        <w:ind w:left="1020"/>
      </w:pPr>
      <w:hyperlink w:anchor="b320" w:history="1">
        <w:r>
          <w:rPr>
            <w:color w:val="0A3A8C"/>
            <w:u w:val="single"/>
          </w:rPr>
          <w:t xml:space="preserve">§ 284 Beweisaufnahme</w:t>
        </w:r>
      </w:hyperlink>
    </w:p>
    <w:p>
      <w:pPr>
        <w:pStyle w:val="Übersicht"/>
        <w:ind w:left="1020"/>
      </w:pPr>
      <w:hyperlink w:anchor="b321" w:history="1">
        <w:r>
          <w:rPr>
            <w:color w:val="0A3A8C"/>
            <w:u w:val="single"/>
          </w:rPr>
          <w:t xml:space="preserve">§ 285 Verhandlung nach Beweisaufnahme</w:t>
        </w:r>
      </w:hyperlink>
    </w:p>
    <w:p>
      <w:pPr>
        <w:pStyle w:val="Übersicht"/>
        <w:ind w:left="1020"/>
      </w:pPr>
      <w:hyperlink w:anchor="b322" w:history="1">
        <w:r>
          <w:rPr>
            <w:color w:val="0A3A8C"/>
            <w:u w:val="single"/>
          </w:rPr>
          <w:t xml:space="preserve">§ 286 Freie Beweiswürdigung</w:t>
        </w:r>
      </w:hyperlink>
    </w:p>
    <w:p>
      <w:pPr>
        <w:pStyle w:val="Übersicht"/>
        <w:ind w:left="1020"/>
      </w:pPr>
      <w:hyperlink w:anchor="b323" w:history="1">
        <w:r>
          <w:rPr>
            <w:color w:val="0A3A8C"/>
            <w:u w:val="single"/>
          </w:rPr>
          <w:t xml:space="preserve">§ 287 Schadensermittlung; Höhe der Forderung</w:t>
        </w:r>
      </w:hyperlink>
    </w:p>
    <w:p>
      <w:pPr>
        <w:pStyle w:val="Übersicht"/>
        <w:ind w:left="1020"/>
      </w:pPr>
      <w:hyperlink w:anchor="b324" w:history="1">
        <w:r>
          <w:rPr>
            <w:color w:val="0A3A8C"/>
            <w:u w:val="single"/>
          </w:rPr>
          <w:t xml:space="preserve">§ 288 Gerichtliches Geständnis</w:t>
        </w:r>
      </w:hyperlink>
    </w:p>
    <w:p>
      <w:pPr>
        <w:pStyle w:val="Übersicht"/>
        <w:ind w:left="1020"/>
      </w:pPr>
      <w:hyperlink w:anchor="b325" w:history="1">
        <w:r>
          <w:rPr>
            <w:color w:val="0A3A8C"/>
            <w:u w:val="single"/>
          </w:rPr>
          <w:t xml:space="preserve">§ 289 Zusätze beim Geständnis</w:t>
        </w:r>
      </w:hyperlink>
    </w:p>
    <w:p>
      <w:pPr>
        <w:pStyle w:val="Übersicht"/>
        <w:ind w:left="1020"/>
      </w:pPr>
      <w:hyperlink w:anchor="b326" w:history="1">
        <w:r>
          <w:rPr>
            <w:color w:val="0A3A8C"/>
            <w:u w:val="single"/>
          </w:rPr>
          <w:t xml:space="preserve">§ 290 Widerruf des Geständnisses</w:t>
        </w:r>
      </w:hyperlink>
    </w:p>
    <w:p>
      <w:pPr>
        <w:pStyle w:val="Übersicht"/>
        <w:ind w:left="1020"/>
      </w:pPr>
      <w:hyperlink w:anchor="b327" w:history="1">
        <w:r>
          <w:rPr>
            <w:color w:val="0A3A8C"/>
            <w:u w:val="single"/>
          </w:rPr>
          <w:t xml:space="preserve">§ 291 Offenkundige Tatsachen</w:t>
        </w:r>
      </w:hyperlink>
    </w:p>
    <w:p>
      <w:pPr>
        <w:pStyle w:val="Übersicht"/>
        <w:ind w:left="1020"/>
      </w:pPr>
      <w:hyperlink w:anchor="b328" w:history="1">
        <w:r>
          <w:rPr>
            <w:color w:val="0A3A8C"/>
            <w:u w:val="single"/>
          </w:rPr>
          <w:t xml:space="preserve">§ 292 Gesetzliche Vermutungen</w:t>
        </w:r>
      </w:hyperlink>
    </w:p>
    <w:p>
      <w:pPr>
        <w:pStyle w:val="Übersicht"/>
        <w:ind w:left="1020"/>
      </w:pPr>
      <w:hyperlink w:anchor="b329" w:history="1">
        <w:r>
          <w:rPr>
            <w:color w:val="0A3A8C"/>
            <w:u w:val="single"/>
          </w:rPr>
          <w:t xml:space="preserve">§ 292a</w:t>
        </w:r>
      </w:hyperlink>
    </w:p>
    <w:p>
      <w:pPr>
        <w:pStyle w:val="Übersicht"/>
        <w:ind w:left="1020"/>
      </w:pPr>
      <w:hyperlink w:anchor="b330" w:history="1">
        <w:r>
          <w:rPr>
            <w:color w:val="0A3A8C"/>
            <w:u w:val="single"/>
          </w:rPr>
          <w:t xml:space="preserve">§ 293 Fremdes Recht; Gewohnheitsrecht; Statuten</w:t>
        </w:r>
      </w:hyperlink>
    </w:p>
    <w:p>
      <w:pPr>
        <w:pStyle w:val="Übersicht"/>
        <w:ind w:left="1020"/>
      </w:pPr>
      <w:hyperlink w:anchor="b331" w:history="1">
        <w:r>
          <w:rPr>
            <w:color w:val="0A3A8C"/>
            <w:u w:val="single"/>
          </w:rPr>
          <w:t xml:space="preserve">§ 294 Glaubhaftmachung</w:t>
        </w:r>
      </w:hyperlink>
    </w:p>
    <w:p>
      <w:pPr>
        <w:pStyle w:val="Übersicht"/>
        <w:ind w:left="1020"/>
      </w:pPr>
      <w:hyperlink w:anchor="b332" w:history="1">
        <w:r>
          <w:rPr>
            <w:color w:val="0A3A8C"/>
            <w:u w:val="single"/>
          </w:rPr>
          <w:t xml:space="preserve">§ 295 Verfahrensrügen</w:t>
        </w:r>
      </w:hyperlink>
    </w:p>
    <w:p>
      <w:pPr>
        <w:pStyle w:val="Übersicht"/>
        <w:ind w:left="1020"/>
      </w:pPr>
      <w:hyperlink w:anchor="b333" w:history="1">
        <w:r>
          <w:rPr>
            <w:color w:val="0A3A8C"/>
            <w:u w:val="single"/>
          </w:rPr>
          <w:t xml:space="preserve">§ 296 Zurückweisung verspäteten Vorbringens</w:t>
        </w:r>
      </w:hyperlink>
    </w:p>
    <w:p>
      <w:pPr>
        <w:pStyle w:val="Übersicht"/>
        <w:ind w:left="1020"/>
      </w:pPr>
      <w:hyperlink w:anchor="b334" w:history="1">
        <w:r>
          <w:rPr>
            <w:color w:val="0A3A8C"/>
            <w:u w:val="single"/>
          </w:rPr>
          <w:t xml:space="preserve">§ 296a Vorbringen nach Schluss der mündlichen Verhandlung</w:t>
        </w:r>
      </w:hyperlink>
    </w:p>
    <w:p>
      <w:pPr>
        <w:pStyle w:val="Übersicht"/>
        <w:ind w:left="1020"/>
      </w:pPr>
      <w:hyperlink w:anchor="b335" w:history="1">
        <w:r>
          <w:rPr>
            <w:color w:val="0A3A8C"/>
            <w:u w:val="single"/>
          </w:rPr>
          <w:t xml:space="preserve">§ 297 Form der Antragstellung</w:t>
        </w:r>
      </w:hyperlink>
    </w:p>
    <w:p>
      <w:pPr>
        <w:pStyle w:val="Übersicht"/>
        <w:ind w:left="1020"/>
      </w:pPr>
      <w:hyperlink w:anchor="b336" w:history="1">
        <w:r>
          <w:rPr>
            <w:color w:val="0A3A8C"/>
            <w:u w:val="single"/>
          </w:rPr>
          <w:t xml:space="preserve">§ 298 Aktenausdruck</w:t>
        </w:r>
      </w:hyperlink>
    </w:p>
    <w:p>
      <w:pPr>
        <w:pStyle w:val="Übersicht"/>
        <w:ind w:left="1020"/>
      </w:pPr>
      <w:hyperlink w:anchor="b337" w:history="1">
        <w:r>
          <w:rPr>
            <w:color w:val="0A3A8C"/>
            <w:u w:val="single"/>
          </w:rPr>
          <w:t xml:space="preserve">§ 298a Elektronische Akte; Verordnungsermächtigung</w:t>
        </w:r>
      </w:hyperlink>
    </w:p>
    <w:p>
      <w:pPr>
        <w:pStyle w:val="Übersicht"/>
        <w:ind w:left="1020"/>
      </w:pPr>
      <w:hyperlink w:anchor="b338" w:history="1">
        <w:r>
          <w:rPr>
            <w:color w:val="0A3A8C"/>
            <w:u w:val="single"/>
          </w:rPr>
          <w:t xml:space="preserve">§ 299 Akteneinsicht; Abschriften</w:t>
        </w:r>
      </w:hyperlink>
    </w:p>
    <w:p>
      <w:pPr>
        <w:pStyle w:val="Übersicht"/>
        <w:ind w:left="1020"/>
      </w:pPr>
      <w:hyperlink w:anchor="b339" w:history="1">
        <w:r>
          <w:rPr>
            <w:color w:val="0A3A8C"/>
            <w:u w:val="single"/>
          </w:rPr>
          <w:t xml:space="preserve">§ 299a Datenträgerarchiv</w:t>
        </w:r>
      </w:hyperlink>
    </w:p>
    <w:p>
      <w:pPr>
        <w:pStyle w:val="Übersicht"/>
        <w:ind w:left="680"/>
      </w:pPr>
      <w:hyperlink w:anchor="b340" w:history="1">
        <w:r>
          <w:rPr>
            <w:b/>
            <w:color w:val="0A3A8C"/>
            <w:u w:val="single"/>
          </w:rPr>
          <w:t xml:space="preserve">Titel 2 Urteil</w:t>
        </w:r>
      </w:hyperlink>
    </w:p>
    <w:p>
      <w:pPr>
        <w:pStyle w:val="Übersicht"/>
        <w:ind w:left="1020"/>
      </w:pPr>
      <w:hyperlink w:anchor="b341" w:history="1">
        <w:r>
          <w:rPr>
            <w:color w:val="0A3A8C"/>
            <w:u w:val="single"/>
          </w:rPr>
          <w:t xml:space="preserve">§ 300 Endurteil</w:t>
        </w:r>
      </w:hyperlink>
    </w:p>
    <w:p>
      <w:pPr>
        <w:pStyle w:val="Übersicht"/>
        <w:ind w:left="1020"/>
      </w:pPr>
      <w:hyperlink w:anchor="b342" w:history="1">
        <w:r>
          <w:rPr>
            <w:color w:val="0A3A8C"/>
            <w:u w:val="single"/>
          </w:rPr>
          <w:t xml:space="preserve">§ 301 Teilurteil</w:t>
        </w:r>
      </w:hyperlink>
    </w:p>
    <w:p>
      <w:pPr>
        <w:pStyle w:val="Übersicht"/>
        <w:ind w:left="1020"/>
      </w:pPr>
      <w:hyperlink w:anchor="b343" w:history="1">
        <w:r>
          <w:rPr>
            <w:color w:val="0A3A8C"/>
            <w:u w:val="single"/>
          </w:rPr>
          <w:t xml:space="preserve">§ 302 Vorbehaltsurteil</w:t>
        </w:r>
      </w:hyperlink>
    </w:p>
    <w:p>
      <w:pPr>
        <w:pStyle w:val="Übersicht"/>
        <w:ind w:left="1020"/>
      </w:pPr>
      <w:hyperlink w:anchor="b344" w:history="1">
        <w:r>
          <w:rPr>
            <w:color w:val="0A3A8C"/>
            <w:u w:val="single"/>
          </w:rPr>
          <w:t xml:space="preserve">§ 303 Zwischenurteil</w:t>
        </w:r>
      </w:hyperlink>
    </w:p>
    <w:p>
      <w:pPr>
        <w:pStyle w:val="Übersicht"/>
        <w:ind w:left="1020"/>
      </w:pPr>
      <w:hyperlink w:anchor="b345" w:history="1">
        <w:r>
          <w:rPr>
            <w:color w:val="0A3A8C"/>
            <w:u w:val="single"/>
          </w:rPr>
          <w:t xml:space="preserve">§ 304 Zwischenurteil über den Grund</w:t>
        </w:r>
      </w:hyperlink>
    </w:p>
    <w:p>
      <w:pPr>
        <w:pStyle w:val="Übersicht"/>
        <w:ind w:left="1020"/>
      </w:pPr>
      <w:hyperlink w:anchor="b346" w:history="1">
        <w:r>
          <w:rPr>
            <w:color w:val="0A3A8C"/>
            <w:u w:val="single"/>
          </w:rPr>
          <w:t xml:space="preserve">§ 305 Urteil unter Vorbehalt erbrechtlich beschränkter Haftung</w:t>
        </w:r>
      </w:hyperlink>
    </w:p>
    <w:p>
      <w:pPr>
        <w:pStyle w:val="Übersicht"/>
        <w:ind w:left="1020"/>
      </w:pPr>
      <w:hyperlink w:anchor="b347" w:history="1">
        <w:r>
          <w:rPr>
            <w:color w:val="0A3A8C"/>
            <w:u w:val="single"/>
          </w:rPr>
          <w:t xml:space="preserve">§ 305a Urteil unter Vorbehalt seerechtlich beschränkter Haftung</w:t>
        </w:r>
      </w:hyperlink>
    </w:p>
    <w:p>
      <w:pPr>
        <w:pStyle w:val="Übersicht"/>
        <w:ind w:left="1020"/>
      </w:pPr>
      <w:hyperlink w:anchor="b348" w:history="1">
        <w:r>
          <w:rPr>
            <w:color w:val="0A3A8C"/>
            <w:u w:val="single"/>
          </w:rPr>
          <w:t xml:space="preserve">§ 305b Urteil unter Vorbehalt spaltungsrechtlicher Haftungsbeschränkung</w:t>
        </w:r>
      </w:hyperlink>
    </w:p>
    <w:p>
      <w:pPr>
        <w:pStyle w:val="Übersicht"/>
        <w:ind w:left="1020"/>
      </w:pPr>
      <w:hyperlink w:anchor="b349" w:history="1">
        <w:r>
          <w:rPr>
            <w:color w:val="0A3A8C"/>
            <w:u w:val="single"/>
          </w:rPr>
          <w:t xml:space="preserve">§ 306 Verzicht</w:t>
        </w:r>
      </w:hyperlink>
    </w:p>
    <w:p>
      <w:pPr>
        <w:pStyle w:val="Übersicht"/>
        <w:ind w:left="1020"/>
      </w:pPr>
      <w:hyperlink w:anchor="b350" w:history="1">
        <w:r>
          <w:rPr>
            <w:color w:val="0A3A8C"/>
            <w:u w:val="single"/>
          </w:rPr>
          <w:t xml:space="preserve">§ 307 Anerkenntnis</w:t>
        </w:r>
      </w:hyperlink>
    </w:p>
    <w:p>
      <w:pPr>
        <w:pStyle w:val="Übersicht"/>
        <w:ind w:left="1020"/>
      </w:pPr>
      <w:hyperlink w:anchor="b351" w:history="1">
        <w:r>
          <w:rPr>
            <w:color w:val="0A3A8C"/>
            <w:u w:val="single"/>
          </w:rPr>
          <w:t xml:space="preserve">§ 308 Bindung an die Parteianträge</w:t>
        </w:r>
      </w:hyperlink>
    </w:p>
    <w:p>
      <w:pPr>
        <w:pStyle w:val="Übersicht"/>
        <w:ind w:left="1020"/>
      </w:pPr>
      <w:hyperlink w:anchor="b352" w:history="1">
        <w:r>
          <w:rPr>
            <w:color w:val="0A3A8C"/>
            <w:u w:val="single"/>
          </w:rPr>
          <w:t xml:space="preserve">§ 308a Entscheidung ohne Antrag in Mietsachen</w:t>
        </w:r>
      </w:hyperlink>
    </w:p>
    <w:p>
      <w:pPr>
        <w:pStyle w:val="Übersicht"/>
        <w:ind w:left="1020"/>
      </w:pPr>
      <w:hyperlink w:anchor="b353" w:history="1">
        <w:r>
          <w:rPr>
            <w:color w:val="0A3A8C"/>
            <w:u w:val="single"/>
          </w:rPr>
          <w:t xml:space="preserve">§ 309 Erkennende Richter</w:t>
        </w:r>
      </w:hyperlink>
    </w:p>
    <w:p>
      <w:pPr>
        <w:pStyle w:val="Übersicht"/>
        <w:ind w:left="1020"/>
      </w:pPr>
      <w:hyperlink w:anchor="b354" w:history="1">
        <w:r>
          <w:rPr>
            <w:color w:val="0A3A8C"/>
            <w:u w:val="single"/>
          </w:rPr>
          <w:t xml:space="preserve">§ 310 Termin der Urteilsverkündung</w:t>
        </w:r>
      </w:hyperlink>
    </w:p>
    <w:p>
      <w:pPr>
        <w:pStyle w:val="Übersicht"/>
        <w:ind w:left="1020"/>
      </w:pPr>
      <w:hyperlink w:anchor="b355" w:history="1">
        <w:r>
          <w:rPr>
            <w:color w:val="0A3A8C"/>
            <w:u w:val="single"/>
          </w:rPr>
          <w:t xml:space="preserve">§ 311 Form der Urteilsverkündung</w:t>
        </w:r>
      </w:hyperlink>
    </w:p>
    <w:p>
      <w:pPr>
        <w:pStyle w:val="Übersicht"/>
        <w:ind w:left="1020"/>
      </w:pPr>
      <w:hyperlink w:anchor="b356" w:history="1">
        <w:r>
          <w:rPr>
            <w:color w:val="0A3A8C"/>
            <w:u w:val="single"/>
          </w:rPr>
          <w:t xml:space="preserve">§ 312 Anwesenheit der Parteien</w:t>
        </w:r>
      </w:hyperlink>
    </w:p>
    <w:p>
      <w:pPr>
        <w:pStyle w:val="Übersicht"/>
        <w:ind w:left="1020"/>
      </w:pPr>
      <w:hyperlink w:anchor="b357" w:history="1">
        <w:r>
          <w:rPr>
            <w:color w:val="0A3A8C"/>
            <w:u w:val="single"/>
          </w:rPr>
          <w:t xml:space="preserve">§ 313 Form und Inhalt des Urteils</w:t>
        </w:r>
      </w:hyperlink>
    </w:p>
    <w:p>
      <w:pPr>
        <w:pStyle w:val="Übersicht"/>
        <w:ind w:left="1020"/>
      </w:pPr>
      <w:hyperlink w:anchor="b358" w:history="1">
        <w:r>
          <w:rPr>
            <w:color w:val="0A3A8C"/>
            <w:u w:val="single"/>
          </w:rPr>
          <w:t xml:space="preserve">§ 313a Weglassen von Tatbestand und Entscheidungsgründen</w:t>
        </w:r>
      </w:hyperlink>
    </w:p>
    <w:p>
      <w:pPr>
        <w:pStyle w:val="Übersicht"/>
        <w:ind w:left="1020"/>
      </w:pPr>
      <w:hyperlink w:anchor="b359" w:history="1">
        <w:r>
          <w:rPr>
            <w:color w:val="0A3A8C"/>
            <w:u w:val="single"/>
          </w:rPr>
          <w:t xml:space="preserve">§ 313b Versäumnis-, Anerkenntnis- und Verzichtsurteil</w:t>
        </w:r>
      </w:hyperlink>
    </w:p>
    <w:p>
      <w:pPr>
        <w:pStyle w:val="Übersicht"/>
        <w:ind w:left="1020"/>
      </w:pPr>
      <w:hyperlink w:anchor="b360" w:history="1">
        <w:r>
          <w:rPr>
            <w:color w:val="0A3A8C"/>
            <w:u w:val="single"/>
          </w:rPr>
          <w:t xml:space="preserve">§ 314 Beweiskraft des Tatbestandes</w:t>
        </w:r>
      </w:hyperlink>
    </w:p>
    <w:p>
      <w:pPr>
        <w:pStyle w:val="Übersicht"/>
        <w:ind w:left="1020"/>
      </w:pPr>
      <w:hyperlink w:anchor="b361" w:history="1">
        <w:r>
          <w:rPr>
            <w:color w:val="0A3A8C"/>
            <w:u w:val="single"/>
          </w:rPr>
          <w:t xml:space="preserve">§ 315 Unterschrift der Richter</w:t>
        </w:r>
      </w:hyperlink>
    </w:p>
    <w:p>
      <w:pPr>
        <w:pStyle w:val="Übersicht"/>
        <w:ind w:left="1020"/>
      </w:pPr>
      <w:hyperlink w:anchor="b362" w:history="1">
        <w:r>
          <w:rPr>
            <w:color w:val="0A3A8C"/>
            <w:u w:val="single"/>
          </w:rPr>
          <w:t xml:space="preserve">§ 316</w:t>
        </w:r>
      </w:hyperlink>
    </w:p>
    <w:p>
      <w:pPr>
        <w:pStyle w:val="Übersicht"/>
        <w:ind w:left="1020"/>
      </w:pPr>
      <w:hyperlink w:anchor="b363" w:history="1">
        <w:r>
          <w:rPr>
            <w:color w:val="0A3A8C"/>
            <w:u w:val="single"/>
          </w:rPr>
          <w:t xml:space="preserve">§ 317 Urteilszustellung und -ausfertigung</w:t>
        </w:r>
      </w:hyperlink>
    </w:p>
    <w:p>
      <w:pPr>
        <w:pStyle w:val="Übersicht"/>
        <w:ind w:left="1020"/>
      </w:pPr>
      <w:hyperlink w:anchor="b364" w:history="1">
        <w:r>
          <w:rPr>
            <w:color w:val="0A3A8C"/>
            <w:u w:val="single"/>
          </w:rPr>
          <w:t xml:space="preserve">§ 318 Bindung des Gerichts</w:t>
        </w:r>
      </w:hyperlink>
    </w:p>
    <w:p>
      <w:pPr>
        <w:pStyle w:val="Übersicht"/>
        <w:ind w:left="1020"/>
      </w:pPr>
      <w:hyperlink w:anchor="b365" w:history="1">
        <w:r>
          <w:rPr>
            <w:color w:val="0A3A8C"/>
            <w:u w:val="single"/>
          </w:rPr>
          <w:t xml:space="preserve">§ 319 Berichtigung des Urteils</w:t>
        </w:r>
      </w:hyperlink>
    </w:p>
    <w:p>
      <w:pPr>
        <w:pStyle w:val="Übersicht"/>
        <w:ind w:left="1020"/>
      </w:pPr>
      <w:hyperlink w:anchor="b366" w:history="1">
        <w:r>
          <w:rPr>
            <w:color w:val="0A3A8C"/>
            <w:u w:val="single"/>
          </w:rPr>
          <w:t xml:space="preserve">§ 320 Berichtigung des Tatbestandes</w:t>
        </w:r>
      </w:hyperlink>
    </w:p>
    <w:p>
      <w:pPr>
        <w:pStyle w:val="Übersicht"/>
        <w:ind w:left="1020"/>
      </w:pPr>
      <w:hyperlink w:anchor="b367" w:history="1">
        <w:r>
          <w:rPr>
            <w:color w:val="0A3A8C"/>
            <w:u w:val="single"/>
          </w:rPr>
          <w:t xml:space="preserve">§ 321 Ergänzung des Urteils</w:t>
        </w:r>
      </w:hyperlink>
    </w:p>
    <w:p>
      <w:pPr>
        <w:pStyle w:val="Übersicht"/>
        <w:ind w:left="1020"/>
      </w:pPr>
      <w:hyperlink w:anchor="b368" w:history="1">
        <w:r>
          <w:rPr>
            <w:color w:val="0A3A8C"/>
            <w:u w:val="single"/>
          </w:rPr>
          <w:t xml:space="preserve">§ 321a Abhilfe bei Verletzung des Anspruchs auf rechtliches Gehör</w:t>
        </w:r>
      </w:hyperlink>
    </w:p>
    <w:p>
      <w:pPr>
        <w:pStyle w:val="Übersicht"/>
        <w:ind w:left="1020"/>
      </w:pPr>
      <w:hyperlink w:anchor="b369" w:history="1">
        <w:r>
          <w:rPr>
            <w:color w:val="0A3A8C"/>
            <w:u w:val="single"/>
          </w:rPr>
          <w:t xml:space="preserve">§ 322 Materielle Rechtskraft</w:t>
        </w:r>
      </w:hyperlink>
    </w:p>
    <w:p>
      <w:pPr>
        <w:pStyle w:val="Übersicht"/>
        <w:ind w:left="1020"/>
      </w:pPr>
      <w:hyperlink w:anchor="b370" w:history="1">
        <w:r>
          <w:rPr>
            <w:color w:val="0A3A8C"/>
            <w:u w:val="single"/>
          </w:rPr>
          <w:t xml:space="preserve">§ 323 Abänderung von Urteilen</w:t>
        </w:r>
      </w:hyperlink>
    </w:p>
    <w:p>
      <w:pPr>
        <w:pStyle w:val="Übersicht"/>
        <w:ind w:left="1020"/>
      </w:pPr>
      <w:hyperlink w:anchor="b371" w:history="1">
        <w:r>
          <w:rPr>
            <w:color w:val="0A3A8C"/>
            <w:u w:val="single"/>
          </w:rPr>
          <w:t xml:space="preserve">§ 323a Abänderung von Vergleichen und Urkunden</w:t>
        </w:r>
      </w:hyperlink>
    </w:p>
    <w:p>
      <w:pPr>
        <w:pStyle w:val="Übersicht"/>
        <w:ind w:left="1020"/>
      </w:pPr>
      <w:hyperlink w:anchor="b372" w:history="1">
        <w:r>
          <w:rPr>
            <w:color w:val="0A3A8C"/>
            <w:u w:val="single"/>
          </w:rPr>
          <w:t xml:space="preserve">§ 323b Verschärfte Haftung</w:t>
        </w:r>
      </w:hyperlink>
    </w:p>
    <w:p>
      <w:pPr>
        <w:pStyle w:val="Übersicht"/>
        <w:ind w:left="1020"/>
      </w:pPr>
      <w:hyperlink w:anchor="b373" w:history="1">
        <w:r>
          <w:rPr>
            <w:color w:val="0A3A8C"/>
            <w:u w:val="single"/>
          </w:rPr>
          <w:t xml:space="preserve">§ 324 Nachforderungsklage zur Sicherheitsleistung</w:t>
        </w:r>
      </w:hyperlink>
    </w:p>
    <w:p>
      <w:pPr>
        <w:pStyle w:val="Übersicht"/>
        <w:ind w:left="1020"/>
      </w:pPr>
      <w:hyperlink w:anchor="b374" w:history="1">
        <w:r>
          <w:rPr>
            <w:color w:val="0A3A8C"/>
            <w:u w:val="single"/>
          </w:rPr>
          <w:t xml:space="preserve">§ 325 Subjektive Rechtskraftwirkung</w:t>
        </w:r>
      </w:hyperlink>
    </w:p>
    <w:p>
      <w:pPr>
        <w:pStyle w:val="Übersicht"/>
        <w:ind w:left="1020"/>
      </w:pPr>
      <w:hyperlink w:anchor="b375" w:history="1">
        <w:r>
          <w:rPr>
            <w:color w:val="0A3A8C"/>
            <w:u w:val="single"/>
          </w:rPr>
          <w:t xml:space="preserve">§ 325a Feststellungswirkung des Musterentscheids *)</w:t>
        </w:r>
      </w:hyperlink>
    </w:p>
    <w:p>
      <w:pPr>
        <w:pStyle w:val="Übersicht"/>
        <w:ind w:left="1020"/>
      </w:pPr>
      <w:hyperlink w:anchor="b376" w:history="1">
        <w:r>
          <w:rPr>
            <w:color w:val="0A3A8C"/>
            <w:u w:val="single"/>
          </w:rPr>
          <w:t xml:space="preserve">§ 326 Rechtskraft bei Nacherbfolge</w:t>
        </w:r>
      </w:hyperlink>
    </w:p>
    <w:p>
      <w:pPr>
        <w:pStyle w:val="Übersicht"/>
        <w:ind w:left="1020"/>
      </w:pPr>
      <w:hyperlink w:anchor="b377" w:history="1">
        <w:r>
          <w:rPr>
            <w:color w:val="0A3A8C"/>
            <w:u w:val="single"/>
          </w:rPr>
          <w:t xml:space="preserve">§ 327 Rechtskraft bei Testamentsvollstreckung</w:t>
        </w:r>
      </w:hyperlink>
    </w:p>
    <w:p>
      <w:pPr>
        <w:pStyle w:val="Übersicht"/>
        <w:ind w:left="1020"/>
      </w:pPr>
      <w:hyperlink w:anchor="b378" w:history="1">
        <w:r>
          <w:rPr>
            <w:color w:val="0A3A8C"/>
            <w:u w:val="single"/>
          </w:rPr>
          <w:t xml:space="preserve">§ 328 Anerkennung ausländischer Urteile</w:t>
        </w:r>
      </w:hyperlink>
    </w:p>
    <w:p>
      <w:pPr>
        <w:pStyle w:val="Übersicht"/>
        <w:ind w:left="1020"/>
      </w:pPr>
      <w:hyperlink w:anchor="b379" w:history="1">
        <w:r>
          <w:rPr>
            <w:color w:val="0A3A8C"/>
            <w:u w:val="single"/>
          </w:rPr>
          <w:t xml:space="preserve">§ 329 Beschlüsse und Verfügungen</w:t>
        </w:r>
      </w:hyperlink>
    </w:p>
    <w:p>
      <w:pPr>
        <w:pStyle w:val="Übersicht"/>
        <w:ind w:left="680"/>
      </w:pPr>
      <w:hyperlink w:anchor="b380" w:history="1">
        <w:r>
          <w:rPr>
            <w:b/>
            <w:color w:val="0A3A8C"/>
            <w:u w:val="single"/>
          </w:rPr>
          <w:t xml:space="preserve">Titel 3 Versäumnisurteil</w:t>
        </w:r>
      </w:hyperlink>
    </w:p>
    <w:p>
      <w:pPr>
        <w:pStyle w:val="Übersicht"/>
        <w:ind w:left="1020"/>
      </w:pPr>
      <w:hyperlink w:anchor="b381" w:history="1">
        <w:r>
          <w:rPr>
            <w:color w:val="0A3A8C"/>
            <w:u w:val="single"/>
          </w:rPr>
          <w:t xml:space="preserve">§ 330 Versäumnisurteil gegen den Kläger</w:t>
        </w:r>
      </w:hyperlink>
    </w:p>
    <w:p>
      <w:pPr>
        <w:pStyle w:val="Übersicht"/>
        <w:ind w:left="1020"/>
      </w:pPr>
      <w:hyperlink w:anchor="b382" w:history="1">
        <w:r>
          <w:rPr>
            <w:color w:val="0A3A8C"/>
            <w:u w:val="single"/>
          </w:rPr>
          <w:t xml:space="preserve">§ 331 Versäumnisurteil gegen den Beklagten</w:t>
        </w:r>
      </w:hyperlink>
    </w:p>
    <w:p>
      <w:pPr>
        <w:pStyle w:val="Übersicht"/>
        <w:ind w:left="1020"/>
      </w:pPr>
      <w:hyperlink w:anchor="b383" w:history="1">
        <w:r>
          <w:rPr>
            <w:color w:val="0A3A8C"/>
            <w:u w:val="single"/>
          </w:rPr>
          <w:t xml:space="preserve">§ 331a Entscheidung nach Aktenlage</w:t>
        </w:r>
      </w:hyperlink>
    </w:p>
    <w:p>
      <w:pPr>
        <w:pStyle w:val="Übersicht"/>
        <w:ind w:left="1020"/>
      </w:pPr>
      <w:hyperlink w:anchor="b384" w:history="1">
        <w:r>
          <w:rPr>
            <w:color w:val="0A3A8C"/>
            <w:u w:val="single"/>
          </w:rPr>
          <w:t xml:space="preserve">§ 332 Begriff des Verhandlungstermins</w:t>
        </w:r>
      </w:hyperlink>
    </w:p>
    <w:p>
      <w:pPr>
        <w:pStyle w:val="Übersicht"/>
        <w:ind w:left="1020"/>
      </w:pPr>
      <w:hyperlink w:anchor="b385" w:history="1">
        <w:r>
          <w:rPr>
            <w:color w:val="0A3A8C"/>
            <w:u w:val="single"/>
          </w:rPr>
          <w:t xml:space="preserve">§ 333 Nichtverhandeln der erschienenen Partei</w:t>
        </w:r>
      </w:hyperlink>
    </w:p>
    <w:p>
      <w:pPr>
        <w:pStyle w:val="Übersicht"/>
        <w:ind w:left="1020"/>
      </w:pPr>
      <w:hyperlink w:anchor="b386" w:history="1">
        <w:r>
          <w:rPr>
            <w:color w:val="0A3A8C"/>
            <w:u w:val="single"/>
          </w:rPr>
          <w:t xml:space="preserve">§ 334 Unvollständiges Verhandeln</w:t>
        </w:r>
      </w:hyperlink>
    </w:p>
    <w:p>
      <w:pPr>
        <w:pStyle w:val="Übersicht"/>
        <w:ind w:left="1020"/>
      </w:pPr>
      <w:hyperlink w:anchor="b387" w:history="1">
        <w:r>
          <w:rPr>
            <w:color w:val="0A3A8C"/>
            <w:u w:val="single"/>
          </w:rPr>
          <w:t xml:space="preserve">§ 335 Unzulässigkeit einer Versäumnisentscheidung</w:t>
        </w:r>
      </w:hyperlink>
    </w:p>
    <w:p>
      <w:pPr>
        <w:pStyle w:val="Übersicht"/>
        <w:ind w:left="1020"/>
      </w:pPr>
      <w:hyperlink w:anchor="b388" w:history="1">
        <w:r>
          <w:rPr>
            <w:color w:val="0A3A8C"/>
            <w:u w:val="single"/>
          </w:rPr>
          <w:t xml:space="preserve">§ 336 Rechtsmittel bei Zurückweisung</w:t>
        </w:r>
      </w:hyperlink>
    </w:p>
    <w:p>
      <w:pPr>
        <w:pStyle w:val="Übersicht"/>
        <w:ind w:left="1020"/>
      </w:pPr>
      <w:hyperlink w:anchor="b389" w:history="1">
        <w:r>
          <w:rPr>
            <w:color w:val="0A3A8C"/>
            <w:u w:val="single"/>
          </w:rPr>
          <w:t xml:space="preserve">§ 337 Vertagung von Amts wegen</w:t>
        </w:r>
      </w:hyperlink>
    </w:p>
    <w:p>
      <w:pPr>
        <w:pStyle w:val="Übersicht"/>
        <w:ind w:left="1020"/>
      </w:pPr>
      <w:hyperlink w:anchor="b390" w:history="1">
        <w:r>
          <w:rPr>
            <w:color w:val="0A3A8C"/>
            <w:u w:val="single"/>
          </w:rPr>
          <w:t xml:space="preserve">§ 338 Einspruch</w:t>
        </w:r>
      </w:hyperlink>
    </w:p>
    <w:p>
      <w:pPr>
        <w:pStyle w:val="Übersicht"/>
        <w:ind w:left="1020"/>
      </w:pPr>
      <w:hyperlink w:anchor="b391" w:history="1">
        <w:r>
          <w:rPr>
            <w:color w:val="0A3A8C"/>
            <w:u w:val="single"/>
          </w:rPr>
          <w:t xml:space="preserve">§ 339 Einspruchsfrist</w:t>
        </w:r>
      </w:hyperlink>
    </w:p>
    <w:p>
      <w:pPr>
        <w:pStyle w:val="Übersicht"/>
        <w:ind w:left="1020"/>
      </w:pPr>
      <w:hyperlink w:anchor="b392" w:history="1">
        <w:r>
          <w:rPr>
            <w:color w:val="0A3A8C"/>
            <w:u w:val="single"/>
          </w:rPr>
          <w:t xml:space="preserve">§ 340 Einspruchsschrift</w:t>
        </w:r>
      </w:hyperlink>
    </w:p>
    <w:p>
      <w:pPr>
        <w:pStyle w:val="Übersicht"/>
        <w:ind w:left="1020"/>
      </w:pPr>
      <w:hyperlink w:anchor="b393" w:history="1">
        <w:r>
          <w:rPr>
            <w:color w:val="0A3A8C"/>
            <w:u w:val="single"/>
          </w:rPr>
          <w:t xml:space="preserve">§ 340a Zustellung der Einspruchsschrift</w:t>
        </w:r>
      </w:hyperlink>
    </w:p>
    <w:p>
      <w:pPr>
        <w:pStyle w:val="Übersicht"/>
        <w:ind w:left="1020"/>
      </w:pPr>
      <w:hyperlink w:anchor="b394" w:history="1">
        <w:r>
          <w:rPr>
            <w:color w:val="0A3A8C"/>
            <w:u w:val="single"/>
          </w:rPr>
          <w:t xml:space="preserve">§ 341 Einspruchsprüfung</w:t>
        </w:r>
      </w:hyperlink>
    </w:p>
    <w:p>
      <w:pPr>
        <w:pStyle w:val="Übersicht"/>
        <w:ind w:left="1020"/>
      </w:pPr>
      <w:hyperlink w:anchor="b395" w:history="1">
        <w:r>
          <w:rPr>
            <w:color w:val="0A3A8C"/>
            <w:u w:val="single"/>
          </w:rPr>
          <w:t xml:space="preserve">§ 341a Einspruchstermin</w:t>
        </w:r>
      </w:hyperlink>
    </w:p>
    <w:p>
      <w:pPr>
        <w:pStyle w:val="Übersicht"/>
        <w:ind w:left="1020"/>
      </w:pPr>
      <w:hyperlink w:anchor="b396" w:history="1">
        <w:r>
          <w:rPr>
            <w:color w:val="0A3A8C"/>
            <w:u w:val="single"/>
          </w:rPr>
          <w:t xml:space="preserve">§ 342 Wirkung des zulässigen Einspruchs</w:t>
        </w:r>
      </w:hyperlink>
    </w:p>
    <w:p>
      <w:pPr>
        <w:pStyle w:val="Übersicht"/>
        <w:ind w:left="1020"/>
      </w:pPr>
      <w:hyperlink w:anchor="b397" w:history="1">
        <w:r>
          <w:rPr>
            <w:color w:val="0A3A8C"/>
            <w:u w:val="single"/>
          </w:rPr>
          <w:t xml:space="preserve">§ 343 Entscheidung nach Einspruch</w:t>
        </w:r>
      </w:hyperlink>
    </w:p>
    <w:p>
      <w:pPr>
        <w:pStyle w:val="Übersicht"/>
        <w:ind w:left="1020"/>
      </w:pPr>
      <w:hyperlink w:anchor="b398" w:history="1">
        <w:r>
          <w:rPr>
            <w:color w:val="0A3A8C"/>
            <w:u w:val="single"/>
          </w:rPr>
          <w:t xml:space="preserve">§ 344 Versäumniskosten</w:t>
        </w:r>
      </w:hyperlink>
    </w:p>
    <w:p>
      <w:pPr>
        <w:pStyle w:val="Übersicht"/>
        <w:ind w:left="1020"/>
      </w:pPr>
      <w:hyperlink w:anchor="b399" w:history="1">
        <w:r>
          <w:rPr>
            <w:color w:val="0A3A8C"/>
            <w:u w:val="single"/>
          </w:rPr>
          <w:t xml:space="preserve">§ 345 Zweites Versäumnisurteil</w:t>
        </w:r>
      </w:hyperlink>
    </w:p>
    <w:p>
      <w:pPr>
        <w:pStyle w:val="Übersicht"/>
        <w:ind w:left="1020"/>
      </w:pPr>
      <w:hyperlink w:anchor="b400" w:history="1">
        <w:r>
          <w:rPr>
            <w:color w:val="0A3A8C"/>
            <w:u w:val="single"/>
          </w:rPr>
          <w:t xml:space="preserve">§ 346 Verzicht und Zurücknahme des Einspruchs</w:t>
        </w:r>
      </w:hyperlink>
    </w:p>
    <w:p>
      <w:pPr>
        <w:pStyle w:val="Übersicht"/>
        <w:ind w:left="1020"/>
      </w:pPr>
      <w:hyperlink w:anchor="b401" w:history="1">
        <w:r>
          <w:rPr>
            <w:color w:val="0A3A8C"/>
            <w:u w:val="single"/>
          </w:rPr>
          <w:t xml:space="preserve">§ 347 Verfahren bei Widerklage und Zwischenstreit</w:t>
        </w:r>
      </w:hyperlink>
    </w:p>
    <w:p>
      <w:pPr>
        <w:pStyle w:val="Übersicht"/>
        <w:ind w:left="680"/>
      </w:pPr>
      <w:hyperlink w:anchor="b402" w:history="1">
        <w:r>
          <w:rPr>
            <w:b/>
            <w:color w:val="0A3A8C"/>
            <w:u w:val="single"/>
          </w:rPr>
          <w:t xml:space="preserve">Titel 4 Verfahren vor dem
Einzelrichter</w:t>
        </w:r>
      </w:hyperlink>
    </w:p>
    <w:p>
      <w:pPr>
        <w:pStyle w:val="Übersicht"/>
        <w:ind w:left="1020"/>
      </w:pPr>
      <w:hyperlink w:anchor="b403" w:history="1">
        <w:r>
          <w:rPr>
            <w:color w:val="0A3A8C"/>
            <w:u w:val="single"/>
          </w:rPr>
          <w:t xml:space="preserve">§ 348 Originärer Einzelrichter</w:t>
        </w:r>
      </w:hyperlink>
    </w:p>
    <w:p>
      <w:pPr>
        <w:pStyle w:val="Übersicht"/>
        <w:ind w:left="1020"/>
      </w:pPr>
      <w:hyperlink w:anchor="b404" w:history="1">
        <w:r>
          <w:rPr>
            <w:color w:val="0A3A8C"/>
            <w:u w:val="single"/>
          </w:rPr>
          <w:t xml:space="preserve">§ 348a Obligatorischer Einzelrichter</w:t>
        </w:r>
      </w:hyperlink>
    </w:p>
    <w:p>
      <w:pPr>
        <w:pStyle w:val="Übersicht"/>
        <w:ind w:left="1020"/>
      </w:pPr>
      <w:hyperlink w:anchor="b405" w:history="1">
        <w:r>
          <w:rPr>
            <w:color w:val="0A3A8C"/>
            <w:u w:val="single"/>
          </w:rPr>
          <w:t xml:space="preserve">§ 349 Vorsitzender der Kammer für Handelssachen</w:t>
        </w:r>
      </w:hyperlink>
    </w:p>
    <w:p>
      <w:pPr>
        <w:pStyle w:val="Übersicht"/>
        <w:ind w:left="1020"/>
      </w:pPr>
      <w:hyperlink w:anchor="b406" w:history="1">
        <w:r>
          <w:rPr>
            <w:color w:val="0A3A8C"/>
            <w:u w:val="single"/>
          </w:rPr>
          <w:t xml:space="preserve">§ 350 Rechtsmittel</w:t>
        </w:r>
      </w:hyperlink>
    </w:p>
    <w:p>
      <w:pPr>
        <w:pStyle w:val="Übersicht"/>
        <w:ind w:left="1020"/>
      </w:pPr>
      <w:hyperlink w:anchor="b407" w:history="1">
        <w:r>
          <w:rPr>
            <w:color w:val="0A3A8C"/>
            <w:u w:val="single"/>
          </w:rPr>
          <w:t xml:space="preserve">§§ 351 bis 354 (weggefallen)</w:t>
        </w:r>
      </w:hyperlink>
    </w:p>
    <w:p>
      <w:pPr>
        <w:pStyle w:val="Übersicht"/>
        <w:ind w:left="680"/>
      </w:pPr>
      <w:hyperlink w:anchor="b408" w:history="1">
        <w:r>
          <w:rPr>
            <w:b/>
            <w:color w:val="0A3A8C"/>
            <w:u w:val="single"/>
          </w:rPr>
          <w:t xml:space="preserve">Titel 5 Allgemeine Vorschriften
über die Beweisaufnahme</w:t>
        </w:r>
      </w:hyperlink>
    </w:p>
    <w:p>
      <w:pPr>
        <w:pStyle w:val="Übersicht"/>
        <w:ind w:left="1020"/>
      </w:pPr>
      <w:hyperlink w:anchor="b409" w:history="1">
        <w:r>
          <w:rPr>
            <w:color w:val="0A3A8C"/>
            <w:u w:val="single"/>
          </w:rPr>
          <w:t xml:space="preserve">§ 355 Unmittelbarkeit der Beweisaufnahme</w:t>
        </w:r>
      </w:hyperlink>
    </w:p>
    <w:p>
      <w:pPr>
        <w:pStyle w:val="Übersicht"/>
        <w:ind w:left="1020"/>
      </w:pPr>
      <w:hyperlink w:anchor="b410" w:history="1">
        <w:r>
          <w:rPr>
            <w:color w:val="0A3A8C"/>
            <w:u w:val="single"/>
          </w:rPr>
          <w:t xml:space="preserve">§ 356 Beibringungsfrist</w:t>
        </w:r>
      </w:hyperlink>
    </w:p>
    <w:p>
      <w:pPr>
        <w:pStyle w:val="Übersicht"/>
        <w:ind w:left="1020"/>
      </w:pPr>
      <w:hyperlink w:anchor="b411" w:history="1">
        <w:r>
          <w:rPr>
            <w:color w:val="0A3A8C"/>
            <w:u w:val="single"/>
          </w:rPr>
          <w:t xml:space="preserve">§ 357 Parteiöffentlichkeit</w:t>
        </w:r>
      </w:hyperlink>
    </w:p>
    <w:p>
      <w:pPr>
        <w:pStyle w:val="Übersicht"/>
        <w:ind w:left="1020"/>
      </w:pPr>
      <w:hyperlink w:anchor="b412" w:history="1">
        <w:r>
          <w:rPr>
            <w:color w:val="0A3A8C"/>
            <w:u w:val="single"/>
          </w:rPr>
          <w:t xml:space="preserve">§ 357a</w:t>
        </w:r>
      </w:hyperlink>
    </w:p>
    <w:p>
      <w:pPr>
        <w:pStyle w:val="Übersicht"/>
        <w:ind w:left="1020"/>
      </w:pPr>
      <w:hyperlink w:anchor="b413" w:history="1">
        <w:r>
          <w:rPr>
            <w:color w:val="0A3A8C"/>
            <w:u w:val="single"/>
          </w:rPr>
          <w:t xml:space="preserve">§ 358 Notwendigkeit eines Beweisbeschlusses</w:t>
        </w:r>
      </w:hyperlink>
    </w:p>
    <w:p>
      <w:pPr>
        <w:pStyle w:val="Übersicht"/>
        <w:ind w:left="1020"/>
      </w:pPr>
      <w:hyperlink w:anchor="b414" w:history="1">
        <w:r>
          <w:rPr>
            <w:color w:val="0A3A8C"/>
            <w:u w:val="single"/>
          </w:rPr>
          <w:t xml:space="preserve">§ 358a Beweisbeschluss und Beweisaufnahme vor mündlicher Verhandlung</w:t>
        </w:r>
      </w:hyperlink>
    </w:p>
    <w:p>
      <w:pPr>
        <w:pStyle w:val="Übersicht"/>
        <w:ind w:left="1020"/>
      </w:pPr>
      <w:hyperlink w:anchor="b415" w:history="1">
        <w:r>
          <w:rPr>
            <w:color w:val="0A3A8C"/>
            <w:u w:val="single"/>
          </w:rPr>
          <w:t xml:space="preserve">§ 359 Inhalt des Beweisbeschlusses</w:t>
        </w:r>
      </w:hyperlink>
    </w:p>
    <w:p>
      <w:pPr>
        <w:pStyle w:val="Übersicht"/>
        <w:ind w:left="1020"/>
      </w:pPr>
      <w:hyperlink w:anchor="b416" w:history="1">
        <w:r>
          <w:rPr>
            <w:color w:val="0A3A8C"/>
            <w:u w:val="single"/>
          </w:rPr>
          <w:t xml:space="preserve">§ 360 Änderung des Beweisbeschlusses</w:t>
        </w:r>
      </w:hyperlink>
    </w:p>
    <w:p>
      <w:pPr>
        <w:pStyle w:val="Übersicht"/>
        <w:ind w:left="1020"/>
      </w:pPr>
      <w:hyperlink w:anchor="b417" w:history="1">
        <w:r>
          <w:rPr>
            <w:color w:val="0A3A8C"/>
            <w:u w:val="single"/>
          </w:rPr>
          <w:t xml:space="preserve">§ 361 Beweisaufnahme durch beauftragten Richter</w:t>
        </w:r>
      </w:hyperlink>
    </w:p>
    <w:p>
      <w:pPr>
        <w:pStyle w:val="Übersicht"/>
        <w:ind w:left="1020"/>
      </w:pPr>
      <w:hyperlink w:anchor="b418" w:history="1">
        <w:r>
          <w:rPr>
            <w:color w:val="0A3A8C"/>
            <w:u w:val="single"/>
          </w:rPr>
          <w:t xml:space="preserve">§ 362 Beweisaufnahme durch ersuchten Richter</w:t>
        </w:r>
      </w:hyperlink>
    </w:p>
    <w:p>
      <w:pPr>
        <w:pStyle w:val="Übersicht"/>
        <w:ind w:left="1020"/>
      </w:pPr>
      <w:hyperlink w:anchor="b419" w:history="1">
        <w:r>
          <w:rPr>
            <w:color w:val="0A3A8C"/>
            <w:u w:val="single"/>
          </w:rPr>
          <w:t xml:space="preserve">§ 363 Beweisaufnahme im Ausland</w:t>
        </w:r>
      </w:hyperlink>
    </w:p>
    <w:p>
      <w:pPr>
        <w:pStyle w:val="Übersicht"/>
        <w:ind w:left="1020"/>
      </w:pPr>
      <w:hyperlink w:anchor="b420" w:history="1">
        <w:r>
          <w:rPr>
            <w:color w:val="0A3A8C"/>
            <w:u w:val="single"/>
          </w:rPr>
          <w:t xml:space="preserve">§ 364 Parteimitwirkung bei Beweisaufnahme im Ausland</w:t>
        </w:r>
      </w:hyperlink>
    </w:p>
    <w:p>
      <w:pPr>
        <w:pStyle w:val="Übersicht"/>
        <w:ind w:left="1020"/>
      </w:pPr>
      <w:hyperlink w:anchor="b421" w:history="1">
        <w:r>
          <w:rPr>
            <w:color w:val="0A3A8C"/>
            <w:u w:val="single"/>
          </w:rPr>
          <w:t xml:space="preserve">§ 365 Abgabe durch beauftragten oder ersuchten Richter</w:t>
        </w:r>
      </w:hyperlink>
    </w:p>
    <w:p>
      <w:pPr>
        <w:pStyle w:val="Übersicht"/>
        <w:ind w:left="1020"/>
      </w:pPr>
      <w:hyperlink w:anchor="b422" w:history="1">
        <w:r>
          <w:rPr>
            <w:color w:val="0A3A8C"/>
            <w:u w:val="single"/>
          </w:rPr>
          <w:t xml:space="preserve">§ 366 Zwischenstreit</w:t>
        </w:r>
      </w:hyperlink>
    </w:p>
    <w:p>
      <w:pPr>
        <w:pStyle w:val="Übersicht"/>
        <w:ind w:left="1020"/>
      </w:pPr>
      <w:hyperlink w:anchor="b423" w:history="1">
        <w:r>
          <w:rPr>
            <w:color w:val="0A3A8C"/>
            <w:u w:val="single"/>
          </w:rPr>
          <w:t xml:space="preserve">§ 367 Ausbleiben der Partei</w:t>
        </w:r>
      </w:hyperlink>
    </w:p>
    <w:p>
      <w:pPr>
        <w:pStyle w:val="Übersicht"/>
        <w:ind w:left="1020"/>
      </w:pPr>
      <w:hyperlink w:anchor="b424" w:history="1">
        <w:r>
          <w:rPr>
            <w:color w:val="0A3A8C"/>
            <w:u w:val="single"/>
          </w:rPr>
          <w:t xml:space="preserve">§ 368 Neuer Beweistermin</w:t>
        </w:r>
      </w:hyperlink>
    </w:p>
    <w:p>
      <w:pPr>
        <w:pStyle w:val="Übersicht"/>
        <w:ind w:left="1020"/>
      </w:pPr>
      <w:hyperlink w:anchor="b425" w:history="1">
        <w:r>
          <w:rPr>
            <w:color w:val="0A3A8C"/>
            <w:u w:val="single"/>
          </w:rPr>
          <w:t xml:space="preserve">§ 369 Ausländische Beweisaufnahme</w:t>
        </w:r>
      </w:hyperlink>
    </w:p>
    <w:p>
      <w:pPr>
        <w:pStyle w:val="Übersicht"/>
        <w:ind w:left="1020"/>
      </w:pPr>
      <w:hyperlink w:anchor="b426" w:history="1">
        <w:r>
          <w:rPr>
            <w:color w:val="0A3A8C"/>
            <w:u w:val="single"/>
          </w:rPr>
          <w:t xml:space="preserve">§ 370 Fortsetzung der mündlichen Verhandlung</w:t>
        </w:r>
      </w:hyperlink>
    </w:p>
    <w:p>
      <w:pPr>
        <w:pStyle w:val="Übersicht"/>
        <w:ind w:left="680"/>
      </w:pPr>
      <w:hyperlink w:anchor="b427" w:history="1">
        <w:r>
          <w:rPr>
            <w:b/>
            <w:color w:val="0A3A8C"/>
            <w:u w:val="single"/>
          </w:rPr>
          <w:t xml:space="preserve">Titel 6 Beweis durch Augenschein</w:t>
        </w:r>
      </w:hyperlink>
    </w:p>
    <w:p>
      <w:pPr>
        <w:pStyle w:val="Übersicht"/>
        <w:ind w:left="1020"/>
      </w:pPr>
      <w:hyperlink w:anchor="b428" w:history="1">
        <w:r>
          <w:rPr>
            <w:color w:val="0A3A8C"/>
            <w:u w:val="single"/>
          </w:rPr>
          <w:t xml:space="preserve">§ 371 Beweis durch Augenschein</w:t>
        </w:r>
      </w:hyperlink>
    </w:p>
    <w:p>
      <w:pPr>
        <w:pStyle w:val="Übersicht"/>
        <w:ind w:left="1020"/>
      </w:pPr>
      <w:hyperlink w:anchor="b429" w:history="1">
        <w:r>
          <w:rPr>
            <w:color w:val="0A3A8C"/>
            <w:u w:val="single"/>
          </w:rPr>
          <w:t xml:space="preserve">§ 371a Beweiskraft elektronischer Dokumente</w:t>
        </w:r>
      </w:hyperlink>
    </w:p>
    <w:p>
      <w:pPr>
        <w:pStyle w:val="Übersicht"/>
        <w:ind w:left="1020"/>
      </w:pPr>
      <w:hyperlink w:anchor="b430" w:history="1">
        <w:r>
          <w:rPr>
            <w:color w:val="0A3A8C"/>
            <w:u w:val="single"/>
          </w:rPr>
          <w:t xml:space="preserve">§ 371b Beweiskraft gescannter öffentlicher Urkunden</w:t>
        </w:r>
      </w:hyperlink>
    </w:p>
    <w:p>
      <w:pPr>
        <w:pStyle w:val="Übersicht"/>
        <w:ind w:left="1020"/>
      </w:pPr>
      <w:hyperlink w:anchor="b431" w:history="1">
        <w:r>
          <w:rPr>
            <w:color w:val="0A3A8C"/>
            <w:u w:val="single"/>
          </w:rPr>
          <w:t xml:space="preserve">§ 372 Beweisaufnahme</w:t>
        </w:r>
      </w:hyperlink>
    </w:p>
    <w:p>
      <w:pPr>
        <w:pStyle w:val="Übersicht"/>
        <w:ind w:left="1020"/>
      </w:pPr>
      <w:hyperlink w:anchor="b432" w:history="1">
        <w:r>
          <w:rPr>
            <w:color w:val="0A3A8C"/>
            <w:u w:val="single"/>
          </w:rPr>
          <w:t xml:space="preserve">§ 372a Untersuchungen zur Feststellung der Abstammung</w:t>
        </w:r>
      </w:hyperlink>
    </w:p>
    <w:p>
      <w:pPr>
        <w:pStyle w:val="Übersicht"/>
        <w:ind w:left="680"/>
      </w:pPr>
      <w:hyperlink w:anchor="b433" w:history="1">
        <w:r>
          <w:rPr>
            <w:b/>
            <w:color w:val="0A3A8C"/>
            <w:u w:val="single"/>
          </w:rPr>
          <w:t xml:space="preserve">Titel 7 Zeugenbeweis</w:t>
        </w:r>
      </w:hyperlink>
    </w:p>
    <w:p>
      <w:pPr>
        <w:pStyle w:val="Übersicht"/>
        <w:ind w:left="1020"/>
      </w:pPr>
      <w:hyperlink w:anchor="b434" w:history="1">
        <w:r>
          <w:rPr>
            <w:color w:val="0A3A8C"/>
            <w:u w:val="single"/>
          </w:rPr>
          <w:t xml:space="preserve">§ 373 Beweisantritt</w:t>
        </w:r>
      </w:hyperlink>
    </w:p>
    <w:p>
      <w:pPr>
        <w:pStyle w:val="Übersicht"/>
        <w:ind w:left="1020"/>
      </w:pPr>
      <w:hyperlink w:anchor="b435" w:history="1">
        <w:r>
          <w:rPr>
            <w:color w:val="0A3A8C"/>
            <w:u w:val="single"/>
          </w:rPr>
          <w:t xml:space="preserve">§ 374</w:t>
        </w:r>
      </w:hyperlink>
    </w:p>
    <w:p>
      <w:pPr>
        <w:pStyle w:val="Übersicht"/>
        <w:ind w:left="1020"/>
      </w:pPr>
      <w:hyperlink w:anchor="b436" w:history="1">
        <w:r>
          <w:rPr>
            <w:color w:val="0A3A8C"/>
            <w:u w:val="single"/>
          </w:rPr>
          <w:t xml:space="preserve">§ 375 Beweisaufnahme durch beauftragten oder ersuchten Richter</w:t>
        </w:r>
      </w:hyperlink>
    </w:p>
    <w:p>
      <w:pPr>
        <w:pStyle w:val="Übersicht"/>
        <w:ind w:left="1020"/>
      </w:pPr>
      <w:hyperlink w:anchor="b437" w:history="1">
        <w:r>
          <w:rPr>
            <w:color w:val="0A3A8C"/>
            <w:u w:val="single"/>
          </w:rPr>
          <w:t xml:space="preserve">§ 376 Vernehmung bei Amtsverschwiegenheit</w:t>
        </w:r>
      </w:hyperlink>
    </w:p>
    <w:p>
      <w:pPr>
        <w:pStyle w:val="Übersicht"/>
        <w:ind w:left="1020"/>
      </w:pPr>
      <w:hyperlink w:anchor="b438" w:history="1">
        <w:r>
          <w:rPr>
            <w:color w:val="0A3A8C"/>
            <w:u w:val="single"/>
          </w:rPr>
          <w:t xml:space="preserve">§ 377 Zeugenladung</w:t>
        </w:r>
      </w:hyperlink>
    </w:p>
    <w:p>
      <w:pPr>
        <w:pStyle w:val="Übersicht"/>
        <w:ind w:left="1020"/>
      </w:pPr>
      <w:hyperlink w:anchor="b439" w:history="1">
        <w:r>
          <w:rPr>
            <w:color w:val="0A3A8C"/>
            <w:u w:val="single"/>
          </w:rPr>
          <w:t xml:space="preserve">§ 378 Aussageerleichternde Unterlagen</w:t>
        </w:r>
      </w:hyperlink>
    </w:p>
    <w:p>
      <w:pPr>
        <w:pStyle w:val="Übersicht"/>
        <w:ind w:left="1020"/>
      </w:pPr>
      <w:hyperlink w:anchor="b440" w:history="1">
        <w:r>
          <w:rPr>
            <w:color w:val="0A3A8C"/>
            <w:u w:val="single"/>
          </w:rPr>
          <w:t xml:space="preserve">§ 379 Auslagenvorschuss</w:t>
        </w:r>
      </w:hyperlink>
    </w:p>
    <w:p>
      <w:pPr>
        <w:pStyle w:val="Übersicht"/>
        <w:ind w:left="1020"/>
      </w:pPr>
      <w:hyperlink w:anchor="b441" w:history="1">
        <w:r>
          <w:rPr>
            <w:color w:val="0A3A8C"/>
            <w:u w:val="single"/>
          </w:rPr>
          <w:t xml:space="preserve">§ 380 Folgen des Ausbleibens des Zeugen</w:t>
        </w:r>
      </w:hyperlink>
    </w:p>
    <w:p>
      <w:pPr>
        <w:pStyle w:val="Übersicht"/>
        <w:ind w:left="1020"/>
      </w:pPr>
      <w:hyperlink w:anchor="b442" w:history="1">
        <w:r>
          <w:rPr>
            <w:color w:val="0A3A8C"/>
            <w:u w:val="single"/>
          </w:rPr>
          <w:t xml:space="preserve">§ 381 Genügende Entschuldigung des Ausbleibens</w:t>
        </w:r>
      </w:hyperlink>
    </w:p>
    <w:p>
      <w:pPr>
        <w:pStyle w:val="Übersicht"/>
        <w:ind w:left="1020"/>
      </w:pPr>
      <w:hyperlink w:anchor="b443" w:history="1">
        <w:r>
          <w:rPr>
            <w:color w:val="0A3A8C"/>
            <w:u w:val="single"/>
          </w:rPr>
          <w:t xml:space="preserve">§ 382 Vernehmung an bestimmten Orten</w:t>
        </w:r>
      </w:hyperlink>
    </w:p>
    <w:p>
      <w:pPr>
        <w:pStyle w:val="Übersicht"/>
        <w:ind w:left="1020"/>
      </w:pPr>
      <w:hyperlink w:anchor="b444" w:history="1">
        <w:r>
          <w:rPr>
            <w:color w:val="0A3A8C"/>
            <w:u w:val="single"/>
          </w:rPr>
          <w:t xml:space="preserve">§ 383 Zeugnisverweigerung aus persönlichen Gründen</w:t>
        </w:r>
      </w:hyperlink>
    </w:p>
    <w:p>
      <w:pPr>
        <w:pStyle w:val="Übersicht"/>
        <w:ind w:left="1020"/>
      </w:pPr>
      <w:hyperlink w:anchor="b445" w:history="1">
        <w:r>
          <w:rPr>
            <w:color w:val="0A3A8C"/>
            <w:u w:val="single"/>
          </w:rPr>
          <w:t xml:space="preserve">§ 384 Zeugnisverweigerung aus sachlichen Gründen</w:t>
        </w:r>
      </w:hyperlink>
    </w:p>
    <w:p>
      <w:pPr>
        <w:pStyle w:val="Übersicht"/>
        <w:ind w:left="1020"/>
      </w:pPr>
      <w:hyperlink w:anchor="b446" w:history="1">
        <w:r>
          <w:rPr>
            <w:color w:val="0A3A8C"/>
            <w:u w:val="single"/>
          </w:rPr>
          <w:t xml:space="preserve">§ 385 Ausnahmen vom Zeugnisverweigerungsrecht</w:t>
        </w:r>
      </w:hyperlink>
    </w:p>
    <w:p>
      <w:pPr>
        <w:pStyle w:val="Übersicht"/>
        <w:ind w:left="1020"/>
      </w:pPr>
      <w:hyperlink w:anchor="b447" w:history="1">
        <w:r>
          <w:rPr>
            <w:color w:val="0A3A8C"/>
            <w:u w:val="single"/>
          </w:rPr>
          <w:t xml:space="preserve">§ 386 Erklärung der Zeugnisverweigerung</w:t>
        </w:r>
      </w:hyperlink>
    </w:p>
    <w:p>
      <w:pPr>
        <w:pStyle w:val="Übersicht"/>
        <w:ind w:left="1020"/>
      </w:pPr>
      <w:hyperlink w:anchor="b448" w:history="1">
        <w:r>
          <w:rPr>
            <w:color w:val="0A3A8C"/>
            <w:u w:val="single"/>
          </w:rPr>
          <w:t xml:space="preserve">§ 387 Zwischenstreit über Zeugnisverweigerung</w:t>
        </w:r>
      </w:hyperlink>
    </w:p>
    <w:p>
      <w:pPr>
        <w:pStyle w:val="Übersicht"/>
        <w:ind w:left="1020"/>
      </w:pPr>
      <w:hyperlink w:anchor="b449" w:history="1">
        <w:r>
          <w:rPr>
            <w:color w:val="0A3A8C"/>
            <w:u w:val="single"/>
          </w:rPr>
          <w:t xml:space="preserve">§ 388 Zwischenstreit über schriftliche Zeugnisverweigerung</w:t>
        </w:r>
      </w:hyperlink>
    </w:p>
    <w:p>
      <w:pPr>
        <w:pStyle w:val="Übersicht"/>
        <w:ind w:left="1020"/>
      </w:pPr>
      <w:hyperlink w:anchor="b450" w:history="1">
        <w:r>
          <w:rPr>
            <w:color w:val="0A3A8C"/>
            <w:u w:val="single"/>
          </w:rPr>
          <w:t xml:space="preserve">§ 389 Zeugnisverweigerung vor beauftragtem oder ersuchtem Richter</w:t>
        </w:r>
      </w:hyperlink>
    </w:p>
    <w:p>
      <w:pPr>
        <w:pStyle w:val="Übersicht"/>
        <w:ind w:left="1020"/>
      </w:pPr>
      <w:hyperlink w:anchor="b451" w:history="1">
        <w:r>
          <w:rPr>
            <w:color w:val="0A3A8C"/>
            <w:u w:val="single"/>
          </w:rPr>
          <w:t xml:space="preserve">§ 390 Folgen der Zeugnisverweigerung</w:t>
        </w:r>
      </w:hyperlink>
    </w:p>
    <w:p>
      <w:pPr>
        <w:pStyle w:val="Übersicht"/>
        <w:ind w:left="1020"/>
      </w:pPr>
      <w:hyperlink w:anchor="b452" w:history="1">
        <w:r>
          <w:rPr>
            <w:color w:val="0A3A8C"/>
            <w:u w:val="single"/>
          </w:rPr>
          <w:t xml:space="preserve">§ 391 Zeugenbeeidigung</w:t>
        </w:r>
      </w:hyperlink>
    </w:p>
    <w:p>
      <w:pPr>
        <w:pStyle w:val="Übersicht"/>
        <w:ind w:left="1020"/>
      </w:pPr>
      <w:hyperlink w:anchor="b453" w:history="1">
        <w:r>
          <w:rPr>
            <w:color w:val="0A3A8C"/>
            <w:u w:val="single"/>
          </w:rPr>
          <w:t xml:space="preserve">§ 392 Nacheid; Eidesnorm</w:t>
        </w:r>
      </w:hyperlink>
    </w:p>
    <w:p>
      <w:pPr>
        <w:pStyle w:val="Übersicht"/>
        <w:ind w:left="1020"/>
      </w:pPr>
      <w:hyperlink w:anchor="b454" w:history="1">
        <w:r>
          <w:rPr>
            <w:color w:val="0A3A8C"/>
            <w:u w:val="single"/>
          </w:rPr>
          <w:t xml:space="preserve">§ 393 Uneidliche Vernehmung</w:t>
        </w:r>
      </w:hyperlink>
    </w:p>
    <w:p>
      <w:pPr>
        <w:pStyle w:val="Übersicht"/>
        <w:ind w:left="1020"/>
      </w:pPr>
      <w:hyperlink w:anchor="b455" w:history="1">
        <w:r>
          <w:rPr>
            <w:color w:val="0A3A8C"/>
            <w:u w:val="single"/>
          </w:rPr>
          <w:t xml:space="preserve">§ 394 Einzelvernehmung</w:t>
        </w:r>
      </w:hyperlink>
    </w:p>
    <w:p>
      <w:pPr>
        <w:pStyle w:val="Übersicht"/>
        <w:ind w:left="1020"/>
      </w:pPr>
      <w:hyperlink w:anchor="b456" w:history="1">
        <w:r>
          <w:rPr>
            <w:color w:val="0A3A8C"/>
            <w:u w:val="single"/>
          </w:rPr>
          <w:t xml:space="preserve">§ 395 Wahrheitsermahnung; Vernehmung zur Person</w:t>
        </w:r>
      </w:hyperlink>
    </w:p>
    <w:p>
      <w:pPr>
        <w:pStyle w:val="Übersicht"/>
        <w:ind w:left="1020"/>
      </w:pPr>
      <w:hyperlink w:anchor="b457" w:history="1">
        <w:r>
          <w:rPr>
            <w:color w:val="0A3A8C"/>
            <w:u w:val="single"/>
          </w:rPr>
          <w:t xml:space="preserve">§ 396 Vernehmung zur Sache</w:t>
        </w:r>
      </w:hyperlink>
    </w:p>
    <w:p>
      <w:pPr>
        <w:pStyle w:val="Übersicht"/>
        <w:ind w:left="1020"/>
      </w:pPr>
      <w:hyperlink w:anchor="b458" w:history="1">
        <w:r>
          <w:rPr>
            <w:color w:val="0A3A8C"/>
            <w:u w:val="single"/>
          </w:rPr>
          <w:t xml:space="preserve">§ 397 Fragerecht der Parteien</w:t>
        </w:r>
      </w:hyperlink>
    </w:p>
    <w:p>
      <w:pPr>
        <w:pStyle w:val="Übersicht"/>
        <w:ind w:left="1020"/>
      </w:pPr>
      <w:hyperlink w:anchor="b459" w:history="1">
        <w:r>
          <w:rPr>
            <w:color w:val="0A3A8C"/>
            <w:u w:val="single"/>
          </w:rPr>
          <w:t xml:space="preserve">§ 398 Wiederholte und nachträgliche Vernehmung</w:t>
        </w:r>
      </w:hyperlink>
    </w:p>
    <w:p>
      <w:pPr>
        <w:pStyle w:val="Übersicht"/>
        <w:ind w:left="1020"/>
      </w:pPr>
      <w:hyperlink w:anchor="b460" w:history="1">
        <w:r>
          <w:rPr>
            <w:color w:val="0A3A8C"/>
            <w:u w:val="single"/>
          </w:rPr>
          <w:t xml:space="preserve">§ 399 Verzicht auf Zeugen</w:t>
        </w:r>
      </w:hyperlink>
    </w:p>
    <w:p>
      <w:pPr>
        <w:pStyle w:val="Übersicht"/>
        <w:ind w:left="1020"/>
      </w:pPr>
      <w:hyperlink w:anchor="b461" w:history="1">
        <w:r>
          <w:rPr>
            <w:color w:val="0A3A8C"/>
            <w:u w:val="single"/>
          </w:rPr>
          <w:t xml:space="preserve">§ 400 Befugnisse des mit der Beweisaufnahme betrauten Richters</w:t>
        </w:r>
      </w:hyperlink>
    </w:p>
    <w:p>
      <w:pPr>
        <w:pStyle w:val="Übersicht"/>
        <w:ind w:left="1020"/>
      </w:pPr>
      <w:hyperlink w:anchor="b462" w:history="1">
        <w:r>
          <w:rPr>
            <w:color w:val="0A3A8C"/>
            <w:u w:val="single"/>
          </w:rPr>
          <w:t xml:space="preserve">§ 401 Zeugenentschädigung</w:t>
        </w:r>
      </w:hyperlink>
    </w:p>
    <w:p>
      <w:pPr>
        <w:pStyle w:val="Übersicht"/>
        <w:ind w:left="680"/>
      </w:pPr>
      <w:hyperlink w:anchor="b463" w:history="1">
        <w:r>
          <w:rPr>
            <w:b/>
            <w:color w:val="0A3A8C"/>
            <w:u w:val="single"/>
          </w:rPr>
          <w:t xml:space="preserve">Titel 8 Beweis durch Sachverständige</w:t>
        </w:r>
      </w:hyperlink>
    </w:p>
    <w:p>
      <w:pPr>
        <w:pStyle w:val="Übersicht"/>
        <w:ind w:left="1020"/>
      </w:pPr>
      <w:hyperlink w:anchor="b464" w:history="1">
        <w:r>
          <w:rPr>
            <w:color w:val="0A3A8C"/>
            <w:u w:val="single"/>
          </w:rPr>
          <w:t xml:space="preserve">§ 402 Anwendbarkeit der Vorschriften für Zeugen</w:t>
        </w:r>
      </w:hyperlink>
    </w:p>
    <w:p>
      <w:pPr>
        <w:pStyle w:val="Übersicht"/>
        <w:ind w:left="1020"/>
      </w:pPr>
      <w:hyperlink w:anchor="b465" w:history="1">
        <w:r>
          <w:rPr>
            <w:color w:val="0A3A8C"/>
            <w:u w:val="single"/>
          </w:rPr>
          <w:t xml:space="preserve">§ 403 Beweisantritt</w:t>
        </w:r>
      </w:hyperlink>
    </w:p>
    <w:p>
      <w:pPr>
        <w:pStyle w:val="Übersicht"/>
        <w:ind w:left="1020"/>
      </w:pPr>
      <w:hyperlink w:anchor="b466" w:history="1">
        <w:r>
          <w:rPr>
            <w:color w:val="0A3A8C"/>
            <w:u w:val="single"/>
          </w:rPr>
          <w:t xml:space="preserve">§ 404 Sachverständigenauswahl</w:t>
        </w:r>
      </w:hyperlink>
    </w:p>
    <w:p>
      <w:pPr>
        <w:pStyle w:val="Übersicht"/>
        <w:ind w:left="1020"/>
      </w:pPr>
      <w:hyperlink w:anchor="b467" w:history="1">
        <w:r>
          <w:rPr>
            <w:color w:val="0A3A8C"/>
            <w:u w:val="single"/>
          </w:rPr>
          <w:t xml:space="preserve">§ 404a Leitung der Tätigkeit des Sachverständigen</w:t>
        </w:r>
      </w:hyperlink>
    </w:p>
    <w:p>
      <w:pPr>
        <w:pStyle w:val="Übersicht"/>
        <w:ind w:left="1020"/>
      </w:pPr>
      <w:hyperlink w:anchor="b468" w:history="1">
        <w:r>
          <w:rPr>
            <w:color w:val="0A3A8C"/>
            <w:u w:val="single"/>
          </w:rPr>
          <w:t xml:space="preserve">§ 405 Auswahl durch den mit der Beweisaufnahme betrauten Richter</w:t>
        </w:r>
      </w:hyperlink>
    </w:p>
    <w:p>
      <w:pPr>
        <w:pStyle w:val="Übersicht"/>
        <w:ind w:left="1020"/>
      </w:pPr>
      <w:hyperlink w:anchor="b469" w:history="1">
        <w:r>
          <w:rPr>
            <w:color w:val="0A3A8C"/>
            <w:u w:val="single"/>
          </w:rPr>
          <w:t xml:space="preserve">§ 406 Ablehnung eines Sachverständigen</w:t>
        </w:r>
      </w:hyperlink>
    </w:p>
    <w:p>
      <w:pPr>
        <w:pStyle w:val="Übersicht"/>
        <w:ind w:left="1020"/>
      </w:pPr>
      <w:hyperlink w:anchor="b470" w:history="1">
        <w:r>
          <w:rPr>
            <w:color w:val="0A3A8C"/>
            <w:u w:val="single"/>
          </w:rPr>
          <w:t xml:space="preserve">§ 407 Pflicht zur Erstattung des Gutachtens</w:t>
        </w:r>
      </w:hyperlink>
    </w:p>
    <w:p>
      <w:pPr>
        <w:pStyle w:val="Übersicht"/>
        <w:ind w:left="1020"/>
      </w:pPr>
      <w:hyperlink w:anchor="b471" w:history="1">
        <w:r>
          <w:rPr>
            <w:color w:val="0A3A8C"/>
            <w:u w:val="single"/>
          </w:rPr>
          <w:t xml:space="preserve">§ 407a Weitere Pflichten des Sachverständigen</w:t>
        </w:r>
      </w:hyperlink>
    </w:p>
    <w:p>
      <w:pPr>
        <w:pStyle w:val="Übersicht"/>
        <w:ind w:left="1020"/>
      </w:pPr>
      <w:hyperlink w:anchor="b472" w:history="1">
        <w:r>
          <w:rPr>
            <w:color w:val="0A3A8C"/>
            <w:u w:val="single"/>
          </w:rPr>
          <w:t xml:space="preserve">§ 408 Gutachtenverweigerungsrecht</w:t>
        </w:r>
      </w:hyperlink>
    </w:p>
    <w:p>
      <w:pPr>
        <w:pStyle w:val="Übersicht"/>
        <w:ind w:left="1020"/>
      </w:pPr>
      <w:hyperlink w:anchor="b473" w:history="1">
        <w:r>
          <w:rPr>
            <w:color w:val="0A3A8C"/>
            <w:u w:val="single"/>
          </w:rPr>
          <w:t xml:space="preserve">§ 409 Folgen des Ausbleibens oder der Gutachtenverweigerung</w:t>
        </w:r>
      </w:hyperlink>
    </w:p>
    <w:p>
      <w:pPr>
        <w:pStyle w:val="Übersicht"/>
        <w:ind w:left="1020"/>
      </w:pPr>
      <w:hyperlink w:anchor="b474" w:history="1">
        <w:r>
          <w:rPr>
            <w:color w:val="0A3A8C"/>
            <w:u w:val="single"/>
          </w:rPr>
          <w:t xml:space="preserve">§ 410 Sachverständigenbeeidigung</w:t>
        </w:r>
      </w:hyperlink>
    </w:p>
    <w:p>
      <w:pPr>
        <w:pStyle w:val="Übersicht"/>
        <w:ind w:left="1020"/>
      </w:pPr>
      <w:hyperlink w:anchor="b475" w:history="1">
        <w:r>
          <w:rPr>
            <w:color w:val="0A3A8C"/>
            <w:u w:val="single"/>
          </w:rPr>
          <w:t xml:space="preserve">§ 411 Schriftliches Gutachten</w:t>
        </w:r>
      </w:hyperlink>
    </w:p>
    <w:p>
      <w:pPr>
        <w:pStyle w:val="Übersicht"/>
        <w:ind w:left="1020"/>
      </w:pPr>
      <w:hyperlink w:anchor="b476" w:history="1">
        <w:r>
          <w:rPr>
            <w:color w:val="0A3A8C"/>
            <w:u w:val="single"/>
          </w:rPr>
          <w:t xml:space="preserve">§ 411a Verwertung von Sachverständigengutachten aus anderen Verfahren</w:t>
        </w:r>
      </w:hyperlink>
    </w:p>
    <w:p>
      <w:pPr>
        <w:pStyle w:val="Übersicht"/>
        <w:ind w:left="1020"/>
      </w:pPr>
      <w:hyperlink w:anchor="b477" w:history="1">
        <w:r>
          <w:rPr>
            <w:color w:val="0A3A8C"/>
            <w:u w:val="single"/>
          </w:rPr>
          <w:t xml:space="preserve">§ 412 Neues Gutachten</w:t>
        </w:r>
      </w:hyperlink>
    </w:p>
    <w:p>
      <w:pPr>
        <w:pStyle w:val="Übersicht"/>
        <w:ind w:left="1020"/>
      </w:pPr>
      <w:hyperlink w:anchor="b478" w:history="1">
        <w:r>
          <w:rPr>
            <w:color w:val="0A3A8C"/>
            <w:u w:val="single"/>
          </w:rPr>
          <w:t xml:space="preserve">§ 413 Sachverständigenvergütung</w:t>
        </w:r>
      </w:hyperlink>
    </w:p>
    <w:p>
      <w:pPr>
        <w:pStyle w:val="Übersicht"/>
        <w:ind w:left="1020"/>
      </w:pPr>
      <w:hyperlink w:anchor="b479" w:history="1">
        <w:r>
          <w:rPr>
            <w:color w:val="0A3A8C"/>
            <w:u w:val="single"/>
          </w:rPr>
          <w:t xml:space="preserve">§ 414 Sachverständige Zeugen</w:t>
        </w:r>
      </w:hyperlink>
    </w:p>
    <w:p>
      <w:pPr>
        <w:pStyle w:val="Übersicht"/>
        <w:ind w:left="680"/>
      </w:pPr>
      <w:hyperlink w:anchor="b480" w:history="1">
        <w:r>
          <w:rPr>
            <w:b/>
            <w:color w:val="0A3A8C"/>
            <w:u w:val="single"/>
          </w:rPr>
          <w:t xml:space="preserve">Titel 9 Beweis durch Urkunden</w:t>
        </w:r>
      </w:hyperlink>
    </w:p>
    <w:p>
      <w:pPr>
        <w:pStyle w:val="Übersicht"/>
        <w:ind w:left="1020"/>
      </w:pPr>
      <w:hyperlink w:anchor="b481" w:history="1">
        <w:r>
          <w:rPr>
            <w:color w:val="0A3A8C"/>
            <w:u w:val="single"/>
          </w:rPr>
          <w:t xml:space="preserve">§ 415 Beweiskraft öffentlicher Urkunden über Erklärungen</w:t>
        </w:r>
      </w:hyperlink>
    </w:p>
    <w:p>
      <w:pPr>
        <w:pStyle w:val="Übersicht"/>
        <w:ind w:left="1020"/>
      </w:pPr>
      <w:hyperlink w:anchor="b482" w:history="1">
        <w:r>
          <w:rPr>
            <w:color w:val="0A3A8C"/>
            <w:u w:val="single"/>
          </w:rPr>
          <w:t xml:space="preserve">§ 416 Beweiskraft von Privaturkunden</w:t>
        </w:r>
      </w:hyperlink>
    </w:p>
    <w:p>
      <w:pPr>
        <w:pStyle w:val="Übersicht"/>
        <w:ind w:left="1020"/>
      </w:pPr>
      <w:hyperlink w:anchor="b483" w:history="1">
        <w:r>
          <w:rPr>
            <w:color w:val="0A3A8C"/>
            <w:u w:val="single"/>
          </w:rPr>
          <w:t xml:space="preserve">§ 416a Beweiskraft des Ausdrucks eines öffentlichen elektronischen Dokuments</w:t>
        </w:r>
      </w:hyperlink>
    </w:p>
    <w:p>
      <w:pPr>
        <w:pStyle w:val="Übersicht"/>
        <w:ind w:left="1020"/>
      </w:pPr>
      <w:hyperlink w:anchor="b484" w:history="1">
        <w:r>
          <w:rPr>
            <w:color w:val="0A3A8C"/>
            <w:u w:val="single"/>
          </w:rPr>
          <w:t xml:space="preserve">§ 417 Beweiskraft öffentlicher Urkunden über amtliche Anordnung,
Verfügung oder Entscheidung</w:t>
        </w:r>
      </w:hyperlink>
    </w:p>
    <w:p>
      <w:pPr>
        <w:pStyle w:val="Übersicht"/>
        <w:ind w:left="1020"/>
      </w:pPr>
      <w:hyperlink w:anchor="b485" w:history="1">
        <w:r>
          <w:rPr>
            <w:color w:val="0A3A8C"/>
            <w:u w:val="single"/>
          </w:rPr>
          <w:t xml:space="preserve">§ 418 Beweiskraft öffentlicher Urkunden mit anderem Inhalt</w:t>
        </w:r>
      </w:hyperlink>
    </w:p>
    <w:p>
      <w:pPr>
        <w:pStyle w:val="Übersicht"/>
        <w:ind w:left="1020"/>
      </w:pPr>
      <w:hyperlink w:anchor="b486" w:history="1">
        <w:r>
          <w:rPr>
            <w:color w:val="0A3A8C"/>
            <w:u w:val="single"/>
          </w:rPr>
          <w:t xml:space="preserve">§ 419 Beweiskraft mangelbehafteter Urkunden</w:t>
        </w:r>
      </w:hyperlink>
    </w:p>
    <w:p>
      <w:pPr>
        <w:pStyle w:val="Übersicht"/>
        <w:ind w:left="1020"/>
      </w:pPr>
      <w:hyperlink w:anchor="b487" w:history="1">
        <w:r>
          <w:rPr>
            <w:color w:val="0A3A8C"/>
            <w:u w:val="single"/>
          </w:rPr>
          <w:t xml:space="preserve">§ 420 Vorlegung durch Beweisführer; Beweisantritt</w:t>
        </w:r>
      </w:hyperlink>
    </w:p>
    <w:p>
      <w:pPr>
        <w:pStyle w:val="Übersicht"/>
        <w:ind w:left="1020"/>
      </w:pPr>
      <w:hyperlink w:anchor="b488" w:history="1">
        <w:r>
          <w:rPr>
            <w:color w:val="0A3A8C"/>
            <w:u w:val="single"/>
          </w:rPr>
          <w:t xml:space="preserve">§ 421 Vorlegung durch den Gegner; Beweisantritt</w:t>
        </w:r>
      </w:hyperlink>
    </w:p>
    <w:p>
      <w:pPr>
        <w:pStyle w:val="Übersicht"/>
        <w:ind w:left="1020"/>
      </w:pPr>
      <w:hyperlink w:anchor="b489" w:history="1">
        <w:r>
          <w:rPr>
            <w:color w:val="0A3A8C"/>
            <w:u w:val="single"/>
          </w:rPr>
          <w:t xml:space="preserve">§ 422 Vorlegungspflicht des Gegners nach bürgerlichem Recht</w:t>
        </w:r>
      </w:hyperlink>
    </w:p>
    <w:p>
      <w:pPr>
        <w:pStyle w:val="Übersicht"/>
        <w:ind w:left="1020"/>
      </w:pPr>
      <w:hyperlink w:anchor="b490" w:history="1">
        <w:r>
          <w:rPr>
            <w:color w:val="0A3A8C"/>
            <w:u w:val="single"/>
          </w:rPr>
          <w:t xml:space="preserve">§ 423 Vorlegungspflicht des Gegners bei Bezugnahme</w:t>
        </w:r>
      </w:hyperlink>
    </w:p>
    <w:p>
      <w:pPr>
        <w:pStyle w:val="Übersicht"/>
        <w:ind w:left="1020"/>
      </w:pPr>
      <w:hyperlink w:anchor="b491" w:history="1">
        <w:r>
          <w:rPr>
            <w:color w:val="0A3A8C"/>
            <w:u w:val="single"/>
          </w:rPr>
          <w:t xml:space="preserve">§ 424 Antrag bei Vorlegung durch Gegner</w:t>
        </w:r>
      </w:hyperlink>
    </w:p>
    <w:p>
      <w:pPr>
        <w:pStyle w:val="Übersicht"/>
        <w:ind w:left="1020"/>
      </w:pPr>
      <w:hyperlink w:anchor="b492" w:history="1">
        <w:r>
          <w:rPr>
            <w:color w:val="0A3A8C"/>
            <w:u w:val="single"/>
          </w:rPr>
          <w:t xml:space="preserve">§ 425 Anordnung der Vorlegung durch Gegner</w:t>
        </w:r>
      </w:hyperlink>
    </w:p>
    <w:p>
      <w:pPr>
        <w:pStyle w:val="Übersicht"/>
        <w:ind w:left="1020"/>
      </w:pPr>
      <w:hyperlink w:anchor="b493" w:history="1">
        <w:r>
          <w:rPr>
            <w:color w:val="0A3A8C"/>
            <w:u w:val="single"/>
          </w:rPr>
          <w:t xml:space="preserve">§ 426 Vernehmung des Gegners über den Verbleib</w:t>
        </w:r>
      </w:hyperlink>
    </w:p>
    <w:p>
      <w:pPr>
        <w:pStyle w:val="Übersicht"/>
        <w:ind w:left="1020"/>
      </w:pPr>
      <w:hyperlink w:anchor="b494" w:history="1">
        <w:r>
          <w:rPr>
            <w:color w:val="0A3A8C"/>
            <w:u w:val="single"/>
          </w:rPr>
          <w:t xml:space="preserve">§ 427 Folgen der Nichtvorlegung durch Gegner</w:t>
        </w:r>
      </w:hyperlink>
    </w:p>
    <w:p>
      <w:pPr>
        <w:pStyle w:val="Übersicht"/>
        <w:ind w:left="1020"/>
      </w:pPr>
      <w:hyperlink w:anchor="b495" w:history="1">
        <w:r>
          <w:rPr>
            <w:color w:val="0A3A8C"/>
            <w:u w:val="single"/>
          </w:rPr>
          <w:t xml:space="preserve">§ 428 Vorlegung durch Dritte; Beweisantritt</w:t>
        </w:r>
      </w:hyperlink>
    </w:p>
    <w:p>
      <w:pPr>
        <w:pStyle w:val="Übersicht"/>
        <w:ind w:left="1020"/>
      </w:pPr>
      <w:hyperlink w:anchor="b496" w:history="1">
        <w:r>
          <w:rPr>
            <w:color w:val="0A3A8C"/>
            <w:u w:val="single"/>
          </w:rPr>
          <w:t xml:space="preserve">§ 429 Vorlegungspflicht Dritter</w:t>
        </w:r>
      </w:hyperlink>
    </w:p>
    <w:p>
      <w:pPr>
        <w:pStyle w:val="Übersicht"/>
        <w:ind w:left="1020"/>
      </w:pPr>
      <w:hyperlink w:anchor="b497" w:history="1">
        <w:r>
          <w:rPr>
            <w:color w:val="0A3A8C"/>
            <w:u w:val="single"/>
          </w:rPr>
          <w:t xml:space="preserve">§ 430 Antrag bei Vorlegung durch Dritte</w:t>
        </w:r>
      </w:hyperlink>
    </w:p>
    <w:p>
      <w:pPr>
        <w:pStyle w:val="Übersicht"/>
        <w:ind w:left="1020"/>
      </w:pPr>
      <w:hyperlink w:anchor="b498" w:history="1">
        <w:r>
          <w:rPr>
            <w:color w:val="0A3A8C"/>
            <w:u w:val="single"/>
          </w:rPr>
          <w:t xml:space="preserve">§ 431 Vorlegungsfrist bei Vorlegung durch Dritte</w:t>
        </w:r>
      </w:hyperlink>
    </w:p>
    <w:p>
      <w:pPr>
        <w:pStyle w:val="Übersicht"/>
        <w:ind w:left="1020"/>
      </w:pPr>
      <w:hyperlink w:anchor="b499" w:history="1">
        <w:r>
          <w:rPr>
            <w:color w:val="0A3A8C"/>
            <w:u w:val="single"/>
          </w:rPr>
          <w:t xml:space="preserve">§ 432 Vorlegung durch Behörden oder Beamte; Beweisantritt</w:t>
        </w:r>
      </w:hyperlink>
    </w:p>
    <w:p>
      <w:pPr>
        <w:pStyle w:val="Übersicht"/>
        <w:ind w:left="1020"/>
      </w:pPr>
      <w:hyperlink w:anchor="b500" w:history="1">
        <w:r>
          <w:rPr>
            <w:color w:val="0A3A8C"/>
            <w:u w:val="single"/>
          </w:rPr>
          <w:t xml:space="preserve">§ 433</w:t>
        </w:r>
      </w:hyperlink>
    </w:p>
    <w:p>
      <w:pPr>
        <w:pStyle w:val="Übersicht"/>
        <w:ind w:left="1020"/>
      </w:pPr>
      <w:hyperlink w:anchor="b501" w:history="1">
        <w:r>
          <w:rPr>
            <w:color w:val="0A3A8C"/>
            <w:u w:val="single"/>
          </w:rPr>
          <w:t xml:space="preserve">§ 434 Vorlegung vor beauftragtem oder ersuchtem Richter</w:t>
        </w:r>
      </w:hyperlink>
    </w:p>
    <w:p>
      <w:pPr>
        <w:pStyle w:val="Übersicht"/>
        <w:ind w:left="1020"/>
      </w:pPr>
      <w:hyperlink w:anchor="b502" w:history="1">
        <w:r>
          <w:rPr>
            <w:color w:val="0A3A8C"/>
            <w:u w:val="single"/>
          </w:rPr>
          <w:t xml:space="preserve">§ 435 Vorlegung öffentlicher Urkunden in Urschrift oder beglaubigter Abschrift</w:t>
        </w:r>
      </w:hyperlink>
    </w:p>
    <w:p>
      <w:pPr>
        <w:pStyle w:val="Übersicht"/>
        <w:ind w:left="1020"/>
      </w:pPr>
      <w:hyperlink w:anchor="b503" w:history="1">
        <w:r>
          <w:rPr>
            <w:color w:val="0A3A8C"/>
            <w:u w:val="single"/>
          </w:rPr>
          <w:t xml:space="preserve">§ 436 Verzicht nach Vorlegung</w:t>
        </w:r>
      </w:hyperlink>
    </w:p>
    <w:p>
      <w:pPr>
        <w:pStyle w:val="Übersicht"/>
        <w:ind w:left="1020"/>
      </w:pPr>
      <w:hyperlink w:anchor="b504" w:history="1">
        <w:r>
          <w:rPr>
            <w:color w:val="0A3A8C"/>
            <w:u w:val="single"/>
          </w:rPr>
          <w:t xml:space="preserve">§ 437 Echtheit inländischer öffentlicher Urkunden</w:t>
        </w:r>
      </w:hyperlink>
    </w:p>
    <w:p>
      <w:pPr>
        <w:pStyle w:val="Übersicht"/>
        <w:ind w:left="1020"/>
      </w:pPr>
      <w:hyperlink w:anchor="b505" w:history="1">
        <w:r>
          <w:rPr>
            <w:color w:val="0A3A8C"/>
            <w:u w:val="single"/>
          </w:rPr>
          <w:t xml:space="preserve">§ 438 Echtheit ausländischer öffentlicher Urkunden</w:t>
        </w:r>
      </w:hyperlink>
    </w:p>
    <w:p>
      <w:pPr>
        <w:pStyle w:val="Übersicht"/>
        <w:ind w:left="1020"/>
      </w:pPr>
      <w:hyperlink w:anchor="b506" w:history="1">
        <w:r>
          <w:rPr>
            <w:color w:val="0A3A8C"/>
            <w:u w:val="single"/>
          </w:rPr>
          <w:t xml:space="preserve">§ 439 Erklärung über Echtheit von Privaturkunden</w:t>
        </w:r>
      </w:hyperlink>
    </w:p>
    <w:p>
      <w:pPr>
        <w:pStyle w:val="Übersicht"/>
        <w:ind w:left="1020"/>
      </w:pPr>
      <w:hyperlink w:anchor="b507" w:history="1">
        <w:r>
          <w:rPr>
            <w:color w:val="0A3A8C"/>
            <w:u w:val="single"/>
          </w:rPr>
          <w:t xml:space="preserve">§ 440 Beweis der Echtheit von Privaturkunden</w:t>
        </w:r>
      </w:hyperlink>
    </w:p>
    <w:p>
      <w:pPr>
        <w:pStyle w:val="Übersicht"/>
        <w:ind w:left="1020"/>
      </w:pPr>
      <w:hyperlink w:anchor="b508" w:history="1">
        <w:r>
          <w:rPr>
            <w:color w:val="0A3A8C"/>
            <w:u w:val="single"/>
          </w:rPr>
          <w:t xml:space="preserve">§ 441 Schriftvergleichung</w:t>
        </w:r>
      </w:hyperlink>
    </w:p>
    <w:p>
      <w:pPr>
        <w:pStyle w:val="Übersicht"/>
        <w:ind w:left="1020"/>
      </w:pPr>
      <w:hyperlink w:anchor="b509" w:history="1">
        <w:r>
          <w:rPr>
            <w:color w:val="0A3A8C"/>
            <w:u w:val="single"/>
          </w:rPr>
          <w:t xml:space="preserve">§ 442 Würdigung der Schriftvergleichung</w:t>
        </w:r>
      </w:hyperlink>
    </w:p>
    <w:p>
      <w:pPr>
        <w:pStyle w:val="Übersicht"/>
        <w:ind w:left="1020"/>
      </w:pPr>
      <w:hyperlink w:anchor="b510" w:history="1">
        <w:r>
          <w:rPr>
            <w:color w:val="0A3A8C"/>
            <w:u w:val="single"/>
          </w:rPr>
          <w:t xml:space="preserve">§ 443 Verwahrung verdächtiger Urkunden</w:t>
        </w:r>
      </w:hyperlink>
    </w:p>
    <w:p>
      <w:pPr>
        <w:pStyle w:val="Übersicht"/>
        <w:ind w:left="1020"/>
      </w:pPr>
      <w:hyperlink w:anchor="b511" w:history="1">
        <w:r>
          <w:rPr>
            <w:color w:val="0A3A8C"/>
            <w:u w:val="single"/>
          </w:rPr>
          <w:t xml:space="preserve">§ 444 Folgen der Beseitigung einer Urkunde</w:t>
        </w:r>
      </w:hyperlink>
    </w:p>
    <w:p>
      <w:pPr>
        <w:pStyle w:val="Übersicht"/>
        <w:ind w:left="680"/>
      </w:pPr>
      <w:hyperlink w:anchor="b512" w:history="1">
        <w:r>
          <w:rPr>
            <w:b/>
            <w:color w:val="0A3A8C"/>
            <w:u w:val="single"/>
          </w:rPr>
          <w:t xml:space="preserve">Titel 10 Beweis durch
Parteivernehmung</w:t>
        </w:r>
      </w:hyperlink>
    </w:p>
    <w:p>
      <w:pPr>
        <w:pStyle w:val="Übersicht"/>
        <w:ind w:left="1020"/>
      </w:pPr>
      <w:hyperlink w:anchor="b513" w:history="1">
        <w:r>
          <w:rPr>
            <w:color w:val="0A3A8C"/>
            <w:u w:val="single"/>
          </w:rPr>
          <w:t xml:space="preserve">§ 445 Vernehmung des Gegners; Beweisantritt</w:t>
        </w:r>
      </w:hyperlink>
    </w:p>
    <w:p>
      <w:pPr>
        <w:pStyle w:val="Übersicht"/>
        <w:ind w:left="1020"/>
      </w:pPr>
      <w:hyperlink w:anchor="b514" w:history="1">
        <w:r>
          <w:rPr>
            <w:color w:val="0A3A8C"/>
            <w:u w:val="single"/>
          </w:rPr>
          <w:t xml:space="preserve">§ 446 Weigerung des Gegners</w:t>
        </w:r>
      </w:hyperlink>
    </w:p>
    <w:p>
      <w:pPr>
        <w:pStyle w:val="Übersicht"/>
        <w:ind w:left="1020"/>
      </w:pPr>
      <w:hyperlink w:anchor="b515" w:history="1">
        <w:r>
          <w:rPr>
            <w:color w:val="0A3A8C"/>
            <w:u w:val="single"/>
          </w:rPr>
          <w:t xml:space="preserve">§ 447 Vernehmung der beweispflichtigen Partei auf Antrag</w:t>
        </w:r>
      </w:hyperlink>
    </w:p>
    <w:p>
      <w:pPr>
        <w:pStyle w:val="Übersicht"/>
        <w:ind w:left="1020"/>
      </w:pPr>
      <w:hyperlink w:anchor="b516" w:history="1">
        <w:r>
          <w:rPr>
            <w:color w:val="0A3A8C"/>
            <w:u w:val="single"/>
          </w:rPr>
          <w:t xml:space="preserve">§ 448 Vernehmung von Amts wegen</w:t>
        </w:r>
      </w:hyperlink>
    </w:p>
    <w:p>
      <w:pPr>
        <w:pStyle w:val="Übersicht"/>
        <w:ind w:left="1020"/>
      </w:pPr>
      <w:hyperlink w:anchor="b517" w:history="1">
        <w:r>
          <w:rPr>
            <w:color w:val="0A3A8C"/>
            <w:u w:val="single"/>
          </w:rPr>
          <w:t xml:space="preserve">§ 449 Vernehmung von Streitgenossen</w:t>
        </w:r>
      </w:hyperlink>
    </w:p>
    <w:p>
      <w:pPr>
        <w:pStyle w:val="Übersicht"/>
        <w:ind w:left="1020"/>
      </w:pPr>
      <w:hyperlink w:anchor="b518" w:history="1">
        <w:r>
          <w:rPr>
            <w:color w:val="0A3A8C"/>
            <w:u w:val="single"/>
          </w:rPr>
          <w:t xml:space="preserve">§ 450 Beweisbeschluss</w:t>
        </w:r>
      </w:hyperlink>
    </w:p>
    <w:p>
      <w:pPr>
        <w:pStyle w:val="Übersicht"/>
        <w:ind w:left="1020"/>
      </w:pPr>
      <w:hyperlink w:anchor="b519" w:history="1">
        <w:r>
          <w:rPr>
            <w:color w:val="0A3A8C"/>
            <w:u w:val="single"/>
          </w:rPr>
          <w:t xml:space="preserve">§ 451 Ausführung der Vernehmung</w:t>
        </w:r>
      </w:hyperlink>
    </w:p>
    <w:p>
      <w:pPr>
        <w:pStyle w:val="Übersicht"/>
        <w:ind w:left="1020"/>
      </w:pPr>
      <w:hyperlink w:anchor="b520" w:history="1">
        <w:r>
          <w:rPr>
            <w:color w:val="0A3A8C"/>
            <w:u w:val="single"/>
          </w:rPr>
          <w:t xml:space="preserve">§ 452 Beeidigung der Partei</w:t>
        </w:r>
      </w:hyperlink>
    </w:p>
    <w:p>
      <w:pPr>
        <w:pStyle w:val="Übersicht"/>
        <w:ind w:left="1020"/>
      </w:pPr>
      <w:hyperlink w:anchor="b521" w:history="1">
        <w:r>
          <w:rPr>
            <w:color w:val="0A3A8C"/>
            <w:u w:val="single"/>
          </w:rPr>
          <w:t xml:space="preserve">§ 453 Beweiswürdigung bei Parteivernehmung</w:t>
        </w:r>
      </w:hyperlink>
    </w:p>
    <w:p>
      <w:pPr>
        <w:pStyle w:val="Übersicht"/>
        <w:ind w:left="1020"/>
      </w:pPr>
      <w:hyperlink w:anchor="b522" w:history="1">
        <w:r>
          <w:rPr>
            <w:color w:val="0A3A8C"/>
            <w:u w:val="single"/>
          </w:rPr>
          <w:t xml:space="preserve">§ 454 Ausbleiben der Partei</w:t>
        </w:r>
      </w:hyperlink>
    </w:p>
    <w:p>
      <w:pPr>
        <w:pStyle w:val="Übersicht"/>
        <w:ind w:left="1020"/>
      </w:pPr>
      <w:hyperlink w:anchor="b523" w:history="1">
        <w:r>
          <w:rPr>
            <w:color w:val="0A3A8C"/>
            <w:u w:val="single"/>
          </w:rPr>
          <w:t xml:space="preserve">§ 455 Prozessunfähige</w:t>
        </w:r>
      </w:hyperlink>
    </w:p>
    <w:p>
      <w:pPr>
        <w:pStyle w:val="Übersicht"/>
        <w:ind w:left="1020"/>
      </w:pPr>
      <w:hyperlink w:anchor="b524" w:history="1">
        <w:r>
          <w:rPr>
            <w:color w:val="0A3A8C"/>
            <w:u w:val="single"/>
          </w:rPr>
          <w:t xml:space="preserve">§§ 456 bis 477 (weggefallen)</w:t>
        </w:r>
      </w:hyperlink>
    </w:p>
    <w:p>
      <w:pPr>
        <w:pStyle w:val="Übersicht"/>
        <w:ind w:left="680"/>
      </w:pPr>
      <w:hyperlink w:anchor="b525" w:history="1">
        <w:r>
          <w:rPr>
            <w:b/>
            <w:color w:val="0A3A8C"/>
            <w:u w:val="single"/>
          </w:rPr>
          <w:t xml:space="preserve">Titel 11 Abnahme von Eiden
und Bekräftigungen</w:t>
        </w:r>
      </w:hyperlink>
    </w:p>
    <w:p>
      <w:pPr>
        <w:pStyle w:val="Übersicht"/>
        <w:ind w:left="1020"/>
      </w:pPr>
      <w:hyperlink w:anchor="b526" w:history="1">
        <w:r>
          <w:rPr>
            <w:color w:val="0A3A8C"/>
            <w:u w:val="single"/>
          </w:rPr>
          <w:t xml:space="preserve">§ 478 Eidesleistung in Person</w:t>
        </w:r>
      </w:hyperlink>
    </w:p>
    <w:p>
      <w:pPr>
        <w:pStyle w:val="Übersicht"/>
        <w:ind w:left="1020"/>
      </w:pPr>
      <w:hyperlink w:anchor="b527" w:history="1">
        <w:r>
          <w:rPr>
            <w:color w:val="0A3A8C"/>
            <w:u w:val="single"/>
          </w:rPr>
          <w:t xml:space="preserve">§ 479 Eidesleistung vor beauftragtem oder ersuchtem Richter</w:t>
        </w:r>
      </w:hyperlink>
    </w:p>
    <w:p>
      <w:pPr>
        <w:pStyle w:val="Übersicht"/>
        <w:ind w:left="1020"/>
      </w:pPr>
      <w:hyperlink w:anchor="b528" w:history="1">
        <w:r>
          <w:rPr>
            <w:color w:val="0A3A8C"/>
            <w:u w:val="single"/>
          </w:rPr>
          <w:t xml:space="preserve">§ 480 Eidesbelehrung</w:t>
        </w:r>
      </w:hyperlink>
    </w:p>
    <w:p>
      <w:pPr>
        <w:pStyle w:val="Übersicht"/>
        <w:ind w:left="1020"/>
      </w:pPr>
      <w:hyperlink w:anchor="b529" w:history="1">
        <w:r>
          <w:rPr>
            <w:color w:val="0A3A8C"/>
            <w:u w:val="single"/>
          </w:rPr>
          <w:t xml:space="preserve">§ 481 Eidesleistung; Eidesformel</w:t>
        </w:r>
      </w:hyperlink>
    </w:p>
    <w:p>
      <w:pPr>
        <w:pStyle w:val="Übersicht"/>
        <w:ind w:left="1020"/>
      </w:pPr>
      <w:hyperlink w:anchor="b530" w:history="1">
        <w:r>
          <w:rPr>
            <w:color w:val="0A3A8C"/>
            <w:u w:val="single"/>
          </w:rPr>
          <w:t xml:space="preserve">§ 482</w:t>
        </w:r>
      </w:hyperlink>
    </w:p>
    <w:p>
      <w:pPr>
        <w:pStyle w:val="Übersicht"/>
        <w:ind w:left="1020"/>
      </w:pPr>
      <w:hyperlink w:anchor="b531" w:history="1">
        <w:r>
          <w:rPr>
            <w:color w:val="0A3A8C"/>
            <w:u w:val="single"/>
          </w:rPr>
          <w:t xml:space="preserve">§ 483 Eidesleistung sprach- oder hörbehinderter Personen</w:t>
        </w:r>
      </w:hyperlink>
    </w:p>
    <w:p>
      <w:pPr>
        <w:pStyle w:val="Übersicht"/>
        <w:ind w:left="1020"/>
      </w:pPr>
      <w:hyperlink w:anchor="b532" w:history="1">
        <w:r>
          <w:rPr>
            <w:color w:val="0A3A8C"/>
            <w:u w:val="single"/>
          </w:rPr>
          <w:t xml:space="preserve">§ 484 Eidesgleiche Bekräftigung</w:t>
        </w:r>
      </w:hyperlink>
    </w:p>
    <w:p>
      <w:pPr>
        <w:pStyle w:val="Übersicht"/>
        <w:ind w:left="680"/>
      </w:pPr>
      <w:hyperlink w:anchor="b533" w:history="1">
        <w:r>
          <w:rPr>
            <w:b/>
            <w:color w:val="0A3A8C"/>
            <w:u w:val="single"/>
          </w:rPr>
          <w:t xml:space="preserve">Titel 12 Selbständiges Beweisverfahren</w:t>
        </w:r>
      </w:hyperlink>
    </w:p>
    <w:p>
      <w:pPr>
        <w:pStyle w:val="Übersicht"/>
        <w:ind w:left="1020"/>
      </w:pPr>
      <w:hyperlink w:anchor="b534" w:history="1">
        <w:r>
          <w:rPr>
            <w:color w:val="0A3A8C"/>
            <w:u w:val="single"/>
          </w:rPr>
          <w:t xml:space="preserve">§ 485 Zulässigkeit</w:t>
        </w:r>
      </w:hyperlink>
    </w:p>
    <w:p>
      <w:pPr>
        <w:pStyle w:val="Übersicht"/>
        <w:ind w:left="1020"/>
      </w:pPr>
      <w:hyperlink w:anchor="b535" w:history="1">
        <w:r>
          <w:rPr>
            <w:color w:val="0A3A8C"/>
            <w:u w:val="single"/>
          </w:rPr>
          <w:t xml:space="preserve">§ 486 Zuständiges Gericht</w:t>
        </w:r>
      </w:hyperlink>
    </w:p>
    <w:p>
      <w:pPr>
        <w:pStyle w:val="Übersicht"/>
        <w:ind w:left="1020"/>
      </w:pPr>
      <w:hyperlink w:anchor="b536" w:history="1">
        <w:r>
          <w:rPr>
            <w:color w:val="0A3A8C"/>
            <w:u w:val="single"/>
          </w:rPr>
          <w:t xml:space="preserve">§ 487 Inhalt des Antrages</w:t>
        </w:r>
      </w:hyperlink>
    </w:p>
    <w:p>
      <w:pPr>
        <w:pStyle w:val="Übersicht"/>
        <w:ind w:left="1020"/>
      </w:pPr>
      <w:hyperlink w:anchor="b537" w:history="1">
        <w:r>
          <w:rPr>
            <w:color w:val="0A3A8C"/>
            <w:u w:val="single"/>
          </w:rPr>
          <w:t xml:space="preserve">§§ 488 und 489 (weggefallen)</w:t>
        </w:r>
      </w:hyperlink>
    </w:p>
    <w:p>
      <w:pPr>
        <w:pStyle w:val="Übersicht"/>
        <w:ind w:left="1020"/>
      </w:pPr>
      <w:hyperlink w:anchor="b538" w:history="1">
        <w:r>
          <w:rPr>
            <w:color w:val="0A3A8C"/>
            <w:u w:val="single"/>
          </w:rPr>
          <w:t xml:space="preserve">§ 490 Entscheidung über den Antrag</w:t>
        </w:r>
      </w:hyperlink>
    </w:p>
    <w:p>
      <w:pPr>
        <w:pStyle w:val="Übersicht"/>
        <w:ind w:left="1020"/>
      </w:pPr>
      <w:hyperlink w:anchor="b539" w:history="1">
        <w:r>
          <w:rPr>
            <w:color w:val="0A3A8C"/>
            <w:u w:val="single"/>
          </w:rPr>
          <w:t xml:space="preserve">§ 491 Ladung des Gegners</w:t>
        </w:r>
      </w:hyperlink>
    </w:p>
    <w:p>
      <w:pPr>
        <w:pStyle w:val="Übersicht"/>
        <w:ind w:left="1020"/>
      </w:pPr>
      <w:hyperlink w:anchor="b540" w:history="1">
        <w:r>
          <w:rPr>
            <w:color w:val="0A3A8C"/>
            <w:u w:val="single"/>
          </w:rPr>
          <w:t xml:space="preserve">§ 492 Beweisaufnahme</w:t>
        </w:r>
      </w:hyperlink>
    </w:p>
    <w:p>
      <w:pPr>
        <w:pStyle w:val="Übersicht"/>
        <w:ind w:left="1020"/>
      </w:pPr>
      <w:hyperlink w:anchor="b541" w:history="1">
        <w:r>
          <w:rPr>
            <w:color w:val="0A3A8C"/>
            <w:u w:val="single"/>
          </w:rPr>
          <w:t xml:space="preserve">§ 493 Benutzung im Prozess</w:t>
        </w:r>
      </w:hyperlink>
    </w:p>
    <w:p>
      <w:pPr>
        <w:pStyle w:val="Übersicht"/>
        <w:ind w:left="1020"/>
      </w:pPr>
      <w:hyperlink w:anchor="b542" w:history="1">
        <w:r>
          <w:rPr>
            <w:color w:val="0A3A8C"/>
            <w:u w:val="single"/>
          </w:rPr>
          <w:t xml:space="preserve">§ 494 Unbekannter Gegner</w:t>
        </w:r>
      </w:hyperlink>
    </w:p>
    <w:p>
      <w:pPr>
        <w:pStyle w:val="Übersicht"/>
        <w:ind w:left="1020"/>
      </w:pPr>
      <w:hyperlink w:anchor="b543" w:history="1">
        <w:r>
          <w:rPr>
            <w:color w:val="0A3A8C"/>
            <w:u w:val="single"/>
          </w:rPr>
          <w:t xml:space="preserve">§ 494a Frist zur Klageerhebung</w:t>
        </w:r>
      </w:hyperlink>
    </w:p>
    <w:p>
      <w:pPr>
        <w:pStyle w:val="Übersicht"/>
        <w:ind w:left="340"/>
      </w:pPr>
      <w:hyperlink w:anchor="b544" w:history="1">
        <w:r>
          <w:rPr>
            <w:b/>
            <w:color w:val="0A3A8C"/>
            <w:u w:val="single"/>
          </w:rPr>
          <w:t xml:space="preserve">Abschnitt 2 Verfahren vor den
Amtsgerichten</w:t>
        </w:r>
      </w:hyperlink>
    </w:p>
    <w:p>
      <w:pPr>
        <w:pStyle w:val="Übersicht"/>
        <w:ind w:left="680"/>
      </w:pPr>
      <w:hyperlink w:anchor="b545" w:history="1">
        <w:r>
          <w:rPr>
            <w:color w:val="0A3A8C"/>
            <w:u w:val="single"/>
          </w:rPr>
          <w:t xml:space="preserve">§ 495 Anzuwendende Vorschriften</w:t>
        </w:r>
      </w:hyperlink>
    </w:p>
    <w:p>
      <w:pPr>
        <w:pStyle w:val="Übersicht"/>
        <w:ind w:left="680"/>
      </w:pPr>
      <w:hyperlink w:anchor="b546" w:history="1">
        <w:r>
          <w:rPr>
            <w:color w:val="0A3A8C"/>
            <w:u w:val="single"/>
          </w:rPr>
          <w:t xml:space="preserve">§ 495a Verfahren nach billigem Ermessen</w:t>
        </w:r>
      </w:hyperlink>
    </w:p>
    <w:p>
      <w:pPr>
        <w:pStyle w:val="Übersicht"/>
        <w:ind w:left="680"/>
      </w:pPr>
      <w:hyperlink w:anchor="b547" w:history="1">
        <w:r>
          <w:rPr>
            <w:color w:val="0A3A8C"/>
            <w:u w:val="single"/>
          </w:rPr>
          <w:t xml:space="preserve">§ 496 Einreichung von Schriftsätzen; Erklärungen zu Protokoll</w:t>
        </w:r>
      </w:hyperlink>
    </w:p>
    <w:p>
      <w:pPr>
        <w:pStyle w:val="Übersicht"/>
        <w:ind w:left="680"/>
      </w:pPr>
      <w:hyperlink w:anchor="b548" w:history="1">
        <w:r>
          <w:rPr>
            <w:color w:val="0A3A8C"/>
            <w:u w:val="single"/>
          </w:rPr>
          <w:t xml:space="preserve">§ 497 Ladungen</w:t>
        </w:r>
      </w:hyperlink>
    </w:p>
    <w:p>
      <w:pPr>
        <w:pStyle w:val="Übersicht"/>
        <w:ind w:left="680"/>
      </w:pPr>
      <w:hyperlink w:anchor="b549" w:history="1">
        <w:r>
          <w:rPr>
            <w:color w:val="0A3A8C"/>
            <w:u w:val="single"/>
          </w:rPr>
          <w:t xml:space="preserve">§ 498 Zustellung des Protokolls über die Klage</w:t>
        </w:r>
      </w:hyperlink>
    </w:p>
    <w:p>
      <w:pPr>
        <w:pStyle w:val="Übersicht"/>
        <w:ind w:left="680"/>
      </w:pPr>
      <w:hyperlink w:anchor="b550" w:history="1">
        <w:r>
          <w:rPr>
            <w:color w:val="0A3A8C"/>
            <w:u w:val="single"/>
          </w:rPr>
          <w:t xml:space="preserve">§ 499 Belehrungen</w:t>
        </w:r>
      </w:hyperlink>
    </w:p>
    <w:p>
      <w:pPr>
        <w:pStyle w:val="Übersicht"/>
        <w:ind w:left="680"/>
      </w:pPr>
      <w:hyperlink w:anchor="b551" w:history="1">
        <w:r>
          <w:rPr>
            <w:color w:val="0A3A8C"/>
            <w:u w:val="single"/>
          </w:rPr>
          <w:t xml:space="preserve">§§ 499a bis 503 (weggefallen)</w:t>
        </w:r>
      </w:hyperlink>
    </w:p>
    <w:p>
      <w:pPr>
        <w:pStyle w:val="Übersicht"/>
        <w:ind w:left="680"/>
      </w:pPr>
      <w:hyperlink w:anchor="b552" w:history="1">
        <w:r>
          <w:rPr>
            <w:color w:val="0A3A8C"/>
            <w:u w:val="single"/>
          </w:rPr>
          <w:t xml:space="preserve">§ 504 Hinweis bei Unzuständigkeit des Amtsgerichts</w:t>
        </w:r>
      </w:hyperlink>
    </w:p>
    <w:p>
      <w:pPr>
        <w:pStyle w:val="Übersicht"/>
        <w:ind w:left="680"/>
      </w:pPr>
      <w:hyperlink w:anchor="b553" w:history="1">
        <w:r>
          <w:rPr>
            <w:color w:val="0A3A8C"/>
            <w:u w:val="single"/>
          </w:rPr>
          <w:t xml:space="preserve">§ 505</w:t>
        </w:r>
      </w:hyperlink>
    </w:p>
    <w:p>
      <w:pPr>
        <w:pStyle w:val="Übersicht"/>
        <w:ind w:left="680"/>
      </w:pPr>
      <w:hyperlink w:anchor="b554" w:history="1">
        <w:r>
          <w:rPr>
            <w:color w:val="0A3A8C"/>
            <w:u w:val="single"/>
          </w:rPr>
          <w:t xml:space="preserve">§ 506 Nachträgliche sachliche Unzuständigkeit</w:t>
        </w:r>
      </w:hyperlink>
    </w:p>
    <w:p>
      <w:pPr>
        <w:pStyle w:val="Übersicht"/>
        <w:ind w:left="680"/>
      </w:pPr>
      <w:hyperlink w:anchor="b555" w:history="1">
        <w:r>
          <w:rPr>
            <w:color w:val="0A3A8C"/>
            <w:u w:val="single"/>
          </w:rPr>
          <w:t xml:space="preserve">§§ 507 bis 509 (weggefallen)</w:t>
        </w:r>
      </w:hyperlink>
    </w:p>
    <w:p>
      <w:pPr>
        <w:pStyle w:val="Übersicht"/>
        <w:ind w:left="680"/>
      </w:pPr>
      <w:hyperlink w:anchor="b556" w:history="1">
        <w:r>
          <w:rPr>
            <w:color w:val="0A3A8C"/>
            <w:u w:val="single"/>
          </w:rPr>
          <w:t xml:space="preserve">§ 510 Erklärung über Urkunden</w:t>
        </w:r>
      </w:hyperlink>
    </w:p>
    <w:p>
      <w:pPr>
        <w:pStyle w:val="Übersicht"/>
        <w:ind w:left="680"/>
      </w:pPr>
      <w:hyperlink w:anchor="b557" w:history="1">
        <w:r>
          <w:rPr>
            <w:color w:val="0A3A8C"/>
            <w:u w:val="single"/>
          </w:rPr>
          <w:t xml:space="preserve">§ 510a Inhalt des Protokolls</w:t>
        </w:r>
      </w:hyperlink>
    </w:p>
    <w:p>
      <w:pPr>
        <w:pStyle w:val="Übersicht"/>
        <w:ind w:left="680"/>
      </w:pPr>
      <w:hyperlink w:anchor="b558" w:history="1">
        <w:r>
          <w:rPr>
            <w:color w:val="0A3A8C"/>
            <w:u w:val="single"/>
          </w:rPr>
          <w:t xml:space="preserve">§ 510b Urteil auf Vornahme einer Handlung</w:t>
        </w:r>
      </w:hyperlink>
    </w:p>
    <w:p>
      <w:pPr>
        <w:pStyle w:val="Übersicht"/>
        <w:ind w:left="680"/>
      </w:pPr>
      <w:hyperlink w:anchor="b559" w:history="1">
        <w:r>
          <w:rPr>
            <w:color w:val="0A3A8C"/>
            <w:u w:val="single"/>
          </w:rPr>
          <w:t xml:space="preserve">§ 510c</w:t>
        </w:r>
      </w:hyperlink>
    </w:p>
    <w:p>
      <w:pPr>
        <w:pStyle w:val="Übersicht"/>
        <w:ind w:left="0"/>
      </w:pPr>
      <w:hyperlink w:anchor="b560" w:history="1">
        <w:r>
          <w:rPr>
            <w:b/>
            <w:color w:val="0A3A8C"/>
            <w:u w:val="single"/>
          </w:rPr>
          <w:t xml:space="preserve">Buch 3 Rechtsmittel</w:t>
        </w:r>
      </w:hyperlink>
    </w:p>
    <w:p>
      <w:pPr>
        <w:pStyle w:val="Übersicht"/>
        <w:ind w:left="340"/>
      </w:pPr>
      <w:hyperlink w:anchor="b561" w:history="1">
        <w:r>
          <w:rPr>
            <w:b/>
            <w:color w:val="0A3A8C"/>
            <w:u w:val="single"/>
          </w:rPr>
          <w:t xml:space="preserve">Abschnitt 1 Berufung</w:t>
        </w:r>
      </w:hyperlink>
    </w:p>
    <w:p>
      <w:pPr>
        <w:pStyle w:val="Übersicht"/>
        <w:ind w:left="680"/>
      </w:pPr>
      <w:hyperlink w:anchor="b562" w:history="1">
        <w:r>
          <w:rPr>
            <w:color w:val="0A3A8C"/>
            <w:u w:val="single"/>
          </w:rPr>
          <w:t xml:space="preserve">§ 511 Statthaftigkeit der Berufung</w:t>
        </w:r>
      </w:hyperlink>
    </w:p>
    <w:p>
      <w:pPr>
        <w:pStyle w:val="Übersicht"/>
        <w:ind w:left="680"/>
      </w:pPr>
      <w:hyperlink w:anchor="b563" w:history="1">
        <w:r>
          <w:rPr>
            <w:color w:val="0A3A8C"/>
            <w:u w:val="single"/>
          </w:rPr>
          <w:t xml:space="preserve">§ 512 Vorentscheidungen im ersten Rechtszug</w:t>
        </w:r>
      </w:hyperlink>
    </w:p>
    <w:p>
      <w:pPr>
        <w:pStyle w:val="Übersicht"/>
        <w:ind w:left="680"/>
      </w:pPr>
      <w:hyperlink w:anchor="b564" w:history="1">
        <w:r>
          <w:rPr>
            <w:color w:val="0A3A8C"/>
            <w:u w:val="single"/>
          </w:rPr>
          <w:t xml:space="preserve">§ 513 Berufungsgründe</w:t>
        </w:r>
      </w:hyperlink>
    </w:p>
    <w:p>
      <w:pPr>
        <w:pStyle w:val="Übersicht"/>
        <w:ind w:left="680"/>
      </w:pPr>
      <w:hyperlink w:anchor="b565" w:history="1">
        <w:r>
          <w:rPr>
            <w:color w:val="0A3A8C"/>
            <w:u w:val="single"/>
          </w:rPr>
          <w:t xml:space="preserve">§ 514 Versäumnisurteile</w:t>
        </w:r>
      </w:hyperlink>
    </w:p>
    <w:p>
      <w:pPr>
        <w:pStyle w:val="Übersicht"/>
        <w:ind w:left="680"/>
      </w:pPr>
      <w:hyperlink w:anchor="b566" w:history="1">
        <w:r>
          <w:rPr>
            <w:color w:val="0A3A8C"/>
            <w:u w:val="single"/>
          </w:rPr>
          <w:t xml:space="preserve">§ 515 Verzicht auf Berufung</w:t>
        </w:r>
      </w:hyperlink>
    </w:p>
    <w:p>
      <w:pPr>
        <w:pStyle w:val="Übersicht"/>
        <w:ind w:left="680"/>
      </w:pPr>
      <w:hyperlink w:anchor="b567" w:history="1">
        <w:r>
          <w:rPr>
            <w:color w:val="0A3A8C"/>
            <w:u w:val="single"/>
          </w:rPr>
          <w:t xml:space="preserve">§ 516 Zurücknahme der Berufung</w:t>
        </w:r>
      </w:hyperlink>
    </w:p>
    <w:p>
      <w:pPr>
        <w:pStyle w:val="Übersicht"/>
        <w:ind w:left="680"/>
      </w:pPr>
      <w:hyperlink w:anchor="b568" w:history="1">
        <w:r>
          <w:rPr>
            <w:color w:val="0A3A8C"/>
            <w:u w:val="single"/>
          </w:rPr>
          <w:t xml:space="preserve">§ 517 Berufungsfrist</w:t>
        </w:r>
      </w:hyperlink>
    </w:p>
    <w:p>
      <w:pPr>
        <w:pStyle w:val="Übersicht"/>
        <w:ind w:left="680"/>
      </w:pPr>
      <w:hyperlink w:anchor="b569" w:history="1">
        <w:r>
          <w:rPr>
            <w:color w:val="0A3A8C"/>
            <w:u w:val="single"/>
          </w:rPr>
          <w:t xml:space="preserve">§ 518 Berufungsfrist bei Urteilsergänzung</w:t>
        </w:r>
      </w:hyperlink>
    </w:p>
    <w:p>
      <w:pPr>
        <w:pStyle w:val="Übersicht"/>
        <w:ind w:left="680"/>
      </w:pPr>
      <w:hyperlink w:anchor="b570" w:history="1">
        <w:r>
          <w:rPr>
            <w:color w:val="0A3A8C"/>
            <w:u w:val="single"/>
          </w:rPr>
          <w:t xml:space="preserve">§ 519 Berufungsschrift</w:t>
        </w:r>
      </w:hyperlink>
    </w:p>
    <w:p>
      <w:pPr>
        <w:pStyle w:val="Übersicht"/>
        <w:ind w:left="680"/>
      </w:pPr>
      <w:hyperlink w:anchor="b571" w:history="1">
        <w:r>
          <w:rPr>
            <w:color w:val="0A3A8C"/>
            <w:u w:val="single"/>
          </w:rPr>
          <w:t xml:space="preserve">§ 520 Berufungsbegründung</w:t>
        </w:r>
      </w:hyperlink>
    </w:p>
    <w:p>
      <w:pPr>
        <w:pStyle w:val="Übersicht"/>
        <w:ind w:left="680"/>
      </w:pPr>
      <w:hyperlink w:anchor="b572" w:history="1">
        <w:r>
          <w:rPr>
            <w:color w:val="0A3A8C"/>
            <w:u w:val="single"/>
          </w:rPr>
          <w:t xml:space="preserve">§ 521 Zustellung der Berufungsschrift und -begründung</w:t>
        </w:r>
      </w:hyperlink>
    </w:p>
    <w:p>
      <w:pPr>
        <w:pStyle w:val="Übersicht"/>
        <w:ind w:left="680"/>
      </w:pPr>
      <w:hyperlink w:anchor="b573" w:history="1">
        <w:r>
          <w:rPr>
            <w:color w:val="0A3A8C"/>
            <w:u w:val="single"/>
          </w:rPr>
          <w:t xml:space="preserve">§ 522 Zulässigkeitsprüfung; Zurückweisungsbeschluss</w:t>
        </w:r>
      </w:hyperlink>
    </w:p>
    <w:p>
      <w:pPr>
        <w:pStyle w:val="Übersicht"/>
        <w:ind w:left="680"/>
      </w:pPr>
      <w:hyperlink w:anchor="b574" w:history="1">
        <w:r>
          <w:rPr>
            <w:color w:val="0A3A8C"/>
            <w:u w:val="single"/>
          </w:rPr>
          <w:t xml:space="preserve">§ 523 Terminsbestimmung</w:t>
        </w:r>
      </w:hyperlink>
    </w:p>
    <w:p>
      <w:pPr>
        <w:pStyle w:val="Übersicht"/>
        <w:ind w:left="680"/>
      </w:pPr>
      <w:hyperlink w:anchor="b575" w:history="1">
        <w:r>
          <w:rPr>
            <w:color w:val="0A3A8C"/>
            <w:u w:val="single"/>
          </w:rPr>
          <w:t xml:space="preserve">§ 524 Anschlussberufung</w:t>
        </w:r>
      </w:hyperlink>
    </w:p>
    <w:p>
      <w:pPr>
        <w:pStyle w:val="Übersicht"/>
        <w:ind w:left="680"/>
      </w:pPr>
      <w:hyperlink w:anchor="b576" w:history="1">
        <w:r>
          <w:rPr>
            <w:color w:val="0A3A8C"/>
            <w:u w:val="single"/>
          </w:rPr>
          <w:t xml:space="preserve">§ 525 Allgemeine Verfahrensgrundsätze</w:t>
        </w:r>
      </w:hyperlink>
    </w:p>
    <w:p>
      <w:pPr>
        <w:pStyle w:val="Übersicht"/>
        <w:ind w:left="680"/>
      </w:pPr>
      <w:hyperlink w:anchor="b577" w:history="1">
        <w:r>
          <w:rPr>
            <w:color w:val="0A3A8C"/>
            <w:u w:val="single"/>
          </w:rPr>
          <w:t xml:space="preserve">§ 526 Entscheidender Richter</w:t>
        </w:r>
      </w:hyperlink>
    </w:p>
    <w:p>
      <w:pPr>
        <w:pStyle w:val="Übersicht"/>
        <w:ind w:left="680"/>
      </w:pPr>
      <w:hyperlink w:anchor="b578" w:history="1">
        <w:r>
          <w:rPr>
            <w:color w:val="0A3A8C"/>
            <w:u w:val="single"/>
          </w:rPr>
          <w:t xml:space="preserve">§ 527 Vorbereitender Einzelrichter</w:t>
        </w:r>
      </w:hyperlink>
    </w:p>
    <w:p>
      <w:pPr>
        <w:pStyle w:val="Übersicht"/>
        <w:ind w:left="680"/>
      </w:pPr>
      <w:hyperlink w:anchor="b579" w:history="1">
        <w:r>
          <w:rPr>
            <w:color w:val="0A3A8C"/>
            <w:u w:val="single"/>
          </w:rPr>
          <w:t xml:space="preserve">§ 528 Bindung an die Berufungsanträge</w:t>
        </w:r>
      </w:hyperlink>
    </w:p>
    <w:p>
      <w:pPr>
        <w:pStyle w:val="Übersicht"/>
        <w:ind w:left="680"/>
      </w:pPr>
      <w:hyperlink w:anchor="b580" w:history="1">
        <w:r>
          <w:rPr>
            <w:color w:val="0A3A8C"/>
            <w:u w:val="single"/>
          </w:rPr>
          <w:t xml:space="preserve">§ 529 Prüfungsumfang des Berufungsgerichts</w:t>
        </w:r>
      </w:hyperlink>
    </w:p>
    <w:p>
      <w:pPr>
        <w:pStyle w:val="Übersicht"/>
        <w:ind w:left="680"/>
      </w:pPr>
      <w:hyperlink w:anchor="b581" w:history="1">
        <w:r>
          <w:rPr>
            <w:color w:val="0A3A8C"/>
            <w:u w:val="single"/>
          </w:rPr>
          <w:t xml:space="preserve">§ 530 Verspätet vorgebrachte Angriffs- und Verteidigungsmittel</w:t>
        </w:r>
      </w:hyperlink>
    </w:p>
    <w:p>
      <w:pPr>
        <w:pStyle w:val="Übersicht"/>
        <w:ind w:left="680"/>
      </w:pPr>
      <w:hyperlink w:anchor="b582" w:history="1">
        <w:r>
          <w:rPr>
            <w:color w:val="0A3A8C"/>
            <w:u w:val="single"/>
          </w:rPr>
          <w:t xml:space="preserve">§ 531 Zurückgewiesene und neue Angriffs- und Verteidigungsmittel</w:t>
        </w:r>
      </w:hyperlink>
    </w:p>
    <w:p>
      <w:pPr>
        <w:pStyle w:val="Übersicht"/>
        <w:ind w:left="680"/>
      </w:pPr>
      <w:hyperlink w:anchor="b583" w:history="1">
        <w:r>
          <w:rPr>
            <w:color w:val="0A3A8C"/>
            <w:u w:val="single"/>
          </w:rPr>
          <w:t xml:space="preserve">§ 532 Rügen der Unzulässigkeit der Klage</w:t>
        </w:r>
      </w:hyperlink>
    </w:p>
    <w:p>
      <w:pPr>
        <w:pStyle w:val="Übersicht"/>
        <w:ind w:left="680"/>
      </w:pPr>
      <w:hyperlink w:anchor="b584" w:history="1">
        <w:r>
          <w:rPr>
            <w:color w:val="0A3A8C"/>
            <w:u w:val="single"/>
          </w:rPr>
          <w:t xml:space="preserve">§ 533 Klageänderung; Aufrechnungserklärung; Widerklage</w:t>
        </w:r>
      </w:hyperlink>
    </w:p>
    <w:p>
      <w:pPr>
        <w:pStyle w:val="Übersicht"/>
        <w:ind w:left="680"/>
      </w:pPr>
      <w:hyperlink w:anchor="b585" w:history="1">
        <w:r>
          <w:rPr>
            <w:color w:val="0A3A8C"/>
            <w:u w:val="single"/>
          </w:rPr>
          <w:t xml:space="preserve">§ 534 Verlust des Rügerechts</w:t>
        </w:r>
      </w:hyperlink>
    </w:p>
    <w:p>
      <w:pPr>
        <w:pStyle w:val="Übersicht"/>
        <w:ind w:left="680"/>
      </w:pPr>
      <w:hyperlink w:anchor="b586" w:history="1">
        <w:r>
          <w:rPr>
            <w:color w:val="0A3A8C"/>
            <w:u w:val="single"/>
          </w:rPr>
          <w:t xml:space="preserve">§ 535 Gerichtliches Geständnis</w:t>
        </w:r>
      </w:hyperlink>
    </w:p>
    <w:p>
      <w:pPr>
        <w:pStyle w:val="Übersicht"/>
        <w:ind w:left="680"/>
      </w:pPr>
      <w:hyperlink w:anchor="b587" w:history="1">
        <w:r>
          <w:rPr>
            <w:color w:val="0A3A8C"/>
            <w:u w:val="single"/>
          </w:rPr>
          <w:t xml:space="preserve">§ 536 Parteivernehmung</w:t>
        </w:r>
      </w:hyperlink>
    </w:p>
    <w:p>
      <w:pPr>
        <w:pStyle w:val="Übersicht"/>
        <w:ind w:left="680"/>
      </w:pPr>
      <w:hyperlink w:anchor="b588" w:history="1">
        <w:r>
          <w:rPr>
            <w:color w:val="0A3A8C"/>
            <w:u w:val="single"/>
          </w:rPr>
          <w:t xml:space="preserve">§ 537 Vorläufige Vollstreckbarkeit</w:t>
        </w:r>
      </w:hyperlink>
    </w:p>
    <w:p>
      <w:pPr>
        <w:pStyle w:val="Übersicht"/>
        <w:ind w:left="680"/>
      </w:pPr>
      <w:hyperlink w:anchor="b589" w:history="1">
        <w:r>
          <w:rPr>
            <w:color w:val="0A3A8C"/>
            <w:u w:val="single"/>
          </w:rPr>
          <w:t xml:space="preserve">§ 538 Zurückverweisung</w:t>
        </w:r>
      </w:hyperlink>
    </w:p>
    <w:p>
      <w:pPr>
        <w:pStyle w:val="Übersicht"/>
        <w:ind w:left="680"/>
      </w:pPr>
      <w:hyperlink w:anchor="b590" w:history="1">
        <w:r>
          <w:rPr>
            <w:color w:val="0A3A8C"/>
            <w:u w:val="single"/>
          </w:rPr>
          <w:t xml:space="preserve">§ 539 Versäumnisverfahren</w:t>
        </w:r>
      </w:hyperlink>
    </w:p>
    <w:p>
      <w:pPr>
        <w:pStyle w:val="Übersicht"/>
        <w:ind w:left="680"/>
      </w:pPr>
      <w:hyperlink w:anchor="b591" w:history="1">
        <w:r>
          <w:rPr>
            <w:color w:val="0A3A8C"/>
            <w:u w:val="single"/>
          </w:rPr>
          <w:t xml:space="preserve">§ 540 Inhalt des Berufungsurteils</w:t>
        </w:r>
      </w:hyperlink>
    </w:p>
    <w:p>
      <w:pPr>
        <w:pStyle w:val="Übersicht"/>
        <w:ind w:left="680"/>
      </w:pPr>
      <w:hyperlink w:anchor="b592" w:history="1">
        <w:r>
          <w:rPr>
            <w:color w:val="0A3A8C"/>
            <w:u w:val="single"/>
          </w:rPr>
          <w:t xml:space="preserve">§ 541 Prozessakten</w:t>
        </w:r>
      </w:hyperlink>
    </w:p>
    <w:p>
      <w:pPr>
        <w:pStyle w:val="Übersicht"/>
        <w:ind w:left="340"/>
      </w:pPr>
      <w:hyperlink w:anchor="b593" w:history="1">
        <w:r>
          <w:rPr>
            <w:b/>
            <w:color w:val="0A3A8C"/>
            <w:u w:val="single"/>
          </w:rPr>
          <w:t xml:space="preserve">Abschnitt 2 Revision</w:t>
        </w:r>
      </w:hyperlink>
    </w:p>
    <w:p>
      <w:pPr>
        <w:pStyle w:val="Übersicht"/>
        <w:ind w:left="680"/>
      </w:pPr>
      <w:hyperlink w:anchor="b594" w:history="1">
        <w:r>
          <w:rPr>
            <w:color w:val="0A3A8C"/>
            <w:u w:val="single"/>
          </w:rPr>
          <w:t xml:space="preserve">§ 542 Statthaftigkeit der Revision</w:t>
        </w:r>
      </w:hyperlink>
    </w:p>
    <w:p>
      <w:pPr>
        <w:pStyle w:val="Übersicht"/>
        <w:ind w:left="680"/>
      </w:pPr>
      <w:hyperlink w:anchor="b595" w:history="1">
        <w:r>
          <w:rPr>
            <w:color w:val="0A3A8C"/>
            <w:u w:val="single"/>
          </w:rPr>
          <w:t xml:space="preserve">§ 543 Zulassungsrevision</w:t>
        </w:r>
      </w:hyperlink>
    </w:p>
    <w:p>
      <w:pPr>
        <w:pStyle w:val="Übersicht"/>
        <w:ind w:left="680"/>
      </w:pPr>
      <w:hyperlink w:anchor="b596" w:history="1">
        <w:r>
          <w:rPr>
            <w:color w:val="0A3A8C"/>
            <w:u w:val="single"/>
          </w:rPr>
          <w:t xml:space="preserve">§ 544 Nichtzulassungsbeschwerde</w:t>
        </w:r>
      </w:hyperlink>
    </w:p>
    <w:p>
      <w:pPr>
        <w:pStyle w:val="Übersicht"/>
        <w:ind w:left="680"/>
      </w:pPr>
      <w:hyperlink w:anchor="b597" w:history="1">
        <w:r>
          <w:rPr>
            <w:color w:val="0A3A8C"/>
            <w:u w:val="single"/>
          </w:rPr>
          <w:t xml:space="preserve">§ 545 Revisionsgründe</w:t>
        </w:r>
      </w:hyperlink>
    </w:p>
    <w:p>
      <w:pPr>
        <w:pStyle w:val="Übersicht"/>
        <w:ind w:left="680"/>
      </w:pPr>
      <w:hyperlink w:anchor="b598" w:history="1">
        <w:r>
          <w:rPr>
            <w:color w:val="0A3A8C"/>
            <w:u w:val="single"/>
          </w:rPr>
          <w:t xml:space="preserve">§ 546 Begriff der Rechtsverletzung</w:t>
        </w:r>
      </w:hyperlink>
    </w:p>
    <w:p>
      <w:pPr>
        <w:pStyle w:val="Übersicht"/>
        <w:ind w:left="680"/>
      </w:pPr>
      <w:hyperlink w:anchor="b599" w:history="1">
        <w:r>
          <w:rPr>
            <w:color w:val="0A3A8C"/>
            <w:u w:val="single"/>
          </w:rPr>
          <w:t xml:space="preserve">§ 547 Absolute Revisionsgründe</w:t>
        </w:r>
      </w:hyperlink>
    </w:p>
    <w:p>
      <w:pPr>
        <w:pStyle w:val="Übersicht"/>
        <w:ind w:left="680"/>
      </w:pPr>
      <w:hyperlink w:anchor="b600" w:history="1">
        <w:r>
          <w:rPr>
            <w:color w:val="0A3A8C"/>
            <w:u w:val="single"/>
          </w:rPr>
          <w:t xml:space="preserve">§ 548 Revisionsfrist</w:t>
        </w:r>
      </w:hyperlink>
    </w:p>
    <w:p>
      <w:pPr>
        <w:pStyle w:val="Übersicht"/>
        <w:ind w:left="680"/>
      </w:pPr>
      <w:hyperlink w:anchor="b601" w:history="1">
        <w:r>
          <w:rPr>
            <w:color w:val="0A3A8C"/>
            <w:u w:val="single"/>
          </w:rPr>
          <w:t xml:space="preserve">§ 549 Revisionseinlegung</w:t>
        </w:r>
      </w:hyperlink>
    </w:p>
    <w:p>
      <w:pPr>
        <w:pStyle w:val="Übersicht"/>
        <w:ind w:left="680"/>
      </w:pPr>
      <w:hyperlink w:anchor="b602" w:history="1">
        <w:r>
          <w:rPr>
            <w:color w:val="0A3A8C"/>
            <w:u w:val="single"/>
          </w:rPr>
          <w:t xml:space="preserve">§ 550 Zustellung der Revisionsschrift</w:t>
        </w:r>
      </w:hyperlink>
    </w:p>
    <w:p>
      <w:pPr>
        <w:pStyle w:val="Übersicht"/>
        <w:ind w:left="680"/>
      </w:pPr>
      <w:hyperlink w:anchor="b603" w:history="1">
        <w:r>
          <w:rPr>
            <w:color w:val="0A3A8C"/>
            <w:u w:val="single"/>
          </w:rPr>
          <w:t xml:space="preserve">§ 551 Revisionsbegründung</w:t>
        </w:r>
      </w:hyperlink>
    </w:p>
    <w:p>
      <w:pPr>
        <w:pStyle w:val="Übersicht"/>
        <w:ind w:left="680"/>
      </w:pPr>
      <w:hyperlink w:anchor="b604" w:history="1">
        <w:r>
          <w:rPr>
            <w:color w:val="0A3A8C"/>
            <w:u w:val="single"/>
          </w:rPr>
          <w:t xml:space="preserve">§ 552 Zulässigkeitsprüfung</w:t>
        </w:r>
      </w:hyperlink>
    </w:p>
    <w:p>
      <w:pPr>
        <w:pStyle w:val="Übersicht"/>
        <w:ind w:left="680"/>
      </w:pPr>
      <w:hyperlink w:anchor="b605" w:history="1">
        <w:r>
          <w:rPr>
            <w:color w:val="0A3A8C"/>
            <w:u w:val="single"/>
          </w:rPr>
          <w:t xml:space="preserve">§ 552a Zurückweisungsbeschluss</w:t>
        </w:r>
      </w:hyperlink>
    </w:p>
    <w:p>
      <w:pPr>
        <w:pStyle w:val="Übersicht"/>
        <w:ind w:left="680"/>
      </w:pPr>
      <w:hyperlink w:anchor="b606" w:history="1">
        <w:r>
          <w:rPr>
            <w:color w:val="0A3A8C"/>
            <w:u w:val="single"/>
          </w:rPr>
          <w:t xml:space="preserve">§ 552b Bestimmung zum Leitentscheidungsverfahren</w:t>
        </w:r>
      </w:hyperlink>
    </w:p>
    <w:p>
      <w:pPr>
        <w:pStyle w:val="Übersicht"/>
        <w:ind w:left="680"/>
      </w:pPr>
      <w:hyperlink w:anchor="b607" w:history="1">
        <w:r>
          <w:rPr>
            <w:color w:val="0A3A8C"/>
            <w:u w:val="single"/>
          </w:rPr>
          <w:t xml:space="preserve">§ 553 Terminsbestimmung; Einlassungsfrist</w:t>
        </w:r>
      </w:hyperlink>
    </w:p>
    <w:p>
      <w:pPr>
        <w:pStyle w:val="Übersicht"/>
        <w:ind w:left="680"/>
      </w:pPr>
      <w:hyperlink w:anchor="b608" w:history="1">
        <w:r>
          <w:rPr>
            <w:color w:val="0A3A8C"/>
            <w:u w:val="single"/>
          </w:rPr>
          <w:t xml:space="preserve">§ 554 Anschlussrevision</w:t>
        </w:r>
      </w:hyperlink>
    </w:p>
    <w:p>
      <w:pPr>
        <w:pStyle w:val="Übersicht"/>
        <w:ind w:left="680"/>
      </w:pPr>
      <w:hyperlink w:anchor="b609" w:history="1">
        <w:r>
          <w:rPr>
            <w:color w:val="0A3A8C"/>
            <w:u w:val="single"/>
          </w:rPr>
          <w:t xml:space="preserve">§ 555 Anwendbare Vorschriften</w:t>
        </w:r>
      </w:hyperlink>
    </w:p>
    <w:p>
      <w:pPr>
        <w:pStyle w:val="Übersicht"/>
        <w:ind w:left="680"/>
      </w:pPr>
      <w:hyperlink w:anchor="b610" w:history="1">
        <w:r>
          <w:rPr>
            <w:color w:val="0A3A8C"/>
            <w:u w:val="single"/>
          </w:rPr>
          <w:t xml:space="preserve">§ 556 Verlust des Rügerechts</w:t>
        </w:r>
      </w:hyperlink>
    </w:p>
    <w:p>
      <w:pPr>
        <w:pStyle w:val="Übersicht"/>
        <w:ind w:left="680"/>
      </w:pPr>
      <w:hyperlink w:anchor="b611" w:history="1">
        <w:r>
          <w:rPr>
            <w:color w:val="0A3A8C"/>
            <w:u w:val="single"/>
          </w:rPr>
          <w:t xml:space="preserve">§ 557 Umfang der Revisionsprüfung</w:t>
        </w:r>
      </w:hyperlink>
    </w:p>
    <w:p>
      <w:pPr>
        <w:pStyle w:val="Übersicht"/>
        <w:ind w:left="680"/>
      </w:pPr>
      <w:hyperlink w:anchor="b612" w:history="1">
        <w:r>
          <w:rPr>
            <w:color w:val="0A3A8C"/>
            <w:u w:val="single"/>
          </w:rPr>
          <w:t xml:space="preserve">§ 558 Vorläufige Vollstreckbarkeit</w:t>
        </w:r>
      </w:hyperlink>
    </w:p>
    <w:p>
      <w:pPr>
        <w:pStyle w:val="Übersicht"/>
        <w:ind w:left="680"/>
      </w:pPr>
      <w:hyperlink w:anchor="b613" w:history="1">
        <w:r>
          <w:rPr>
            <w:color w:val="0A3A8C"/>
            <w:u w:val="single"/>
          </w:rPr>
          <w:t xml:space="preserve">§ 559 Beschränkte Nachprüfung tatsächlicher Feststellungen</w:t>
        </w:r>
      </w:hyperlink>
    </w:p>
    <w:p>
      <w:pPr>
        <w:pStyle w:val="Übersicht"/>
        <w:ind w:left="680"/>
      </w:pPr>
      <w:hyperlink w:anchor="b614" w:history="1">
        <w:r>
          <w:rPr>
            <w:color w:val="0A3A8C"/>
            <w:u w:val="single"/>
          </w:rPr>
          <w:t xml:space="preserve">§ 560 Nicht revisible Gesetze</w:t>
        </w:r>
      </w:hyperlink>
    </w:p>
    <w:p>
      <w:pPr>
        <w:pStyle w:val="Übersicht"/>
        <w:ind w:left="680"/>
      </w:pPr>
      <w:hyperlink w:anchor="b615" w:history="1">
        <w:r>
          <w:rPr>
            <w:color w:val="0A3A8C"/>
            <w:u w:val="single"/>
          </w:rPr>
          <w:t xml:space="preserve">§ 561 Revisionszurückweisung</w:t>
        </w:r>
      </w:hyperlink>
    </w:p>
    <w:p>
      <w:pPr>
        <w:pStyle w:val="Übersicht"/>
        <w:ind w:left="680"/>
      </w:pPr>
      <w:hyperlink w:anchor="b616" w:history="1">
        <w:r>
          <w:rPr>
            <w:color w:val="0A3A8C"/>
            <w:u w:val="single"/>
          </w:rPr>
          <w:t xml:space="preserve">§ 562 Aufhebung des angefochtenen Urteils</w:t>
        </w:r>
      </w:hyperlink>
    </w:p>
    <w:p>
      <w:pPr>
        <w:pStyle w:val="Übersicht"/>
        <w:ind w:left="680"/>
      </w:pPr>
      <w:hyperlink w:anchor="b617" w:history="1">
        <w:r>
          <w:rPr>
            <w:color w:val="0A3A8C"/>
            <w:u w:val="single"/>
          </w:rPr>
          <w:t xml:space="preserve">§ 563 Zurückverweisung; eigene Sachentscheidung</w:t>
        </w:r>
      </w:hyperlink>
    </w:p>
    <w:p>
      <w:pPr>
        <w:pStyle w:val="Übersicht"/>
        <w:ind w:left="680"/>
      </w:pPr>
      <w:hyperlink w:anchor="b618" w:history="1">
        <w:r>
          <w:rPr>
            <w:color w:val="0A3A8C"/>
            <w:u w:val="single"/>
          </w:rPr>
          <w:t xml:space="preserve">§ 564 Keine Begründung der Entscheidung bei Rügen von Verfahrensmängeln</w:t>
        </w:r>
      </w:hyperlink>
    </w:p>
    <w:p>
      <w:pPr>
        <w:pStyle w:val="Übersicht"/>
        <w:ind w:left="680"/>
      </w:pPr>
      <w:hyperlink w:anchor="b619" w:history="1">
        <w:r>
          <w:rPr>
            <w:color w:val="0A3A8C"/>
            <w:u w:val="single"/>
          </w:rPr>
          <w:t xml:space="preserve">§ 565 Leitentscheidung</w:t>
        </w:r>
      </w:hyperlink>
    </w:p>
    <w:p>
      <w:pPr>
        <w:pStyle w:val="Übersicht"/>
        <w:ind w:left="680"/>
      </w:pPr>
      <w:hyperlink w:anchor="b620" w:history="1">
        <w:r>
          <w:rPr>
            <w:color w:val="0A3A8C"/>
            <w:u w:val="single"/>
          </w:rPr>
          <w:t xml:space="preserve">§ 566 Sprungrevision</w:t>
        </w:r>
      </w:hyperlink>
    </w:p>
    <w:p>
      <w:pPr>
        <w:pStyle w:val="Übersicht"/>
        <w:ind w:left="340"/>
      </w:pPr>
      <w:hyperlink w:anchor="b621" w:history="1">
        <w:r>
          <w:rPr>
            <w:b/>
            <w:color w:val="0A3A8C"/>
            <w:u w:val="single"/>
          </w:rPr>
          <w:t xml:space="preserve">Abschnitt 3 Beschwerde</w:t>
        </w:r>
      </w:hyperlink>
    </w:p>
    <w:p>
      <w:pPr>
        <w:pStyle w:val="Übersicht"/>
        <w:ind w:left="680"/>
      </w:pPr>
      <w:hyperlink w:anchor="b622" w:history="1">
        <w:r>
          <w:rPr>
            <w:b/>
            <w:color w:val="0A3A8C"/>
            <w:u w:val="single"/>
          </w:rPr>
          <w:t xml:space="preserve">Titel 1 Sofortige Beschwerde</w:t>
        </w:r>
      </w:hyperlink>
    </w:p>
    <w:p>
      <w:pPr>
        <w:pStyle w:val="Übersicht"/>
        <w:ind w:left="1020"/>
      </w:pPr>
      <w:hyperlink w:anchor="b623" w:history="1">
        <w:r>
          <w:rPr>
            <w:color w:val="0A3A8C"/>
            <w:u w:val="single"/>
          </w:rPr>
          <w:t xml:space="preserve">§ 567 Sofortige Beschwerde; Anschlussbeschwerde</w:t>
        </w:r>
      </w:hyperlink>
    </w:p>
    <w:p>
      <w:pPr>
        <w:pStyle w:val="Übersicht"/>
        <w:ind w:left="1020"/>
      </w:pPr>
      <w:hyperlink w:anchor="b624" w:history="1">
        <w:r>
          <w:rPr>
            <w:color w:val="0A3A8C"/>
            <w:u w:val="single"/>
          </w:rPr>
          <w:t xml:space="preserve">§ 568 Originärer Einzelrichter</w:t>
        </w:r>
      </w:hyperlink>
    </w:p>
    <w:p>
      <w:pPr>
        <w:pStyle w:val="Übersicht"/>
        <w:ind w:left="1020"/>
      </w:pPr>
      <w:hyperlink w:anchor="b625" w:history="1">
        <w:r>
          <w:rPr>
            <w:color w:val="0A3A8C"/>
            <w:u w:val="single"/>
          </w:rPr>
          <w:t xml:space="preserve">§ 569 Frist und Form</w:t>
        </w:r>
      </w:hyperlink>
    </w:p>
    <w:p>
      <w:pPr>
        <w:pStyle w:val="Übersicht"/>
        <w:ind w:left="1020"/>
      </w:pPr>
      <w:hyperlink w:anchor="b626" w:history="1">
        <w:r>
          <w:rPr>
            <w:color w:val="0A3A8C"/>
            <w:u w:val="single"/>
          </w:rPr>
          <w:t xml:space="preserve">§ 570 Aufschiebende Wirkung; einstweilige Anordnungen</w:t>
        </w:r>
      </w:hyperlink>
    </w:p>
    <w:p>
      <w:pPr>
        <w:pStyle w:val="Übersicht"/>
        <w:ind w:left="1020"/>
      </w:pPr>
      <w:hyperlink w:anchor="b627" w:history="1">
        <w:r>
          <w:rPr>
            <w:color w:val="0A3A8C"/>
            <w:u w:val="single"/>
          </w:rPr>
          <w:t xml:space="preserve">§ 571 Begründung, Präklusion, Ausnahmen vom Anwaltszwang</w:t>
        </w:r>
      </w:hyperlink>
    </w:p>
    <w:p>
      <w:pPr>
        <w:pStyle w:val="Übersicht"/>
        <w:ind w:left="1020"/>
      </w:pPr>
      <w:hyperlink w:anchor="b628" w:history="1">
        <w:r>
          <w:rPr>
            <w:color w:val="0A3A8C"/>
            <w:u w:val="single"/>
          </w:rPr>
          <w:t xml:space="preserve">§ 572 Gang des Beschwerdeverfahrens</w:t>
        </w:r>
      </w:hyperlink>
    </w:p>
    <w:p>
      <w:pPr>
        <w:pStyle w:val="Übersicht"/>
        <w:ind w:left="1020"/>
      </w:pPr>
      <w:hyperlink w:anchor="b629" w:history="1">
        <w:r>
          <w:rPr>
            <w:color w:val="0A3A8C"/>
            <w:u w:val="single"/>
          </w:rPr>
          <w:t xml:space="preserve">§ 573 Erinnerung</w:t>
        </w:r>
      </w:hyperlink>
    </w:p>
    <w:p>
      <w:pPr>
        <w:pStyle w:val="Übersicht"/>
        <w:ind w:left="680"/>
      </w:pPr>
      <w:hyperlink w:anchor="b630" w:history="1">
        <w:r>
          <w:rPr>
            <w:b/>
            <w:color w:val="0A3A8C"/>
            <w:u w:val="single"/>
          </w:rPr>
          <w:t xml:space="preserve">Titel 2 Rechtsbeschwerde</w:t>
        </w:r>
      </w:hyperlink>
    </w:p>
    <w:p>
      <w:pPr>
        <w:pStyle w:val="Übersicht"/>
        <w:ind w:left="1020"/>
      </w:pPr>
      <w:hyperlink w:anchor="b631" w:history="1">
        <w:r>
          <w:rPr>
            <w:color w:val="0A3A8C"/>
            <w:u w:val="single"/>
          </w:rPr>
          <w:t xml:space="preserve">§ 574 Rechtsbeschwerde; Anschlussrechtsbeschwerde</w:t>
        </w:r>
      </w:hyperlink>
    </w:p>
    <w:p>
      <w:pPr>
        <w:pStyle w:val="Übersicht"/>
        <w:ind w:left="1020"/>
      </w:pPr>
      <w:hyperlink w:anchor="b632" w:history="1">
        <w:r>
          <w:rPr>
            <w:color w:val="0A3A8C"/>
            <w:u w:val="single"/>
          </w:rPr>
          <w:t xml:space="preserve">§ 575 Frist, Form und Begründung der Rechtsbeschwerde</w:t>
        </w:r>
      </w:hyperlink>
    </w:p>
    <w:p>
      <w:pPr>
        <w:pStyle w:val="Übersicht"/>
        <w:ind w:left="1020"/>
      </w:pPr>
      <w:hyperlink w:anchor="b633" w:history="1">
        <w:r>
          <w:rPr>
            <w:color w:val="0A3A8C"/>
            <w:u w:val="single"/>
          </w:rPr>
          <w:t xml:space="preserve">§ 576 Gründe der Rechtsbeschwerde</w:t>
        </w:r>
      </w:hyperlink>
    </w:p>
    <w:p>
      <w:pPr>
        <w:pStyle w:val="Übersicht"/>
        <w:ind w:left="1020"/>
      </w:pPr>
      <w:hyperlink w:anchor="b634" w:history="1">
        <w:r>
          <w:rPr>
            <w:color w:val="0A3A8C"/>
            <w:u w:val="single"/>
          </w:rPr>
          <w:t xml:space="preserve">§ 577 Prüfung und Entscheidung der Rechtsbeschwerde</w:t>
        </w:r>
      </w:hyperlink>
    </w:p>
    <w:p>
      <w:pPr>
        <w:pStyle w:val="Übersicht"/>
        <w:ind w:left="0"/>
      </w:pPr>
      <w:hyperlink w:anchor="b635" w:history="1">
        <w:r>
          <w:rPr>
            <w:b/>
            <w:color w:val="0A3A8C"/>
            <w:u w:val="single"/>
          </w:rPr>
          <w:t xml:space="preserve">Buch 4 Wiederaufnahme des Verfahrens</w:t>
        </w:r>
      </w:hyperlink>
    </w:p>
    <w:p>
      <w:pPr>
        <w:pStyle w:val="Übersicht"/>
        <w:ind w:left="340"/>
      </w:pPr>
      <w:hyperlink w:anchor="b636" w:history="1">
        <w:r>
          <w:rPr>
            <w:color w:val="0A3A8C"/>
            <w:u w:val="single"/>
          </w:rPr>
          <w:t xml:space="preserve">§ 578 Arten der Wiederaufnahme</w:t>
        </w:r>
      </w:hyperlink>
    </w:p>
    <w:p>
      <w:pPr>
        <w:pStyle w:val="Übersicht"/>
        <w:ind w:left="340"/>
      </w:pPr>
      <w:hyperlink w:anchor="b637" w:history="1">
        <w:r>
          <w:rPr>
            <w:color w:val="0A3A8C"/>
            <w:u w:val="single"/>
          </w:rPr>
          <w:t xml:space="preserve">§ 579 Nichtigkeitsklage</w:t>
        </w:r>
      </w:hyperlink>
    </w:p>
    <w:p>
      <w:pPr>
        <w:pStyle w:val="Übersicht"/>
        <w:ind w:left="340"/>
      </w:pPr>
      <w:hyperlink w:anchor="b638" w:history="1">
        <w:r>
          <w:rPr>
            <w:color w:val="0A3A8C"/>
            <w:u w:val="single"/>
          </w:rPr>
          <w:t xml:space="preserve">§ 580 Restitutionsklage</w:t>
        </w:r>
      </w:hyperlink>
    </w:p>
    <w:p>
      <w:pPr>
        <w:pStyle w:val="Übersicht"/>
        <w:ind w:left="340"/>
      </w:pPr>
      <w:hyperlink w:anchor="b639" w:history="1">
        <w:r>
          <w:rPr>
            <w:color w:val="0A3A8C"/>
            <w:u w:val="single"/>
          </w:rPr>
          <w:t xml:space="preserve">§ 581 Besondere Voraussetzungen der Restitutionsklage</w:t>
        </w:r>
      </w:hyperlink>
    </w:p>
    <w:p>
      <w:pPr>
        <w:pStyle w:val="Übersicht"/>
        <w:ind w:left="340"/>
      </w:pPr>
      <w:hyperlink w:anchor="b640" w:history="1">
        <w:r>
          <w:rPr>
            <w:color w:val="0A3A8C"/>
            <w:u w:val="single"/>
          </w:rPr>
          <w:t xml:space="preserve">§ 582 Hilfsnatur der Restitutionsklage</w:t>
        </w:r>
      </w:hyperlink>
    </w:p>
    <w:p>
      <w:pPr>
        <w:pStyle w:val="Übersicht"/>
        <w:ind w:left="340"/>
      </w:pPr>
      <w:hyperlink w:anchor="b641" w:history="1">
        <w:r>
          <w:rPr>
            <w:color w:val="0A3A8C"/>
            <w:u w:val="single"/>
          </w:rPr>
          <w:t xml:space="preserve">§ 583 Vorentscheidungen</w:t>
        </w:r>
      </w:hyperlink>
    </w:p>
    <w:p>
      <w:pPr>
        <w:pStyle w:val="Übersicht"/>
        <w:ind w:left="340"/>
      </w:pPr>
      <w:hyperlink w:anchor="b642" w:history="1">
        <w:r>
          <w:rPr>
            <w:color w:val="0A3A8C"/>
            <w:u w:val="single"/>
          </w:rPr>
          <w:t xml:space="preserve">§ 584 Ausschließliche Zuständigkeit für Nichtigkeits- und Restitutionsklagen</w:t>
        </w:r>
      </w:hyperlink>
    </w:p>
    <w:p>
      <w:pPr>
        <w:pStyle w:val="Übersicht"/>
        <w:ind w:left="340"/>
      </w:pPr>
      <w:hyperlink w:anchor="b643" w:history="1">
        <w:r>
          <w:rPr>
            <w:color w:val="0A3A8C"/>
            <w:u w:val="single"/>
          </w:rPr>
          <w:t xml:space="preserve">§ 585 Allgemeine Verfahrensgrundsätze</w:t>
        </w:r>
      </w:hyperlink>
    </w:p>
    <w:p>
      <w:pPr>
        <w:pStyle w:val="Übersicht"/>
        <w:ind w:left="340"/>
      </w:pPr>
      <w:hyperlink w:anchor="b644" w:history="1">
        <w:r>
          <w:rPr>
            <w:color w:val="0A3A8C"/>
            <w:u w:val="single"/>
          </w:rPr>
          <w:t xml:space="preserve">§ 586 Klagefrist</w:t>
        </w:r>
      </w:hyperlink>
    </w:p>
    <w:p>
      <w:pPr>
        <w:pStyle w:val="Übersicht"/>
        <w:ind w:left="340"/>
      </w:pPr>
      <w:hyperlink w:anchor="b645" w:history="1">
        <w:r>
          <w:rPr>
            <w:color w:val="0A3A8C"/>
            <w:u w:val="single"/>
          </w:rPr>
          <w:t xml:space="preserve">§ 587 Klageschrift</w:t>
        </w:r>
      </w:hyperlink>
    </w:p>
    <w:p>
      <w:pPr>
        <w:pStyle w:val="Übersicht"/>
        <w:ind w:left="340"/>
      </w:pPr>
      <w:hyperlink w:anchor="b646" w:history="1">
        <w:r>
          <w:rPr>
            <w:color w:val="0A3A8C"/>
            <w:u w:val="single"/>
          </w:rPr>
          <w:t xml:space="preserve">§ 588 Inhalt der Klageschrift</w:t>
        </w:r>
      </w:hyperlink>
    </w:p>
    <w:p>
      <w:pPr>
        <w:pStyle w:val="Übersicht"/>
        <w:ind w:left="340"/>
      </w:pPr>
      <w:hyperlink w:anchor="b647" w:history="1">
        <w:r>
          <w:rPr>
            <w:color w:val="0A3A8C"/>
            <w:u w:val="single"/>
          </w:rPr>
          <w:t xml:space="preserve">§ 589 Zulässigkeitsprüfung</w:t>
        </w:r>
      </w:hyperlink>
    </w:p>
    <w:p>
      <w:pPr>
        <w:pStyle w:val="Übersicht"/>
        <w:ind w:left="340"/>
      </w:pPr>
      <w:hyperlink w:anchor="b648" w:history="1">
        <w:r>
          <w:rPr>
            <w:color w:val="0A3A8C"/>
            <w:u w:val="single"/>
          </w:rPr>
          <w:t xml:space="preserve">§ 590 Neue Verhandlung</w:t>
        </w:r>
      </w:hyperlink>
    </w:p>
    <w:p>
      <w:pPr>
        <w:pStyle w:val="Übersicht"/>
        <w:ind w:left="340"/>
      </w:pPr>
      <w:hyperlink w:anchor="b649" w:history="1">
        <w:r>
          <w:rPr>
            <w:color w:val="0A3A8C"/>
            <w:u w:val="single"/>
          </w:rPr>
          <w:t xml:space="preserve">§ 591 Rechtsmittel</w:t>
        </w:r>
      </w:hyperlink>
    </w:p>
    <w:p>
      <w:pPr>
        <w:pStyle w:val="Übersicht"/>
        <w:ind w:left="0"/>
      </w:pPr>
      <w:hyperlink w:anchor="b650" w:history="1">
        <w:r>
          <w:rPr>
            <w:b/>
            <w:color w:val="0A3A8C"/>
            <w:u w:val="single"/>
          </w:rPr>
          <w:t xml:space="preserve">Buch 5 Urkunden- und Wechselprozess</w:t>
        </w:r>
      </w:hyperlink>
    </w:p>
    <w:p>
      <w:pPr>
        <w:pStyle w:val="Übersicht"/>
        <w:ind w:left="340"/>
      </w:pPr>
      <w:hyperlink w:anchor="b651" w:history="1">
        <w:r>
          <w:rPr>
            <w:color w:val="0A3A8C"/>
            <w:u w:val="single"/>
          </w:rPr>
          <w:t xml:space="preserve">§ 592 Zulässigkeit</w:t>
        </w:r>
      </w:hyperlink>
    </w:p>
    <w:p>
      <w:pPr>
        <w:pStyle w:val="Übersicht"/>
        <w:ind w:left="340"/>
      </w:pPr>
      <w:hyperlink w:anchor="b652" w:history="1">
        <w:r>
          <w:rPr>
            <w:color w:val="0A3A8C"/>
            <w:u w:val="single"/>
          </w:rPr>
          <w:t xml:space="preserve">§ 593 Klageinhalt; Urkunden</w:t>
        </w:r>
      </w:hyperlink>
    </w:p>
    <w:p>
      <w:pPr>
        <w:pStyle w:val="Übersicht"/>
        <w:ind w:left="340"/>
      </w:pPr>
      <w:hyperlink w:anchor="b653" w:history="1">
        <w:r>
          <w:rPr>
            <w:color w:val="0A3A8C"/>
            <w:u w:val="single"/>
          </w:rPr>
          <w:t xml:space="preserve">§ 594</w:t>
        </w:r>
      </w:hyperlink>
    </w:p>
    <w:p>
      <w:pPr>
        <w:pStyle w:val="Übersicht"/>
        <w:ind w:left="340"/>
      </w:pPr>
      <w:hyperlink w:anchor="b654" w:history="1">
        <w:r>
          <w:rPr>
            <w:color w:val="0A3A8C"/>
            <w:u w:val="single"/>
          </w:rPr>
          <w:t xml:space="preserve">§ 595 Keine Widerklage; Beweismittel</w:t>
        </w:r>
      </w:hyperlink>
    </w:p>
    <w:p>
      <w:pPr>
        <w:pStyle w:val="Übersicht"/>
        <w:ind w:left="340"/>
      </w:pPr>
      <w:hyperlink w:anchor="b655" w:history="1">
        <w:r>
          <w:rPr>
            <w:color w:val="0A3A8C"/>
            <w:u w:val="single"/>
          </w:rPr>
          <w:t xml:space="preserve">§ 596 Abstehen vom Urkundenprozess</w:t>
        </w:r>
      </w:hyperlink>
    </w:p>
    <w:p>
      <w:pPr>
        <w:pStyle w:val="Übersicht"/>
        <w:ind w:left="340"/>
      </w:pPr>
      <w:hyperlink w:anchor="b656" w:history="1">
        <w:r>
          <w:rPr>
            <w:color w:val="0A3A8C"/>
            <w:u w:val="single"/>
          </w:rPr>
          <w:t xml:space="preserve">§ 597 Klageabweisung</w:t>
        </w:r>
      </w:hyperlink>
    </w:p>
    <w:p>
      <w:pPr>
        <w:pStyle w:val="Übersicht"/>
        <w:ind w:left="340"/>
      </w:pPr>
      <w:hyperlink w:anchor="b657" w:history="1">
        <w:r>
          <w:rPr>
            <w:color w:val="0A3A8C"/>
            <w:u w:val="single"/>
          </w:rPr>
          <w:t xml:space="preserve">§ 598 Zurückweisung von Einwendungen</w:t>
        </w:r>
      </w:hyperlink>
    </w:p>
    <w:p>
      <w:pPr>
        <w:pStyle w:val="Übersicht"/>
        <w:ind w:left="340"/>
      </w:pPr>
      <w:hyperlink w:anchor="b658" w:history="1">
        <w:r>
          <w:rPr>
            <w:color w:val="0A3A8C"/>
            <w:u w:val="single"/>
          </w:rPr>
          <w:t xml:space="preserve">§ 599 Vorbehaltsurteil</w:t>
        </w:r>
      </w:hyperlink>
    </w:p>
    <w:p>
      <w:pPr>
        <w:pStyle w:val="Übersicht"/>
        <w:ind w:left="340"/>
      </w:pPr>
      <w:hyperlink w:anchor="b659" w:history="1">
        <w:r>
          <w:rPr>
            <w:color w:val="0A3A8C"/>
            <w:u w:val="single"/>
          </w:rPr>
          <w:t xml:space="preserve">§ 600 Nachverfahren</w:t>
        </w:r>
      </w:hyperlink>
    </w:p>
    <w:p>
      <w:pPr>
        <w:pStyle w:val="Übersicht"/>
        <w:ind w:left="340"/>
      </w:pPr>
      <w:hyperlink w:anchor="b660" w:history="1">
        <w:r>
          <w:rPr>
            <w:color w:val="0A3A8C"/>
            <w:u w:val="single"/>
          </w:rPr>
          <w:t xml:space="preserve">§ 601</w:t>
        </w:r>
      </w:hyperlink>
    </w:p>
    <w:p>
      <w:pPr>
        <w:pStyle w:val="Übersicht"/>
        <w:ind w:left="340"/>
      </w:pPr>
      <w:hyperlink w:anchor="b661" w:history="1">
        <w:r>
          <w:rPr>
            <w:color w:val="0A3A8C"/>
            <w:u w:val="single"/>
          </w:rPr>
          <w:t xml:space="preserve">§ 602 Wechselprozess</w:t>
        </w:r>
      </w:hyperlink>
    </w:p>
    <w:p>
      <w:pPr>
        <w:pStyle w:val="Übersicht"/>
        <w:ind w:left="340"/>
      </w:pPr>
      <w:hyperlink w:anchor="b662" w:history="1">
        <w:r>
          <w:rPr>
            <w:color w:val="0A3A8C"/>
            <w:u w:val="single"/>
          </w:rPr>
          <w:t xml:space="preserve">§ 603 Gerichtsstand</w:t>
        </w:r>
      </w:hyperlink>
    </w:p>
    <w:p>
      <w:pPr>
        <w:pStyle w:val="Übersicht"/>
        <w:ind w:left="340"/>
      </w:pPr>
      <w:hyperlink w:anchor="b663" w:history="1">
        <w:r>
          <w:rPr>
            <w:color w:val="0A3A8C"/>
            <w:u w:val="single"/>
          </w:rPr>
          <w:t xml:space="preserve">§ 604 Klageinhalt; Ladungsfrist</w:t>
        </w:r>
      </w:hyperlink>
    </w:p>
    <w:p>
      <w:pPr>
        <w:pStyle w:val="Übersicht"/>
        <w:ind w:left="340"/>
      </w:pPr>
      <w:hyperlink w:anchor="b664" w:history="1">
        <w:r>
          <w:rPr>
            <w:color w:val="0A3A8C"/>
            <w:u w:val="single"/>
          </w:rPr>
          <w:t xml:space="preserve">§ 605 Beweisvorschriften</w:t>
        </w:r>
      </w:hyperlink>
    </w:p>
    <w:p>
      <w:pPr>
        <w:pStyle w:val="Übersicht"/>
        <w:ind w:left="340"/>
      </w:pPr>
      <w:hyperlink w:anchor="b665" w:history="1">
        <w:r>
          <w:rPr>
            <w:color w:val="0A3A8C"/>
            <w:u w:val="single"/>
          </w:rPr>
          <w:t xml:space="preserve">§ 605a Scheckprozess</w:t>
        </w:r>
      </w:hyperlink>
    </w:p>
    <w:p>
      <w:pPr>
        <w:pStyle w:val="Übersicht"/>
        <w:ind w:left="0"/>
      </w:pPr>
      <w:hyperlink w:anchor="b666" w:history="1">
        <w:r>
          <w:rPr>
            <w:b/>
            <w:color w:val="0A3A8C"/>
            <w:u w:val="single"/>
          </w:rPr>
          <w:t xml:space="preserve">Buch 6 Weitere besondere Verfahren</w:t>
        </w:r>
      </w:hyperlink>
    </w:p>
    <w:p>
      <w:pPr>
        <w:pStyle w:val="Übersicht"/>
        <w:ind w:left="340"/>
      </w:pPr>
      <w:hyperlink w:anchor="b667" w:history="1">
        <w:r>
          <w:rPr>
            <w:b/>
            <w:color w:val="0A3A8C"/>
            <w:u w:val="single"/>
          </w:rPr>
          <w:t xml:space="preserve">Abschnitt 1 Englischsprachige Verfahren</w:t>
        </w:r>
      </w:hyperlink>
    </w:p>
    <w:p>
      <w:pPr>
        <w:pStyle w:val="Übersicht"/>
        <w:ind w:left="680"/>
      </w:pPr>
      <w:hyperlink w:anchor="b668" w:history="1">
        <w:r>
          <w:rPr>
            <w:color w:val="0A3A8C"/>
            <w:u w:val="single"/>
          </w:rPr>
          <w:t xml:space="preserve">§ 606 Klageschrift</w:t>
        </w:r>
      </w:hyperlink>
    </w:p>
    <w:p>
      <w:pPr>
        <w:pStyle w:val="Übersicht"/>
        <w:ind w:left="680"/>
      </w:pPr>
      <w:hyperlink w:anchor="b669" w:history="1">
        <w:r>
          <w:rPr>
            <w:color w:val="0A3A8C"/>
            <w:u w:val="single"/>
          </w:rPr>
          <w:t xml:space="preserve">§ 607 Beteiligung Dritter am Rechtsstreit</w:t>
        </w:r>
      </w:hyperlink>
    </w:p>
    <w:p>
      <w:pPr>
        <w:pStyle w:val="Übersicht"/>
        <w:ind w:left="680"/>
      </w:pPr>
      <w:hyperlink w:anchor="b670" w:history="1">
        <w:r>
          <w:rPr>
            <w:color w:val="0A3A8C"/>
            <w:u w:val="single"/>
          </w:rPr>
          <w:t xml:space="preserve">§ 608 Übersetzung</w:t>
        </w:r>
      </w:hyperlink>
    </w:p>
    <w:p>
      <w:pPr>
        <w:pStyle w:val="Übersicht"/>
        <w:ind w:left="680"/>
      </w:pPr>
      <w:hyperlink w:anchor="b671" w:history="1">
        <w:r>
          <w:rPr>
            <w:color w:val="0A3A8C"/>
            <w:u w:val="single"/>
          </w:rPr>
          <w:t xml:space="preserve">§ 609 Rechtsmittelschrift</w:t>
        </w:r>
      </w:hyperlink>
    </w:p>
    <w:p>
      <w:pPr>
        <w:pStyle w:val="Übersicht"/>
        <w:ind w:left="340"/>
      </w:pPr>
      <w:hyperlink w:anchor="b672" w:history="1">
        <w:r>
          <w:rPr>
            <w:b/>
            <w:color w:val="0A3A8C"/>
            <w:u w:val="single"/>
          </w:rPr>
          <w:t xml:space="preserve">Abschnitt 2 Verfahren vor den Commercial Courts und den Commercial Chambers</w:t>
        </w:r>
      </w:hyperlink>
    </w:p>
    <w:p>
      <w:pPr>
        <w:pStyle w:val="Übersicht"/>
        <w:ind w:left="680"/>
      </w:pPr>
      <w:hyperlink w:anchor="b673" w:history="1">
        <w:r>
          <w:rPr>
            <w:color w:val="0A3A8C"/>
            <w:u w:val="single"/>
          </w:rPr>
          <w:t xml:space="preserve">§ 610 Anwendbare Vorschriften vor den Commercial Courts; Klageschrift</w:t>
        </w:r>
      </w:hyperlink>
    </w:p>
    <w:p>
      <w:pPr>
        <w:pStyle w:val="Übersicht"/>
        <w:ind w:left="680"/>
      </w:pPr>
      <w:hyperlink w:anchor="b674" w:history="1">
        <w:r>
          <w:rPr>
            <w:color w:val="0A3A8C"/>
            <w:u w:val="single"/>
          </w:rPr>
          <w:t xml:space="preserve">§ 611 Verweisung an den Commercial Court</w:t>
        </w:r>
      </w:hyperlink>
    </w:p>
    <w:p>
      <w:pPr>
        <w:pStyle w:val="Übersicht"/>
        <w:ind w:left="680"/>
      </w:pPr>
      <w:hyperlink w:anchor="b675" w:history="1">
        <w:r>
          <w:rPr>
            <w:color w:val="0A3A8C"/>
            <w:u w:val="single"/>
          </w:rPr>
          <w:t xml:space="preserve">§ 612 Organisationstermin</w:t>
        </w:r>
      </w:hyperlink>
    </w:p>
    <w:p>
      <w:pPr>
        <w:pStyle w:val="Übersicht"/>
        <w:ind w:left="680"/>
      </w:pPr>
      <w:hyperlink w:anchor="b676" w:history="1">
        <w:r>
          <w:rPr>
            <w:color w:val="0A3A8C"/>
            <w:u w:val="single"/>
          </w:rPr>
          <w:t xml:space="preserve">§ 613 Wortprotokoll</w:t>
        </w:r>
      </w:hyperlink>
    </w:p>
    <w:p>
      <w:pPr>
        <w:pStyle w:val="Übersicht"/>
        <w:ind w:left="680"/>
      </w:pPr>
      <w:hyperlink w:anchor="b677" w:history="1">
        <w:r>
          <w:rPr>
            <w:color w:val="0A3A8C"/>
            <w:u w:val="single"/>
          </w:rPr>
          <w:t xml:space="preserve">§ 614 Rechtsmittel gegen Urteile des Commercial Courts</w:t>
        </w:r>
      </w:hyperlink>
    </w:p>
    <w:p>
      <w:pPr>
        <w:pStyle w:val="Übersicht"/>
        <w:ind w:left="680"/>
      </w:pPr>
      <w:hyperlink w:anchor="b678" w:history="1">
        <w:r>
          <w:rPr>
            <w:color w:val="0A3A8C"/>
            <w:u w:val="single"/>
          </w:rPr>
          <w:t xml:space="preserve">§§ 615 bis 687 (weggefallen)</w:t>
        </w:r>
      </w:hyperlink>
    </w:p>
    <w:p>
      <w:pPr>
        <w:pStyle w:val="Übersicht"/>
        <w:ind w:left="0"/>
      </w:pPr>
      <w:hyperlink w:anchor="b679" w:history="1">
        <w:r>
          <w:rPr>
            <w:b/>
            <w:color w:val="0A3A8C"/>
            <w:u w:val="single"/>
          </w:rPr>
          <w:t xml:space="preserve">Buch 7 Mahnverfahren</w:t>
        </w:r>
      </w:hyperlink>
    </w:p>
    <w:p>
      <w:pPr>
        <w:pStyle w:val="Übersicht"/>
        <w:ind w:left="340"/>
      </w:pPr>
      <w:hyperlink w:anchor="b680" w:history="1">
        <w:r>
          <w:rPr>
            <w:color w:val="0A3A8C"/>
            <w:u w:val="single"/>
          </w:rPr>
          <w:t xml:space="preserve">§ 688 Zulässigkeit</w:t>
        </w:r>
      </w:hyperlink>
    </w:p>
    <w:p>
      <w:pPr>
        <w:pStyle w:val="Übersicht"/>
        <w:ind w:left="340"/>
      </w:pPr>
      <w:hyperlink w:anchor="b681" w:history="1">
        <w:r>
          <w:rPr>
            <w:color w:val="0A3A8C"/>
            <w:u w:val="single"/>
          </w:rPr>
          <w:t xml:space="preserve">§ 689 Zuständigkeit; maschinelle Bearbeitung</w:t>
        </w:r>
      </w:hyperlink>
    </w:p>
    <w:p>
      <w:pPr>
        <w:pStyle w:val="Übersicht"/>
        <w:ind w:left="340"/>
      </w:pPr>
      <w:hyperlink w:anchor="b682" w:history="1">
        <w:r>
          <w:rPr>
            <w:color w:val="0A3A8C"/>
            <w:u w:val="single"/>
          </w:rPr>
          <w:t xml:space="preserve">§ 690 Mahnantrag</w:t>
        </w:r>
      </w:hyperlink>
    </w:p>
    <w:p>
      <w:pPr>
        <w:pStyle w:val="Übersicht"/>
        <w:ind w:left="340"/>
      </w:pPr>
      <w:hyperlink w:anchor="b683" w:history="1">
        <w:r>
          <w:rPr>
            <w:color w:val="0A3A8C"/>
            <w:u w:val="single"/>
          </w:rPr>
          <w:t xml:space="preserve">§ 691 Zurückweisung des Mahnantrags</w:t>
        </w:r>
      </w:hyperlink>
    </w:p>
    <w:p>
      <w:pPr>
        <w:pStyle w:val="Übersicht"/>
        <w:ind w:left="340"/>
      </w:pPr>
      <w:hyperlink w:anchor="b684" w:history="1">
        <w:r>
          <w:rPr>
            <w:color w:val="0A3A8C"/>
            <w:u w:val="single"/>
          </w:rPr>
          <w:t xml:space="preserve">§ 692 Mahnbescheid</w:t>
        </w:r>
      </w:hyperlink>
    </w:p>
    <w:p>
      <w:pPr>
        <w:pStyle w:val="Übersicht"/>
        <w:ind w:left="340"/>
      </w:pPr>
      <w:hyperlink w:anchor="b685" w:history="1">
        <w:r>
          <w:rPr>
            <w:color w:val="0A3A8C"/>
            <w:u w:val="single"/>
          </w:rPr>
          <w:t xml:space="preserve">§ 693 Zustellung des Mahnbescheids</w:t>
        </w:r>
      </w:hyperlink>
    </w:p>
    <w:p>
      <w:pPr>
        <w:pStyle w:val="Übersicht"/>
        <w:ind w:left="340"/>
      </w:pPr>
      <w:hyperlink w:anchor="b686" w:history="1">
        <w:r>
          <w:rPr>
            <w:color w:val="0A3A8C"/>
            <w:u w:val="single"/>
          </w:rPr>
          <w:t xml:space="preserve">§ 694 Widerspruch gegen den Mahnbescheid</w:t>
        </w:r>
      </w:hyperlink>
    </w:p>
    <w:p>
      <w:pPr>
        <w:pStyle w:val="Übersicht"/>
        <w:ind w:left="340"/>
      </w:pPr>
      <w:hyperlink w:anchor="b687" w:history="1">
        <w:r>
          <w:rPr>
            <w:color w:val="0A3A8C"/>
            <w:u w:val="single"/>
          </w:rPr>
          <w:t xml:space="preserve">§ 695 Mitteilung des Widerspruchs; Abschriften</w:t>
        </w:r>
      </w:hyperlink>
    </w:p>
    <w:p>
      <w:pPr>
        <w:pStyle w:val="Übersicht"/>
        <w:ind w:left="340"/>
      </w:pPr>
      <w:hyperlink w:anchor="b688" w:history="1">
        <w:r>
          <w:rPr>
            <w:color w:val="0A3A8C"/>
            <w:u w:val="single"/>
          </w:rPr>
          <w:t xml:space="preserve">§ 696 Verfahren nach Widerspruch</w:t>
        </w:r>
      </w:hyperlink>
    </w:p>
    <w:p>
      <w:pPr>
        <w:pStyle w:val="Übersicht"/>
        <w:ind w:left="340"/>
      </w:pPr>
      <w:hyperlink w:anchor="b689" w:history="1">
        <w:r>
          <w:rPr>
            <w:color w:val="0A3A8C"/>
            <w:u w:val="single"/>
          </w:rPr>
          <w:t xml:space="preserve">§ 697 Einleitung des Streitverfahrens</w:t>
        </w:r>
      </w:hyperlink>
    </w:p>
    <w:p>
      <w:pPr>
        <w:pStyle w:val="Übersicht"/>
        <w:ind w:left="340"/>
      </w:pPr>
      <w:hyperlink w:anchor="b690" w:history="1">
        <w:r>
          <w:rPr>
            <w:color w:val="0A3A8C"/>
            <w:u w:val="single"/>
          </w:rPr>
          <w:t xml:space="preserve">§ 698 Abgabe des Verfahrens am selben Gericht</w:t>
        </w:r>
      </w:hyperlink>
    </w:p>
    <w:p>
      <w:pPr>
        <w:pStyle w:val="Übersicht"/>
        <w:ind w:left="340"/>
      </w:pPr>
      <w:hyperlink w:anchor="b691" w:history="1">
        <w:r>
          <w:rPr>
            <w:color w:val="0A3A8C"/>
            <w:u w:val="single"/>
          </w:rPr>
          <w:t xml:space="preserve">§ 699 Vollstreckungsbescheid</w:t>
        </w:r>
      </w:hyperlink>
    </w:p>
    <w:p>
      <w:pPr>
        <w:pStyle w:val="Übersicht"/>
        <w:ind w:left="340"/>
      </w:pPr>
      <w:hyperlink w:anchor="b692" w:history="1">
        <w:r>
          <w:rPr>
            <w:color w:val="0A3A8C"/>
            <w:u w:val="single"/>
          </w:rPr>
          <w:t xml:space="preserve">§ 700 Einspruch gegen den Vollstreckungsbescheid</w:t>
        </w:r>
      </w:hyperlink>
    </w:p>
    <w:p>
      <w:pPr>
        <w:pStyle w:val="Übersicht"/>
        <w:ind w:left="340"/>
      </w:pPr>
      <w:hyperlink w:anchor="b693" w:history="1">
        <w:r>
          <w:rPr>
            <w:color w:val="0A3A8C"/>
            <w:u w:val="single"/>
          </w:rPr>
          <w:t xml:space="preserve">§ 701 Wegfall der Wirkung des Mahnbescheids</w:t>
        </w:r>
      </w:hyperlink>
    </w:p>
    <w:p>
      <w:pPr>
        <w:pStyle w:val="Übersicht"/>
        <w:ind w:left="340"/>
      </w:pPr>
      <w:hyperlink w:anchor="b694" w:history="1">
        <w:r>
          <w:rPr>
            <w:color w:val="0A3A8C"/>
            <w:u w:val="single"/>
          </w:rPr>
          <w:t xml:space="preserve">§ 702 Form von Anträgen und Erklärungen</w:t>
        </w:r>
      </w:hyperlink>
    </w:p>
    <w:p>
      <w:pPr>
        <w:pStyle w:val="Übersicht"/>
        <w:ind w:left="340"/>
      </w:pPr>
      <w:hyperlink w:anchor="b695" w:history="1">
        <w:r>
          <w:rPr>
            <w:color w:val="0A3A8C"/>
            <w:u w:val="single"/>
          </w:rPr>
          <w:t xml:space="preserve">§ 703 Kein Nachweis der Vollmacht</w:t>
        </w:r>
      </w:hyperlink>
    </w:p>
    <w:p>
      <w:pPr>
        <w:pStyle w:val="Übersicht"/>
        <w:ind w:left="340"/>
      </w:pPr>
      <w:hyperlink w:anchor="b696" w:history="1">
        <w:r>
          <w:rPr>
            <w:color w:val="0A3A8C"/>
            <w:u w:val="single"/>
          </w:rPr>
          <w:t xml:space="preserve">§ 703a Urkunden-, Wechsel- und Scheckmahnverfahren</w:t>
        </w:r>
      </w:hyperlink>
    </w:p>
    <w:p>
      <w:pPr>
        <w:pStyle w:val="Übersicht"/>
        <w:ind w:left="340"/>
      </w:pPr>
      <w:hyperlink w:anchor="b697" w:history="1">
        <w:r>
          <w:rPr>
            <w:color w:val="0A3A8C"/>
            <w:u w:val="single"/>
          </w:rPr>
          <w:t xml:space="preserve">§ 703b Sonderregelungen für maschinelle Bearbeitung</w:t>
        </w:r>
      </w:hyperlink>
    </w:p>
    <w:p>
      <w:pPr>
        <w:pStyle w:val="Übersicht"/>
        <w:ind w:left="340"/>
      </w:pPr>
      <w:hyperlink w:anchor="b698" w:history="1">
        <w:r>
          <w:rPr>
            <w:color w:val="0A3A8C"/>
            <w:u w:val="single"/>
          </w:rPr>
          <w:t xml:space="preserve">§ 703c Formulare; Einführung der maschinellen Bearbeitung</w:t>
        </w:r>
      </w:hyperlink>
    </w:p>
    <w:p>
      <w:pPr>
        <w:pStyle w:val="Übersicht"/>
        <w:ind w:left="340"/>
      </w:pPr>
      <w:hyperlink w:anchor="b699" w:history="1">
        <w:r>
          <w:rPr>
            <w:color w:val="0A3A8C"/>
            <w:u w:val="single"/>
          </w:rPr>
          <w:t xml:space="preserve">§ 703d Antragsgegner ohne allgemeinen inländischen Gerichtsstand</w:t>
        </w:r>
      </w:hyperlink>
    </w:p>
    <w:p>
      <w:pPr>
        <w:pStyle w:val="Übersicht"/>
        <w:ind w:left="0"/>
      </w:pPr>
      <w:hyperlink w:anchor="b700" w:history="1">
        <w:r>
          <w:rPr>
            <w:b/>
            <w:color w:val="0A3A8C"/>
            <w:u w:val="single"/>
          </w:rPr>
          <w:t xml:space="preserve">Buch 8 Zwangsvollstreckung</w:t>
        </w:r>
      </w:hyperlink>
    </w:p>
    <w:p>
      <w:pPr>
        <w:pStyle w:val="Übersicht"/>
        <w:ind w:left="340"/>
      </w:pPr>
      <w:hyperlink w:anchor="b701" w:history="1">
        <w:r>
          <w:rPr>
            <w:b/>
            <w:color w:val="0A3A8C"/>
            <w:u w:val="single"/>
          </w:rPr>
          <w:t xml:space="preserve">Abschnitt 1 Allgemeine Vorschriften</w:t>
        </w:r>
      </w:hyperlink>
    </w:p>
    <w:p>
      <w:pPr>
        <w:pStyle w:val="Übersicht"/>
        <w:ind w:left="680"/>
      </w:pPr>
      <w:hyperlink w:anchor="b702" w:history="1">
        <w:r>
          <w:rPr>
            <w:color w:val="0A3A8C"/>
            <w:u w:val="single"/>
          </w:rPr>
          <w:t xml:space="preserve">§ 704 Vollstreckbare Endurteile</w:t>
        </w:r>
      </w:hyperlink>
    </w:p>
    <w:p>
      <w:pPr>
        <w:pStyle w:val="Übersicht"/>
        <w:ind w:left="680"/>
      </w:pPr>
      <w:hyperlink w:anchor="b703" w:history="1">
        <w:r>
          <w:rPr>
            <w:color w:val="0A3A8C"/>
            <w:u w:val="single"/>
          </w:rPr>
          <w:t xml:space="preserve">§ 705 Formelle Rechtskraft</w:t>
        </w:r>
      </w:hyperlink>
    </w:p>
    <w:p>
      <w:pPr>
        <w:pStyle w:val="Übersicht"/>
        <w:ind w:left="680"/>
      </w:pPr>
      <w:hyperlink w:anchor="b704" w:history="1">
        <w:r>
          <w:rPr>
            <w:color w:val="0A3A8C"/>
            <w:u w:val="single"/>
          </w:rPr>
          <w:t xml:space="preserve">§ 706 Rechtskraft- und Notfristzeugnis</w:t>
        </w:r>
      </w:hyperlink>
    </w:p>
    <w:p>
      <w:pPr>
        <w:pStyle w:val="Übersicht"/>
        <w:ind w:left="680"/>
      </w:pPr>
      <w:hyperlink w:anchor="b705" w:history="1">
        <w:r>
          <w:rPr>
            <w:color w:val="0A3A8C"/>
            <w:u w:val="single"/>
          </w:rPr>
          <w:t xml:space="preserve">§ 707 Einstweilige Einstellung der Zwangsvollstreckung</w:t>
        </w:r>
      </w:hyperlink>
    </w:p>
    <w:p>
      <w:pPr>
        <w:pStyle w:val="Übersicht"/>
        <w:ind w:left="680"/>
      </w:pPr>
      <w:hyperlink w:anchor="b706" w:history="1">
        <w:r>
          <w:rPr>
            <w:color w:val="0A3A8C"/>
            <w:u w:val="single"/>
          </w:rPr>
          <w:t xml:space="preserve">§ 708 Vorläufige Vollstreckbarkeit ohne Sicherheitsleistung</w:t>
        </w:r>
      </w:hyperlink>
    </w:p>
    <w:p>
      <w:pPr>
        <w:pStyle w:val="Übersicht"/>
        <w:ind w:left="680"/>
      </w:pPr>
      <w:hyperlink w:anchor="b707" w:history="1">
        <w:r>
          <w:rPr>
            <w:color w:val="0A3A8C"/>
            <w:u w:val="single"/>
          </w:rPr>
          <w:t xml:space="preserve">§ 709 Vorläufige Vollstreckbarkeit gegen Sicherheitsleistung</w:t>
        </w:r>
      </w:hyperlink>
    </w:p>
    <w:p>
      <w:pPr>
        <w:pStyle w:val="Übersicht"/>
        <w:ind w:left="680"/>
      </w:pPr>
      <w:hyperlink w:anchor="b708" w:history="1">
        <w:r>
          <w:rPr>
            <w:color w:val="0A3A8C"/>
            <w:u w:val="single"/>
          </w:rPr>
          <w:t xml:space="preserve">§ 710 Ausnahmen von der Sicherheitsleistung des Gläubigers</w:t>
        </w:r>
      </w:hyperlink>
    </w:p>
    <w:p>
      <w:pPr>
        <w:pStyle w:val="Übersicht"/>
        <w:ind w:left="680"/>
      </w:pPr>
      <w:hyperlink w:anchor="b709" w:history="1">
        <w:r>
          <w:rPr>
            <w:color w:val="0A3A8C"/>
            <w:u w:val="single"/>
          </w:rPr>
          <w:t xml:space="preserve">§ 711 Abwendungsbefugnis</w:t>
        </w:r>
      </w:hyperlink>
    </w:p>
    <w:p>
      <w:pPr>
        <w:pStyle w:val="Übersicht"/>
        <w:ind w:left="680"/>
      </w:pPr>
      <w:hyperlink w:anchor="b710" w:history="1">
        <w:r>
          <w:rPr>
            <w:color w:val="0A3A8C"/>
            <w:u w:val="single"/>
          </w:rPr>
          <w:t xml:space="preserve">§ 712 Schutzantrag des Schuldners</w:t>
        </w:r>
      </w:hyperlink>
    </w:p>
    <w:p>
      <w:pPr>
        <w:pStyle w:val="Übersicht"/>
        <w:ind w:left="680"/>
      </w:pPr>
      <w:hyperlink w:anchor="b711" w:history="1">
        <w:r>
          <w:rPr>
            <w:color w:val="0A3A8C"/>
            <w:u w:val="single"/>
          </w:rPr>
          <w:t xml:space="preserve">§ 713 Unterbleiben von Schuldnerschutzanordnungen</w:t>
        </w:r>
      </w:hyperlink>
    </w:p>
    <w:p>
      <w:pPr>
        <w:pStyle w:val="Übersicht"/>
        <w:ind w:left="680"/>
      </w:pPr>
      <w:hyperlink w:anchor="b712" w:history="1">
        <w:r>
          <w:rPr>
            <w:color w:val="0A3A8C"/>
            <w:u w:val="single"/>
          </w:rPr>
          <w:t xml:space="preserve">§ 714 Anträge zur vorläufigen Vollstreckbarkeit</w:t>
        </w:r>
      </w:hyperlink>
    </w:p>
    <w:p>
      <w:pPr>
        <w:pStyle w:val="Übersicht"/>
        <w:ind w:left="680"/>
      </w:pPr>
      <w:hyperlink w:anchor="b713" w:history="1">
        <w:r>
          <w:rPr>
            <w:color w:val="0A3A8C"/>
            <w:u w:val="single"/>
          </w:rPr>
          <w:t xml:space="preserve">§ 715 Rückgabe der Sicherheit</w:t>
        </w:r>
      </w:hyperlink>
    </w:p>
    <w:p>
      <w:pPr>
        <w:pStyle w:val="Übersicht"/>
        <w:ind w:left="680"/>
      </w:pPr>
      <w:hyperlink w:anchor="b714" w:history="1">
        <w:r>
          <w:rPr>
            <w:color w:val="0A3A8C"/>
            <w:u w:val="single"/>
          </w:rPr>
          <w:t xml:space="preserve">§ 716 Ergänzung des Urteils</w:t>
        </w:r>
      </w:hyperlink>
    </w:p>
    <w:p>
      <w:pPr>
        <w:pStyle w:val="Übersicht"/>
        <w:ind w:left="680"/>
      </w:pPr>
      <w:hyperlink w:anchor="b715" w:history="1">
        <w:r>
          <w:rPr>
            <w:color w:val="0A3A8C"/>
            <w:u w:val="single"/>
          </w:rPr>
          <w:t xml:space="preserve">§ 717 Wirkungen eines aufhebenden oder abändernden Urteils</w:t>
        </w:r>
      </w:hyperlink>
    </w:p>
    <w:p>
      <w:pPr>
        <w:pStyle w:val="Übersicht"/>
        <w:ind w:left="680"/>
      </w:pPr>
      <w:hyperlink w:anchor="b716" w:history="1">
        <w:r>
          <w:rPr>
            <w:color w:val="0A3A8C"/>
            <w:u w:val="single"/>
          </w:rPr>
          <w:t xml:space="preserve">§ 718 Vorabentscheidung über vorläufige Vollstreckbarkeit</w:t>
        </w:r>
      </w:hyperlink>
    </w:p>
    <w:p>
      <w:pPr>
        <w:pStyle w:val="Übersicht"/>
        <w:ind w:left="680"/>
      </w:pPr>
      <w:hyperlink w:anchor="b717" w:history="1">
        <w:r>
          <w:rPr>
            <w:color w:val="0A3A8C"/>
            <w:u w:val="single"/>
          </w:rPr>
          <w:t xml:space="preserve">§ 719 Einstweilige Einstellung bei Rechtsmittel und Einspruch</w:t>
        </w:r>
      </w:hyperlink>
    </w:p>
    <w:p>
      <w:pPr>
        <w:pStyle w:val="Übersicht"/>
        <w:ind w:left="680"/>
      </w:pPr>
      <w:hyperlink w:anchor="b718" w:history="1">
        <w:r>
          <w:rPr>
            <w:color w:val="0A3A8C"/>
            <w:u w:val="single"/>
          </w:rPr>
          <w:t xml:space="preserve">§ 720 Hinterlegung bei Abwendung der Vollstreckung</w:t>
        </w:r>
      </w:hyperlink>
    </w:p>
    <w:p>
      <w:pPr>
        <w:pStyle w:val="Übersicht"/>
        <w:ind w:left="680"/>
      </w:pPr>
      <w:hyperlink w:anchor="b719" w:history="1">
        <w:r>
          <w:rPr>
            <w:color w:val="0A3A8C"/>
            <w:u w:val="single"/>
          </w:rPr>
          <w:t xml:space="preserve">§ 720a Sicherungsvollstreckung</w:t>
        </w:r>
      </w:hyperlink>
    </w:p>
    <w:p>
      <w:pPr>
        <w:pStyle w:val="Übersicht"/>
        <w:ind w:left="680"/>
      </w:pPr>
      <w:hyperlink w:anchor="b720" w:history="1">
        <w:r>
          <w:rPr>
            <w:color w:val="0A3A8C"/>
            <w:u w:val="single"/>
          </w:rPr>
          <w:t xml:space="preserve">§ 721 Räumungsfrist</w:t>
        </w:r>
      </w:hyperlink>
    </w:p>
    <w:p>
      <w:pPr>
        <w:pStyle w:val="Übersicht"/>
        <w:ind w:left="680"/>
      </w:pPr>
      <w:hyperlink w:anchor="b721" w:history="1">
        <w:r>
          <w:rPr>
            <w:color w:val="0A3A8C"/>
            <w:u w:val="single"/>
          </w:rPr>
          <w:t xml:space="preserve">§ 722 Vollstreckbarkeit ausländischer Urteile; Verordnungsermächtigung</w:t>
        </w:r>
      </w:hyperlink>
    </w:p>
    <w:p>
      <w:pPr>
        <w:pStyle w:val="Übersicht"/>
        <w:ind w:left="680"/>
      </w:pPr>
      <w:hyperlink w:anchor="b722" w:history="1">
        <w:r>
          <w:rPr>
            <w:color w:val="0A3A8C"/>
            <w:u w:val="single"/>
          </w:rPr>
          <w:t xml:space="preserve">§ 723 Vollstreckungsurteil</w:t>
        </w:r>
      </w:hyperlink>
    </w:p>
    <w:p>
      <w:pPr>
        <w:pStyle w:val="Übersicht"/>
        <w:ind w:left="680"/>
      </w:pPr>
      <w:hyperlink w:anchor="b723" w:history="1">
        <w:r>
          <w:rPr>
            <w:color w:val="0A3A8C"/>
            <w:u w:val="single"/>
          </w:rPr>
          <w:t xml:space="preserve">§ 724 Vollstreckbare Ausfertigung</w:t>
        </w:r>
      </w:hyperlink>
    </w:p>
    <w:p>
      <w:pPr>
        <w:pStyle w:val="Übersicht"/>
        <w:ind w:left="680"/>
      </w:pPr>
      <w:hyperlink w:anchor="b724" w:history="1">
        <w:r>
          <w:rPr>
            <w:color w:val="0A3A8C"/>
            <w:u w:val="single"/>
          </w:rPr>
          <w:t xml:space="preserve">§ 725 Vollstreckungsklausel</w:t>
        </w:r>
      </w:hyperlink>
    </w:p>
    <w:p>
      <w:pPr>
        <w:pStyle w:val="Übersicht"/>
        <w:ind w:left="680"/>
      </w:pPr>
      <w:hyperlink w:anchor="b725" w:history="1">
        <w:r>
          <w:rPr>
            <w:color w:val="0A3A8C"/>
            <w:u w:val="single"/>
          </w:rPr>
          <w:t xml:space="preserve">§ 726 Vollstreckbare Ausfertigung bei bedingten Leistungen</w:t>
        </w:r>
      </w:hyperlink>
    </w:p>
    <w:p>
      <w:pPr>
        <w:pStyle w:val="Übersicht"/>
        <w:ind w:left="680"/>
      </w:pPr>
      <w:hyperlink w:anchor="b726" w:history="1">
        <w:r>
          <w:rPr>
            <w:color w:val="0A3A8C"/>
            <w:u w:val="single"/>
          </w:rPr>
          <w:t xml:space="preserve">§ 727 Vollstreckbare Ausfertigung für und gegen Rechtsnachfolger</w:t>
        </w:r>
      </w:hyperlink>
    </w:p>
    <w:p>
      <w:pPr>
        <w:pStyle w:val="Übersicht"/>
        <w:ind w:left="680"/>
      </w:pPr>
      <w:hyperlink w:anchor="b727" w:history="1">
        <w:r>
          <w:rPr>
            <w:color w:val="0A3A8C"/>
            <w:u w:val="single"/>
          </w:rPr>
          <w:t xml:space="preserve">§ 728 Vollstreckbare Ausfertigung bei Nacherbe oder Testamentsvollstrecker</w:t>
        </w:r>
      </w:hyperlink>
    </w:p>
    <w:p>
      <w:pPr>
        <w:pStyle w:val="Übersicht"/>
        <w:ind w:left="680"/>
      </w:pPr>
      <w:hyperlink w:anchor="b728" w:history="1">
        <w:r>
          <w:rPr>
            <w:color w:val="0A3A8C"/>
            <w:u w:val="single"/>
          </w:rPr>
          <w:t xml:space="preserve">§ 729 Vollstreckbare Ausfertigung gegen Vermögens- und Firmenübernehmer</w:t>
        </w:r>
      </w:hyperlink>
    </w:p>
    <w:p>
      <w:pPr>
        <w:pStyle w:val="Übersicht"/>
        <w:ind w:left="680"/>
      </w:pPr>
      <w:hyperlink w:anchor="b729" w:history="1">
        <w:r>
          <w:rPr>
            <w:color w:val="0A3A8C"/>
            <w:u w:val="single"/>
          </w:rPr>
          <w:t xml:space="preserve">§ 730 Anhörung des Schuldners</w:t>
        </w:r>
      </w:hyperlink>
    </w:p>
    <w:p>
      <w:pPr>
        <w:pStyle w:val="Übersicht"/>
        <w:ind w:left="680"/>
      </w:pPr>
      <w:hyperlink w:anchor="b730" w:history="1">
        <w:r>
          <w:rPr>
            <w:color w:val="0A3A8C"/>
            <w:u w:val="single"/>
          </w:rPr>
          <w:t xml:space="preserve">§ 731 Klage auf Erteilung der Vollstreckungsklausel</w:t>
        </w:r>
      </w:hyperlink>
    </w:p>
    <w:p>
      <w:pPr>
        <w:pStyle w:val="Übersicht"/>
        <w:ind w:left="680"/>
      </w:pPr>
      <w:hyperlink w:anchor="b731" w:history="1">
        <w:r>
          <w:rPr>
            <w:color w:val="0A3A8C"/>
            <w:u w:val="single"/>
          </w:rPr>
          <w:t xml:space="preserve">§ 732 Erinnerung gegen Erteilung der Vollstreckungsklausel</w:t>
        </w:r>
      </w:hyperlink>
    </w:p>
    <w:p>
      <w:pPr>
        <w:pStyle w:val="Übersicht"/>
        <w:ind w:left="680"/>
      </w:pPr>
      <w:hyperlink w:anchor="b732" w:history="1">
        <w:r>
          <w:rPr>
            <w:color w:val="0A3A8C"/>
            <w:u w:val="single"/>
          </w:rPr>
          <w:t xml:space="preserve">§ 733 Weitere vollstreckbare Ausfertigung</w:t>
        </w:r>
      </w:hyperlink>
    </w:p>
    <w:p>
      <w:pPr>
        <w:pStyle w:val="Übersicht"/>
        <w:ind w:left="680"/>
      </w:pPr>
      <w:hyperlink w:anchor="b733" w:history="1">
        <w:r>
          <w:rPr>
            <w:color w:val="0A3A8C"/>
            <w:u w:val="single"/>
          </w:rPr>
          <w:t xml:space="preserve">§ 734 Vermerk über Ausfertigungserteilung auf der Urteilsurschrift</w:t>
        </w:r>
      </w:hyperlink>
    </w:p>
    <w:p>
      <w:pPr>
        <w:pStyle w:val="Übersicht"/>
        <w:ind w:left="680"/>
      </w:pPr>
      <w:hyperlink w:anchor="b734" w:history="1">
        <w:r>
          <w:rPr>
            <w:color w:val="0A3A8C"/>
            <w:u w:val="single"/>
          </w:rPr>
          <w:t xml:space="preserve">§ 735 (weggefallen)</w:t>
        </w:r>
      </w:hyperlink>
    </w:p>
    <w:p>
      <w:pPr>
        <w:pStyle w:val="Übersicht"/>
        <w:ind w:left="680"/>
      </w:pPr>
      <w:hyperlink w:anchor="b735" w:history="1">
        <w:r>
          <w:rPr>
            <w:color w:val="0A3A8C"/>
            <w:u w:val="single"/>
          </w:rPr>
          <w:t xml:space="preserve">§ 736 Zwangsvollstreckung für oder gegen eine Gesellschaft bürgerlichen Rechts bei nachträglicher Eintragung im Gesellschaftsregister</w:t>
        </w:r>
      </w:hyperlink>
    </w:p>
    <w:p>
      <w:pPr>
        <w:pStyle w:val="Übersicht"/>
        <w:ind w:left="680"/>
      </w:pPr>
      <w:hyperlink w:anchor="b736" w:history="1">
        <w:r>
          <w:rPr>
            <w:color w:val="0A3A8C"/>
            <w:u w:val="single"/>
          </w:rPr>
          <w:t xml:space="preserve">§ 737 Zwangsvollstreckung bei Vermögens- oder Erbschaftsnießbrauch</w:t>
        </w:r>
      </w:hyperlink>
    </w:p>
    <w:p>
      <w:pPr>
        <w:pStyle w:val="Übersicht"/>
        <w:ind w:left="680"/>
      </w:pPr>
      <w:hyperlink w:anchor="b737" w:history="1">
        <w:r>
          <w:rPr>
            <w:color w:val="0A3A8C"/>
            <w:u w:val="single"/>
          </w:rPr>
          <w:t xml:space="preserve">§ 738 Vollstreckbare Ausfertigung gegen Nießbraucher</w:t>
        </w:r>
      </w:hyperlink>
    </w:p>
    <w:p>
      <w:pPr>
        <w:pStyle w:val="Übersicht"/>
        <w:ind w:left="680"/>
      </w:pPr>
      <w:hyperlink w:anchor="b738" w:history="1">
        <w:r>
          <w:rPr>
            <w:color w:val="0A3A8C"/>
            <w:u w:val="single"/>
          </w:rPr>
          <w:t xml:space="preserve">§ 739 Gewahrsamsvermutung bei Zwangsvollstreckung gegen Ehegatten und Lebenspartner</w:t>
        </w:r>
      </w:hyperlink>
    </w:p>
    <w:p>
      <w:pPr>
        <w:pStyle w:val="Übersicht"/>
        <w:ind w:left="680"/>
      </w:pPr>
      <w:hyperlink w:anchor="b739" w:history="1">
        <w:r>
          <w:rPr>
            <w:color w:val="0A3A8C"/>
            <w:u w:val="single"/>
          </w:rPr>
          <w:t xml:space="preserve">§ 740 Zwangsvollstreckung in das Gesamtgut</w:t>
        </w:r>
      </w:hyperlink>
    </w:p>
    <w:p>
      <w:pPr>
        <w:pStyle w:val="Übersicht"/>
        <w:ind w:left="680"/>
      </w:pPr>
      <w:hyperlink w:anchor="b740" w:history="1">
        <w:r>
          <w:rPr>
            <w:color w:val="0A3A8C"/>
            <w:u w:val="single"/>
          </w:rPr>
          <w:t xml:space="preserve">§ 741 Zwangsvollstreckung in das Gesamtgut bei Erwerbsgeschäft</w:t>
        </w:r>
      </w:hyperlink>
    </w:p>
    <w:p>
      <w:pPr>
        <w:pStyle w:val="Übersicht"/>
        <w:ind w:left="680"/>
      </w:pPr>
      <w:hyperlink w:anchor="b741" w:history="1">
        <w:r>
          <w:rPr>
            <w:color w:val="0A3A8C"/>
            <w:u w:val="single"/>
          </w:rPr>
          <w:t xml:space="preserve">§ 742 Vollstreckbare Ausfertigung bei Gütergemeinschaft während des Rechtsstreits</w:t>
        </w:r>
      </w:hyperlink>
    </w:p>
    <w:p>
      <w:pPr>
        <w:pStyle w:val="Übersicht"/>
        <w:ind w:left="680"/>
      </w:pPr>
      <w:hyperlink w:anchor="b742" w:history="1">
        <w:r>
          <w:rPr>
            <w:color w:val="0A3A8C"/>
            <w:u w:val="single"/>
          </w:rPr>
          <w:t xml:space="preserve">§ 743 Beendete Gütergemeinschaft</w:t>
        </w:r>
      </w:hyperlink>
    </w:p>
    <w:p>
      <w:pPr>
        <w:pStyle w:val="Übersicht"/>
        <w:ind w:left="680"/>
      </w:pPr>
      <w:hyperlink w:anchor="b743" w:history="1">
        <w:r>
          <w:rPr>
            <w:color w:val="0A3A8C"/>
            <w:u w:val="single"/>
          </w:rPr>
          <w:t xml:space="preserve">§ 744 Vollstreckbare Ausfertigung bei beendeter Gütergemeinschaft</w:t>
        </w:r>
      </w:hyperlink>
    </w:p>
    <w:p>
      <w:pPr>
        <w:pStyle w:val="Übersicht"/>
        <w:ind w:left="680"/>
      </w:pPr>
      <w:hyperlink w:anchor="b744" w:history="1">
        <w:r>
          <w:rPr>
            <w:color w:val="0A3A8C"/>
            <w:u w:val="single"/>
          </w:rPr>
          <w:t xml:space="preserve">§ 744a Zwangsvollstreckung bei Eigentums- und Vermögensgemeinschaft</w:t>
        </w:r>
      </w:hyperlink>
    </w:p>
    <w:p>
      <w:pPr>
        <w:pStyle w:val="Übersicht"/>
        <w:ind w:left="680"/>
      </w:pPr>
      <w:hyperlink w:anchor="b745" w:history="1">
        <w:r>
          <w:rPr>
            <w:color w:val="0A3A8C"/>
            <w:u w:val="single"/>
          </w:rPr>
          <w:t xml:space="preserve">§ 745 Zwangsvollstreckung bei fortgesetzter Gütergemeinschaft</w:t>
        </w:r>
      </w:hyperlink>
    </w:p>
    <w:p>
      <w:pPr>
        <w:pStyle w:val="Übersicht"/>
        <w:ind w:left="680"/>
      </w:pPr>
      <w:hyperlink w:anchor="b746" w:history="1">
        <w:r>
          <w:rPr>
            <w:color w:val="0A3A8C"/>
            <w:u w:val="single"/>
          </w:rPr>
          <w:t xml:space="preserve">§ 746</w:t>
        </w:r>
      </w:hyperlink>
    </w:p>
    <w:p>
      <w:pPr>
        <w:pStyle w:val="Übersicht"/>
        <w:ind w:left="680"/>
      </w:pPr>
      <w:hyperlink w:anchor="b747" w:history="1">
        <w:r>
          <w:rPr>
            <w:color w:val="0A3A8C"/>
            <w:u w:val="single"/>
          </w:rPr>
          <w:t xml:space="preserve">§ 747 Zwangsvollstreckung in ungeteilten Nachlass</w:t>
        </w:r>
      </w:hyperlink>
    </w:p>
    <w:p>
      <w:pPr>
        <w:pStyle w:val="Übersicht"/>
        <w:ind w:left="680"/>
      </w:pPr>
      <w:hyperlink w:anchor="b748" w:history="1">
        <w:r>
          <w:rPr>
            <w:color w:val="0A3A8C"/>
            <w:u w:val="single"/>
          </w:rPr>
          <w:t xml:space="preserve">§ 748 Zwangsvollstreckung bei Testamentsvollstrecker</w:t>
        </w:r>
      </w:hyperlink>
    </w:p>
    <w:p>
      <w:pPr>
        <w:pStyle w:val="Übersicht"/>
        <w:ind w:left="680"/>
      </w:pPr>
      <w:hyperlink w:anchor="b749" w:history="1">
        <w:r>
          <w:rPr>
            <w:color w:val="0A3A8C"/>
            <w:u w:val="single"/>
          </w:rPr>
          <w:t xml:space="preserve">§ 749 Vollstreckbare Ausfertigung für und gegen Testamentsvollstrecker</w:t>
        </w:r>
      </w:hyperlink>
    </w:p>
    <w:p>
      <w:pPr>
        <w:pStyle w:val="Übersicht"/>
        <w:ind w:left="680"/>
      </w:pPr>
      <w:hyperlink w:anchor="b750" w:history="1">
        <w:r>
          <w:rPr>
            <w:color w:val="0A3A8C"/>
            <w:u w:val="single"/>
          </w:rPr>
          <w:t xml:space="preserve">§ 750 Voraussetzungen der Zwangsvollstreckung</w:t>
        </w:r>
      </w:hyperlink>
    </w:p>
    <w:p>
      <w:pPr>
        <w:pStyle w:val="Übersicht"/>
        <w:ind w:left="680"/>
      </w:pPr>
      <w:hyperlink w:anchor="b751" w:history="1">
        <w:r>
          <w:rPr>
            <w:color w:val="0A3A8C"/>
            <w:u w:val="single"/>
          </w:rPr>
          <w:t xml:space="preserve">§ 751 Bedingungen für Vollstreckungsbeginn</w:t>
        </w:r>
      </w:hyperlink>
    </w:p>
    <w:p>
      <w:pPr>
        <w:pStyle w:val="Übersicht"/>
        <w:ind w:left="680"/>
      </w:pPr>
      <w:hyperlink w:anchor="b752" w:history="1">
        <w:r>
          <w:rPr>
            <w:color w:val="0A3A8C"/>
            <w:u w:val="single"/>
          </w:rPr>
          <w:t xml:space="preserve">§ 752 Sicherheitsleistung bei Teilvollstreckung</w:t>
        </w:r>
      </w:hyperlink>
    </w:p>
    <w:p>
      <w:pPr>
        <w:pStyle w:val="Übersicht"/>
        <w:ind w:left="680"/>
      </w:pPr>
      <w:hyperlink w:anchor="b753" w:history="1">
        <w:r>
          <w:rPr>
            <w:color w:val="0A3A8C"/>
            <w:u w:val="single"/>
          </w:rPr>
          <w:t xml:space="preserve">§ 752a Versicherung der Vollmacht für Prozesshandlungen in der Zwangsvollstreckung</w:t>
        </w:r>
      </w:hyperlink>
    </w:p>
    <w:p>
      <w:pPr>
        <w:pStyle w:val="Übersicht"/>
        <w:ind w:left="680"/>
      </w:pPr>
      <w:hyperlink w:anchor="b754" w:history="1">
        <w:r>
          <w:rPr>
            <w:color w:val="0A3A8C"/>
            <w:u w:val="single"/>
          </w:rPr>
          <w:t xml:space="preserve">§ 753 Vollstreckung durch Gerichtsvollzieher; elektronischer Rechtsverkehr; Verordnungsermächtigungen</w:t>
        </w:r>
      </w:hyperlink>
    </w:p>
    <w:p>
      <w:pPr>
        <w:pStyle w:val="Übersicht"/>
        <w:ind w:left="680"/>
      </w:pPr>
      <w:hyperlink w:anchor="b755" w:history="1">
        <w:r>
          <w:rPr>
            <w:color w:val="0A3A8C"/>
            <w:u w:val="single"/>
          </w:rPr>
          <w:t xml:space="preserve">§ 753a Versicherung der Geldempfangsvollmacht bei der Vollstreckung durch Gerichtsvollzieher</w:t>
        </w:r>
      </w:hyperlink>
    </w:p>
    <w:p>
      <w:pPr>
        <w:pStyle w:val="Übersicht"/>
        <w:ind w:left="680"/>
      </w:pPr>
      <w:hyperlink w:anchor="b756" w:history="1">
        <w:r>
          <w:rPr>
            <w:color w:val="0A3A8C"/>
            <w:u w:val="single"/>
          </w:rPr>
          <w:t xml:space="preserve">§ 754 Ermächtigung des Gerichtsvollziehers</w:t>
        </w:r>
      </w:hyperlink>
    </w:p>
    <w:p>
      <w:pPr>
        <w:pStyle w:val="Übersicht"/>
        <w:ind w:left="680"/>
      </w:pPr>
      <w:hyperlink w:anchor="b757" w:history="1">
        <w:r>
          <w:rPr>
            <w:color w:val="0A3A8C"/>
            <w:u w:val="single"/>
          </w:rPr>
          <w:t xml:space="preserve">§ 754a Elektronischer Vollstreckungsauftrag</w:t>
        </w:r>
      </w:hyperlink>
    </w:p>
    <w:p>
      <w:pPr>
        <w:pStyle w:val="Übersicht"/>
        <w:ind w:left="680"/>
      </w:pPr>
      <w:hyperlink w:anchor="b758" w:history="1">
        <w:r>
          <w:rPr>
            <w:color w:val="0A3A8C"/>
            <w:u w:val="single"/>
          </w:rPr>
          <w:t xml:space="preserve">§ 755 Ermittlung des Aufenthaltsorts des Schuldners</w:t>
        </w:r>
      </w:hyperlink>
    </w:p>
    <w:p>
      <w:pPr>
        <w:pStyle w:val="Übersicht"/>
        <w:ind w:left="680"/>
      </w:pPr>
      <w:hyperlink w:anchor="b759" w:history="1">
        <w:r>
          <w:rPr>
            <w:color w:val="0A3A8C"/>
            <w:u w:val="single"/>
          </w:rPr>
          <w:t xml:space="preserve">§ 756 Zwangsvollstreckung bei Leistung Zug um Zug</w:t>
        </w:r>
      </w:hyperlink>
    </w:p>
    <w:p>
      <w:pPr>
        <w:pStyle w:val="Übersicht"/>
        <w:ind w:left="680"/>
      </w:pPr>
      <w:hyperlink w:anchor="b760" w:history="1">
        <w:r>
          <w:rPr>
            <w:color w:val="0A3A8C"/>
            <w:u w:val="single"/>
          </w:rPr>
          <w:t xml:space="preserve">§ 757 Bestätigung empfangener Leistungen</w:t>
        </w:r>
      </w:hyperlink>
    </w:p>
    <w:p>
      <w:pPr>
        <w:pStyle w:val="Übersicht"/>
        <w:ind w:left="680"/>
      </w:pPr>
      <w:hyperlink w:anchor="b761" w:history="1">
        <w:r>
          <w:rPr>
            <w:color w:val="0A3A8C"/>
            <w:u w:val="single"/>
          </w:rPr>
          <w:t xml:space="preserve">§ 757a Auskunfts- und Unterstützungsersuchen</w:t>
        </w:r>
      </w:hyperlink>
    </w:p>
    <w:p>
      <w:pPr>
        <w:pStyle w:val="Übersicht"/>
        <w:ind w:left="680"/>
      </w:pPr>
      <w:hyperlink w:anchor="b762" w:history="1">
        <w:r>
          <w:rPr>
            <w:color w:val="0A3A8C"/>
            <w:u w:val="single"/>
          </w:rPr>
          <w:t xml:space="preserve">§ 758 Durchsuchung; Gewaltanwendung</w:t>
        </w:r>
      </w:hyperlink>
    </w:p>
    <w:p>
      <w:pPr>
        <w:pStyle w:val="Übersicht"/>
        <w:ind w:left="680"/>
      </w:pPr>
      <w:hyperlink w:anchor="b763" w:history="1">
        <w:r>
          <w:rPr>
            <w:color w:val="0A3A8C"/>
            <w:u w:val="single"/>
          </w:rPr>
          <w:t xml:space="preserve">§ 758a Richterliche Durchsuchungsanordnung; Vollstreckung zur Unzeit</w:t>
        </w:r>
      </w:hyperlink>
    </w:p>
    <w:p>
      <w:pPr>
        <w:pStyle w:val="Übersicht"/>
        <w:ind w:left="680"/>
      </w:pPr>
      <w:hyperlink w:anchor="b764" w:history="1">
        <w:r>
          <w:rPr>
            <w:color w:val="0A3A8C"/>
            <w:u w:val="single"/>
          </w:rPr>
          <w:t xml:space="preserve">§ 759 Zuziehung von Zeugen</w:t>
        </w:r>
      </w:hyperlink>
    </w:p>
    <w:p>
      <w:pPr>
        <w:pStyle w:val="Übersicht"/>
        <w:ind w:left="680"/>
      </w:pPr>
      <w:hyperlink w:anchor="b765" w:history="1">
        <w:r>
          <w:rPr>
            <w:color w:val="0A3A8C"/>
            <w:u w:val="single"/>
          </w:rPr>
          <w:t xml:space="preserve">§ 760 Akteneinsicht; Aktenabschrift</w:t>
        </w:r>
      </w:hyperlink>
    </w:p>
    <w:p>
      <w:pPr>
        <w:pStyle w:val="Übersicht"/>
        <w:ind w:left="680"/>
      </w:pPr>
      <w:hyperlink w:anchor="b766" w:history="1">
        <w:r>
          <w:rPr>
            <w:color w:val="0A3A8C"/>
            <w:u w:val="single"/>
          </w:rPr>
          <w:t xml:space="preserve">§ 761</w:t>
        </w:r>
      </w:hyperlink>
    </w:p>
    <w:p>
      <w:pPr>
        <w:pStyle w:val="Übersicht"/>
        <w:ind w:left="680"/>
      </w:pPr>
      <w:hyperlink w:anchor="b767" w:history="1">
        <w:r>
          <w:rPr>
            <w:color w:val="0A3A8C"/>
            <w:u w:val="single"/>
          </w:rPr>
          <w:t xml:space="preserve">§ 762 Protokoll über Vollstreckungshandlungen</w:t>
        </w:r>
      </w:hyperlink>
    </w:p>
    <w:p>
      <w:pPr>
        <w:pStyle w:val="Übersicht"/>
        <w:ind w:left="680"/>
      </w:pPr>
      <w:hyperlink w:anchor="b768" w:history="1">
        <w:r>
          <w:rPr>
            <w:color w:val="0A3A8C"/>
            <w:u w:val="single"/>
          </w:rPr>
          <w:t xml:space="preserve">§ 763 Aufforderungen und Mitteilungen</w:t>
        </w:r>
      </w:hyperlink>
    </w:p>
    <w:p>
      <w:pPr>
        <w:pStyle w:val="Übersicht"/>
        <w:ind w:left="680"/>
      </w:pPr>
      <w:hyperlink w:anchor="b769" w:history="1">
        <w:r>
          <w:rPr>
            <w:color w:val="0A3A8C"/>
            <w:u w:val="single"/>
          </w:rPr>
          <w:t xml:space="preserve">§ 764 Vollstreckungsgericht</w:t>
        </w:r>
      </w:hyperlink>
    </w:p>
    <w:p>
      <w:pPr>
        <w:pStyle w:val="Übersicht"/>
        <w:ind w:left="680"/>
      </w:pPr>
      <w:hyperlink w:anchor="b770" w:history="1">
        <w:r>
          <w:rPr>
            <w:color w:val="0A3A8C"/>
            <w:u w:val="single"/>
          </w:rPr>
          <w:t xml:space="preserve">§ 765 Vollstreckungsgerichtliche Anordnungen bei Leistung Zug um Zug</w:t>
        </w:r>
      </w:hyperlink>
    </w:p>
    <w:p>
      <w:pPr>
        <w:pStyle w:val="Übersicht"/>
        <w:ind w:left="680"/>
      </w:pPr>
      <w:hyperlink w:anchor="b771" w:history="1">
        <w:r>
          <w:rPr>
            <w:color w:val="0A3A8C"/>
            <w:u w:val="single"/>
          </w:rPr>
          <w:t xml:space="preserve">§ 765a Vollstreckungsschutz</w:t>
        </w:r>
      </w:hyperlink>
    </w:p>
    <w:p>
      <w:pPr>
        <w:pStyle w:val="Übersicht"/>
        <w:ind w:left="680"/>
      </w:pPr>
      <w:hyperlink w:anchor="b772" w:history="1">
        <w:r>
          <w:rPr>
            <w:color w:val="0A3A8C"/>
            <w:u w:val="single"/>
          </w:rPr>
          <w:t xml:space="preserve">§ 766 Erinnerung gegen Art und Weise der Zwangsvollstreckung</w:t>
        </w:r>
      </w:hyperlink>
    </w:p>
    <w:p>
      <w:pPr>
        <w:pStyle w:val="Übersicht"/>
        <w:ind w:left="680"/>
      </w:pPr>
      <w:hyperlink w:anchor="b773" w:history="1">
        <w:r>
          <w:rPr>
            <w:color w:val="0A3A8C"/>
            <w:u w:val="single"/>
          </w:rPr>
          <w:t xml:space="preserve">§ 767 Vollstreckungsabwehrklage</w:t>
        </w:r>
      </w:hyperlink>
    </w:p>
    <w:p>
      <w:pPr>
        <w:pStyle w:val="Übersicht"/>
        <w:ind w:left="680"/>
      </w:pPr>
      <w:hyperlink w:anchor="b774" w:history="1">
        <w:r>
          <w:rPr>
            <w:color w:val="0A3A8C"/>
            <w:u w:val="single"/>
          </w:rPr>
          <w:t xml:space="preserve">§ 768 Klage gegen Vollstreckungsklausel</w:t>
        </w:r>
      </w:hyperlink>
    </w:p>
    <w:p>
      <w:pPr>
        <w:pStyle w:val="Übersicht"/>
        <w:ind w:left="680"/>
      </w:pPr>
      <w:hyperlink w:anchor="b775" w:history="1">
        <w:r>
          <w:rPr>
            <w:color w:val="0A3A8C"/>
            <w:u w:val="single"/>
          </w:rPr>
          <w:t xml:space="preserve">§ 769 Einstweilige Anordnungen</w:t>
        </w:r>
      </w:hyperlink>
    </w:p>
    <w:p>
      <w:pPr>
        <w:pStyle w:val="Übersicht"/>
        <w:ind w:left="680"/>
      </w:pPr>
      <w:hyperlink w:anchor="b776" w:history="1">
        <w:r>
          <w:rPr>
            <w:color w:val="0A3A8C"/>
            <w:u w:val="single"/>
          </w:rPr>
          <w:t xml:space="preserve">§ 770 Einstweilige Anordnungen im Urteil</w:t>
        </w:r>
      </w:hyperlink>
    </w:p>
    <w:p>
      <w:pPr>
        <w:pStyle w:val="Übersicht"/>
        <w:ind w:left="680"/>
      </w:pPr>
      <w:hyperlink w:anchor="b777" w:history="1">
        <w:r>
          <w:rPr>
            <w:color w:val="0A3A8C"/>
            <w:u w:val="single"/>
          </w:rPr>
          <w:t xml:space="preserve">§ 771 Drittwiderspruchsklage</w:t>
        </w:r>
      </w:hyperlink>
    </w:p>
    <w:p>
      <w:pPr>
        <w:pStyle w:val="Übersicht"/>
        <w:ind w:left="680"/>
      </w:pPr>
      <w:hyperlink w:anchor="b778" w:history="1">
        <w:r>
          <w:rPr>
            <w:color w:val="0A3A8C"/>
            <w:u w:val="single"/>
          </w:rPr>
          <w:t xml:space="preserve">§ 772 Drittwiderspruchsklage bei Veräußerungsverbot</w:t>
        </w:r>
      </w:hyperlink>
    </w:p>
    <w:p>
      <w:pPr>
        <w:pStyle w:val="Übersicht"/>
        <w:ind w:left="680"/>
      </w:pPr>
      <w:hyperlink w:anchor="b779" w:history="1">
        <w:r>
          <w:rPr>
            <w:color w:val="0A3A8C"/>
            <w:u w:val="single"/>
          </w:rPr>
          <w:t xml:space="preserve">§ 773 Drittwiderspruchsklage des Nacherben</w:t>
        </w:r>
      </w:hyperlink>
    </w:p>
    <w:p>
      <w:pPr>
        <w:pStyle w:val="Übersicht"/>
        <w:ind w:left="680"/>
      </w:pPr>
      <w:hyperlink w:anchor="b780" w:history="1">
        <w:r>
          <w:rPr>
            <w:color w:val="0A3A8C"/>
            <w:u w:val="single"/>
          </w:rPr>
          <w:t xml:space="preserve">§ 774 Drittwiderspruchsklage des Ehegatten oder Lebenspartners</w:t>
        </w:r>
      </w:hyperlink>
    </w:p>
    <w:p>
      <w:pPr>
        <w:pStyle w:val="Übersicht"/>
        <w:ind w:left="680"/>
      </w:pPr>
      <w:hyperlink w:anchor="b781" w:history="1">
        <w:r>
          <w:rPr>
            <w:color w:val="0A3A8C"/>
            <w:u w:val="single"/>
          </w:rPr>
          <w:t xml:space="preserve">§ 775 Einstellung oder Beschränkung der Zwangsvollstreckung</w:t>
        </w:r>
      </w:hyperlink>
    </w:p>
    <w:p>
      <w:pPr>
        <w:pStyle w:val="Übersicht"/>
        <w:ind w:left="680"/>
      </w:pPr>
      <w:hyperlink w:anchor="b782" w:history="1">
        <w:r>
          <w:rPr>
            <w:color w:val="0A3A8C"/>
            <w:u w:val="single"/>
          </w:rPr>
          <w:t xml:space="preserve">§ 776 Aufhebung von Vollstreckungsmaßregeln</w:t>
        </w:r>
      </w:hyperlink>
    </w:p>
    <w:p>
      <w:pPr>
        <w:pStyle w:val="Übersicht"/>
        <w:ind w:left="680"/>
      </w:pPr>
      <w:hyperlink w:anchor="b783" w:history="1">
        <w:r>
          <w:rPr>
            <w:color w:val="0A3A8C"/>
            <w:u w:val="single"/>
          </w:rPr>
          <w:t xml:space="preserve">§ 777 Erinnerung bei genügender Sicherung des Gläubigers</w:t>
        </w:r>
      </w:hyperlink>
    </w:p>
    <w:p>
      <w:pPr>
        <w:pStyle w:val="Übersicht"/>
        <w:ind w:left="680"/>
      </w:pPr>
      <w:hyperlink w:anchor="b784" w:history="1">
        <w:r>
          <w:rPr>
            <w:color w:val="0A3A8C"/>
            <w:u w:val="single"/>
          </w:rPr>
          <w:t xml:space="preserve">§ 778 Zwangsvollstreckung vor Erbschaftsannahme</w:t>
        </w:r>
      </w:hyperlink>
    </w:p>
    <w:p>
      <w:pPr>
        <w:pStyle w:val="Übersicht"/>
        <w:ind w:left="680"/>
      </w:pPr>
      <w:hyperlink w:anchor="b785" w:history="1">
        <w:r>
          <w:rPr>
            <w:color w:val="0A3A8C"/>
            <w:u w:val="single"/>
          </w:rPr>
          <w:t xml:space="preserve">§ 779 Fortsetzung der Zwangsvollstreckung nach dem Tod des Schuldners</w:t>
        </w:r>
      </w:hyperlink>
    </w:p>
    <w:p>
      <w:pPr>
        <w:pStyle w:val="Übersicht"/>
        <w:ind w:left="680"/>
      </w:pPr>
      <w:hyperlink w:anchor="b786" w:history="1">
        <w:r>
          <w:rPr>
            <w:color w:val="0A3A8C"/>
            <w:u w:val="single"/>
          </w:rPr>
          <w:t xml:space="preserve">§ 780 Vorbehalt der beschränkten Erbenhaftung</w:t>
        </w:r>
      </w:hyperlink>
    </w:p>
    <w:p>
      <w:pPr>
        <w:pStyle w:val="Übersicht"/>
        <w:ind w:left="680"/>
      </w:pPr>
      <w:hyperlink w:anchor="b787" w:history="1">
        <w:r>
          <w:rPr>
            <w:color w:val="0A3A8C"/>
            <w:u w:val="single"/>
          </w:rPr>
          <w:t xml:space="preserve">§ 781 Beschränkte Erbenhaftung in der Zwangsvollstreckung</w:t>
        </w:r>
      </w:hyperlink>
    </w:p>
    <w:p>
      <w:pPr>
        <w:pStyle w:val="Übersicht"/>
        <w:ind w:left="680"/>
      </w:pPr>
      <w:hyperlink w:anchor="b788" w:history="1">
        <w:r>
          <w:rPr>
            <w:color w:val="0A3A8C"/>
            <w:u w:val="single"/>
          </w:rPr>
          <w:t xml:space="preserve">§ 782 Einreden des Erben gegen Nachlassgläubiger</w:t>
        </w:r>
      </w:hyperlink>
    </w:p>
    <w:p>
      <w:pPr>
        <w:pStyle w:val="Übersicht"/>
        <w:ind w:left="680"/>
      </w:pPr>
      <w:hyperlink w:anchor="b789" w:history="1">
        <w:r>
          <w:rPr>
            <w:color w:val="0A3A8C"/>
            <w:u w:val="single"/>
          </w:rPr>
          <w:t xml:space="preserve">§ 783 Einreden des Erben gegen persönliche Gläubiger</w:t>
        </w:r>
      </w:hyperlink>
    </w:p>
    <w:p>
      <w:pPr>
        <w:pStyle w:val="Übersicht"/>
        <w:ind w:left="680"/>
      </w:pPr>
      <w:hyperlink w:anchor="b790" w:history="1">
        <w:r>
          <w:rPr>
            <w:color w:val="0A3A8C"/>
            <w:u w:val="single"/>
          </w:rPr>
          <w:t xml:space="preserve">§ 784 Zwangsvollstreckung bei Nachlassverwaltung und -insolvenzverfahren</w:t>
        </w:r>
      </w:hyperlink>
    </w:p>
    <w:p>
      <w:pPr>
        <w:pStyle w:val="Übersicht"/>
        <w:ind w:left="680"/>
      </w:pPr>
      <w:hyperlink w:anchor="b791" w:history="1">
        <w:r>
          <w:rPr>
            <w:color w:val="0A3A8C"/>
            <w:u w:val="single"/>
          </w:rPr>
          <w:t xml:space="preserve">§ 785 Vollstreckungsabwehrklage des Erben</w:t>
        </w:r>
      </w:hyperlink>
    </w:p>
    <w:p>
      <w:pPr>
        <w:pStyle w:val="Übersicht"/>
        <w:ind w:left="680"/>
      </w:pPr>
      <w:hyperlink w:anchor="b792" w:history="1">
        <w:r>
          <w:rPr>
            <w:color w:val="0A3A8C"/>
            <w:u w:val="single"/>
          </w:rPr>
          <w:t xml:space="preserve">§ 786 Vollstreckungsabwehrklage bei beschränkter Haftung</w:t>
        </w:r>
      </w:hyperlink>
    </w:p>
    <w:p>
      <w:pPr>
        <w:pStyle w:val="Übersicht"/>
        <w:ind w:left="680"/>
      </w:pPr>
      <w:hyperlink w:anchor="b793" w:history="1">
        <w:r>
          <w:rPr>
            <w:color w:val="0A3A8C"/>
            <w:u w:val="single"/>
          </w:rPr>
          <w:t xml:space="preserve">§ 786a See- und binnenschifffahrtsrechtliche Haftungsbeschränkung</w:t>
        </w:r>
      </w:hyperlink>
    </w:p>
    <w:p>
      <w:pPr>
        <w:pStyle w:val="Übersicht"/>
        <w:ind w:left="680"/>
      </w:pPr>
      <w:hyperlink w:anchor="b794" w:history="1">
        <w:r>
          <w:rPr>
            <w:color w:val="0A3A8C"/>
            <w:u w:val="single"/>
          </w:rPr>
          <w:t xml:space="preserve">§ 787 Zwangsvollstreckung bei herrenlosem Grundstück oder Schiff</w:t>
        </w:r>
      </w:hyperlink>
    </w:p>
    <w:p>
      <w:pPr>
        <w:pStyle w:val="Übersicht"/>
        <w:ind w:left="680"/>
      </w:pPr>
      <w:hyperlink w:anchor="b795" w:history="1">
        <w:r>
          <w:rPr>
            <w:color w:val="0A3A8C"/>
            <w:u w:val="single"/>
          </w:rPr>
          <w:t xml:space="preserve">§ 788 Kosten der Zwangsvollstreckung</w:t>
        </w:r>
      </w:hyperlink>
    </w:p>
    <w:p>
      <w:pPr>
        <w:pStyle w:val="Übersicht"/>
        <w:ind w:left="680"/>
      </w:pPr>
      <w:hyperlink w:anchor="b796" w:history="1">
        <w:r>
          <w:rPr>
            <w:color w:val="0A3A8C"/>
            <w:u w:val="single"/>
          </w:rPr>
          <w:t xml:space="preserve">§ 789 Einschreiten von Behörden</w:t>
        </w:r>
      </w:hyperlink>
    </w:p>
    <w:p>
      <w:pPr>
        <w:pStyle w:val="Übersicht"/>
        <w:ind w:left="680"/>
      </w:pPr>
      <w:hyperlink w:anchor="b797" w:history="1">
        <w:r>
          <w:rPr>
            <w:color w:val="0A3A8C"/>
            <w:u w:val="single"/>
          </w:rPr>
          <w:t xml:space="preserve">§ 790 (weggefallen)</w:t>
        </w:r>
      </w:hyperlink>
    </w:p>
    <w:p>
      <w:pPr>
        <w:pStyle w:val="Übersicht"/>
        <w:ind w:left="680"/>
      </w:pPr>
      <w:hyperlink w:anchor="b798" w:history="1">
        <w:r>
          <w:rPr>
            <w:color w:val="0A3A8C"/>
            <w:u w:val="single"/>
          </w:rPr>
          <w:t xml:space="preserve">§ 791</w:t>
        </w:r>
      </w:hyperlink>
    </w:p>
    <w:p>
      <w:pPr>
        <w:pStyle w:val="Übersicht"/>
        <w:ind w:left="680"/>
      </w:pPr>
      <w:hyperlink w:anchor="b799" w:history="1">
        <w:r>
          <w:rPr>
            <w:color w:val="0A3A8C"/>
            <w:u w:val="single"/>
          </w:rPr>
          <w:t xml:space="preserve">§ 792 Erteilung von Urkunden an Gläubiger</w:t>
        </w:r>
      </w:hyperlink>
    </w:p>
    <w:p>
      <w:pPr>
        <w:pStyle w:val="Übersicht"/>
        <w:ind w:left="680"/>
      </w:pPr>
      <w:hyperlink w:anchor="b800" w:history="1">
        <w:r>
          <w:rPr>
            <w:color w:val="0A3A8C"/>
            <w:u w:val="single"/>
          </w:rPr>
          <w:t xml:space="preserve">§ 793 Sofortige Beschwerde</w:t>
        </w:r>
      </w:hyperlink>
    </w:p>
    <w:p>
      <w:pPr>
        <w:pStyle w:val="Übersicht"/>
        <w:ind w:left="680"/>
      </w:pPr>
      <w:hyperlink w:anchor="b801" w:history="1">
        <w:r>
          <w:rPr>
            <w:color w:val="0A3A8C"/>
            <w:u w:val="single"/>
          </w:rPr>
          <w:t xml:space="preserve">§ 794 Weitere Vollstreckungstitel</w:t>
        </w:r>
      </w:hyperlink>
    </w:p>
    <w:p>
      <w:pPr>
        <w:pStyle w:val="Übersicht"/>
        <w:ind w:left="680"/>
      </w:pPr>
      <w:hyperlink w:anchor="b802" w:history="1">
        <w:r>
          <w:rPr>
            <w:color w:val="0A3A8C"/>
            <w:u w:val="single"/>
          </w:rPr>
          <w:t xml:space="preserve">§ 794a Zwangsvollstreckung aus Räumungsvergleich</w:t>
        </w:r>
      </w:hyperlink>
    </w:p>
    <w:p>
      <w:pPr>
        <w:pStyle w:val="Übersicht"/>
        <w:ind w:left="680"/>
      </w:pPr>
      <w:hyperlink w:anchor="b803" w:history="1">
        <w:r>
          <w:rPr>
            <w:color w:val="0A3A8C"/>
            <w:u w:val="single"/>
          </w:rPr>
          <w:t xml:space="preserve">§ 795 Anwendung der allgemeinen Vorschriften auf die weiteren Vollstreckungstitel</w:t>
        </w:r>
      </w:hyperlink>
    </w:p>
    <w:p>
      <w:pPr>
        <w:pStyle w:val="Übersicht"/>
        <w:ind w:left="680"/>
      </w:pPr>
      <w:hyperlink w:anchor="b804" w:history="1">
        <w:r>
          <w:rPr>
            <w:color w:val="0A3A8C"/>
            <w:u w:val="single"/>
          </w:rPr>
          <w:t xml:space="preserve">§ 795a Zwangsvollstreckung aus Kostenfestsetzungsbeschluss</w:t>
        </w:r>
      </w:hyperlink>
    </w:p>
    <w:p>
      <w:pPr>
        <w:pStyle w:val="Übersicht"/>
        <w:ind w:left="680"/>
      </w:pPr>
      <w:hyperlink w:anchor="b805" w:history="1">
        <w:r>
          <w:rPr>
            <w:color w:val="0A3A8C"/>
            <w:u w:val="single"/>
          </w:rPr>
          <w:t xml:space="preserve">§ 795b Vollstreckbarerklärung des gerichtlichen Vergleichs</w:t>
        </w:r>
      </w:hyperlink>
    </w:p>
    <w:p>
      <w:pPr>
        <w:pStyle w:val="Übersicht"/>
        <w:ind w:left="680"/>
      </w:pPr>
      <w:hyperlink w:anchor="b806" w:history="1">
        <w:r>
          <w:rPr>
            <w:color w:val="0A3A8C"/>
            <w:u w:val="single"/>
          </w:rPr>
          <w:t xml:space="preserve">§ 796 Zwangsvollstreckung aus Vollstreckungsbescheiden</w:t>
        </w:r>
      </w:hyperlink>
    </w:p>
    <w:p>
      <w:pPr>
        <w:pStyle w:val="Übersicht"/>
        <w:ind w:left="680"/>
      </w:pPr>
      <w:hyperlink w:anchor="b807" w:history="1">
        <w:r>
          <w:rPr>
            <w:color w:val="0A3A8C"/>
            <w:u w:val="single"/>
          </w:rPr>
          <w:t xml:space="preserve">§ 796a Voraussetzungen für die Vollstreckbarerklärung des Anwaltsvergleichs</w:t>
        </w:r>
      </w:hyperlink>
    </w:p>
    <w:p>
      <w:pPr>
        <w:pStyle w:val="Übersicht"/>
        <w:ind w:left="680"/>
      </w:pPr>
      <w:hyperlink w:anchor="b808" w:history="1">
        <w:r>
          <w:rPr>
            <w:color w:val="0A3A8C"/>
            <w:u w:val="single"/>
          </w:rPr>
          <w:t xml:space="preserve">§ 796b Vollstreckbarerklärung durch das Prozessgericht</w:t>
        </w:r>
      </w:hyperlink>
    </w:p>
    <w:p>
      <w:pPr>
        <w:pStyle w:val="Übersicht"/>
        <w:ind w:left="680"/>
      </w:pPr>
      <w:hyperlink w:anchor="b809" w:history="1">
        <w:r>
          <w:rPr>
            <w:color w:val="0A3A8C"/>
            <w:u w:val="single"/>
          </w:rPr>
          <w:t xml:space="preserve">§ 796c Vollstreckbarerklärung durch einen Notar</w:t>
        </w:r>
      </w:hyperlink>
    </w:p>
    <w:p>
      <w:pPr>
        <w:pStyle w:val="Übersicht"/>
        <w:ind w:left="680"/>
      </w:pPr>
      <w:hyperlink w:anchor="b810" w:history="1">
        <w:r>
          <w:rPr>
            <w:color w:val="0A3A8C"/>
            <w:u w:val="single"/>
          </w:rPr>
          <w:t xml:space="preserve">§ 797 Verfahren bei vollstreckbaren Urkunden</w:t>
        </w:r>
      </w:hyperlink>
    </w:p>
    <w:p>
      <w:pPr>
        <w:pStyle w:val="Übersicht"/>
        <w:ind w:left="680"/>
      </w:pPr>
      <w:hyperlink w:anchor="b811" w:history="1">
        <w:r>
          <w:rPr>
            <w:color w:val="0A3A8C"/>
            <w:u w:val="single"/>
          </w:rPr>
          <w:t xml:space="preserve">§ 797a Verfahren bei Gütestellenvergleichen</w:t>
        </w:r>
      </w:hyperlink>
    </w:p>
    <w:p>
      <w:pPr>
        <w:pStyle w:val="Übersicht"/>
        <w:ind w:left="680"/>
      </w:pPr>
      <w:hyperlink w:anchor="b812" w:history="1">
        <w:r>
          <w:rPr>
            <w:color w:val="0A3A8C"/>
            <w:u w:val="single"/>
          </w:rPr>
          <w:t xml:space="preserve">§ 798 Wartefrist</w:t>
        </w:r>
      </w:hyperlink>
    </w:p>
    <w:p>
      <w:pPr>
        <w:pStyle w:val="Übersicht"/>
        <w:ind w:left="680"/>
      </w:pPr>
      <w:hyperlink w:anchor="b813" w:history="1">
        <w:r>
          <w:rPr>
            <w:color w:val="0A3A8C"/>
            <w:u w:val="single"/>
          </w:rPr>
          <w:t xml:space="preserve">§ 798a (weggefallen)</w:t>
        </w:r>
      </w:hyperlink>
    </w:p>
    <w:p>
      <w:pPr>
        <w:pStyle w:val="Übersicht"/>
        <w:ind w:left="680"/>
      </w:pPr>
      <w:hyperlink w:anchor="b814" w:history="1">
        <w:r>
          <w:rPr>
            <w:color w:val="0A3A8C"/>
            <w:u w:val="single"/>
          </w:rPr>
          <w:t xml:space="preserve">§ 799 Vollstreckbare Urkunde bei Rechtsnachfolge</w:t>
        </w:r>
      </w:hyperlink>
    </w:p>
    <w:p>
      <w:pPr>
        <w:pStyle w:val="Übersicht"/>
        <w:ind w:left="680"/>
      </w:pPr>
      <w:hyperlink w:anchor="b815" w:history="1">
        <w:r>
          <w:rPr>
            <w:color w:val="0A3A8C"/>
            <w:u w:val="single"/>
          </w:rPr>
          <w:t xml:space="preserve">§ 799a Schadensersatzpflicht bei derVollstreckung aus Urkunden durch andere Gläubiger</w:t>
        </w:r>
      </w:hyperlink>
    </w:p>
    <w:p>
      <w:pPr>
        <w:pStyle w:val="Übersicht"/>
        <w:ind w:left="680"/>
      </w:pPr>
      <w:hyperlink w:anchor="b816" w:history="1">
        <w:r>
          <w:rPr>
            <w:color w:val="0A3A8C"/>
            <w:u w:val="single"/>
          </w:rPr>
          <w:t xml:space="preserve">§ 800 Vollstreckbare Urkunde gegen den jeweiligen Grundstückseigentümer</w:t>
        </w:r>
      </w:hyperlink>
    </w:p>
    <w:p>
      <w:pPr>
        <w:pStyle w:val="Übersicht"/>
        <w:ind w:left="680"/>
      </w:pPr>
      <w:hyperlink w:anchor="b817" w:history="1">
        <w:r>
          <w:rPr>
            <w:color w:val="0A3A8C"/>
            <w:u w:val="single"/>
          </w:rPr>
          <w:t xml:space="preserve">§ 800a Vollstreckbare Urkunde bei Schiffshypothek</w:t>
        </w:r>
      </w:hyperlink>
    </w:p>
    <w:p>
      <w:pPr>
        <w:pStyle w:val="Übersicht"/>
        <w:ind w:left="680"/>
      </w:pPr>
      <w:hyperlink w:anchor="b818" w:history="1">
        <w:r>
          <w:rPr>
            <w:color w:val="0A3A8C"/>
            <w:u w:val="single"/>
          </w:rPr>
          <w:t xml:space="preserve">§ 801 Landesrechtliche Vollstreckungstitel</w:t>
        </w:r>
      </w:hyperlink>
    </w:p>
    <w:p>
      <w:pPr>
        <w:pStyle w:val="Übersicht"/>
        <w:ind w:left="680"/>
      </w:pPr>
      <w:hyperlink w:anchor="b819" w:history="1">
        <w:r>
          <w:rPr>
            <w:color w:val="0A3A8C"/>
            <w:u w:val="single"/>
          </w:rPr>
          <w:t xml:space="preserve">§ 802 Ausschließlichkeit der Gerichtsstände</w:t>
        </w:r>
      </w:hyperlink>
    </w:p>
    <w:p>
      <w:pPr>
        <w:pStyle w:val="Übersicht"/>
        <w:ind w:left="340"/>
      </w:pPr>
      <w:hyperlink w:anchor="b820" w:history="1">
        <w:r>
          <w:rPr>
            <w:b/>
            <w:color w:val="0A3A8C"/>
            <w:u w:val="single"/>
          </w:rPr>
          <w:t xml:space="preserve">Abschnitt 2 Zwangsvollstreckung wegen Geldforderungen</w:t>
        </w:r>
      </w:hyperlink>
    </w:p>
    <w:p>
      <w:pPr>
        <w:pStyle w:val="Übersicht"/>
        <w:ind w:left="680"/>
      </w:pPr>
      <w:hyperlink w:anchor="b821" w:history="1">
        <w:r>
          <w:rPr>
            <w:b/>
            <w:color w:val="0A3A8C"/>
            <w:u w:val="single"/>
          </w:rPr>
          <w:t xml:space="preserve">Titel 1 Allgemeine Vorschriften</w:t>
        </w:r>
      </w:hyperlink>
    </w:p>
    <w:p>
      <w:pPr>
        <w:pStyle w:val="Übersicht"/>
        <w:ind w:left="1020"/>
      </w:pPr>
      <w:hyperlink w:anchor="b822" w:history="1">
        <w:r>
          <w:rPr>
            <w:color w:val="0A3A8C"/>
            <w:u w:val="single"/>
          </w:rPr>
          <w:t xml:space="preserve">§ 802a Grundsätze der Vollstreckung; Regelbefugnisse des Gerichtsvollziehers</w:t>
        </w:r>
      </w:hyperlink>
    </w:p>
    <w:p>
      <w:pPr>
        <w:pStyle w:val="Übersicht"/>
        <w:ind w:left="1020"/>
      </w:pPr>
      <w:hyperlink w:anchor="b823" w:history="1">
        <w:r>
          <w:rPr>
            <w:color w:val="0A3A8C"/>
            <w:u w:val="single"/>
          </w:rPr>
          <w:t xml:space="preserve">§ 802b Gütliche Erledigung; Vollstreckungsaufschub bei Zahlungsvereinbarung</w:t>
        </w:r>
      </w:hyperlink>
    </w:p>
    <w:p>
      <w:pPr>
        <w:pStyle w:val="Übersicht"/>
        <w:ind w:left="1020"/>
      </w:pPr>
      <w:hyperlink w:anchor="b824" w:history="1">
        <w:r>
          <w:rPr>
            <w:color w:val="0A3A8C"/>
            <w:u w:val="single"/>
          </w:rPr>
          <w:t xml:space="preserve">§ 802c Vermögensauskunft des Schuldners</w:t>
        </w:r>
      </w:hyperlink>
    </w:p>
    <w:p>
      <w:pPr>
        <w:pStyle w:val="Übersicht"/>
        <w:ind w:left="1020"/>
      </w:pPr>
      <w:hyperlink w:anchor="b825" w:history="1">
        <w:r>
          <w:rPr>
            <w:color w:val="0A3A8C"/>
            <w:u w:val="single"/>
          </w:rPr>
          <w:t xml:space="preserve">§ 802d Weitere Vermögensauskunft</w:t>
        </w:r>
      </w:hyperlink>
    </w:p>
    <w:p>
      <w:pPr>
        <w:pStyle w:val="Übersicht"/>
        <w:ind w:left="1020"/>
      </w:pPr>
      <w:hyperlink w:anchor="b826" w:history="1">
        <w:r>
          <w:rPr>
            <w:color w:val="0A3A8C"/>
            <w:u w:val="single"/>
          </w:rPr>
          <w:t xml:space="preserve">§ 802e Zuständigkeit</w:t>
        </w:r>
      </w:hyperlink>
    </w:p>
    <w:p>
      <w:pPr>
        <w:pStyle w:val="Übersicht"/>
        <w:ind w:left="1020"/>
      </w:pPr>
      <w:hyperlink w:anchor="b827" w:history="1">
        <w:r>
          <w:rPr>
            <w:color w:val="0A3A8C"/>
            <w:u w:val="single"/>
          </w:rPr>
          <w:t xml:space="preserve">§ 802f Abnahme der Vermögensauskunft</w:t>
        </w:r>
      </w:hyperlink>
    </w:p>
    <w:p>
      <w:pPr>
        <w:pStyle w:val="Übersicht"/>
        <w:ind w:left="1020"/>
      </w:pPr>
      <w:hyperlink w:anchor="b828" w:history="1">
        <w:r>
          <w:rPr>
            <w:color w:val="0A3A8C"/>
            <w:u w:val="single"/>
          </w:rPr>
          <w:t xml:space="preserve">§ 802g Erzwingungshaft</w:t>
        </w:r>
      </w:hyperlink>
    </w:p>
    <w:p>
      <w:pPr>
        <w:pStyle w:val="Übersicht"/>
        <w:ind w:left="1020"/>
      </w:pPr>
      <w:hyperlink w:anchor="b829" w:history="1">
        <w:r>
          <w:rPr>
            <w:color w:val="0A3A8C"/>
            <w:u w:val="single"/>
          </w:rPr>
          <w:t xml:space="preserve">§ 802h Unzulässigkeit der Haftvollstreckung</w:t>
        </w:r>
      </w:hyperlink>
    </w:p>
    <w:p>
      <w:pPr>
        <w:pStyle w:val="Übersicht"/>
        <w:ind w:left="1020"/>
      </w:pPr>
      <w:hyperlink w:anchor="b830" w:history="1">
        <w:r>
          <w:rPr>
            <w:color w:val="0A3A8C"/>
            <w:u w:val="single"/>
          </w:rPr>
          <w:t xml:space="preserve">§ 802i Vermögensauskunft des verhafteten Schuldners</w:t>
        </w:r>
      </w:hyperlink>
    </w:p>
    <w:p>
      <w:pPr>
        <w:pStyle w:val="Übersicht"/>
        <w:ind w:left="1020"/>
      </w:pPr>
      <w:hyperlink w:anchor="b831" w:history="1">
        <w:r>
          <w:rPr>
            <w:color w:val="0A3A8C"/>
            <w:u w:val="single"/>
          </w:rPr>
          <w:t xml:space="preserve">§ 802j Dauer der Haft; erneute Haft</w:t>
        </w:r>
      </w:hyperlink>
    </w:p>
    <w:p>
      <w:pPr>
        <w:pStyle w:val="Übersicht"/>
        <w:ind w:left="1020"/>
      </w:pPr>
      <w:hyperlink w:anchor="b832" w:history="1">
        <w:r>
          <w:rPr>
            <w:color w:val="0A3A8C"/>
            <w:u w:val="single"/>
          </w:rPr>
          <w:t xml:space="preserve">§ 802k Zentrale Verwaltung der Vermögensverzeichnisse</w:t>
        </w:r>
      </w:hyperlink>
    </w:p>
    <w:p>
      <w:pPr>
        <w:pStyle w:val="Übersicht"/>
        <w:ind w:left="1020"/>
      </w:pPr>
      <w:hyperlink w:anchor="b833" w:history="1">
        <w:r>
          <w:rPr>
            <w:color w:val="0A3A8C"/>
            <w:u w:val="single"/>
          </w:rPr>
          <w:t xml:space="preserve">§ 802l Auskunftsrechte des Gerichtsvollziehers</w:t>
        </w:r>
      </w:hyperlink>
    </w:p>
    <w:p>
      <w:pPr>
        <w:pStyle w:val="Übersicht"/>
        <w:ind w:left="680"/>
      </w:pPr>
      <w:hyperlink w:anchor="b834" w:history="1">
        <w:r>
          <w:rPr>
            <w:b/>
            <w:color w:val="0A3A8C"/>
            <w:u w:val="single"/>
          </w:rPr>
          <w:t xml:space="preserve">Titel 2 Zwangsvollstreckung in das bewegliche Vermögen</w:t>
        </w:r>
      </w:hyperlink>
    </w:p>
    <w:p>
      <w:pPr>
        <w:pStyle w:val="Übersicht"/>
        <w:ind w:left="1020"/>
      </w:pPr>
      <w:hyperlink w:anchor="b835" w:history="1">
        <w:r>
          <w:rPr>
            <w:b/>
            <w:color w:val="0A3A8C"/>
            <w:u w:val="single"/>
          </w:rPr>
          <w:t xml:space="preserve">Untertitel 1 Allgemeine Vorschriften</w:t>
        </w:r>
      </w:hyperlink>
    </w:p>
    <w:p>
      <w:pPr>
        <w:pStyle w:val="Übersicht"/>
        <w:ind w:left="1361"/>
      </w:pPr>
      <w:hyperlink w:anchor="b836" w:history="1">
        <w:r>
          <w:rPr>
            <w:color w:val="0A3A8C"/>
            <w:u w:val="single"/>
          </w:rPr>
          <w:t xml:space="preserve">§ 803 Pfändung</w:t>
        </w:r>
      </w:hyperlink>
    </w:p>
    <w:p>
      <w:pPr>
        <w:pStyle w:val="Übersicht"/>
        <w:ind w:left="1361"/>
      </w:pPr>
      <w:hyperlink w:anchor="b837" w:history="1">
        <w:r>
          <w:rPr>
            <w:color w:val="0A3A8C"/>
            <w:u w:val="single"/>
          </w:rPr>
          <w:t xml:space="preserve">§ 804 Pfändungspfandrecht</w:t>
        </w:r>
      </w:hyperlink>
    </w:p>
    <w:p>
      <w:pPr>
        <w:pStyle w:val="Übersicht"/>
        <w:ind w:left="1361"/>
      </w:pPr>
      <w:hyperlink w:anchor="b838" w:history="1">
        <w:r>
          <w:rPr>
            <w:color w:val="0A3A8C"/>
            <w:u w:val="single"/>
          </w:rPr>
          <w:t xml:space="preserve">§ 805 Klage auf vorzugsweise Befriedigung</w:t>
        </w:r>
      </w:hyperlink>
    </w:p>
    <w:p>
      <w:pPr>
        <w:pStyle w:val="Übersicht"/>
        <w:ind w:left="1361"/>
      </w:pPr>
      <w:hyperlink w:anchor="b839" w:history="1">
        <w:r>
          <w:rPr>
            <w:color w:val="0A3A8C"/>
            <w:u w:val="single"/>
          </w:rPr>
          <w:t xml:space="preserve">§ 806 Keine Gewährleistung bei Pfandveräußerung</w:t>
        </w:r>
      </w:hyperlink>
    </w:p>
    <w:p>
      <w:pPr>
        <w:pStyle w:val="Übersicht"/>
        <w:ind w:left="1361"/>
      </w:pPr>
      <w:hyperlink w:anchor="b840" w:history="1">
        <w:r>
          <w:rPr>
            <w:color w:val="0A3A8C"/>
            <w:u w:val="single"/>
          </w:rPr>
          <w:t xml:space="preserve">§ 806a Mitteilungen und Befragung durch den Gerichtsvollzieher</w:t>
        </w:r>
      </w:hyperlink>
    </w:p>
    <w:p>
      <w:pPr>
        <w:pStyle w:val="Übersicht"/>
        <w:ind w:left="1361"/>
      </w:pPr>
      <w:hyperlink w:anchor="b841" w:history="1">
        <w:r>
          <w:rPr>
            <w:color w:val="0A3A8C"/>
            <w:u w:val="single"/>
          </w:rPr>
          <w:t xml:space="preserve">§ 806b (weggefallen)</w:t>
        </w:r>
      </w:hyperlink>
    </w:p>
    <w:p>
      <w:pPr>
        <w:pStyle w:val="Übersicht"/>
        <w:ind w:left="1361"/>
      </w:pPr>
      <w:hyperlink w:anchor="b842" w:history="1">
        <w:r>
          <w:rPr>
            <w:color w:val="0A3A8C"/>
            <w:u w:val="single"/>
          </w:rPr>
          <w:t xml:space="preserve">§ 807 Abnahme der Vermögensauskunft nach Pfändungsversuch</w:t>
        </w:r>
      </w:hyperlink>
    </w:p>
    <w:p>
      <w:pPr>
        <w:pStyle w:val="Übersicht"/>
        <w:ind w:left="1020"/>
      </w:pPr>
      <w:hyperlink w:anchor="b843" w:history="1">
        <w:r>
          <w:rPr>
            <w:b/>
            <w:color w:val="0A3A8C"/>
            <w:u w:val="single"/>
          </w:rPr>
          <w:t xml:space="preserve">Untertitel 2 Zwangsvollstreckung in körperliche Sachen</w:t>
        </w:r>
      </w:hyperlink>
    </w:p>
    <w:p>
      <w:pPr>
        <w:pStyle w:val="Übersicht"/>
        <w:ind w:left="1361"/>
      </w:pPr>
      <w:hyperlink w:anchor="b844" w:history="1">
        <w:r>
          <w:rPr>
            <w:color w:val="0A3A8C"/>
            <w:u w:val="single"/>
          </w:rPr>
          <w:t xml:space="preserve">§ 808 Pfändung beim Schuldner</w:t>
        </w:r>
      </w:hyperlink>
    </w:p>
    <w:p>
      <w:pPr>
        <w:pStyle w:val="Übersicht"/>
        <w:ind w:left="1361"/>
      </w:pPr>
      <w:hyperlink w:anchor="b845" w:history="1">
        <w:r>
          <w:rPr>
            <w:color w:val="0A3A8C"/>
            <w:u w:val="single"/>
          </w:rPr>
          <w:t xml:space="preserve">§ 809 Pfändung beim Gläubiger oder bei Dritten</w:t>
        </w:r>
      </w:hyperlink>
    </w:p>
    <w:p>
      <w:pPr>
        <w:pStyle w:val="Übersicht"/>
        <w:ind w:left="1361"/>
      </w:pPr>
      <w:hyperlink w:anchor="b846" w:history="1">
        <w:r>
          <w:rPr>
            <w:color w:val="0A3A8C"/>
            <w:u w:val="single"/>
          </w:rPr>
          <w:t xml:space="preserve">§ 810 Pfändung ungetrennter Früchte</w:t>
        </w:r>
      </w:hyperlink>
    </w:p>
    <w:p>
      <w:pPr>
        <w:pStyle w:val="Übersicht"/>
        <w:ind w:left="1361"/>
      </w:pPr>
      <w:hyperlink w:anchor="b847" w:history="1">
        <w:r>
          <w:rPr>
            <w:color w:val="0A3A8C"/>
            <w:u w:val="single"/>
          </w:rPr>
          <w:t xml:space="preserve">§ 811 Unpfändbare Sachen und Tiere</w:t>
        </w:r>
      </w:hyperlink>
    </w:p>
    <w:p>
      <w:pPr>
        <w:pStyle w:val="Übersicht"/>
        <w:ind w:left="1361"/>
      </w:pPr>
      <w:hyperlink w:anchor="b848" w:history="1">
        <w:r>
          <w:rPr>
            <w:color w:val="0A3A8C"/>
            <w:u w:val="single"/>
          </w:rPr>
          <w:t xml:space="preserve">§ 811a Austauschpfändung</w:t>
        </w:r>
      </w:hyperlink>
    </w:p>
    <w:p>
      <w:pPr>
        <w:pStyle w:val="Übersicht"/>
        <w:ind w:left="1361"/>
      </w:pPr>
      <w:hyperlink w:anchor="b849" w:history="1">
        <w:r>
          <w:rPr>
            <w:color w:val="0A3A8C"/>
            <w:u w:val="single"/>
          </w:rPr>
          <w:t xml:space="preserve">§ 811b Vorläufige Austauschpfändung</w:t>
        </w:r>
      </w:hyperlink>
    </w:p>
    <w:p>
      <w:pPr>
        <w:pStyle w:val="Übersicht"/>
        <w:ind w:left="1361"/>
      </w:pPr>
      <w:hyperlink w:anchor="b850" w:history="1">
        <w:r>
          <w:rPr>
            <w:color w:val="0A3A8C"/>
            <w:u w:val="single"/>
          </w:rPr>
          <w:t xml:space="preserve">§ 811c Vorwegpfändung</w:t>
        </w:r>
      </w:hyperlink>
    </w:p>
    <w:p>
      <w:pPr>
        <w:pStyle w:val="Übersicht"/>
        <w:ind w:left="1361"/>
      </w:pPr>
      <w:hyperlink w:anchor="b851" w:history="1">
        <w:r>
          <w:rPr>
            <w:color w:val="0A3A8C"/>
            <w:u w:val="single"/>
          </w:rPr>
          <w:t xml:space="preserve">§ 812 (weggefallen)</w:t>
        </w:r>
      </w:hyperlink>
    </w:p>
    <w:p>
      <w:pPr>
        <w:pStyle w:val="Übersicht"/>
        <w:ind w:left="1361"/>
      </w:pPr>
      <w:hyperlink w:anchor="b852" w:history="1">
        <w:r>
          <w:rPr>
            <w:color w:val="0A3A8C"/>
            <w:u w:val="single"/>
          </w:rPr>
          <w:t xml:space="preserve">§ 813 Schätzung</w:t>
        </w:r>
      </w:hyperlink>
    </w:p>
    <w:p>
      <w:pPr>
        <w:pStyle w:val="Übersicht"/>
        <w:ind w:left="1361"/>
      </w:pPr>
      <w:hyperlink w:anchor="b853" w:history="1">
        <w:r>
          <w:rPr>
            <w:color w:val="0A3A8C"/>
            <w:u w:val="single"/>
          </w:rPr>
          <w:t xml:space="preserve">§ 813a (weggefallen)</w:t>
        </w:r>
      </w:hyperlink>
    </w:p>
    <w:p>
      <w:pPr>
        <w:pStyle w:val="Übersicht"/>
        <w:ind w:left="1361"/>
      </w:pPr>
      <w:hyperlink w:anchor="b854" w:history="1">
        <w:r>
          <w:rPr>
            <w:color w:val="0A3A8C"/>
            <w:u w:val="single"/>
          </w:rPr>
          <w:t xml:space="preserve">§ 813b (weggefallen)</w:t>
        </w:r>
      </w:hyperlink>
    </w:p>
    <w:p>
      <w:pPr>
        <w:pStyle w:val="Übersicht"/>
        <w:ind w:left="1361"/>
      </w:pPr>
      <w:hyperlink w:anchor="b855" w:history="1">
        <w:r>
          <w:rPr>
            <w:color w:val="0A3A8C"/>
            <w:u w:val="single"/>
          </w:rPr>
          <w:t xml:space="preserve">§ 814 Öffentliche Versteigerung</w:t>
        </w:r>
      </w:hyperlink>
    </w:p>
    <w:p>
      <w:pPr>
        <w:pStyle w:val="Übersicht"/>
        <w:ind w:left="1361"/>
      </w:pPr>
      <w:hyperlink w:anchor="b856" w:history="1">
        <w:r>
          <w:rPr>
            <w:color w:val="0A3A8C"/>
            <w:u w:val="single"/>
          </w:rPr>
          <w:t xml:space="preserve">§ 815 Gepfändetes Geld</w:t>
        </w:r>
      </w:hyperlink>
    </w:p>
    <w:p>
      <w:pPr>
        <w:pStyle w:val="Übersicht"/>
        <w:ind w:left="1361"/>
      </w:pPr>
      <w:hyperlink w:anchor="b857" w:history="1">
        <w:r>
          <w:rPr>
            <w:color w:val="0A3A8C"/>
            <w:u w:val="single"/>
          </w:rPr>
          <w:t xml:space="preserve">§ 816 Zeit und Ort der Versteigerung</w:t>
        </w:r>
      </w:hyperlink>
    </w:p>
    <w:p>
      <w:pPr>
        <w:pStyle w:val="Übersicht"/>
        <w:ind w:left="1361"/>
      </w:pPr>
      <w:hyperlink w:anchor="b858" w:history="1">
        <w:r>
          <w:rPr>
            <w:color w:val="0A3A8C"/>
            <w:u w:val="single"/>
          </w:rPr>
          <w:t xml:space="preserve">§ 817 Zuschlag und Ablieferung</w:t>
        </w:r>
      </w:hyperlink>
    </w:p>
    <w:p>
      <w:pPr>
        <w:pStyle w:val="Übersicht"/>
        <w:ind w:left="1361"/>
      </w:pPr>
      <w:hyperlink w:anchor="b859" w:history="1">
        <w:r>
          <w:rPr>
            <w:color w:val="0A3A8C"/>
            <w:u w:val="single"/>
          </w:rPr>
          <w:t xml:space="preserve">§ 817a Mindestgebot</w:t>
        </w:r>
      </w:hyperlink>
    </w:p>
    <w:p>
      <w:pPr>
        <w:pStyle w:val="Übersicht"/>
        <w:ind w:left="1361"/>
      </w:pPr>
      <w:hyperlink w:anchor="b860" w:history="1">
        <w:r>
          <w:rPr>
            <w:color w:val="0A3A8C"/>
            <w:u w:val="single"/>
          </w:rPr>
          <w:t xml:space="preserve">§ 818 Einstellung der Versteigerung</w:t>
        </w:r>
      </w:hyperlink>
    </w:p>
    <w:p>
      <w:pPr>
        <w:pStyle w:val="Übersicht"/>
        <w:ind w:left="1361"/>
      </w:pPr>
      <w:hyperlink w:anchor="b861" w:history="1">
        <w:r>
          <w:rPr>
            <w:color w:val="0A3A8C"/>
            <w:u w:val="single"/>
          </w:rPr>
          <w:t xml:space="preserve">§ 819 Wirkung des Erlösempfanges</w:t>
        </w:r>
      </w:hyperlink>
    </w:p>
    <w:p>
      <w:pPr>
        <w:pStyle w:val="Übersicht"/>
        <w:ind w:left="1361"/>
      </w:pPr>
      <w:hyperlink w:anchor="b862" w:history="1">
        <w:r>
          <w:rPr>
            <w:color w:val="0A3A8C"/>
            <w:u w:val="single"/>
          </w:rPr>
          <w:t xml:space="preserve">§ 820</w:t>
        </w:r>
      </w:hyperlink>
    </w:p>
    <w:p>
      <w:pPr>
        <w:pStyle w:val="Übersicht"/>
        <w:ind w:left="1361"/>
      </w:pPr>
      <w:hyperlink w:anchor="b863" w:history="1">
        <w:r>
          <w:rPr>
            <w:color w:val="0A3A8C"/>
            <w:u w:val="single"/>
          </w:rPr>
          <w:t xml:space="preserve">§ 821 Verwertung von Wertpapieren</w:t>
        </w:r>
      </w:hyperlink>
    </w:p>
    <w:p>
      <w:pPr>
        <w:pStyle w:val="Übersicht"/>
        <w:ind w:left="1361"/>
      </w:pPr>
      <w:hyperlink w:anchor="b864" w:history="1">
        <w:r>
          <w:rPr>
            <w:color w:val="0A3A8C"/>
            <w:u w:val="single"/>
          </w:rPr>
          <w:t xml:space="preserve">§ 822 Umschreibung von Namenspapieren</w:t>
        </w:r>
      </w:hyperlink>
    </w:p>
    <w:p>
      <w:pPr>
        <w:pStyle w:val="Übersicht"/>
        <w:ind w:left="1361"/>
      </w:pPr>
      <w:hyperlink w:anchor="b865" w:history="1">
        <w:r>
          <w:rPr>
            <w:color w:val="0A3A8C"/>
            <w:u w:val="single"/>
          </w:rPr>
          <w:t xml:space="preserve">§ 823 Außer Kurs gesetzte Inhaberpapiere</w:t>
        </w:r>
      </w:hyperlink>
    </w:p>
    <w:p>
      <w:pPr>
        <w:pStyle w:val="Übersicht"/>
        <w:ind w:left="1361"/>
      </w:pPr>
      <w:hyperlink w:anchor="b866" w:history="1">
        <w:r>
          <w:rPr>
            <w:color w:val="0A3A8C"/>
            <w:u w:val="single"/>
          </w:rPr>
          <w:t xml:space="preserve">§ 824 Verwertung ungetrennter Früchte</w:t>
        </w:r>
      </w:hyperlink>
    </w:p>
    <w:p>
      <w:pPr>
        <w:pStyle w:val="Übersicht"/>
        <w:ind w:left="1361"/>
      </w:pPr>
      <w:hyperlink w:anchor="b867" w:history="1">
        <w:r>
          <w:rPr>
            <w:color w:val="0A3A8C"/>
            <w:u w:val="single"/>
          </w:rPr>
          <w:t xml:space="preserve">§ 825 Andere Verwertungsart</w:t>
        </w:r>
      </w:hyperlink>
    </w:p>
    <w:p>
      <w:pPr>
        <w:pStyle w:val="Übersicht"/>
        <w:ind w:left="1361"/>
      </w:pPr>
      <w:hyperlink w:anchor="b868" w:history="1">
        <w:r>
          <w:rPr>
            <w:color w:val="0A3A8C"/>
            <w:u w:val="single"/>
          </w:rPr>
          <w:t xml:space="preserve">§ 826 Anschlusspfändung</w:t>
        </w:r>
      </w:hyperlink>
    </w:p>
    <w:p>
      <w:pPr>
        <w:pStyle w:val="Übersicht"/>
        <w:ind w:left="1361"/>
      </w:pPr>
      <w:hyperlink w:anchor="b869" w:history="1">
        <w:r>
          <w:rPr>
            <w:color w:val="0A3A8C"/>
            <w:u w:val="single"/>
          </w:rPr>
          <w:t xml:space="preserve">§ 827 Verfahren bei mehrfacher Pfändung</w:t>
        </w:r>
      </w:hyperlink>
    </w:p>
    <w:p>
      <w:pPr>
        <w:pStyle w:val="Übersicht"/>
        <w:ind w:left="1020"/>
      </w:pPr>
      <w:hyperlink w:anchor="b870" w:history="1">
        <w:r>
          <w:rPr>
            <w:b/>
            <w:color w:val="0A3A8C"/>
            <w:u w:val="single"/>
          </w:rPr>
          <w:t xml:space="preserve">Untertitel 3 Zwangsvollstreckung in Forderungen und andere Vermögensrechte</w:t>
        </w:r>
      </w:hyperlink>
    </w:p>
    <w:p>
      <w:pPr>
        <w:pStyle w:val="Übersicht"/>
        <w:ind w:left="1361"/>
      </w:pPr>
      <w:hyperlink w:anchor="b871" w:history="1">
        <w:r>
          <w:rPr>
            <w:color w:val="0A3A8C"/>
            <w:u w:val="single"/>
          </w:rPr>
          <w:t xml:space="preserve">§ 828 Zuständigkeit des Vollstreckungsgerichts</w:t>
        </w:r>
      </w:hyperlink>
    </w:p>
    <w:p>
      <w:pPr>
        <w:pStyle w:val="Übersicht"/>
        <w:ind w:left="1361"/>
      </w:pPr>
      <w:hyperlink w:anchor="b872" w:history="1">
        <w:r>
          <w:rPr>
            <w:color w:val="0A3A8C"/>
            <w:u w:val="single"/>
          </w:rPr>
          <w:t xml:space="preserve">§ 829 Pfändung einer Geldforderung; Verordnungsermächtigung</w:t>
        </w:r>
      </w:hyperlink>
    </w:p>
    <w:p>
      <w:pPr>
        <w:pStyle w:val="Übersicht"/>
        <w:ind w:left="1361"/>
      </w:pPr>
      <w:hyperlink w:anchor="b873" w:history="1">
        <w:r>
          <w:rPr>
            <w:color w:val="0A3A8C"/>
            <w:u w:val="single"/>
          </w:rPr>
          <w:t xml:space="preserve">§ 829a Elektronischer Antrag auf Erlass eines Pfändungs- und Überweisungsbeschlusses</w:t>
        </w:r>
      </w:hyperlink>
    </w:p>
    <w:p>
      <w:pPr>
        <w:pStyle w:val="Übersicht"/>
        <w:ind w:left="1361"/>
      </w:pPr>
      <w:hyperlink w:anchor="b874" w:history="1">
        <w:r>
          <w:rPr>
            <w:color w:val="0A3A8C"/>
            <w:u w:val="single"/>
          </w:rPr>
          <w:t xml:space="preserve">§ 830 Pfändung einer Hypothekenforderung</w:t>
        </w:r>
      </w:hyperlink>
    </w:p>
    <w:p>
      <w:pPr>
        <w:pStyle w:val="Übersicht"/>
        <w:ind w:left="1361"/>
      </w:pPr>
      <w:hyperlink w:anchor="b875" w:history="1">
        <w:r>
          <w:rPr>
            <w:color w:val="0A3A8C"/>
            <w:u w:val="single"/>
          </w:rPr>
          <w:t xml:space="preserve">§ 830a Pfändung einer Schiffshypothekenforderung</w:t>
        </w:r>
      </w:hyperlink>
    </w:p>
    <w:p>
      <w:pPr>
        <w:pStyle w:val="Übersicht"/>
        <w:ind w:left="1361"/>
      </w:pPr>
      <w:hyperlink w:anchor="b876" w:history="1">
        <w:r>
          <w:rPr>
            <w:color w:val="0A3A8C"/>
            <w:u w:val="single"/>
          </w:rPr>
          <w:t xml:space="preserve">§ 831 Pfändung indossabler Papiere</w:t>
        </w:r>
      </w:hyperlink>
    </w:p>
    <w:p>
      <w:pPr>
        <w:pStyle w:val="Übersicht"/>
        <w:ind w:left="1361"/>
      </w:pPr>
      <w:hyperlink w:anchor="b877" w:history="1">
        <w:r>
          <w:rPr>
            <w:color w:val="0A3A8C"/>
            <w:u w:val="single"/>
          </w:rPr>
          <w:t xml:space="preserve">§ 832 Pfändungsumfang bei fortlaufenden Bezügen</w:t>
        </w:r>
      </w:hyperlink>
    </w:p>
    <w:p>
      <w:pPr>
        <w:pStyle w:val="Übersicht"/>
        <w:ind w:left="1361"/>
      </w:pPr>
      <w:hyperlink w:anchor="b878" w:history="1">
        <w:r>
          <w:rPr>
            <w:color w:val="0A3A8C"/>
            <w:u w:val="single"/>
          </w:rPr>
          <w:t xml:space="preserve">§ 833 Pfändungsumfang bei Arbeits- und Diensteinkommen</w:t>
        </w:r>
      </w:hyperlink>
    </w:p>
    <w:p>
      <w:pPr>
        <w:pStyle w:val="Übersicht"/>
        <w:ind w:left="1361"/>
      </w:pPr>
      <w:hyperlink w:anchor="b879" w:history="1">
        <w:r>
          <w:rPr>
            <w:color w:val="0A3A8C"/>
            <w:u w:val="single"/>
          </w:rPr>
          <w:t xml:space="preserve">§ 833a Pfändungsumfang bei Kontoguthaben</w:t>
        </w:r>
      </w:hyperlink>
    </w:p>
    <w:p>
      <w:pPr>
        <w:pStyle w:val="Übersicht"/>
        <w:ind w:left="1361"/>
      </w:pPr>
      <w:hyperlink w:anchor="b880" w:history="1">
        <w:r>
          <w:rPr>
            <w:color w:val="0A3A8C"/>
            <w:u w:val="single"/>
          </w:rPr>
          <w:t xml:space="preserve">§ 834 Keine Anhörung des Schuldners</w:t>
        </w:r>
      </w:hyperlink>
    </w:p>
    <w:p>
      <w:pPr>
        <w:pStyle w:val="Übersicht"/>
        <w:ind w:left="1361"/>
      </w:pPr>
      <w:hyperlink w:anchor="b881" w:history="1">
        <w:r>
          <w:rPr>
            <w:color w:val="0A3A8C"/>
            <w:u w:val="single"/>
          </w:rPr>
          <w:t xml:space="preserve">§ 835 Überweisung einer Geldforderung</w:t>
        </w:r>
      </w:hyperlink>
    </w:p>
    <w:p>
      <w:pPr>
        <w:pStyle w:val="Übersicht"/>
        <w:ind w:left="1361"/>
      </w:pPr>
      <w:hyperlink w:anchor="b882" w:history="1">
        <w:r>
          <w:rPr>
            <w:color w:val="0A3A8C"/>
            <w:u w:val="single"/>
          </w:rPr>
          <w:t xml:space="preserve">§ 836 Wirkung der Überweisung</w:t>
        </w:r>
      </w:hyperlink>
    </w:p>
    <w:p>
      <w:pPr>
        <w:pStyle w:val="Übersicht"/>
        <w:ind w:left="1361"/>
      </w:pPr>
      <w:hyperlink w:anchor="b883" w:history="1">
        <w:r>
          <w:rPr>
            <w:color w:val="0A3A8C"/>
            <w:u w:val="single"/>
          </w:rPr>
          <w:t xml:space="preserve">§ 837 Überweisung einer Hypothekenforderung</w:t>
        </w:r>
      </w:hyperlink>
    </w:p>
    <w:p>
      <w:pPr>
        <w:pStyle w:val="Übersicht"/>
        <w:ind w:left="1361"/>
      </w:pPr>
      <w:hyperlink w:anchor="b884" w:history="1">
        <w:r>
          <w:rPr>
            <w:color w:val="0A3A8C"/>
            <w:u w:val="single"/>
          </w:rPr>
          <w:t xml:space="preserve">§ 837a Überweisung einer Schiffshypothekenforderung</w:t>
        </w:r>
      </w:hyperlink>
    </w:p>
    <w:p>
      <w:pPr>
        <w:pStyle w:val="Übersicht"/>
        <w:ind w:left="1361"/>
      </w:pPr>
      <w:hyperlink w:anchor="b885" w:history="1">
        <w:r>
          <w:rPr>
            <w:color w:val="0A3A8C"/>
            <w:u w:val="single"/>
          </w:rPr>
          <w:t xml:space="preserve">§ 838 Einrede des Schuldners bei Faustpfand</w:t>
        </w:r>
      </w:hyperlink>
    </w:p>
    <w:p>
      <w:pPr>
        <w:pStyle w:val="Übersicht"/>
        <w:ind w:left="1361"/>
      </w:pPr>
      <w:hyperlink w:anchor="b886" w:history="1">
        <w:r>
          <w:rPr>
            <w:color w:val="0A3A8C"/>
            <w:u w:val="single"/>
          </w:rPr>
          <w:t xml:space="preserve">§ 839 Überweisung bei Abwendungsbefugnis</w:t>
        </w:r>
      </w:hyperlink>
    </w:p>
    <w:p>
      <w:pPr>
        <w:pStyle w:val="Übersicht"/>
        <w:ind w:left="1361"/>
      </w:pPr>
      <w:hyperlink w:anchor="b887" w:history="1">
        <w:r>
          <w:rPr>
            <w:color w:val="0A3A8C"/>
            <w:u w:val="single"/>
          </w:rPr>
          <w:t xml:space="preserve">§ 840 Erklärungspflicht des Drittschuldners</w:t>
        </w:r>
      </w:hyperlink>
    </w:p>
    <w:p>
      <w:pPr>
        <w:pStyle w:val="Übersicht"/>
        <w:ind w:left="1361"/>
      </w:pPr>
      <w:hyperlink w:anchor="b888" w:history="1">
        <w:r>
          <w:rPr>
            <w:color w:val="0A3A8C"/>
            <w:u w:val="single"/>
          </w:rPr>
          <w:t xml:space="preserve">§ 841 Pflicht zur Streitverkündung</w:t>
        </w:r>
      </w:hyperlink>
    </w:p>
    <w:p>
      <w:pPr>
        <w:pStyle w:val="Übersicht"/>
        <w:ind w:left="1361"/>
      </w:pPr>
      <w:hyperlink w:anchor="b889" w:history="1">
        <w:r>
          <w:rPr>
            <w:color w:val="0A3A8C"/>
            <w:u w:val="single"/>
          </w:rPr>
          <w:t xml:space="preserve">§ 842 Schadenersatz bei verzögerter Beitreibung</w:t>
        </w:r>
      </w:hyperlink>
    </w:p>
    <w:p>
      <w:pPr>
        <w:pStyle w:val="Übersicht"/>
        <w:ind w:left="1361"/>
      </w:pPr>
      <w:hyperlink w:anchor="b890" w:history="1">
        <w:r>
          <w:rPr>
            <w:color w:val="0A3A8C"/>
            <w:u w:val="single"/>
          </w:rPr>
          <w:t xml:space="preserve">§ 843 Verzicht des Pfandgläubigers</w:t>
        </w:r>
      </w:hyperlink>
    </w:p>
    <w:p>
      <w:pPr>
        <w:pStyle w:val="Übersicht"/>
        <w:ind w:left="1361"/>
      </w:pPr>
      <w:hyperlink w:anchor="b891" w:history="1">
        <w:r>
          <w:rPr>
            <w:color w:val="0A3A8C"/>
            <w:u w:val="single"/>
          </w:rPr>
          <w:t xml:space="preserve">§ 844 Andere Verwertungsart</w:t>
        </w:r>
      </w:hyperlink>
    </w:p>
    <w:p>
      <w:pPr>
        <w:pStyle w:val="Übersicht"/>
        <w:ind w:left="1361"/>
      </w:pPr>
      <w:hyperlink w:anchor="b892" w:history="1">
        <w:r>
          <w:rPr>
            <w:color w:val="0A3A8C"/>
            <w:u w:val="single"/>
          </w:rPr>
          <w:t xml:space="preserve">§ 845 Vorpfändung</w:t>
        </w:r>
      </w:hyperlink>
    </w:p>
    <w:p>
      <w:pPr>
        <w:pStyle w:val="Übersicht"/>
        <w:ind w:left="1361"/>
      </w:pPr>
      <w:hyperlink w:anchor="b893" w:history="1">
        <w:r>
          <w:rPr>
            <w:color w:val="0A3A8C"/>
            <w:u w:val="single"/>
          </w:rPr>
          <w:t xml:space="preserve">§ 846 Zwangsvollstreckung in Herausgabeansprüche</w:t>
        </w:r>
      </w:hyperlink>
    </w:p>
    <w:p>
      <w:pPr>
        <w:pStyle w:val="Übersicht"/>
        <w:ind w:left="1361"/>
      </w:pPr>
      <w:hyperlink w:anchor="b894" w:history="1">
        <w:r>
          <w:rPr>
            <w:color w:val="0A3A8C"/>
            <w:u w:val="single"/>
          </w:rPr>
          <w:t xml:space="preserve">§ 847 Herausgabeanspruch auf eine bewegliche Sache</w:t>
        </w:r>
      </w:hyperlink>
    </w:p>
    <w:p>
      <w:pPr>
        <w:pStyle w:val="Übersicht"/>
        <w:ind w:left="1361"/>
      </w:pPr>
      <w:hyperlink w:anchor="b895" w:history="1">
        <w:r>
          <w:rPr>
            <w:color w:val="0A3A8C"/>
            <w:u w:val="single"/>
          </w:rPr>
          <w:t xml:space="preserve">§ 847a Herausgabeanspruch auf ein Schiff</w:t>
        </w:r>
      </w:hyperlink>
    </w:p>
    <w:p>
      <w:pPr>
        <w:pStyle w:val="Übersicht"/>
        <w:ind w:left="1361"/>
      </w:pPr>
      <w:hyperlink w:anchor="b896" w:history="1">
        <w:r>
          <w:rPr>
            <w:color w:val="0A3A8C"/>
            <w:u w:val="single"/>
          </w:rPr>
          <w:t xml:space="preserve">§ 848 Herausgabeanspruch auf eine unbewegliche Sache</w:t>
        </w:r>
      </w:hyperlink>
    </w:p>
    <w:p>
      <w:pPr>
        <w:pStyle w:val="Übersicht"/>
        <w:ind w:left="1361"/>
      </w:pPr>
      <w:hyperlink w:anchor="b897" w:history="1">
        <w:r>
          <w:rPr>
            <w:color w:val="0A3A8C"/>
            <w:u w:val="single"/>
          </w:rPr>
          <w:t xml:space="preserve">§ 849 Keine Überweisung an Zahlungs statt</w:t>
        </w:r>
      </w:hyperlink>
    </w:p>
    <w:p>
      <w:pPr>
        <w:pStyle w:val="Übersicht"/>
        <w:ind w:left="1361"/>
      </w:pPr>
      <w:hyperlink w:anchor="b898" w:history="1">
        <w:r>
          <w:rPr>
            <w:color w:val="0A3A8C"/>
            <w:u w:val="single"/>
          </w:rPr>
          <w:t xml:space="preserve">§ 850 Pfändungsschutz für Arbeitseinkommen</w:t>
        </w:r>
      </w:hyperlink>
    </w:p>
    <w:p>
      <w:pPr>
        <w:pStyle w:val="Übersicht"/>
        <w:ind w:left="1361"/>
      </w:pPr>
      <w:hyperlink w:anchor="b899" w:history="1">
        <w:r>
          <w:rPr>
            <w:color w:val="0A3A8C"/>
            <w:u w:val="single"/>
          </w:rPr>
          <w:t xml:space="preserve">§ 850a Unpfändbare Bezüge</w:t>
        </w:r>
      </w:hyperlink>
    </w:p>
    <w:p>
      <w:pPr>
        <w:pStyle w:val="Übersicht"/>
        <w:ind w:left="1361"/>
      </w:pPr>
      <w:hyperlink w:anchor="b900" w:history="1">
        <w:r>
          <w:rPr>
            <w:color w:val="0A3A8C"/>
            <w:u w:val="single"/>
          </w:rPr>
          <w:t xml:space="preserve">§ 850b Bedingt pfändbare Bezüge</w:t>
        </w:r>
      </w:hyperlink>
    </w:p>
    <w:p>
      <w:pPr>
        <w:pStyle w:val="Übersicht"/>
        <w:ind w:left="1361"/>
      </w:pPr>
      <w:hyperlink w:anchor="b901" w:history="1">
        <w:r>
          <w:rPr>
            <w:color w:val="0A3A8C"/>
            <w:u w:val="single"/>
          </w:rPr>
          <w:t xml:space="preserve">§ 850c Pfändungsgrenzen für Arbeitseinkommen</w:t>
        </w:r>
      </w:hyperlink>
    </w:p>
    <w:p>
      <w:pPr>
        <w:pStyle w:val="Übersicht"/>
        <w:ind w:left="1361"/>
      </w:pPr>
      <w:hyperlink w:anchor="b902" w:history="1">
        <w:r>
          <w:rPr>
            <w:color w:val="0A3A8C"/>
            <w:u w:val="single"/>
          </w:rPr>
          <w:t xml:space="preserve">§ 850d Pfändbarkeit bei Unterhaltsansprüchen</w:t>
        </w:r>
      </w:hyperlink>
    </w:p>
    <w:p>
      <w:pPr>
        <w:pStyle w:val="Übersicht"/>
        <w:ind w:left="1361"/>
      </w:pPr>
      <w:hyperlink w:anchor="b903" w:history="1">
        <w:r>
          <w:rPr>
            <w:color w:val="0A3A8C"/>
            <w:u w:val="single"/>
          </w:rPr>
          <w:t xml:space="preserve">§ 850e Berechnung des pfändbaren Arbeitseinkommens</w:t>
        </w:r>
      </w:hyperlink>
    </w:p>
    <w:p>
      <w:pPr>
        <w:pStyle w:val="Übersicht"/>
        <w:ind w:left="1361"/>
      </w:pPr>
      <w:hyperlink w:anchor="b904" w:history="1">
        <w:r>
          <w:rPr>
            <w:color w:val="0A3A8C"/>
            <w:u w:val="single"/>
          </w:rPr>
          <w:t xml:space="preserve">§ 850f Änderung des unpfändbaren Betrages</w:t>
        </w:r>
      </w:hyperlink>
    </w:p>
    <w:p>
      <w:pPr>
        <w:pStyle w:val="Übersicht"/>
        <w:ind w:left="1361"/>
      </w:pPr>
      <w:hyperlink w:anchor="b905" w:history="1">
        <w:r>
          <w:rPr>
            <w:color w:val="0A3A8C"/>
            <w:u w:val="single"/>
          </w:rPr>
          <w:t xml:space="preserve">§ 850g Änderung der Unpfändbarkeitsvoraussetzungen</w:t>
        </w:r>
      </w:hyperlink>
    </w:p>
    <w:p>
      <w:pPr>
        <w:pStyle w:val="Übersicht"/>
        <w:ind w:left="1361"/>
      </w:pPr>
      <w:hyperlink w:anchor="b906" w:history="1">
        <w:r>
          <w:rPr>
            <w:color w:val="0A3A8C"/>
            <w:u w:val="single"/>
          </w:rPr>
          <w:t xml:space="preserve">§ 850h Verschleiertes Arbeitseinkommen</w:t>
        </w:r>
      </w:hyperlink>
    </w:p>
    <w:p>
      <w:pPr>
        <w:pStyle w:val="Übersicht"/>
        <w:ind w:left="1361"/>
      </w:pPr>
      <w:hyperlink w:anchor="b907" w:history="1">
        <w:r>
          <w:rPr>
            <w:color w:val="0A3A8C"/>
            <w:u w:val="single"/>
          </w:rPr>
          <w:t xml:space="preserve">§ 850i Pfändungsschutz für sonstige Einkünfte</w:t>
        </w:r>
      </w:hyperlink>
    </w:p>
    <w:p>
      <w:pPr>
        <w:pStyle w:val="Übersicht"/>
        <w:ind w:left="1361"/>
      </w:pPr>
      <w:hyperlink w:anchor="b908" w:history="1">
        <w:r>
          <w:rPr>
            <w:color w:val="0A3A8C"/>
            <w:u w:val="single"/>
          </w:rPr>
          <w:t xml:space="preserve">§ 850k Einrichtung und Beendigung des Pfändungsschutzkontos</w:t>
        </w:r>
      </w:hyperlink>
    </w:p>
    <w:p>
      <w:pPr>
        <w:pStyle w:val="Übersicht"/>
        <w:ind w:left="1361"/>
      </w:pPr>
      <w:hyperlink w:anchor="b909" w:history="1">
        <w:r>
          <w:rPr>
            <w:color w:val="0A3A8C"/>
            <w:u w:val="single"/>
          </w:rPr>
          <w:t xml:space="preserve">§ 850l Pfändung des Gemeinschaftskontos</w:t>
        </w:r>
      </w:hyperlink>
    </w:p>
    <w:p>
      <w:pPr>
        <w:pStyle w:val="Übersicht"/>
        <w:ind w:left="1361"/>
      </w:pPr>
      <w:hyperlink w:anchor="b910" w:history="1">
        <w:r>
          <w:rPr>
            <w:color w:val="0A3A8C"/>
            <w:u w:val="single"/>
          </w:rPr>
          <w:t xml:space="preserve">§ 851 Nicht übertragbare Forderungen</w:t>
        </w:r>
      </w:hyperlink>
    </w:p>
    <w:p>
      <w:pPr>
        <w:pStyle w:val="Übersicht"/>
        <w:ind w:left="1361"/>
      </w:pPr>
      <w:hyperlink w:anchor="b911" w:history="1">
        <w:r>
          <w:rPr>
            <w:color w:val="0A3A8C"/>
            <w:u w:val="single"/>
          </w:rPr>
          <w:t xml:space="preserve">§ 851a Pfändungsschutz für Landwirte</w:t>
        </w:r>
      </w:hyperlink>
    </w:p>
    <w:p>
      <w:pPr>
        <w:pStyle w:val="Übersicht"/>
        <w:ind w:left="1361"/>
      </w:pPr>
      <w:hyperlink w:anchor="b912" w:history="1">
        <w:r>
          <w:rPr>
            <w:color w:val="0A3A8C"/>
            <w:u w:val="single"/>
          </w:rPr>
          <w:t xml:space="preserve">§ 851b Pfändungsschutz bei Miet- und Pachtzinsen</w:t>
        </w:r>
      </w:hyperlink>
    </w:p>
    <w:p>
      <w:pPr>
        <w:pStyle w:val="Übersicht"/>
        <w:ind w:left="1361"/>
      </w:pPr>
      <w:hyperlink w:anchor="b913" w:history="1">
        <w:r>
          <w:rPr>
            <w:color w:val="0A3A8C"/>
            <w:u w:val="single"/>
          </w:rPr>
          <w:t xml:space="preserve">§ 851c Pfändungsschutz bei Altersrenten</w:t>
        </w:r>
      </w:hyperlink>
    </w:p>
    <w:p>
      <w:pPr>
        <w:pStyle w:val="Übersicht"/>
        <w:ind w:left="1361"/>
      </w:pPr>
      <w:hyperlink w:anchor="b914" w:history="1">
        <w:r>
          <w:rPr>
            <w:color w:val="0A3A8C"/>
            <w:u w:val="single"/>
          </w:rPr>
          <w:t xml:space="preserve">§ 851d Pfändungsschutz bei steuerlich gefördertem Altersvorsorgevermögen</w:t>
        </w:r>
      </w:hyperlink>
    </w:p>
    <w:p>
      <w:pPr>
        <w:pStyle w:val="Übersicht"/>
        <w:ind w:left="1361"/>
      </w:pPr>
      <w:hyperlink w:anchor="b915" w:history="1">
        <w:r>
          <w:rPr>
            <w:color w:val="0A3A8C"/>
            <w:u w:val="single"/>
          </w:rPr>
          <w:t xml:space="preserve">§ 852 Beschränkt pfändbare Forderungen</w:t>
        </w:r>
      </w:hyperlink>
    </w:p>
    <w:p>
      <w:pPr>
        <w:pStyle w:val="Übersicht"/>
        <w:ind w:left="1361"/>
      </w:pPr>
      <w:hyperlink w:anchor="b916" w:history="1">
        <w:r>
          <w:rPr>
            <w:color w:val="0A3A8C"/>
            <w:u w:val="single"/>
          </w:rPr>
          <w:t xml:space="preserve">§ 853 Mehrfache Pfändung einer Geldforderung</w:t>
        </w:r>
      </w:hyperlink>
    </w:p>
    <w:p>
      <w:pPr>
        <w:pStyle w:val="Übersicht"/>
        <w:ind w:left="1361"/>
      </w:pPr>
      <w:hyperlink w:anchor="b917" w:history="1">
        <w:r>
          <w:rPr>
            <w:color w:val="0A3A8C"/>
            <w:u w:val="single"/>
          </w:rPr>
          <w:t xml:space="preserve">§ 854 Mehrfache Pfändung eines Anspruchs auf bewegliche Sachen</w:t>
        </w:r>
      </w:hyperlink>
    </w:p>
    <w:p>
      <w:pPr>
        <w:pStyle w:val="Übersicht"/>
        <w:ind w:left="1361"/>
      </w:pPr>
      <w:hyperlink w:anchor="b918" w:history="1">
        <w:r>
          <w:rPr>
            <w:color w:val="0A3A8C"/>
            <w:u w:val="single"/>
          </w:rPr>
          <w:t xml:space="preserve">§ 855 Mehrfache Pfändung eines Anspruchs auf eine unbewegliche Sache</w:t>
        </w:r>
      </w:hyperlink>
    </w:p>
    <w:p>
      <w:pPr>
        <w:pStyle w:val="Übersicht"/>
        <w:ind w:left="1361"/>
      </w:pPr>
      <w:hyperlink w:anchor="b919" w:history="1">
        <w:r>
          <w:rPr>
            <w:color w:val="0A3A8C"/>
            <w:u w:val="single"/>
          </w:rPr>
          <w:t xml:space="preserve">§ 855a Mehrfache Pfändung eines Anspruchs auf ein Schiff</w:t>
        </w:r>
      </w:hyperlink>
    </w:p>
    <w:p>
      <w:pPr>
        <w:pStyle w:val="Übersicht"/>
        <w:ind w:left="1361"/>
      </w:pPr>
      <w:hyperlink w:anchor="b920" w:history="1">
        <w:r>
          <w:rPr>
            <w:color w:val="0A3A8C"/>
            <w:u w:val="single"/>
          </w:rPr>
          <w:t xml:space="preserve">§ 856 Klage bei mehrfacher Pfändung</w:t>
        </w:r>
      </w:hyperlink>
    </w:p>
    <w:p>
      <w:pPr>
        <w:pStyle w:val="Übersicht"/>
        <w:ind w:left="1361"/>
      </w:pPr>
      <w:hyperlink w:anchor="b921" w:history="1">
        <w:r>
          <w:rPr>
            <w:color w:val="0A3A8C"/>
            <w:u w:val="single"/>
          </w:rPr>
          <w:t xml:space="preserve">§ 857 Zwangsvollstreckung in andere Vermögensrechte</w:t>
        </w:r>
      </w:hyperlink>
    </w:p>
    <w:p>
      <w:pPr>
        <w:pStyle w:val="Übersicht"/>
        <w:ind w:left="1361"/>
      </w:pPr>
      <w:hyperlink w:anchor="b922" w:history="1">
        <w:r>
          <w:rPr>
            <w:color w:val="0A3A8C"/>
            <w:u w:val="single"/>
          </w:rPr>
          <w:t xml:space="preserve">§ 858 Zwangsvollstreckung in Schiffspart</w:t>
        </w:r>
      </w:hyperlink>
    </w:p>
    <w:p>
      <w:pPr>
        <w:pStyle w:val="Übersicht"/>
        <w:ind w:left="1361"/>
      </w:pPr>
      <w:hyperlink w:anchor="b923" w:history="1">
        <w:r>
          <w:rPr>
            <w:color w:val="0A3A8C"/>
            <w:u w:val="single"/>
          </w:rPr>
          <w:t xml:space="preserve">§ 859 Pfändung von Gesamthandsanteilen</w:t>
        </w:r>
      </w:hyperlink>
    </w:p>
    <w:p>
      <w:pPr>
        <w:pStyle w:val="Übersicht"/>
        <w:ind w:left="1361"/>
      </w:pPr>
      <w:hyperlink w:anchor="b924" w:history="1">
        <w:r>
          <w:rPr>
            <w:color w:val="0A3A8C"/>
            <w:u w:val="single"/>
          </w:rPr>
          <w:t xml:space="preserve">§ 860 Pfändung von Gesamtgutanteilen</w:t>
        </w:r>
      </w:hyperlink>
    </w:p>
    <w:p>
      <w:pPr>
        <w:pStyle w:val="Übersicht"/>
        <w:ind w:left="1361"/>
      </w:pPr>
      <w:hyperlink w:anchor="b925" w:history="1">
        <w:r>
          <w:rPr>
            <w:color w:val="0A3A8C"/>
            <w:u w:val="single"/>
          </w:rPr>
          <w:t xml:space="preserve">§§ 861 und 862 (weggefallen)</w:t>
        </w:r>
      </w:hyperlink>
    </w:p>
    <w:p>
      <w:pPr>
        <w:pStyle w:val="Übersicht"/>
        <w:ind w:left="1361"/>
      </w:pPr>
      <w:hyperlink w:anchor="b926" w:history="1">
        <w:r>
          <w:rPr>
            <w:color w:val="0A3A8C"/>
            <w:u w:val="single"/>
          </w:rPr>
          <w:t xml:space="preserve">§ 863 Pfändungsbeschränkungen bei Erbschaftsnutzungen</w:t>
        </w:r>
      </w:hyperlink>
    </w:p>
    <w:p>
      <w:pPr>
        <w:pStyle w:val="Übersicht"/>
        <w:ind w:left="680"/>
      </w:pPr>
      <w:hyperlink w:anchor="b927" w:history="1">
        <w:r>
          <w:rPr>
            <w:b/>
            <w:color w:val="0A3A8C"/>
            <w:u w:val="single"/>
          </w:rPr>
          <w:t xml:space="preserve">Titel 3 Zwangsvollstreckung in das unbewegliche Vermögen</w:t>
        </w:r>
      </w:hyperlink>
    </w:p>
    <w:p>
      <w:pPr>
        <w:pStyle w:val="Übersicht"/>
        <w:ind w:left="1020"/>
      </w:pPr>
      <w:hyperlink w:anchor="b928" w:history="1">
        <w:r>
          <w:rPr>
            <w:color w:val="0A3A8C"/>
            <w:u w:val="single"/>
          </w:rPr>
          <w:t xml:space="preserve">§ 864 Gegenstand der Immobiliarvollstreckung</w:t>
        </w:r>
      </w:hyperlink>
    </w:p>
    <w:p>
      <w:pPr>
        <w:pStyle w:val="Übersicht"/>
        <w:ind w:left="1020"/>
      </w:pPr>
      <w:hyperlink w:anchor="b929" w:history="1">
        <w:r>
          <w:rPr>
            <w:color w:val="0A3A8C"/>
            <w:u w:val="single"/>
          </w:rPr>
          <w:t xml:space="preserve">§ 865 Verhältnis zur Mobiliarvollstreckung</w:t>
        </w:r>
      </w:hyperlink>
    </w:p>
    <w:p>
      <w:pPr>
        <w:pStyle w:val="Übersicht"/>
        <w:ind w:left="1020"/>
      </w:pPr>
      <w:hyperlink w:anchor="b930" w:history="1">
        <w:r>
          <w:rPr>
            <w:color w:val="0A3A8C"/>
            <w:u w:val="single"/>
          </w:rPr>
          <w:t xml:space="preserve">§ 866 Arten der Vollstreckung</w:t>
        </w:r>
      </w:hyperlink>
    </w:p>
    <w:p>
      <w:pPr>
        <w:pStyle w:val="Übersicht"/>
        <w:ind w:left="1020"/>
      </w:pPr>
      <w:hyperlink w:anchor="b931" w:history="1">
        <w:r>
          <w:rPr>
            <w:color w:val="0A3A8C"/>
            <w:u w:val="single"/>
          </w:rPr>
          <w:t xml:space="preserve">§ 867 Zwangshypothek</w:t>
        </w:r>
      </w:hyperlink>
    </w:p>
    <w:p>
      <w:pPr>
        <w:pStyle w:val="Übersicht"/>
        <w:ind w:left="1020"/>
      </w:pPr>
      <w:hyperlink w:anchor="b932" w:history="1">
        <w:r>
          <w:rPr>
            <w:color w:val="0A3A8C"/>
            <w:u w:val="single"/>
          </w:rPr>
          <w:t xml:space="preserve">§ 868 Erwerb der Zwangshypothek durch den Eigentümer</w:t>
        </w:r>
      </w:hyperlink>
    </w:p>
    <w:p>
      <w:pPr>
        <w:pStyle w:val="Übersicht"/>
        <w:ind w:left="1020"/>
      </w:pPr>
      <w:hyperlink w:anchor="b933" w:history="1">
        <w:r>
          <w:rPr>
            <w:color w:val="0A3A8C"/>
            <w:u w:val="single"/>
          </w:rPr>
          <w:t xml:space="preserve">§ 869 Zwangsversteigerung und Zwangsverwaltung</w:t>
        </w:r>
      </w:hyperlink>
    </w:p>
    <w:p>
      <w:pPr>
        <w:pStyle w:val="Übersicht"/>
        <w:ind w:left="1020"/>
      </w:pPr>
      <w:hyperlink w:anchor="b934" w:history="1">
        <w:r>
          <w:rPr>
            <w:color w:val="0A3A8C"/>
            <w:u w:val="single"/>
          </w:rPr>
          <w:t xml:space="preserve">§ 870 Grundstücksgleiche Rechte</w:t>
        </w:r>
      </w:hyperlink>
    </w:p>
    <w:p>
      <w:pPr>
        <w:pStyle w:val="Übersicht"/>
        <w:ind w:left="1020"/>
      </w:pPr>
      <w:hyperlink w:anchor="b935" w:history="1">
        <w:r>
          <w:rPr>
            <w:color w:val="0A3A8C"/>
            <w:u w:val="single"/>
          </w:rPr>
          <w:t xml:space="preserve">§ 870a Zwangsvollstreckung in ein Schiff oder Schiffsbauwerk</w:t>
        </w:r>
      </w:hyperlink>
    </w:p>
    <w:p>
      <w:pPr>
        <w:pStyle w:val="Übersicht"/>
        <w:ind w:left="1020"/>
      </w:pPr>
      <w:hyperlink w:anchor="b936" w:history="1">
        <w:r>
          <w:rPr>
            <w:color w:val="0A3A8C"/>
            <w:u w:val="single"/>
          </w:rPr>
          <w:t xml:space="preserve">§ 871 Landesrechtlicher Vorbehalt bei Eisenbahnen</w:t>
        </w:r>
      </w:hyperlink>
    </w:p>
    <w:p>
      <w:pPr>
        <w:pStyle w:val="Übersicht"/>
        <w:ind w:left="680"/>
      </w:pPr>
      <w:hyperlink w:anchor="b937" w:history="1">
        <w:r>
          <w:rPr>
            <w:b/>
            <w:color w:val="0A3A8C"/>
            <w:u w:val="single"/>
          </w:rPr>
          <w:t xml:space="preserve">Titel 4 Verteilungsverfahren</w:t>
        </w:r>
      </w:hyperlink>
    </w:p>
    <w:p>
      <w:pPr>
        <w:pStyle w:val="Übersicht"/>
        <w:ind w:left="1020"/>
      </w:pPr>
      <w:hyperlink w:anchor="b938" w:history="1">
        <w:r>
          <w:rPr>
            <w:color w:val="0A3A8C"/>
            <w:u w:val="single"/>
          </w:rPr>
          <w:t xml:space="preserve">§ 872 Voraussetzungen</w:t>
        </w:r>
      </w:hyperlink>
    </w:p>
    <w:p>
      <w:pPr>
        <w:pStyle w:val="Übersicht"/>
        <w:ind w:left="1020"/>
      </w:pPr>
      <w:hyperlink w:anchor="b939" w:history="1">
        <w:r>
          <w:rPr>
            <w:color w:val="0A3A8C"/>
            <w:u w:val="single"/>
          </w:rPr>
          <w:t xml:space="preserve">§ 873 Aufforderung des Verteilungsgerichts</w:t>
        </w:r>
      </w:hyperlink>
    </w:p>
    <w:p>
      <w:pPr>
        <w:pStyle w:val="Übersicht"/>
        <w:ind w:left="1020"/>
      </w:pPr>
      <w:hyperlink w:anchor="b940" w:history="1">
        <w:r>
          <w:rPr>
            <w:color w:val="0A3A8C"/>
            <w:u w:val="single"/>
          </w:rPr>
          <w:t xml:space="preserve">§ 874 Teilungsplan</w:t>
        </w:r>
      </w:hyperlink>
    </w:p>
    <w:p>
      <w:pPr>
        <w:pStyle w:val="Übersicht"/>
        <w:ind w:left="1020"/>
      </w:pPr>
      <w:hyperlink w:anchor="b941" w:history="1">
        <w:r>
          <w:rPr>
            <w:color w:val="0A3A8C"/>
            <w:u w:val="single"/>
          </w:rPr>
          <w:t xml:space="preserve">§ 875 Terminsbestimmung</w:t>
        </w:r>
      </w:hyperlink>
    </w:p>
    <w:p>
      <w:pPr>
        <w:pStyle w:val="Übersicht"/>
        <w:ind w:left="1020"/>
      </w:pPr>
      <w:hyperlink w:anchor="b942" w:history="1">
        <w:r>
          <w:rPr>
            <w:color w:val="0A3A8C"/>
            <w:u w:val="single"/>
          </w:rPr>
          <w:t xml:space="preserve">§ 876 Termin zur Erklärung und Ausführung</w:t>
        </w:r>
      </w:hyperlink>
    </w:p>
    <w:p>
      <w:pPr>
        <w:pStyle w:val="Übersicht"/>
        <w:ind w:left="1020"/>
      </w:pPr>
      <w:hyperlink w:anchor="b943" w:history="1">
        <w:r>
          <w:rPr>
            <w:color w:val="0A3A8C"/>
            <w:u w:val="single"/>
          </w:rPr>
          <w:t xml:space="preserve">§ 877 Säumnisfolgen</w:t>
        </w:r>
      </w:hyperlink>
    </w:p>
    <w:p>
      <w:pPr>
        <w:pStyle w:val="Übersicht"/>
        <w:ind w:left="1020"/>
      </w:pPr>
      <w:hyperlink w:anchor="b944" w:history="1">
        <w:r>
          <w:rPr>
            <w:color w:val="0A3A8C"/>
            <w:u w:val="single"/>
          </w:rPr>
          <w:t xml:space="preserve">§ 878 Widerspruchsklage</w:t>
        </w:r>
      </w:hyperlink>
    </w:p>
    <w:p>
      <w:pPr>
        <w:pStyle w:val="Übersicht"/>
        <w:ind w:left="1020"/>
      </w:pPr>
      <w:hyperlink w:anchor="b945" w:history="1">
        <w:r>
          <w:rPr>
            <w:color w:val="0A3A8C"/>
            <w:u w:val="single"/>
          </w:rPr>
          <w:t xml:space="preserve">§ 879 Zuständigkeit für die Widerspruchsklage</w:t>
        </w:r>
      </w:hyperlink>
    </w:p>
    <w:p>
      <w:pPr>
        <w:pStyle w:val="Übersicht"/>
        <w:ind w:left="1020"/>
      </w:pPr>
      <w:hyperlink w:anchor="b946" w:history="1">
        <w:r>
          <w:rPr>
            <w:color w:val="0A3A8C"/>
            <w:u w:val="single"/>
          </w:rPr>
          <w:t xml:space="preserve">§ 880 Inhalt des Urteils</w:t>
        </w:r>
      </w:hyperlink>
    </w:p>
    <w:p>
      <w:pPr>
        <w:pStyle w:val="Übersicht"/>
        <w:ind w:left="1020"/>
      </w:pPr>
      <w:hyperlink w:anchor="b947" w:history="1">
        <w:r>
          <w:rPr>
            <w:color w:val="0A3A8C"/>
            <w:u w:val="single"/>
          </w:rPr>
          <w:t xml:space="preserve">§ 881 Versäumnisurteil</w:t>
        </w:r>
      </w:hyperlink>
    </w:p>
    <w:p>
      <w:pPr>
        <w:pStyle w:val="Übersicht"/>
        <w:ind w:left="1020"/>
      </w:pPr>
      <w:hyperlink w:anchor="b948" w:history="1">
        <w:r>
          <w:rPr>
            <w:color w:val="0A3A8C"/>
            <w:u w:val="single"/>
          </w:rPr>
          <w:t xml:space="preserve">§ 882 Verfahren nach dem Urteil</w:t>
        </w:r>
      </w:hyperlink>
    </w:p>
    <w:p>
      <w:pPr>
        <w:pStyle w:val="Übersicht"/>
        <w:ind w:left="680"/>
      </w:pPr>
      <w:hyperlink w:anchor="b949" w:history="1">
        <w:r>
          <w:rPr>
            <w:b/>
            <w:color w:val="0A3A8C"/>
            <w:u w:val="single"/>
          </w:rPr>
          <w:t xml:space="preserve">Titel 5 Zwangsvollstreckung in Sachen, die der Erfüllung öffentlicher Aufgaben dienen</w:t>
        </w:r>
      </w:hyperlink>
    </w:p>
    <w:p>
      <w:pPr>
        <w:pStyle w:val="Übersicht"/>
        <w:ind w:left="1020"/>
      </w:pPr>
      <w:hyperlink w:anchor="b950" w:history="1">
        <w:r>
          <w:rPr>
            <w:color w:val="0A3A8C"/>
            <w:u w:val="single"/>
          </w:rPr>
          <w:t xml:space="preserve">§ 882a Zwangsvollstreckung wegen einer Geldforderung</w:t>
        </w:r>
      </w:hyperlink>
    </w:p>
    <w:p>
      <w:pPr>
        <w:pStyle w:val="Übersicht"/>
        <w:ind w:left="680"/>
      </w:pPr>
      <w:hyperlink w:anchor="b951" w:history="1">
        <w:r>
          <w:rPr>
            <w:b/>
            <w:color w:val="0A3A8C"/>
            <w:u w:val="single"/>
          </w:rPr>
          <w:t xml:space="preserve">Titel 6 Schuldnerverzeichnis</w:t>
        </w:r>
      </w:hyperlink>
    </w:p>
    <w:p>
      <w:pPr>
        <w:pStyle w:val="Übersicht"/>
        <w:ind w:left="1020"/>
      </w:pPr>
      <w:hyperlink w:anchor="b952" w:history="1">
        <w:r>
          <w:rPr>
            <w:color w:val="0A3A8C"/>
            <w:u w:val="single"/>
          </w:rPr>
          <w:t xml:space="preserve">§ 882b Inhalt des Schuldnerverzeichnisses</w:t>
        </w:r>
      </w:hyperlink>
    </w:p>
    <w:p>
      <w:pPr>
        <w:pStyle w:val="Übersicht"/>
        <w:ind w:left="1020"/>
      </w:pPr>
      <w:hyperlink w:anchor="b953" w:history="1">
        <w:r>
          <w:rPr>
            <w:color w:val="0A3A8C"/>
            <w:u w:val="single"/>
          </w:rPr>
          <w:t xml:space="preserve">§ 882c Eintragungsanordnung</w:t>
        </w:r>
      </w:hyperlink>
    </w:p>
    <w:p>
      <w:pPr>
        <w:pStyle w:val="Übersicht"/>
        <w:ind w:left="1020"/>
      </w:pPr>
      <w:hyperlink w:anchor="b954" w:history="1">
        <w:r>
          <w:rPr>
            <w:color w:val="0A3A8C"/>
            <w:u w:val="single"/>
          </w:rPr>
          <w:t xml:space="preserve">§ 882d Vollziehung der Eintragungsanordnung</w:t>
        </w:r>
      </w:hyperlink>
    </w:p>
    <w:p>
      <w:pPr>
        <w:pStyle w:val="Übersicht"/>
        <w:ind w:left="1020"/>
      </w:pPr>
      <w:hyperlink w:anchor="b955" w:history="1">
        <w:r>
          <w:rPr>
            <w:color w:val="0A3A8C"/>
            <w:u w:val="single"/>
          </w:rPr>
          <w:t xml:space="preserve">§ 882e Löschung</w:t>
        </w:r>
      </w:hyperlink>
    </w:p>
    <w:p>
      <w:pPr>
        <w:pStyle w:val="Übersicht"/>
        <w:ind w:left="1020"/>
      </w:pPr>
      <w:hyperlink w:anchor="b956" w:history="1">
        <w:r>
          <w:rPr>
            <w:color w:val="0A3A8C"/>
            <w:u w:val="single"/>
          </w:rPr>
          <w:t xml:space="preserve">§ 882f Einsicht in das Schuldnerverzeichnis</w:t>
        </w:r>
      </w:hyperlink>
    </w:p>
    <w:p>
      <w:pPr>
        <w:pStyle w:val="Übersicht"/>
        <w:ind w:left="1020"/>
      </w:pPr>
      <w:hyperlink w:anchor="b957" w:history="1">
        <w:r>
          <w:rPr>
            <w:color w:val="0A3A8C"/>
            <w:u w:val="single"/>
          </w:rPr>
          <w:t xml:space="preserve">§ 882g Erteilung von Abdrucken</w:t>
        </w:r>
      </w:hyperlink>
    </w:p>
    <w:p>
      <w:pPr>
        <w:pStyle w:val="Übersicht"/>
        <w:ind w:left="1020"/>
      </w:pPr>
      <w:hyperlink w:anchor="b958" w:history="1">
        <w:r>
          <w:rPr>
            <w:color w:val="0A3A8C"/>
            <w:u w:val="single"/>
          </w:rPr>
          <w:t xml:space="preserve">§ 882h Zuständigkeit; Ausgestaltung des Schuldnerverzeichnisses</w:t>
        </w:r>
      </w:hyperlink>
    </w:p>
    <w:p>
      <w:pPr>
        <w:pStyle w:val="Übersicht"/>
        <w:ind w:left="1020"/>
      </w:pPr>
      <w:hyperlink w:anchor="b959" w:history="1">
        <w:r>
          <w:rPr>
            <w:color w:val="0A3A8C"/>
            <w:u w:val="single"/>
          </w:rPr>
          <w:t xml:space="preserve">§ 882i Rechte der Betroffenen</w:t>
        </w:r>
      </w:hyperlink>
    </w:p>
    <w:p>
      <w:pPr>
        <w:pStyle w:val="Übersicht"/>
        <w:ind w:left="340"/>
      </w:pPr>
      <w:hyperlink w:anchor="b960" w:history="1">
        <w:r>
          <w:rPr>
            <w:b/>
            <w:color w:val="0A3A8C"/>
            <w:u w:val="single"/>
          </w:rPr>
          <w:t xml:space="preserve">Abschnitt 3 Zwangsvollstreckung zur
Erwirkung der Herausgabe von Sachen und zur Erwirkung von Handlungen
oder Unterlassungen</w:t>
        </w:r>
      </w:hyperlink>
    </w:p>
    <w:p>
      <w:pPr>
        <w:pStyle w:val="Übersicht"/>
        <w:ind w:left="680"/>
      </w:pPr>
      <w:hyperlink w:anchor="b961" w:history="1">
        <w:r>
          <w:rPr>
            <w:color w:val="0A3A8C"/>
            <w:u w:val="single"/>
          </w:rPr>
          <w:t xml:space="preserve">§ 883 Herausgabe bestimmter beweglicher Sachen</w:t>
        </w:r>
      </w:hyperlink>
    </w:p>
    <w:p>
      <w:pPr>
        <w:pStyle w:val="Übersicht"/>
        <w:ind w:left="680"/>
      </w:pPr>
      <w:hyperlink w:anchor="b962" w:history="1">
        <w:r>
          <w:rPr>
            <w:color w:val="0A3A8C"/>
            <w:u w:val="single"/>
          </w:rPr>
          <w:t xml:space="preserve">§ 884 Leistung einer bestimmten Menge vertretbarer Sachen</w:t>
        </w:r>
      </w:hyperlink>
    </w:p>
    <w:p>
      <w:pPr>
        <w:pStyle w:val="Übersicht"/>
        <w:ind w:left="680"/>
      </w:pPr>
      <w:hyperlink w:anchor="b963" w:history="1">
        <w:r>
          <w:rPr>
            <w:color w:val="0A3A8C"/>
            <w:u w:val="single"/>
          </w:rPr>
          <w:t xml:space="preserve">§ 885 Herausgabe von Grundstücken oder Schiffen</w:t>
        </w:r>
      </w:hyperlink>
    </w:p>
    <w:p>
      <w:pPr>
        <w:pStyle w:val="Übersicht"/>
        <w:ind w:left="680"/>
      </w:pPr>
      <w:hyperlink w:anchor="b964" w:history="1">
        <w:r>
          <w:rPr>
            <w:color w:val="0A3A8C"/>
            <w:u w:val="single"/>
          </w:rPr>
          <w:t xml:space="preserve">§ 885a Beschränkter Vollstreckungsauftrag</w:t>
        </w:r>
      </w:hyperlink>
    </w:p>
    <w:p>
      <w:pPr>
        <w:pStyle w:val="Übersicht"/>
        <w:ind w:left="680"/>
      </w:pPr>
      <w:hyperlink w:anchor="b965" w:history="1">
        <w:r>
          <w:rPr>
            <w:color w:val="0A3A8C"/>
            <w:u w:val="single"/>
          </w:rPr>
          <w:t xml:space="preserve">§ 886 Herausgabe bei Gewahrsam eines Dritten</w:t>
        </w:r>
      </w:hyperlink>
    </w:p>
    <w:p>
      <w:pPr>
        <w:pStyle w:val="Übersicht"/>
        <w:ind w:left="680"/>
      </w:pPr>
      <w:hyperlink w:anchor="b966" w:history="1">
        <w:r>
          <w:rPr>
            <w:color w:val="0A3A8C"/>
            <w:u w:val="single"/>
          </w:rPr>
          <w:t xml:space="preserve">§ 887 Vertretbare Handlungen</w:t>
        </w:r>
      </w:hyperlink>
    </w:p>
    <w:p>
      <w:pPr>
        <w:pStyle w:val="Übersicht"/>
        <w:ind w:left="680"/>
      </w:pPr>
      <w:hyperlink w:anchor="b967" w:history="1">
        <w:r>
          <w:rPr>
            <w:color w:val="0A3A8C"/>
            <w:u w:val="single"/>
          </w:rPr>
          <w:t xml:space="preserve">§ 888 Nicht vertretbare Handlungen</w:t>
        </w:r>
      </w:hyperlink>
    </w:p>
    <w:p>
      <w:pPr>
        <w:pStyle w:val="Übersicht"/>
        <w:ind w:left="680"/>
      </w:pPr>
      <w:hyperlink w:anchor="b968" w:history="1">
        <w:r>
          <w:rPr>
            <w:color w:val="0A3A8C"/>
            <w:u w:val="single"/>
          </w:rPr>
          <w:t xml:space="preserve">§ 888a Keine Handlungsvollstreckung bei Entschädigungspflicht</w:t>
        </w:r>
      </w:hyperlink>
    </w:p>
    <w:p>
      <w:pPr>
        <w:pStyle w:val="Übersicht"/>
        <w:ind w:left="680"/>
      </w:pPr>
      <w:hyperlink w:anchor="b969" w:history="1">
        <w:r>
          <w:rPr>
            <w:color w:val="0A3A8C"/>
            <w:u w:val="single"/>
          </w:rPr>
          <w:t xml:space="preserve">§ 889 Eidesstattliche Versicherung nach bürgerlichem Recht</w:t>
        </w:r>
      </w:hyperlink>
    </w:p>
    <w:p>
      <w:pPr>
        <w:pStyle w:val="Übersicht"/>
        <w:ind w:left="680"/>
      </w:pPr>
      <w:hyperlink w:anchor="b970" w:history="1">
        <w:r>
          <w:rPr>
            <w:color w:val="0A3A8C"/>
            <w:u w:val="single"/>
          </w:rPr>
          <w:t xml:space="preserve">§ 890 Erzwingung von Unterlassungen und Duldungen</w:t>
        </w:r>
      </w:hyperlink>
    </w:p>
    <w:p>
      <w:pPr>
        <w:pStyle w:val="Übersicht"/>
        <w:ind w:left="680"/>
      </w:pPr>
      <w:hyperlink w:anchor="b971" w:history="1">
        <w:r>
          <w:rPr>
            <w:color w:val="0A3A8C"/>
            <w:u w:val="single"/>
          </w:rPr>
          <w:t xml:space="preserve">§ 891 Verfahren; Anhörung des Schuldners; Kostenentscheidung</w:t>
        </w:r>
      </w:hyperlink>
    </w:p>
    <w:p>
      <w:pPr>
        <w:pStyle w:val="Übersicht"/>
        <w:ind w:left="680"/>
      </w:pPr>
      <w:hyperlink w:anchor="b972" w:history="1">
        <w:r>
          <w:rPr>
            <w:color w:val="0A3A8C"/>
            <w:u w:val="single"/>
          </w:rPr>
          <w:t xml:space="preserve">§ 892 Widerstand des Schuldners</w:t>
        </w:r>
      </w:hyperlink>
    </w:p>
    <w:p>
      <w:pPr>
        <w:pStyle w:val="Übersicht"/>
        <w:ind w:left="680"/>
      </w:pPr>
      <w:hyperlink w:anchor="b973" w:history="1">
        <w:r>
          <w:rPr>
            <w:color w:val="0A3A8C"/>
            <w:u w:val="single"/>
          </w:rPr>
          <w:t xml:space="preserve">§ 893 Klage auf Leistung des Interesses</w:t>
        </w:r>
      </w:hyperlink>
    </w:p>
    <w:p>
      <w:pPr>
        <w:pStyle w:val="Übersicht"/>
        <w:ind w:left="680"/>
      </w:pPr>
      <w:hyperlink w:anchor="b974" w:history="1">
        <w:r>
          <w:rPr>
            <w:color w:val="0A3A8C"/>
            <w:u w:val="single"/>
          </w:rPr>
          <w:t xml:space="preserve">§ 894 Fiktion der Abgabe einer Willenserklärung</w:t>
        </w:r>
      </w:hyperlink>
    </w:p>
    <w:p>
      <w:pPr>
        <w:pStyle w:val="Übersicht"/>
        <w:ind w:left="680"/>
      </w:pPr>
      <w:hyperlink w:anchor="b975" w:history="1">
        <w:r>
          <w:rPr>
            <w:color w:val="0A3A8C"/>
            <w:u w:val="single"/>
          </w:rPr>
          <w:t xml:space="preserve">§ 895 Willenserklärung zwecks Eintragung bei vorläufig vollstreckbarem Urteil</w:t>
        </w:r>
      </w:hyperlink>
    </w:p>
    <w:p>
      <w:pPr>
        <w:pStyle w:val="Übersicht"/>
        <w:ind w:left="680"/>
      </w:pPr>
      <w:hyperlink w:anchor="b976" w:history="1">
        <w:r>
          <w:rPr>
            <w:color w:val="0A3A8C"/>
            <w:u w:val="single"/>
          </w:rPr>
          <w:t xml:space="preserve">§ 896 Erteilung von Urkunden an Gläubiger</w:t>
        </w:r>
      </w:hyperlink>
    </w:p>
    <w:p>
      <w:pPr>
        <w:pStyle w:val="Übersicht"/>
        <w:ind w:left="680"/>
      </w:pPr>
      <w:hyperlink w:anchor="b977" w:history="1">
        <w:r>
          <w:rPr>
            <w:color w:val="0A3A8C"/>
            <w:u w:val="single"/>
          </w:rPr>
          <w:t xml:space="preserve">§ 897 Übereignung; Verschaffung von Grundpfandrechten</w:t>
        </w:r>
      </w:hyperlink>
    </w:p>
    <w:p>
      <w:pPr>
        <w:pStyle w:val="Übersicht"/>
        <w:ind w:left="680"/>
      </w:pPr>
      <w:hyperlink w:anchor="b978" w:history="1">
        <w:r>
          <w:rPr>
            <w:color w:val="0A3A8C"/>
            <w:u w:val="single"/>
          </w:rPr>
          <w:t xml:space="preserve">§ 898 Gutgläubiger Erwerb</w:t>
        </w:r>
      </w:hyperlink>
    </w:p>
    <w:p>
      <w:pPr>
        <w:pStyle w:val="Übersicht"/>
        <w:ind w:left="340"/>
      </w:pPr>
      <w:hyperlink w:anchor="b979" w:history="1">
        <w:r>
          <w:rPr>
            <w:b/>
            <w:color w:val="0A3A8C"/>
            <w:u w:val="single"/>
          </w:rPr>
          <w:t xml:space="preserve">Abschnitt 4 Wirkungen des Pfändungsschutzkontos</w:t>
        </w:r>
      </w:hyperlink>
    </w:p>
    <w:p>
      <w:pPr>
        <w:pStyle w:val="Übersicht"/>
        <w:ind w:left="680"/>
      </w:pPr>
      <w:hyperlink w:anchor="b980" w:history="1">
        <w:r>
          <w:rPr>
            <w:color w:val="0A3A8C"/>
            <w:u w:val="single"/>
          </w:rPr>
          <w:t xml:space="preserve">§ 899 Pfändungsfreier Betrag; Übertragung</w:t>
        </w:r>
      </w:hyperlink>
    </w:p>
    <w:p>
      <w:pPr>
        <w:pStyle w:val="Übersicht"/>
        <w:ind w:left="680"/>
      </w:pPr>
      <w:hyperlink w:anchor="b981" w:history="1">
        <w:r>
          <w:rPr>
            <w:color w:val="0A3A8C"/>
            <w:u w:val="single"/>
          </w:rPr>
          <w:t xml:space="preserve">§ 900 Moratorium bei Überweisung an den Gläubiger</w:t>
        </w:r>
      </w:hyperlink>
    </w:p>
    <w:p>
      <w:pPr>
        <w:pStyle w:val="Übersicht"/>
        <w:ind w:left="680"/>
      </w:pPr>
      <w:hyperlink w:anchor="b982" w:history="1">
        <w:r>
          <w:rPr>
            <w:color w:val="0A3A8C"/>
            <w:u w:val="single"/>
          </w:rPr>
          <w:t xml:space="preserve">§ 901 Verbot der Aufrechnung und Verrechnung</w:t>
        </w:r>
      </w:hyperlink>
    </w:p>
    <w:p>
      <w:pPr>
        <w:pStyle w:val="Übersicht"/>
        <w:ind w:left="680"/>
      </w:pPr>
      <w:hyperlink w:anchor="b983" w:history="1">
        <w:r>
          <w:rPr>
            <w:color w:val="0A3A8C"/>
            <w:u w:val="single"/>
          </w:rPr>
          <w:t xml:space="preserve">§ 902 Erhöhungsbeträge</w:t>
        </w:r>
      </w:hyperlink>
    </w:p>
    <w:p>
      <w:pPr>
        <w:pStyle w:val="Übersicht"/>
        <w:ind w:left="680"/>
      </w:pPr>
      <w:hyperlink w:anchor="b984" w:history="1">
        <w:r>
          <w:rPr>
            <w:color w:val="0A3A8C"/>
            <w:u w:val="single"/>
          </w:rPr>
          <w:t xml:space="preserve">§ 903 Nachweise über Erhöhungsbeträge</w:t>
        </w:r>
      </w:hyperlink>
    </w:p>
    <w:p>
      <w:pPr>
        <w:pStyle w:val="Übersicht"/>
        <w:ind w:left="680"/>
      </w:pPr>
      <w:hyperlink w:anchor="b985" w:history="1">
        <w:r>
          <w:rPr>
            <w:color w:val="0A3A8C"/>
            <w:u w:val="single"/>
          </w:rPr>
          <w:t xml:space="preserve">§ 904 Nachzahlung von Leistungen</w:t>
        </w:r>
      </w:hyperlink>
    </w:p>
    <w:p>
      <w:pPr>
        <w:pStyle w:val="Übersicht"/>
        <w:ind w:left="680"/>
      </w:pPr>
      <w:hyperlink w:anchor="b986" w:history="1">
        <w:r>
          <w:rPr>
            <w:color w:val="0A3A8C"/>
            <w:u w:val="single"/>
          </w:rPr>
          <w:t xml:space="preserve">§ 905 Festsetzung der Erhöhungsbeträge durch das Vollstreckungsgericht</w:t>
        </w:r>
      </w:hyperlink>
    </w:p>
    <w:p>
      <w:pPr>
        <w:pStyle w:val="Übersicht"/>
        <w:ind w:left="680"/>
      </w:pPr>
      <w:hyperlink w:anchor="b987" w:history="1">
        <w:r>
          <w:rPr>
            <w:color w:val="0A3A8C"/>
            <w:u w:val="single"/>
          </w:rPr>
          <w:t xml:space="preserve">§ 906 Festsetzung eines abweichenden pfändungsfreien Betrages durch das Vollstreckungsgericht</w:t>
        </w:r>
      </w:hyperlink>
    </w:p>
    <w:p>
      <w:pPr>
        <w:pStyle w:val="Übersicht"/>
        <w:ind w:left="680"/>
      </w:pPr>
      <w:hyperlink w:anchor="b988" w:history="1">
        <w:r>
          <w:rPr>
            <w:color w:val="0A3A8C"/>
            <w:u w:val="single"/>
          </w:rPr>
          <w:t xml:space="preserve">§ 907 Festsetzung der Unpfändbarkeit von Kontoguthaben auf dem Pfändungsschutzkonto</w:t>
        </w:r>
      </w:hyperlink>
    </w:p>
    <w:p>
      <w:pPr>
        <w:pStyle w:val="Übersicht"/>
        <w:ind w:left="680"/>
      </w:pPr>
      <w:hyperlink w:anchor="b989" w:history="1">
        <w:r>
          <w:rPr>
            <w:color w:val="0A3A8C"/>
            <w:u w:val="single"/>
          </w:rPr>
          <w:t xml:space="preserve">§ 908 Aufgaben des Kreditinstituts</w:t>
        </w:r>
      </w:hyperlink>
    </w:p>
    <w:p>
      <w:pPr>
        <w:pStyle w:val="Übersicht"/>
        <w:ind w:left="680"/>
      </w:pPr>
      <w:hyperlink w:anchor="b990" w:history="1">
        <w:r>
          <w:rPr>
            <w:color w:val="0A3A8C"/>
            <w:u w:val="single"/>
          </w:rPr>
          <w:t xml:space="preserve">§ 909 Datenweitergabe; Löschungspflicht</w:t>
        </w:r>
      </w:hyperlink>
    </w:p>
    <w:p>
      <w:pPr>
        <w:pStyle w:val="Übersicht"/>
        <w:ind w:left="680"/>
      </w:pPr>
      <w:hyperlink w:anchor="b991" w:history="1">
        <w:r>
          <w:rPr>
            <w:color w:val="0A3A8C"/>
            <w:u w:val="single"/>
          </w:rPr>
          <w:t xml:space="preserve">§ 910 Verwaltungsvollstreckung</w:t>
        </w:r>
      </w:hyperlink>
    </w:p>
    <w:p>
      <w:pPr>
        <w:pStyle w:val="Übersicht"/>
        <w:ind w:left="680"/>
      </w:pPr>
      <w:hyperlink w:anchor="b992" w:history="1">
        <w:r>
          <w:rPr>
            <w:color w:val="0A3A8C"/>
            <w:u w:val="single"/>
          </w:rPr>
          <w:t xml:space="preserve">§§ 911 bis 915h (weggefallen)</w:t>
        </w:r>
      </w:hyperlink>
    </w:p>
    <w:p>
      <w:pPr>
        <w:pStyle w:val="Übersicht"/>
        <w:ind w:left="340"/>
      </w:pPr>
      <w:hyperlink w:anchor="b993" w:history="1">
        <w:r>
          <w:rPr>
            <w:b/>
            <w:color w:val="0A3A8C"/>
            <w:u w:val="single"/>
          </w:rPr>
          <w:t xml:space="preserve">Abschnitt 5 Arrest und einstweilige Verfügung</w:t>
        </w:r>
      </w:hyperlink>
    </w:p>
    <w:p>
      <w:pPr>
        <w:pStyle w:val="Übersicht"/>
        <w:ind w:left="680"/>
      </w:pPr>
      <w:hyperlink w:anchor="b994" w:history="1">
        <w:r>
          <w:rPr>
            <w:color w:val="0A3A8C"/>
            <w:u w:val="single"/>
          </w:rPr>
          <w:t xml:space="preserve">§ 916 Arrestanspruch</w:t>
        </w:r>
      </w:hyperlink>
    </w:p>
    <w:p>
      <w:pPr>
        <w:pStyle w:val="Übersicht"/>
        <w:ind w:left="680"/>
      </w:pPr>
      <w:hyperlink w:anchor="b995" w:history="1">
        <w:r>
          <w:rPr>
            <w:color w:val="0A3A8C"/>
            <w:u w:val="single"/>
          </w:rPr>
          <w:t xml:space="preserve">§ 917 Arrestgrund bei dinglichem Arrest</w:t>
        </w:r>
      </w:hyperlink>
    </w:p>
    <w:p>
      <w:pPr>
        <w:pStyle w:val="Übersicht"/>
        <w:ind w:left="680"/>
      </w:pPr>
      <w:hyperlink w:anchor="b996" w:history="1">
        <w:r>
          <w:rPr>
            <w:color w:val="0A3A8C"/>
            <w:u w:val="single"/>
          </w:rPr>
          <w:t xml:space="preserve">§ 918 Arrestgrund bei persönlichem Arrest</w:t>
        </w:r>
      </w:hyperlink>
    </w:p>
    <w:p>
      <w:pPr>
        <w:pStyle w:val="Übersicht"/>
        <w:ind w:left="680"/>
      </w:pPr>
      <w:hyperlink w:anchor="b997" w:history="1">
        <w:r>
          <w:rPr>
            <w:color w:val="0A3A8C"/>
            <w:u w:val="single"/>
          </w:rPr>
          <w:t xml:space="preserve">§ 919 Arrestgericht</w:t>
        </w:r>
      </w:hyperlink>
    </w:p>
    <w:p>
      <w:pPr>
        <w:pStyle w:val="Übersicht"/>
        <w:ind w:left="680"/>
      </w:pPr>
      <w:hyperlink w:anchor="b998" w:history="1">
        <w:r>
          <w:rPr>
            <w:color w:val="0A3A8C"/>
            <w:u w:val="single"/>
          </w:rPr>
          <w:t xml:space="preserve">§ 920 Arrestgesuch</w:t>
        </w:r>
      </w:hyperlink>
    </w:p>
    <w:p>
      <w:pPr>
        <w:pStyle w:val="Übersicht"/>
        <w:ind w:left="680"/>
      </w:pPr>
      <w:hyperlink w:anchor="b999" w:history="1">
        <w:r>
          <w:rPr>
            <w:color w:val="0A3A8C"/>
            <w:u w:val="single"/>
          </w:rPr>
          <w:t xml:space="preserve">§ 921 Entscheidung über das Arrestgesuch</w:t>
        </w:r>
      </w:hyperlink>
    </w:p>
    <w:p>
      <w:pPr>
        <w:pStyle w:val="Übersicht"/>
        <w:ind w:left="680"/>
      </w:pPr>
      <w:hyperlink w:anchor="b1000" w:history="1">
        <w:r>
          <w:rPr>
            <w:color w:val="0A3A8C"/>
            <w:u w:val="single"/>
          </w:rPr>
          <w:t xml:space="preserve">§ 922 Arresturteil und Arrestbeschluss</w:t>
        </w:r>
      </w:hyperlink>
    </w:p>
    <w:p>
      <w:pPr>
        <w:pStyle w:val="Übersicht"/>
        <w:ind w:left="680"/>
      </w:pPr>
      <w:hyperlink w:anchor="b1001" w:history="1">
        <w:r>
          <w:rPr>
            <w:color w:val="0A3A8C"/>
            <w:u w:val="single"/>
          </w:rPr>
          <w:t xml:space="preserve">§ 923 Abwendungsbefugnis</w:t>
        </w:r>
      </w:hyperlink>
    </w:p>
    <w:p>
      <w:pPr>
        <w:pStyle w:val="Übersicht"/>
        <w:ind w:left="680"/>
      </w:pPr>
      <w:hyperlink w:anchor="b1002" w:history="1">
        <w:r>
          <w:rPr>
            <w:color w:val="0A3A8C"/>
            <w:u w:val="single"/>
          </w:rPr>
          <w:t xml:space="preserve">§ 924 Widerspruch</w:t>
        </w:r>
      </w:hyperlink>
    </w:p>
    <w:p>
      <w:pPr>
        <w:pStyle w:val="Übersicht"/>
        <w:ind w:left="680"/>
      </w:pPr>
      <w:hyperlink w:anchor="b1003" w:history="1">
        <w:r>
          <w:rPr>
            <w:color w:val="0A3A8C"/>
            <w:u w:val="single"/>
          </w:rPr>
          <w:t xml:space="preserve">§ 925 Entscheidung nach Widerspruch</w:t>
        </w:r>
      </w:hyperlink>
    </w:p>
    <w:p>
      <w:pPr>
        <w:pStyle w:val="Übersicht"/>
        <w:ind w:left="680"/>
      </w:pPr>
      <w:hyperlink w:anchor="b1004" w:history="1">
        <w:r>
          <w:rPr>
            <w:color w:val="0A3A8C"/>
            <w:u w:val="single"/>
          </w:rPr>
          <w:t xml:space="preserve">§ 926 Anordnung der Klageerhebung</w:t>
        </w:r>
      </w:hyperlink>
    </w:p>
    <w:p>
      <w:pPr>
        <w:pStyle w:val="Übersicht"/>
        <w:ind w:left="680"/>
      </w:pPr>
      <w:hyperlink w:anchor="b1005" w:history="1">
        <w:r>
          <w:rPr>
            <w:color w:val="0A3A8C"/>
            <w:u w:val="single"/>
          </w:rPr>
          <w:t xml:space="preserve">§ 927 Aufhebung wegen veränderter Umstände</w:t>
        </w:r>
      </w:hyperlink>
    </w:p>
    <w:p>
      <w:pPr>
        <w:pStyle w:val="Übersicht"/>
        <w:ind w:left="680"/>
      </w:pPr>
      <w:hyperlink w:anchor="b1006" w:history="1">
        <w:r>
          <w:rPr>
            <w:color w:val="0A3A8C"/>
            <w:u w:val="single"/>
          </w:rPr>
          <w:t xml:space="preserve">§ 928 Vollziehung des Arrestes</w:t>
        </w:r>
      </w:hyperlink>
    </w:p>
    <w:p>
      <w:pPr>
        <w:pStyle w:val="Übersicht"/>
        <w:ind w:left="680"/>
      </w:pPr>
      <w:hyperlink w:anchor="b1007" w:history="1">
        <w:r>
          <w:rPr>
            <w:color w:val="0A3A8C"/>
            <w:u w:val="single"/>
          </w:rPr>
          <w:t xml:space="preserve">§ 929 Vollstreckungsklausel; Vollziehungsfrist</w:t>
        </w:r>
      </w:hyperlink>
    </w:p>
    <w:p>
      <w:pPr>
        <w:pStyle w:val="Übersicht"/>
        <w:ind w:left="680"/>
      </w:pPr>
      <w:hyperlink w:anchor="b1008" w:history="1">
        <w:r>
          <w:rPr>
            <w:color w:val="0A3A8C"/>
            <w:u w:val="single"/>
          </w:rPr>
          <w:t xml:space="preserve">§ 930 Vollziehung in bewegliches Vermögen und Forderungen</w:t>
        </w:r>
      </w:hyperlink>
    </w:p>
    <w:p>
      <w:pPr>
        <w:pStyle w:val="Übersicht"/>
        <w:ind w:left="680"/>
      </w:pPr>
      <w:hyperlink w:anchor="b1009" w:history="1">
        <w:r>
          <w:rPr>
            <w:color w:val="0A3A8C"/>
            <w:u w:val="single"/>
          </w:rPr>
          <w:t xml:space="preserve">§ 931 Vollziehung in eingetragenes Schiff oder Schiffsbauwerk</w:t>
        </w:r>
      </w:hyperlink>
    </w:p>
    <w:p>
      <w:pPr>
        <w:pStyle w:val="Übersicht"/>
        <w:ind w:left="680"/>
      </w:pPr>
      <w:hyperlink w:anchor="b1010" w:history="1">
        <w:r>
          <w:rPr>
            <w:color w:val="0A3A8C"/>
            <w:u w:val="single"/>
          </w:rPr>
          <w:t xml:space="preserve">§ 932 Arresthypothek</w:t>
        </w:r>
      </w:hyperlink>
    </w:p>
    <w:p>
      <w:pPr>
        <w:pStyle w:val="Übersicht"/>
        <w:ind w:left="680"/>
      </w:pPr>
      <w:hyperlink w:anchor="b1011" w:history="1">
        <w:r>
          <w:rPr>
            <w:color w:val="0A3A8C"/>
            <w:u w:val="single"/>
          </w:rPr>
          <w:t xml:space="preserve">§ 933 Vollziehung des persönlichen Arrestes</w:t>
        </w:r>
      </w:hyperlink>
    </w:p>
    <w:p>
      <w:pPr>
        <w:pStyle w:val="Übersicht"/>
        <w:ind w:left="680"/>
      </w:pPr>
      <w:hyperlink w:anchor="b1012" w:history="1">
        <w:r>
          <w:rPr>
            <w:color w:val="0A3A8C"/>
            <w:u w:val="single"/>
          </w:rPr>
          <w:t xml:space="preserve">§ 934 Aufhebung der Arrestvollziehung</w:t>
        </w:r>
      </w:hyperlink>
    </w:p>
    <w:p>
      <w:pPr>
        <w:pStyle w:val="Übersicht"/>
        <w:ind w:left="680"/>
      </w:pPr>
      <w:hyperlink w:anchor="b1013" w:history="1">
        <w:r>
          <w:rPr>
            <w:color w:val="0A3A8C"/>
            <w:u w:val="single"/>
          </w:rPr>
          <w:t xml:space="preserve">§ 935 Einstweilige Verfügung bezüglich Streitgegenstand</w:t>
        </w:r>
      </w:hyperlink>
    </w:p>
    <w:p>
      <w:pPr>
        <w:pStyle w:val="Übersicht"/>
        <w:ind w:left="680"/>
      </w:pPr>
      <w:hyperlink w:anchor="b1014" w:history="1">
        <w:r>
          <w:rPr>
            <w:color w:val="0A3A8C"/>
            <w:u w:val="single"/>
          </w:rPr>
          <w:t xml:space="preserve">§ 936 Anwendung der Arrestvorschriften</w:t>
        </w:r>
      </w:hyperlink>
    </w:p>
    <w:p>
      <w:pPr>
        <w:pStyle w:val="Übersicht"/>
        <w:ind w:left="680"/>
      </w:pPr>
      <w:hyperlink w:anchor="b1015" w:history="1">
        <w:r>
          <w:rPr>
            <w:color w:val="0A3A8C"/>
            <w:u w:val="single"/>
          </w:rPr>
          <w:t xml:space="preserve">§ 937 Zuständiges Gericht</w:t>
        </w:r>
      </w:hyperlink>
    </w:p>
    <w:p>
      <w:pPr>
        <w:pStyle w:val="Übersicht"/>
        <w:ind w:left="680"/>
      </w:pPr>
      <w:hyperlink w:anchor="b1016" w:history="1">
        <w:r>
          <w:rPr>
            <w:color w:val="0A3A8C"/>
            <w:u w:val="single"/>
          </w:rPr>
          <w:t xml:space="preserve">§ 938 Inhalt der einstweiligen Verfügung</w:t>
        </w:r>
      </w:hyperlink>
    </w:p>
    <w:p>
      <w:pPr>
        <w:pStyle w:val="Übersicht"/>
        <w:ind w:left="680"/>
      </w:pPr>
      <w:hyperlink w:anchor="b1017" w:history="1">
        <w:r>
          <w:rPr>
            <w:color w:val="0A3A8C"/>
            <w:u w:val="single"/>
          </w:rPr>
          <w:t xml:space="preserve">§ 939 Aufhebung gegen Sicherheitsleistung</w:t>
        </w:r>
      </w:hyperlink>
    </w:p>
    <w:p>
      <w:pPr>
        <w:pStyle w:val="Übersicht"/>
        <w:ind w:left="680"/>
      </w:pPr>
      <w:hyperlink w:anchor="b1018" w:history="1">
        <w:r>
          <w:rPr>
            <w:color w:val="0A3A8C"/>
            <w:u w:val="single"/>
          </w:rPr>
          <w:t xml:space="preserve">§ 940 Einstweilige Verfügung zur Regelung eines einstweiligen Zustandes</w:t>
        </w:r>
      </w:hyperlink>
    </w:p>
    <w:p>
      <w:pPr>
        <w:pStyle w:val="Übersicht"/>
        <w:ind w:left="680"/>
      </w:pPr>
      <w:hyperlink w:anchor="b1019" w:history="1">
        <w:r>
          <w:rPr>
            <w:color w:val="0A3A8C"/>
            <w:u w:val="single"/>
          </w:rPr>
          <w:t xml:space="preserve">§ 940a Räumung von Wohnraum</w:t>
        </w:r>
      </w:hyperlink>
    </w:p>
    <w:p>
      <w:pPr>
        <w:pStyle w:val="Übersicht"/>
        <w:ind w:left="680"/>
      </w:pPr>
      <w:hyperlink w:anchor="b1020" w:history="1">
        <w:r>
          <w:rPr>
            <w:color w:val="0A3A8C"/>
            <w:u w:val="single"/>
          </w:rPr>
          <w:t xml:space="preserve">§ 941 Ersuchen um Eintragungen im Grundbuch usw.</w:t>
        </w:r>
      </w:hyperlink>
    </w:p>
    <w:p>
      <w:pPr>
        <w:pStyle w:val="Übersicht"/>
        <w:ind w:left="680"/>
      </w:pPr>
      <w:hyperlink w:anchor="b1021" w:history="1">
        <w:r>
          <w:rPr>
            <w:color w:val="0A3A8C"/>
            <w:u w:val="single"/>
          </w:rPr>
          <w:t xml:space="preserve">§ 942 Zuständigkeit des Amtsgerichts der belegenen Sache</w:t>
        </w:r>
      </w:hyperlink>
    </w:p>
    <w:p>
      <w:pPr>
        <w:pStyle w:val="Übersicht"/>
        <w:ind w:left="680"/>
      </w:pPr>
      <w:hyperlink w:anchor="b1022" w:history="1">
        <w:r>
          <w:rPr>
            <w:color w:val="0A3A8C"/>
            <w:u w:val="single"/>
          </w:rPr>
          <w:t xml:space="preserve">§ 943 Gericht der Hauptsache</w:t>
        </w:r>
      </w:hyperlink>
    </w:p>
    <w:p>
      <w:pPr>
        <w:pStyle w:val="Übersicht"/>
        <w:ind w:left="680"/>
      </w:pPr>
      <w:hyperlink w:anchor="b1023" w:history="1">
        <w:r>
          <w:rPr>
            <w:color w:val="0A3A8C"/>
            <w:u w:val="single"/>
          </w:rPr>
          <w:t xml:space="preserve">§ 944 Entscheidung des Vorsitzenden bei Dringlichkeit</w:t>
        </w:r>
      </w:hyperlink>
    </w:p>
    <w:p>
      <w:pPr>
        <w:pStyle w:val="Übersicht"/>
        <w:ind w:left="680"/>
      </w:pPr>
      <w:hyperlink w:anchor="b1024" w:history="1">
        <w:r>
          <w:rPr>
            <w:color w:val="0A3A8C"/>
            <w:u w:val="single"/>
          </w:rPr>
          <w:t xml:space="preserve">§ 945 Schadensersatzpflicht</w:t>
        </w:r>
      </w:hyperlink>
    </w:p>
    <w:p>
      <w:pPr>
        <w:pStyle w:val="Übersicht"/>
        <w:ind w:left="680"/>
      </w:pPr>
      <w:hyperlink w:anchor="b1025" w:history="1">
        <w:r>
          <w:rPr>
            <w:color w:val="0A3A8C"/>
            <w:u w:val="single"/>
          </w:rPr>
          <w:t xml:space="preserve">§ 945a Einreichung von Schutzschriften</w:t>
        </w:r>
      </w:hyperlink>
    </w:p>
    <w:p>
      <w:pPr>
        <w:pStyle w:val="Übersicht"/>
        <w:ind w:left="680"/>
      </w:pPr>
      <w:hyperlink w:anchor="b1026" w:history="1">
        <w:r>
          <w:rPr>
            <w:color w:val="0A3A8C"/>
            <w:u w:val="single"/>
          </w:rPr>
          <w:t xml:space="preserve">§ 945b Verordnungsermächtigung</w:t>
        </w:r>
      </w:hyperlink>
    </w:p>
    <w:p>
      <w:pPr>
        <w:pStyle w:val="Übersicht"/>
        <w:ind w:left="340"/>
      </w:pPr>
      <w:hyperlink w:anchor="b1027" w:history="1">
        <w:r>
          <w:rPr>
            <w:b/>
            <w:color w:val="0A3A8C"/>
            <w:u w:val="single"/>
          </w:rPr>
          <w:t xml:space="preserve">Abschnitt 6 Grenzüberschreitende vorläufige Kontenpfändung</w:t>
        </w:r>
      </w:hyperlink>
    </w:p>
    <w:p>
      <w:pPr>
        <w:pStyle w:val="Übersicht"/>
        <w:ind w:left="680"/>
      </w:pPr>
      <w:hyperlink w:anchor="b1028" w:history="1">
        <w:r>
          <w:rPr>
            <w:b/>
            <w:color w:val="0A3A8C"/>
            <w:u w:val="single"/>
          </w:rPr>
          <w:t xml:space="preserve">Titel 1 Erlass des Beschlusses zur vorläufigen Kontenpfändung</w:t>
        </w:r>
      </w:hyperlink>
    </w:p>
    <w:p>
      <w:pPr>
        <w:pStyle w:val="Übersicht"/>
        <w:ind w:left="1020"/>
      </w:pPr>
      <w:hyperlink w:anchor="b1029" w:history="1">
        <w:r>
          <w:rPr>
            <w:color w:val="0A3A8C"/>
            <w:u w:val="single"/>
          </w:rPr>
          <w:t xml:space="preserve">§ 946 Zuständigkeit</w:t>
        </w:r>
      </w:hyperlink>
    </w:p>
    <w:p>
      <w:pPr>
        <w:pStyle w:val="Übersicht"/>
        <w:ind w:left="1020"/>
      </w:pPr>
      <w:hyperlink w:anchor="b1030" w:history="1">
        <w:r>
          <w:rPr>
            <w:color w:val="0A3A8C"/>
            <w:u w:val="single"/>
          </w:rPr>
          <w:t xml:space="preserve">§ 947 Verfahren</w:t>
        </w:r>
      </w:hyperlink>
    </w:p>
    <w:p>
      <w:pPr>
        <w:pStyle w:val="Übersicht"/>
        <w:ind w:left="1020"/>
      </w:pPr>
      <w:hyperlink w:anchor="b1031" w:history="1">
        <w:r>
          <w:rPr>
            <w:color w:val="0A3A8C"/>
            <w:u w:val="single"/>
          </w:rPr>
          <w:t xml:space="preserve">§ 948 Ersuchen um Einholung von Kontoinformationen</w:t>
        </w:r>
      </w:hyperlink>
    </w:p>
    <w:p>
      <w:pPr>
        <w:pStyle w:val="Übersicht"/>
        <w:ind w:left="1020"/>
      </w:pPr>
      <w:hyperlink w:anchor="b1032" w:history="1">
        <w:r>
          <w:rPr>
            <w:color w:val="0A3A8C"/>
            <w:u w:val="single"/>
          </w:rPr>
          <w:t xml:space="preserve">§ 949 Nicht rechtzeitige Einleitung des Hauptsacheverfahrens</w:t>
        </w:r>
      </w:hyperlink>
    </w:p>
    <w:p>
      <w:pPr>
        <w:pStyle w:val="Übersicht"/>
        <w:ind w:left="680"/>
      </w:pPr>
      <w:hyperlink w:anchor="b1033" w:history="1">
        <w:r>
          <w:rPr>
            <w:b/>
            <w:color w:val="0A3A8C"/>
            <w:u w:val="single"/>
          </w:rPr>
          <w:t xml:space="preserve">Titel 2 Vollziehung des Beschlusses zur vorläufigen Kontenpfändung</w:t>
        </w:r>
      </w:hyperlink>
    </w:p>
    <w:p>
      <w:pPr>
        <w:pStyle w:val="Übersicht"/>
        <w:ind w:left="1020"/>
      </w:pPr>
      <w:hyperlink w:anchor="b1034" w:history="1">
        <w:r>
          <w:rPr>
            <w:color w:val="0A3A8C"/>
            <w:u w:val="single"/>
          </w:rPr>
          <w:t xml:space="preserve">§ 950 Anwendbare Vorschriften</w:t>
        </w:r>
      </w:hyperlink>
    </w:p>
    <w:p>
      <w:pPr>
        <w:pStyle w:val="Übersicht"/>
        <w:ind w:left="1020"/>
      </w:pPr>
      <w:hyperlink w:anchor="b1035" w:history="1">
        <w:r>
          <w:rPr>
            <w:color w:val="0A3A8C"/>
            <w:u w:val="single"/>
          </w:rPr>
          <w:t xml:space="preserve">§ 951 Vollziehung von im Inland erlassenen Beschlüssen</w:t>
        </w:r>
      </w:hyperlink>
    </w:p>
    <w:p>
      <w:pPr>
        <w:pStyle w:val="Übersicht"/>
        <w:ind w:left="1020"/>
      </w:pPr>
      <w:hyperlink w:anchor="b1036" w:history="1">
        <w:r>
          <w:rPr>
            <w:color w:val="0A3A8C"/>
            <w:u w:val="single"/>
          </w:rPr>
          <w:t xml:space="preserve">§ 952 Vollziehung von in einem anderen Mitgliedstaat erlassenen Beschlüssen</w:t>
        </w:r>
      </w:hyperlink>
    </w:p>
    <w:p>
      <w:pPr>
        <w:pStyle w:val="Übersicht"/>
        <w:ind w:left="680"/>
      </w:pPr>
      <w:hyperlink w:anchor="b1037" w:history="1">
        <w:r>
          <w:rPr>
            <w:b/>
            <w:color w:val="0A3A8C"/>
            <w:u w:val="single"/>
          </w:rPr>
          <w:t xml:space="preserve">Titel 3 Rechtsbehelfe</w:t>
        </w:r>
      </w:hyperlink>
    </w:p>
    <w:p>
      <w:pPr>
        <w:pStyle w:val="Übersicht"/>
        <w:ind w:left="1020"/>
      </w:pPr>
      <w:hyperlink w:anchor="b1038" w:history="1">
        <w:r>
          <w:rPr>
            <w:color w:val="0A3A8C"/>
            <w:u w:val="single"/>
          </w:rPr>
          <w:t xml:space="preserve">§ 953 Rechtsbehelfe des Gläubigers</w:t>
        </w:r>
      </w:hyperlink>
    </w:p>
    <w:p>
      <w:pPr>
        <w:pStyle w:val="Übersicht"/>
        <w:ind w:left="1020"/>
      </w:pPr>
      <w:hyperlink w:anchor="b1039" w:history="1">
        <w:r>
          <w:rPr>
            <w:color w:val="0A3A8C"/>
            <w:u w:val="single"/>
          </w:rPr>
          <w:t xml:space="preserve">§ 954 Rechtsbehelfe nach den Artikeln 33 bis 35 der Verordnung (EU) Nr. 655/2014</w:t>
        </w:r>
      </w:hyperlink>
    </w:p>
    <w:p>
      <w:pPr>
        <w:pStyle w:val="Übersicht"/>
        <w:ind w:left="1020"/>
      </w:pPr>
      <w:hyperlink w:anchor="b1040" w:history="1">
        <w:r>
          <w:rPr>
            <w:color w:val="0A3A8C"/>
            <w:u w:val="single"/>
          </w:rPr>
          <w:t xml:space="preserve">§ 955 Sicherheitsleistung nach Artikel 38 der Verordnung (EU) Nr. 655/2014</w:t>
        </w:r>
      </w:hyperlink>
    </w:p>
    <w:p>
      <w:pPr>
        <w:pStyle w:val="Übersicht"/>
        <w:ind w:left="1020"/>
      </w:pPr>
      <w:hyperlink w:anchor="b1041" w:history="1">
        <w:r>
          <w:rPr>
            <w:color w:val="0A3A8C"/>
            <w:u w:val="single"/>
          </w:rPr>
          <w:t xml:space="preserve">§ 956 Rechtsmittel gegen die Entscheidungen nach § 954 Absatz 1 bis 3 und § 955</w:t>
        </w:r>
      </w:hyperlink>
    </w:p>
    <w:p>
      <w:pPr>
        <w:pStyle w:val="Übersicht"/>
        <w:ind w:left="1020"/>
      </w:pPr>
      <w:hyperlink w:anchor="b1042" w:history="1">
        <w:r>
          <w:rPr>
            <w:color w:val="0A3A8C"/>
            <w:u w:val="single"/>
          </w:rPr>
          <w:t xml:space="preserve">§ 957 Ausschluss der Rechtsbeschwerde</w:t>
        </w:r>
      </w:hyperlink>
    </w:p>
    <w:p>
      <w:pPr>
        <w:pStyle w:val="Übersicht"/>
        <w:ind w:left="680"/>
      </w:pPr>
      <w:hyperlink w:anchor="b1043" w:history="1">
        <w:r>
          <w:rPr>
            <w:b/>
            <w:color w:val="0A3A8C"/>
            <w:u w:val="single"/>
          </w:rPr>
          <w:t xml:space="preserve">Titel 4 Schadensersatz; Verordnungsermächtigung</w:t>
        </w:r>
      </w:hyperlink>
    </w:p>
    <w:p>
      <w:pPr>
        <w:pStyle w:val="Übersicht"/>
        <w:ind w:left="1020"/>
      </w:pPr>
      <w:hyperlink w:anchor="b1044" w:history="1">
        <w:r>
          <w:rPr>
            <w:color w:val="0A3A8C"/>
            <w:u w:val="single"/>
          </w:rPr>
          <w:t xml:space="preserve">§ 958 Schadensersatz</w:t>
        </w:r>
      </w:hyperlink>
    </w:p>
    <w:p>
      <w:pPr>
        <w:pStyle w:val="Übersicht"/>
        <w:ind w:left="1020"/>
      </w:pPr>
      <w:hyperlink w:anchor="b1045" w:history="1">
        <w:r>
          <w:rPr>
            <w:color w:val="0A3A8C"/>
            <w:u w:val="single"/>
          </w:rPr>
          <w:t xml:space="preserve">§ 959 Verordnungsermächtigung</w:t>
        </w:r>
      </w:hyperlink>
    </w:p>
    <w:p>
      <w:pPr>
        <w:pStyle w:val="Übersicht"/>
        <w:ind w:left="0"/>
      </w:pPr>
      <w:hyperlink w:anchor="b1046" w:history="1">
        <w:r>
          <w:rPr>
            <w:b/>
            <w:color w:val="0A3A8C"/>
            <w:u w:val="single"/>
          </w:rPr>
          <w:t xml:space="preserve">Buch 9 (weggefallen)</w:t>
        </w:r>
      </w:hyperlink>
    </w:p>
    <w:p>
      <w:pPr>
        <w:pStyle w:val="Übersicht"/>
        <w:ind w:left="340"/>
      </w:pPr>
      <w:hyperlink w:anchor="b1047" w:history="1">
        <w:r>
          <w:rPr>
            <w:color w:val="0A3A8C"/>
            <w:u w:val="single"/>
          </w:rPr>
          <w:t xml:space="preserve">§§ 960 bis 1024 (weggefallen)</w:t>
        </w:r>
      </w:hyperlink>
    </w:p>
    <w:p>
      <w:pPr>
        <w:pStyle w:val="Übersicht"/>
        <w:ind w:left="0"/>
      </w:pPr>
      <w:hyperlink w:anchor="b1048" w:history="1">
        <w:r>
          <w:rPr>
            <w:b/>
            <w:color w:val="0A3A8C"/>
            <w:u w:val="single"/>
          </w:rPr>
          <w:t xml:space="preserve">Buch 10 Schiedsrichterliches Verfahren</w:t>
        </w:r>
      </w:hyperlink>
    </w:p>
    <w:p>
      <w:pPr>
        <w:pStyle w:val="Übersicht"/>
        <w:ind w:left="340"/>
      </w:pPr>
      <w:hyperlink w:anchor="b1049" w:history="1">
        <w:r>
          <w:rPr>
            <w:b/>
            <w:color w:val="0A3A8C"/>
            <w:u w:val="single"/>
          </w:rPr>
          <w:t xml:space="preserve">Abschnitt 1 Allgemeine Vorschriften</w:t>
        </w:r>
      </w:hyperlink>
    </w:p>
    <w:p>
      <w:pPr>
        <w:pStyle w:val="Übersicht"/>
        <w:ind w:left="680"/>
      </w:pPr>
      <w:hyperlink w:anchor="b1050" w:history="1">
        <w:r>
          <w:rPr>
            <w:color w:val="0A3A8C"/>
            <w:u w:val="single"/>
          </w:rPr>
          <w:t xml:space="preserve">§ 1025 Anwendungsbereich</w:t>
        </w:r>
      </w:hyperlink>
    </w:p>
    <w:p>
      <w:pPr>
        <w:pStyle w:val="Übersicht"/>
        <w:ind w:left="680"/>
      </w:pPr>
      <w:hyperlink w:anchor="b1051" w:history="1">
        <w:r>
          <w:rPr>
            <w:color w:val="0A3A8C"/>
            <w:u w:val="single"/>
          </w:rPr>
          <w:t xml:space="preserve">§ 1026 Umfang gerichtlicher Tätigkeit</w:t>
        </w:r>
      </w:hyperlink>
    </w:p>
    <w:p>
      <w:pPr>
        <w:pStyle w:val="Übersicht"/>
        <w:ind w:left="680"/>
      </w:pPr>
      <w:hyperlink w:anchor="b1052" w:history="1">
        <w:r>
          <w:rPr>
            <w:color w:val="0A3A8C"/>
            <w:u w:val="single"/>
          </w:rPr>
          <w:t xml:space="preserve">§ 1027 Verlust des Rügerechts</w:t>
        </w:r>
      </w:hyperlink>
    </w:p>
    <w:p>
      <w:pPr>
        <w:pStyle w:val="Übersicht"/>
        <w:ind w:left="680"/>
      </w:pPr>
      <w:hyperlink w:anchor="b1053" w:history="1">
        <w:r>
          <w:rPr>
            <w:color w:val="0A3A8C"/>
            <w:u w:val="single"/>
          </w:rPr>
          <w:t xml:space="preserve">§ 1028 Empfang schriftlicher Mitteilungen bei unbekanntem Aufenthalt</w:t>
        </w:r>
      </w:hyperlink>
    </w:p>
    <w:p>
      <w:pPr>
        <w:pStyle w:val="Übersicht"/>
        <w:ind w:left="340"/>
      </w:pPr>
      <w:hyperlink w:anchor="b1054" w:history="1">
        <w:r>
          <w:rPr>
            <w:b/>
            <w:color w:val="0A3A8C"/>
            <w:u w:val="single"/>
          </w:rPr>
          <w:t xml:space="preserve">Abschnitt 2 Schiedsvereinbarung</w:t>
        </w:r>
      </w:hyperlink>
    </w:p>
    <w:p>
      <w:pPr>
        <w:pStyle w:val="Übersicht"/>
        <w:ind w:left="680"/>
      </w:pPr>
      <w:hyperlink w:anchor="b1055" w:history="1">
        <w:r>
          <w:rPr>
            <w:color w:val="0A3A8C"/>
            <w:u w:val="single"/>
          </w:rPr>
          <w:t xml:space="preserve">§ 1029 Begriffsbestimmung</w:t>
        </w:r>
      </w:hyperlink>
    </w:p>
    <w:p>
      <w:pPr>
        <w:pStyle w:val="Übersicht"/>
        <w:ind w:left="680"/>
      </w:pPr>
      <w:hyperlink w:anchor="b1056" w:history="1">
        <w:r>
          <w:rPr>
            <w:color w:val="0A3A8C"/>
            <w:u w:val="single"/>
          </w:rPr>
          <w:t xml:space="preserve">§ 1030 Schiedsfähigkeit</w:t>
        </w:r>
      </w:hyperlink>
    </w:p>
    <w:p>
      <w:pPr>
        <w:pStyle w:val="Übersicht"/>
        <w:ind w:left="680"/>
      </w:pPr>
      <w:hyperlink w:anchor="b1057" w:history="1">
        <w:r>
          <w:rPr>
            <w:color w:val="0A3A8C"/>
            <w:u w:val="single"/>
          </w:rPr>
          <w:t xml:space="preserve">§ 1031 Form der Schiedsvereinbarung</w:t>
        </w:r>
      </w:hyperlink>
    </w:p>
    <w:p>
      <w:pPr>
        <w:pStyle w:val="Übersicht"/>
        <w:ind w:left="680"/>
      </w:pPr>
      <w:hyperlink w:anchor="b1058" w:history="1">
        <w:r>
          <w:rPr>
            <w:color w:val="0A3A8C"/>
            <w:u w:val="single"/>
          </w:rPr>
          <w:t xml:space="preserve">§ 1032 Schiedsvereinbarung und Klage vor Gericht</w:t>
        </w:r>
      </w:hyperlink>
    </w:p>
    <w:p>
      <w:pPr>
        <w:pStyle w:val="Übersicht"/>
        <w:ind w:left="680"/>
      </w:pPr>
      <w:hyperlink w:anchor="b1059" w:history="1">
        <w:r>
          <w:rPr>
            <w:color w:val="0A3A8C"/>
            <w:u w:val="single"/>
          </w:rPr>
          <w:t xml:space="preserve">§ 1033 Schiedsvereinbarung und einstweilige gerichtliche Maßnahmen</w:t>
        </w:r>
      </w:hyperlink>
    </w:p>
    <w:p>
      <w:pPr>
        <w:pStyle w:val="Übersicht"/>
        <w:ind w:left="340"/>
      </w:pPr>
      <w:hyperlink w:anchor="b1060" w:history="1">
        <w:r>
          <w:rPr>
            <w:b/>
            <w:color w:val="0A3A8C"/>
            <w:u w:val="single"/>
          </w:rPr>
          <w:t xml:space="preserve">Abschnitt 3 Bildung des Schiedsgerichts</w:t>
        </w:r>
      </w:hyperlink>
    </w:p>
    <w:p>
      <w:pPr>
        <w:pStyle w:val="Übersicht"/>
        <w:ind w:left="680"/>
      </w:pPr>
      <w:hyperlink w:anchor="b1061" w:history="1">
        <w:r>
          <w:rPr>
            <w:color w:val="0A3A8C"/>
            <w:u w:val="single"/>
          </w:rPr>
          <w:t xml:space="preserve">§ 1034 Zusammensetzung des Schiedsgerichts</w:t>
        </w:r>
      </w:hyperlink>
    </w:p>
    <w:p>
      <w:pPr>
        <w:pStyle w:val="Übersicht"/>
        <w:ind w:left="680"/>
      </w:pPr>
      <w:hyperlink w:anchor="b1062" w:history="1">
        <w:r>
          <w:rPr>
            <w:color w:val="0A3A8C"/>
            <w:u w:val="single"/>
          </w:rPr>
          <w:t xml:space="preserve">§ 1035 Bestellung der Schiedsrichter</w:t>
        </w:r>
      </w:hyperlink>
    </w:p>
    <w:p>
      <w:pPr>
        <w:pStyle w:val="Übersicht"/>
        <w:ind w:left="680"/>
      </w:pPr>
      <w:hyperlink w:anchor="b1063" w:history="1">
        <w:r>
          <w:rPr>
            <w:color w:val="0A3A8C"/>
            <w:u w:val="single"/>
          </w:rPr>
          <w:t xml:space="preserve">§ 1036 Ablehnung eines Schiedsrichters</w:t>
        </w:r>
      </w:hyperlink>
    </w:p>
    <w:p>
      <w:pPr>
        <w:pStyle w:val="Übersicht"/>
        <w:ind w:left="680"/>
      </w:pPr>
      <w:hyperlink w:anchor="b1064" w:history="1">
        <w:r>
          <w:rPr>
            <w:color w:val="0A3A8C"/>
            <w:u w:val="single"/>
          </w:rPr>
          <w:t xml:space="preserve">§ 1037 Ablehnungsverfahren</w:t>
        </w:r>
      </w:hyperlink>
    </w:p>
    <w:p>
      <w:pPr>
        <w:pStyle w:val="Übersicht"/>
        <w:ind w:left="680"/>
      </w:pPr>
      <w:hyperlink w:anchor="b1065" w:history="1">
        <w:r>
          <w:rPr>
            <w:color w:val="0A3A8C"/>
            <w:u w:val="single"/>
          </w:rPr>
          <w:t xml:space="preserve">§ 1038 Untätigkeit oder Unmöglichkeit der Aufgabenerfüllung</w:t>
        </w:r>
      </w:hyperlink>
    </w:p>
    <w:p>
      <w:pPr>
        <w:pStyle w:val="Übersicht"/>
        <w:ind w:left="680"/>
      </w:pPr>
      <w:hyperlink w:anchor="b1066" w:history="1">
        <w:r>
          <w:rPr>
            <w:color w:val="0A3A8C"/>
            <w:u w:val="single"/>
          </w:rPr>
          <w:t xml:space="preserve">§ 1039 Bestellung eines Ersatzschiedsrichters</w:t>
        </w:r>
      </w:hyperlink>
    </w:p>
    <w:p>
      <w:pPr>
        <w:pStyle w:val="Übersicht"/>
        <w:ind w:left="340"/>
      </w:pPr>
      <w:hyperlink w:anchor="b1067" w:history="1">
        <w:r>
          <w:rPr>
            <w:b/>
            <w:color w:val="0A3A8C"/>
            <w:u w:val="single"/>
          </w:rPr>
          <w:t xml:space="preserve">Abschnitt 4 Zuständigkeit des Schiedsgerichts</w:t>
        </w:r>
      </w:hyperlink>
    </w:p>
    <w:p>
      <w:pPr>
        <w:pStyle w:val="Übersicht"/>
        <w:ind w:left="680"/>
      </w:pPr>
      <w:hyperlink w:anchor="b1068" w:history="1">
        <w:r>
          <w:rPr>
            <w:color w:val="0A3A8C"/>
            <w:u w:val="single"/>
          </w:rPr>
          <w:t xml:space="preserve">§ 1040 Befugnis des Schiedsgerichts zur Entscheidung über die eigene
Zuständigkeit</w:t>
        </w:r>
      </w:hyperlink>
    </w:p>
    <w:p>
      <w:pPr>
        <w:pStyle w:val="Übersicht"/>
        <w:ind w:left="680"/>
      </w:pPr>
      <w:hyperlink w:anchor="b1069" w:history="1">
        <w:r>
          <w:rPr>
            <w:color w:val="0A3A8C"/>
            <w:u w:val="single"/>
          </w:rPr>
          <w:t xml:space="preserve">§ 1041 Maßnahmen des einstweiligen Rechtsschutzes</w:t>
        </w:r>
      </w:hyperlink>
    </w:p>
    <w:p>
      <w:pPr>
        <w:pStyle w:val="Übersicht"/>
        <w:ind w:left="340"/>
      </w:pPr>
      <w:hyperlink w:anchor="b1070" w:history="1">
        <w:r>
          <w:rPr>
            <w:b/>
            <w:color w:val="0A3A8C"/>
            <w:u w:val="single"/>
          </w:rPr>
          <w:t xml:space="preserve">Abschnitt 5 Durchführung des schiedsrichterlichen
Verfahrens</w:t>
        </w:r>
      </w:hyperlink>
    </w:p>
    <w:p>
      <w:pPr>
        <w:pStyle w:val="Übersicht"/>
        <w:ind w:left="680"/>
      </w:pPr>
      <w:hyperlink w:anchor="b1071" w:history="1">
        <w:r>
          <w:rPr>
            <w:color w:val="0A3A8C"/>
            <w:u w:val="single"/>
          </w:rPr>
          <w:t xml:space="preserve">§ 1042 Allgemeine Verfahrensregeln</w:t>
        </w:r>
      </w:hyperlink>
    </w:p>
    <w:p>
      <w:pPr>
        <w:pStyle w:val="Übersicht"/>
        <w:ind w:left="680"/>
      </w:pPr>
      <w:hyperlink w:anchor="b1072" w:history="1">
        <w:r>
          <w:rPr>
            <w:color w:val="0A3A8C"/>
            <w:u w:val="single"/>
          </w:rPr>
          <w:t xml:space="preserve">§ 1043 Ort des schiedsrichterlichen Verfahrens</w:t>
        </w:r>
      </w:hyperlink>
    </w:p>
    <w:p>
      <w:pPr>
        <w:pStyle w:val="Übersicht"/>
        <w:ind w:left="680"/>
      </w:pPr>
      <w:hyperlink w:anchor="b1073" w:history="1">
        <w:r>
          <w:rPr>
            <w:color w:val="0A3A8C"/>
            <w:u w:val="single"/>
          </w:rPr>
          <w:t xml:space="preserve">§ 1044 Beginn des schiedsrichterlichen Verfahrens</w:t>
        </w:r>
      </w:hyperlink>
    </w:p>
    <w:p>
      <w:pPr>
        <w:pStyle w:val="Übersicht"/>
        <w:ind w:left="680"/>
      </w:pPr>
      <w:hyperlink w:anchor="b1074" w:history="1">
        <w:r>
          <w:rPr>
            <w:color w:val="0A3A8C"/>
            <w:u w:val="single"/>
          </w:rPr>
          <w:t xml:space="preserve">§ 1045 Verfahrenssprache</w:t>
        </w:r>
      </w:hyperlink>
    </w:p>
    <w:p>
      <w:pPr>
        <w:pStyle w:val="Übersicht"/>
        <w:ind w:left="680"/>
      </w:pPr>
      <w:hyperlink w:anchor="b1075" w:history="1">
        <w:r>
          <w:rPr>
            <w:color w:val="0A3A8C"/>
            <w:u w:val="single"/>
          </w:rPr>
          <w:t xml:space="preserve">§ 1046 Klage und Klagebeantwortung</w:t>
        </w:r>
      </w:hyperlink>
    </w:p>
    <w:p>
      <w:pPr>
        <w:pStyle w:val="Übersicht"/>
        <w:ind w:left="680"/>
      </w:pPr>
      <w:hyperlink w:anchor="b1076" w:history="1">
        <w:r>
          <w:rPr>
            <w:color w:val="0A3A8C"/>
            <w:u w:val="single"/>
          </w:rPr>
          <w:t xml:space="preserve">§ 1047 Mündliche Verhandlung und schriftliches Verfahren</w:t>
        </w:r>
      </w:hyperlink>
    </w:p>
    <w:p>
      <w:pPr>
        <w:pStyle w:val="Übersicht"/>
        <w:ind w:left="680"/>
      </w:pPr>
      <w:hyperlink w:anchor="b1077" w:history="1">
        <w:r>
          <w:rPr>
            <w:color w:val="0A3A8C"/>
            <w:u w:val="single"/>
          </w:rPr>
          <w:t xml:space="preserve">§ 1048 Säumnis einer Partei</w:t>
        </w:r>
      </w:hyperlink>
    </w:p>
    <w:p>
      <w:pPr>
        <w:pStyle w:val="Übersicht"/>
        <w:ind w:left="680"/>
      </w:pPr>
      <w:hyperlink w:anchor="b1078" w:history="1">
        <w:r>
          <w:rPr>
            <w:color w:val="0A3A8C"/>
            <w:u w:val="single"/>
          </w:rPr>
          <w:t xml:space="preserve">§ 1049 Vom Schiedsgericht bestellter Sachverständiger</w:t>
        </w:r>
      </w:hyperlink>
    </w:p>
    <w:p>
      <w:pPr>
        <w:pStyle w:val="Übersicht"/>
        <w:ind w:left="680"/>
      </w:pPr>
      <w:hyperlink w:anchor="b1079" w:history="1">
        <w:r>
          <w:rPr>
            <w:color w:val="0A3A8C"/>
            <w:u w:val="single"/>
          </w:rPr>
          <w:t xml:space="preserve">§ 1050 Gerichtliche Unterstützung bei der Beweisaufnahme und sonstige
richterliche Handlungen</w:t>
        </w:r>
      </w:hyperlink>
    </w:p>
    <w:p>
      <w:pPr>
        <w:pStyle w:val="Übersicht"/>
        <w:ind w:left="340"/>
      </w:pPr>
      <w:hyperlink w:anchor="b1080" w:history="1">
        <w:r>
          <w:rPr>
            <w:b/>
            <w:color w:val="0A3A8C"/>
            <w:u w:val="single"/>
          </w:rPr>
          <w:t xml:space="preserve">Abschnitt 6 Schiedsspruch und Beendigung des
Verfahrens</w:t>
        </w:r>
      </w:hyperlink>
    </w:p>
    <w:p>
      <w:pPr>
        <w:pStyle w:val="Übersicht"/>
        <w:ind w:left="680"/>
      </w:pPr>
      <w:hyperlink w:anchor="b1081" w:history="1">
        <w:r>
          <w:rPr>
            <w:color w:val="0A3A8C"/>
            <w:u w:val="single"/>
          </w:rPr>
          <w:t xml:space="preserve">§ 1051 Anwendbares Recht</w:t>
        </w:r>
      </w:hyperlink>
    </w:p>
    <w:p>
      <w:pPr>
        <w:pStyle w:val="Übersicht"/>
        <w:ind w:left="680"/>
      </w:pPr>
      <w:hyperlink w:anchor="b1082" w:history="1">
        <w:r>
          <w:rPr>
            <w:color w:val="0A3A8C"/>
            <w:u w:val="single"/>
          </w:rPr>
          <w:t xml:space="preserve">§ 1052 Entscheidung durch ein Schiedsrichterkollegium</w:t>
        </w:r>
      </w:hyperlink>
    </w:p>
    <w:p>
      <w:pPr>
        <w:pStyle w:val="Übersicht"/>
        <w:ind w:left="680"/>
      </w:pPr>
      <w:hyperlink w:anchor="b1083" w:history="1">
        <w:r>
          <w:rPr>
            <w:color w:val="0A3A8C"/>
            <w:u w:val="single"/>
          </w:rPr>
          <w:t xml:space="preserve">§ 1053 Vergleich</w:t>
        </w:r>
      </w:hyperlink>
    </w:p>
    <w:p>
      <w:pPr>
        <w:pStyle w:val="Übersicht"/>
        <w:ind w:left="680"/>
      </w:pPr>
      <w:hyperlink w:anchor="b1084" w:history="1">
        <w:r>
          <w:rPr>
            <w:color w:val="0A3A8C"/>
            <w:u w:val="single"/>
          </w:rPr>
          <w:t xml:space="preserve">§ 1054 Form und Inhalt des Schiedsspruchs</w:t>
        </w:r>
      </w:hyperlink>
    </w:p>
    <w:p>
      <w:pPr>
        <w:pStyle w:val="Übersicht"/>
        <w:ind w:left="680"/>
      </w:pPr>
      <w:hyperlink w:anchor="b1085" w:history="1">
        <w:r>
          <w:rPr>
            <w:color w:val="0A3A8C"/>
            <w:u w:val="single"/>
          </w:rPr>
          <w:t xml:space="preserve">§ 1055 Wirkungen des Schiedsspruchs</w:t>
        </w:r>
      </w:hyperlink>
    </w:p>
    <w:p>
      <w:pPr>
        <w:pStyle w:val="Übersicht"/>
        <w:ind w:left="680"/>
      </w:pPr>
      <w:hyperlink w:anchor="b1086" w:history="1">
        <w:r>
          <w:rPr>
            <w:color w:val="0A3A8C"/>
            <w:u w:val="single"/>
          </w:rPr>
          <w:t xml:space="preserve">§ 1056 Beendigung des schiedsrichterlichen Verfahrens</w:t>
        </w:r>
      </w:hyperlink>
    </w:p>
    <w:p>
      <w:pPr>
        <w:pStyle w:val="Übersicht"/>
        <w:ind w:left="680"/>
      </w:pPr>
      <w:hyperlink w:anchor="b1087" w:history="1">
        <w:r>
          <w:rPr>
            <w:color w:val="0A3A8C"/>
            <w:u w:val="single"/>
          </w:rPr>
          <w:t xml:space="preserve">§ 1057 Entscheidung über die Kosten</w:t>
        </w:r>
      </w:hyperlink>
    </w:p>
    <w:p>
      <w:pPr>
        <w:pStyle w:val="Übersicht"/>
        <w:ind w:left="680"/>
      </w:pPr>
      <w:hyperlink w:anchor="b1088" w:history="1">
        <w:r>
          <w:rPr>
            <w:color w:val="0A3A8C"/>
            <w:u w:val="single"/>
          </w:rPr>
          <w:t xml:space="preserve">§ 1058 Berichtigung, Auslegung und Ergänzung des Schiedsspruchs</w:t>
        </w:r>
      </w:hyperlink>
    </w:p>
    <w:p>
      <w:pPr>
        <w:pStyle w:val="Übersicht"/>
        <w:ind w:left="340"/>
      </w:pPr>
      <w:hyperlink w:anchor="b1089" w:history="1">
        <w:r>
          <w:rPr>
            <w:b/>
            <w:color w:val="0A3A8C"/>
            <w:u w:val="single"/>
          </w:rPr>
          <w:t xml:space="preserve">Abschnitt 7 Rechtsbehelf gegen den Schiedsspruch</w:t>
        </w:r>
      </w:hyperlink>
    </w:p>
    <w:p>
      <w:pPr>
        <w:pStyle w:val="Übersicht"/>
        <w:ind w:left="680"/>
      </w:pPr>
      <w:hyperlink w:anchor="b1090" w:history="1">
        <w:r>
          <w:rPr>
            <w:color w:val="0A3A8C"/>
            <w:u w:val="single"/>
          </w:rPr>
          <w:t xml:space="preserve">§ 1059 Aufhebungsantrag</w:t>
        </w:r>
      </w:hyperlink>
    </w:p>
    <w:p>
      <w:pPr>
        <w:pStyle w:val="Übersicht"/>
        <w:ind w:left="340"/>
      </w:pPr>
      <w:hyperlink w:anchor="b1091" w:history="1">
        <w:r>
          <w:rPr>
            <w:b/>
            <w:color w:val="0A3A8C"/>
            <w:u w:val="single"/>
          </w:rPr>
          <w:t xml:space="preserve">Abschnitt 8 Voraussetzungen der Anerkennung und
Vollstreckung von Schiedssprüchen</w:t>
        </w:r>
      </w:hyperlink>
    </w:p>
    <w:p>
      <w:pPr>
        <w:pStyle w:val="Übersicht"/>
        <w:ind w:left="680"/>
      </w:pPr>
      <w:hyperlink w:anchor="b1092" w:history="1">
        <w:r>
          <w:rPr>
            <w:color w:val="0A3A8C"/>
            <w:u w:val="single"/>
          </w:rPr>
          <w:t xml:space="preserve">§ 1060 Inländische Schiedssprüche</w:t>
        </w:r>
      </w:hyperlink>
    </w:p>
    <w:p>
      <w:pPr>
        <w:pStyle w:val="Übersicht"/>
        <w:ind w:left="680"/>
      </w:pPr>
      <w:hyperlink w:anchor="b1093" w:history="1">
        <w:r>
          <w:rPr>
            <w:color w:val="0A3A8C"/>
            <w:u w:val="single"/>
          </w:rPr>
          <w:t xml:space="preserve">§ 1061 Ausländische Schiedssprüche</w:t>
        </w:r>
      </w:hyperlink>
    </w:p>
    <w:p>
      <w:pPr>
        <w:pStyle w:val="Übersicht"/>
        <w:ind w:left="340"/>
      </w:pPr>
      <w:hyperlink w:anchor="b1094" w:history="1">
        <w:r>
          <w:rPr>
            <w:b/>
            <w:color w:val="0A3A8C"/>
            <w:u w:val="single"/>
          </w:rPr>
          <w:t xml:space="preserve">Abschnitt 9 Gerichtliches Verfahren</w:t>
        </w:r>
      </w:hyperlink>
    </w:p>
    <w:p>
      <w:pPr>
        <w:pStyle w:val="Übersicht"/>
        <w:ind w:left="680"/>
      </w:pPr>
      <w:hyperlink w:anchor="b1095" w:history="1">
        <w:r>
          <w:rPr>
            <w:color w:val="0A3A8C"/>
            <w:u w:val="single"/>
          </w:rPr>
          <w:t xml:space="preserve">§ 1062 Zuständigkeit</w:t>
        </w:r>
      </w:hyperlink>
    </w:p>
    <w:p>
      <w:pPr>
        <w:pStyle w:val="Übersicht"/>
        <w:ind w:left="680"/>
      </w:pPr>
      <w:hyperlink w:anchor="b1096" w:history="1">
        <w:r>
          <w:rPr>
            <w:color w:val="0A3A8C"/>
            <w:u w:val="single"/>
          </w:rPr>
          <w:t xml:space="preserve">§ 1063 Allgemeine Vorschriften</w:t>
        </w:r>
      </w:hyperlink>
    </w:p>
    <w:p>
      <w:pPr>
        <w:pStyle w:val="Übersicht"/>
        <w:ind w:left="680"/>
      </w:pPr>
      <w:hyperlink w:anchor="b1097" w:history="1">
        <w:r>
          <w:rPr>
            <w:color w:val="0A3A8C"/>
            <w:u w:val="single"/>
          </w:rPr>
          <w:t xml:space="preserve">§ 1064 Besonderheiten bei der Vollstreckbarerklärung von Schiedssprüchen</w:t>
        </w:r>
      </w:hyperlink>
    </w:p>
    <w:p>
      <w:pPr>
        <w:pStyle w:val="Übersicht"/>
        <w:ind w:left="680"/>
      </w:pPr>
      <w:hyperlink w:anchor="b1098" w:history="1">
        <w:r>
          <w:rPr>
            <w:color w:val="0A3A8C"/>
            <w:u w:val="single"/>
          </w:rPr>
          <w:t xml:space="preserve">§ 1065 Rechtsmittel</w:t>
        </w:r>
      </w:hyperlink>
    </w:p>
    <w:p>
      <w:pPr>
        <w:pStyle w:val="Übersicht"/>
        <w:ind w:left="340"/>
      </w:pPr>
      <w:hyperlink w:anchor="b1099" w:history="1">
        <w:r>
          <w:rPr>
            <w:b/>
            <w:color w:val="0A3A8C"/>
            <w:u w:val="single"/>
          </w:rPr>
          <w:t xml:space="preserve">Abschnitt 10 Außervertragliche Schiedsgerichte</w:t>
        </w:r>
      </w:hyperlink>
    </w:p>
    <w:p>
      <w:pPr>
        <w:pStyle w:val="Übersicht"/>
        <w:ind w:left="680"/>
      </w:pPr>
      <w:hyperlink w:anchor="b1100" w:history="1">
        <w:r>
          <w:rPr>
            <w:color w:val="0A3A8C"/>
            <w:u w:val="single"/>
          </w:rPr>
          <w:t xml:space="preserve">§ 1066 Entsprechende Anwendung der Vorschriften des Buches 10</w:t>
        </w:r>
      </w:hyperlink>
    </w:p>
    <w:p>
      <w:pPr>
        <w:pStyle w:val="Übersicht"/>
        <w:ind w:left="0"/>
      </w:pPr>
      <w:hyperlink w:anchor="b1101" w:history="1">
        <w:r>
          <w:rPr>
            <w:b/>
            <w:color w:val="0A3A8C"/>
            <w:u w:val="single"/>
          </w:rPr>
          <w:t xml:space="preserve">Buch 11 Justizielle Zusammenarbeit in der Europäischen Union</w:t>
        </w:r>
      </w:hyperlink>
    </w:p>
    <w:p>
      <w:pPr>
        <w:pStyle w:val="Übersicht"/>
        <w:ind w:left="340"/>
      </w:pPr>
      <w:hyperlink w:anchor="b1102" w:history="1">
        <w:r>
          <w:rPr>
            <w:b/>
            <w:color w:val="0A3A8C"/>
            <w:u w:val="single"/>
          </w:rPr>
          <w:t xml:space="preserve">Abschnitt 1 Zustellung nach der Verordnung (EU) 2020/1784</w:t>
        </w:r>
      </w:hyperlink>
    </w:p>
    <w:p>
      <w:pPr>
        <w:pStyle w:val="Übersicht"/>
        <w:ind w:left="680"/>
      </w:pPr>
      <w:hyperlink w:anchor="b1103" w:history="1">
        <w:r>
          <w:rPr>
            <w:color w:val="0A3A8C"/>
            <w:u w:val="single"/>
          </w:rPr>
          <w:t xml:space="preserve">§ 1067 Zustellung durch Auslandsvertretungen</w:t>
        </w:r>
      </w:hyperlink>
    </w:p>
    <w:p>
      <w:pPr>
        <w:pStyle w:val="Übersicht"/>
        <w:ind w:left="680"/>
      </w:pPr>
      <w:hyperlink w:anchor="b1104" w:history="1">
        <w:r>
          <w:rPr>
            <w:color w:val="0A3A8C"/>
            <w:u w:val="single"/>
          </w:rPr>
          <w:t xml:space="preserve">§ 1068 Elektronische Zustellung</w:t>
        </w:r>
      </w:hyperlink>
    </w:p>
    <w:p>
      <w:pPr>
        <w:pStyle w:val="Übersicht"/>
        <w:ind w:left="680"/>
      </w:pPr>
      <w:hyperlink w:anchor="b1105" w:history="1">
        <w:r>
          <w:rPr>
            <w:color w:val="0A3A8C"/>
            <w:u w:val="single"/>
          </w:rPr>
          <w:t xml:space="preserve">§ 1069 Zuständigkeiten nach der Verordnung (EU) 2020/1784; Verordnungsermächtigungen</w:t>
        </w:r>
      </w:hyperlink>
    </w:p>
    <w:p>
      <w:pPr>
        <w:pStyle w:val="Übersicht"/>
        <w:ind w:left="680"/>
      </w:pPr>
      <w:hyperlink w:anchor="b1106" w:history="1">
        <w:r>
          <w:rPr>
            <w:color w:val="0A3A8C"/>
            <w:u w:val="single"/>
          </w:rPr>
          <w:t xml:space="preserve">§ 1070 Sprache eingehender Anträge, Bescheinigungen und Mitteilungen</w:t>
        </w:r>
      </w:hyperlink>
    </w:p>
    <w:p>
      <w:pPr>
        <w:pStyle w:val="Übersicht"/>
        <w:ind w:left="680"/>
      </w:pPr>
      <w:hyperlink w:anchor="b1107" w:history="1">
        <w:r>
          <w:rPr>
            <w:color w:val="0A3A8C"/>
            <w:u w:val="single"/>
          </w:rPr>
          <w:t xml:space="preserve">§ 1071 Zustellung nach dem Abkommen zwischen der Europäischen Gemeinschaft und dem Königreich Dänemark vom 19. Oktober 2005 über die Zustellung gerichtlicher und außergerichtlicher Schriftstücke in Zivil- oder Handelssachen</w:t>
        </w:r>
      </w:hyperlink>
    </w:p>
    <w:p>
      <w:pPr>
        <w:pStyle w:val="Übersicht"/>
        <w:ind w:left="340"/>
      </w:pPr>
      <w:hyperlink w:anchor="b1108" w:history="1">
        <w:r>
          <w:rPr>
            <w:b/>
            <w:color w:val="0A3A8C"/>
            <w:u w:val="single"/>
          </w:rPr>
          <w:t xml:space="preserve">Abschnitt 2 Beweisaufnahme nach der Verordnung (EU) 2020/1783</w:t>
        </w:r>
      </w:hyperlink>
    </w:p>
    <w:p>
      <w:pPr>
        <w:pStyle w:val="Übersicht"/>
        <w:ind w:left="680"/>
      </w:pPr>
      <w:hyperlink w:anchor="b1109" w:history="1">
        <w:r>
          <w:rPr>
            <w:color w:val="0A3A8C"/>
            <w:u w:val="single"/>
          </w:rPr>
          <w:t xml:space="preserve">§ 1072 Beweisaufnahme in den Mitgliedstaaten der Europäischen Union</w:t>
        </w:r>
      </w:hyperlink>
    </w:p>
    <w:p>
      <w:pPr>
        <w:pStyle w:val="Übersicht"/>
        <w:ind w:left="680"/>
      </w:pPr>
      <w:hyperlink w:anchor="b1110" w:history="1">
        <w:r>
          <w:rPr>
            <w:color w:val="0A3A8C"/>
            <w:u w:val="single"/>
          </w:rPr>
          <w:t xml:space="preserve">§ 1073 Teilnahmerechte</w:t>
        </w:r>
      </w:hyperlink>
    </w:p>
    <w:p>
      <w:pPr>
        <w:pStyle w:val="Übersicht"/>
        <w:ind w:left="680"/>
      </w:pPr>
      <w:hyperlink w:anchor="b1111" w:history="1">
        <w:r>
          <w:rPr>
            <w:color w:val="0A3A8C"/>
            <w:u w:val="single"/>
          </w:rPr>
          <w:t xml:space="preserve">§ 1074 Zuständigkeiten nach der Verordnung (EU) 2020/1783; Verordnungsermächtigung</w:t>
        </w:r>
      </w:hyperlink>
    </w:p>
    <w:p>
      <w:pPr>
        <w:pStyle w:val="Übersicht"/>
        <w:ind w:left="680"/>
      </w:pPr>
      <w:hyperlink w:anchor="b1112" w:history="1">
        <w:r>
          <w:rPr>
            <w:color w:val="0A3A8C"/>
            <w:u w:val="single"/>
          </w:rPr>
          <w:t xml:space="preserve">§ 1075 Sprache eingehender Ersuchen</w:t>
        </w:r>
      </w:hyperlink>
    </w:p>
    <w:p>
      <w:pPr>
        <w:pStyle w:val="Übersicht"/>
        <w:ind w:left="340"/>
      </w:pPr>
      <w:hyperlink w:anchor="b1113" w:history="1">
        <w:r>
          <w:rPr>
            <w:b/>
            <w:color w:val="0A3A8C"/>
            <w:u w:val="single"/>
          </w:rPr>
          <w:t xml:space="preserve">Abschnitt 3 Prozesskostenhilfe nach der Richtlinie
2003/8/EG</w:t>
        </w:r>
      </w:hyperlink>
    </w:p>
    <w:p>
      <w:pPr>
        <w:pStyle w:val="Übersicht"/>
        <w:ind w:left="680"/>
      </w:pPr>
      <w:hyperlink w:anchor="b1114" w:history="1">
        <w:r>
          <w:rPr>
            <w:color w:val="0A3A8C"/>
            <w:u w:val="single"/>
          </w:rPr>
          <w:t xml:space="preserve">§ 1076 Anwendbare Vorschriften</w:t>
        </w:r>
      </w:hyperlink>
    </w:p>
    <w:p>
      <w:pPr>
        <w:pStyle w:val="Übersicht"/>
        <w:ind w:left="680"/>
      </w:pPr>
      <w:hyperlink w:anchor="b1115" w:history="1">
        <w:r>
          <w:rPr>
            <w:color w:val="0A3A8C"/>
            <w:u w:val="single"/>
          </w:rPr>
          <w:t xml:space="preserve">§ 1077 Ausgehende Ersuchen</w:t>
        </w:r>
      </w:hyperlink>
    </w:p>
    <w:p>
      <w:pPr>
        <w:pStyle w:val="Übersicht"/>
        <w:ind w:left="680"/>
      </w:pPr>
      <w:hyperlink w:anchor="b1116" w:history="1">
        <w:r>
          <w:rPr>
            <w:color w:val="0A3A8C"/>
            <w:u w:val="single"/>
          </w:rPr>
          <w:t xml:space="preserve">§ 1078 Eingehende Ersuchen</w:t>
        </w:r>
      </w:hyperlink>
    </w:p>
    <w:p>
      <w:pPr>
        <w:pStyle w:val="Übersicht"/>
        <w:ind w:left="340"/>
      </w:pPr>
      <w:hyperlink w:anchor="b1117" w:history="1">
        <w:r>
          <w:rPr>
            <w:b/>
            <w:color w:val="0A3A8C"/>
            <w:u w:val="single"/>
          </w:rPr>
          <w:t xml:space="preserve">Abschnitt 4 Europäische Vollstreckungstitel nach der Verordnung (EG) Nr. 805/2004</w:t>
        </w:r>
      </w:hyperlink>
    </w:p>
    <w:p>
      <w:pPr>
        <w:pStyle w:val="Übersicht"/>
        <w:ind w:left="680"/>
      </w:pPr>
      <w:hyperlink w:anchor="b1118" w:history="1">
        <w:r>
          <w:rPr>
            <w:b/>
            <w:color w:val="0A3A8C"/>
            <w:u w:val="single"/>
          </w:rPr>
          <w:t xml:space="preserve">Titel 1 Bestätigung inländischer Titel als
Europäische Vollstreckungstitel</w:t>
        </w:r>
      </w:hyperlink>
    </w:p>
    <w:p>
      <w:pPr>
        <w:pStyle w:val="Übersicht"/>
        <w:ind w:left="1020"/>
      </w:pPr>
      <w:hyperlink w:anchor="b1119" w:history="1">
        <w:r>
          <w:rPr>
            <w:color w:val="0A3A8C"/>
            <w:u w:val="single"/>
          </w:rPr>
          <w:t xml:space="preserve">§ 1079 Zuständigkeit</w:t>
        </w:r>
      </w:hyperlink>
    </w:p>
    <w:p>
      <w:pPr>
        <w:pStyle w:val="Übersicht"/>
        <w:ind w:left="1020"/>
      </w:pPr>
      <w:hyperlink w:anchor="b1120" w:history="1">
        <w:r>
          <w:rPr>
            <w:color w:val="0A3A8C"/>
            <w:u w:val="single"/>
          </w:rPr>
          <w:t xml:space="preserve">§ 1080 Entscheidung</w:t>
        </w:r>
      </w:hyperlink>
    </w:p>
    <w:p>
      <w:pPr>
        <w:pStyle w:val="Übersicht"/>
        <w:ind w:left="1020"/>
      </w:pPr>
      <w:hyperlink w:anchor="b1121" w:history="1">
        <w:r>
          <w:rPr>
            <w:color w:val="0A3A8C"/>
            <w:u w:val="single"/>
          </w:rPr>
          <w:t xml:space="preserve">§ 1081 Berichtigung und Widerruf</w:t>
        </w:r>
      </w:hyperlink>
    </w:p>
    <w:p>
      <w:pPr>
        <w:pStyle w:val="Übersicht"/>
        <w:ind w:left="680"/>
      </w:pPr>
      <w:hyperlink w:anchor="b1122" w:history="1">
        <w:r>
          <w:rPr>
            <w:b/>
            <w:color w:val="0A3A8C"/>
            <w:u w:val="single"/>
          </w:rPr>
          <w:t xml:space="preserve">Titel 2 Zwangsvollstreckung aus Europäischen Vollstreckungstiteln im Inland</w:t>
        </w:r>
      </w:hyperlink>
    </w:p>
    <w:p>
      <w:pPr>
        <w:pStyle w:val="Übersicht"/>
        <w:ind w:left="1020"/>
      </w:pPr>
      <w:hyperlink w:anchor="b1123" w:history="1">
        <w:r>
          <w:rPr>
            <w:color w:val="0A3A8C"/>
            <w:u w:val="single"/>
          </w:rPr>
          <w:t xml:space="preserve">§ 1082 Vollstreckungstitel</w:t>
        </w:r>
      </w:hyperlink>
    </w:p>
    <w:p>
      <w:pPr>
        <w:pStyle w:val="Übersicht"/>
        <w:ind w:left="1020"/>
      </w:pPr>
      <w:hyperlink w:anchor="b1124" w:history="1">
        <w:r>
          <w:rPr>
            <w:color w:val="0A3A8C"/>
            <w:u w:val="single"/>
          </w:rPr>
          <w:t xml:space="preserve">§ 1083 Übersetzung</w:t>
        </w:r>
      </w:hyperlink>
    </w:p>
    <w:p>
      <w:pPr>
        <w:pStyle w:val="Übersicht"/>
        <w:ind w:left="1020"/>
      </w:pPr>
      <w:hyperlink w:anchor="b1125" w:history="1">
        <w:r>
          <w:rPr>
            <w:color w:val="0A3A8C"/>
            <w:u w:val="single"/>
          </w:rPr>
          <w:t xml:space="preserve">§ 1084 Anträge nach den Artikeln 21 und 23 der Verordnung (EG) Nr. 805/2004</w:t>
        </w:r>
      </w:hyperlink>
    </w:p>
    <w:p>
      <w:pPr>
        <w:pStyle w:val="Übersicht"/>
        <w:ind w:left="1020"/>
      </w:pPr>
      <w:hyperlink w:anchor="b1126" w:history="1">
        <w:r>
          <w:rPr>
            <w:color w:val="0A3A8C"/>
            <w:u w:val="single"/>
          </w:rPr>
          <w:t xml:space="preserve">§ 1085 Einstellung der Zwangsvollstreckung</w:t>
        </w:r>
      </w:hyperlink>
    </w:p>
    <w:p>
      <w:pPr>
        <w:pStyle w:val="Übersicht"/>
        <w:ind w:left="1020"/>
      </w:pPr>
      <w:hyperlink w:anchor="b1127" w:history="1">
        <w:r>
          <w:rPr>
            <w:color w:val="0A3A8C"/>
            <w:u w:val="single"/>
          </w:rPr>
          <w:t xml:space="preserve">§ 1086 Vollstreckungsabwehrklage</w:t>
        </w:r>
      </w:hyperlink>
    </w:p>
    <w:p>
      <w:pPr>
        <w:pStyle w:val="Übersicht"/>
        <w:ind w:left="340"/>
      </w:pPr>
      <w:hyperlink w:anchor="b1128" w:history="1">
        <w:r>
          <w:rPr>
            <w:b/>
            <w:color w:val="0A3A8C"/>
            <w:u w:val="single"/>
          </w:rPr>
          <w:t xml:space="preserve">Abschnitt 5 Europäisches Mahnverfahren nach der Verordnung (EG) Nr. 1896/2006</w:t>
        </w:r>
      </w:hyperlink>
    </w:p>
    <w:p>
      <w:pPr>
        <w:pStyle w:val="Übersicht"/>
        <w:ind w:left="680"/>
      </w:pPr>
      <w:hyperlink w:anchor="b1129" w:history="1">
        <w:r>
          <w:rPr>
            <w:b/>
            <w:color w:val="0A3A8C"/>
            <w:u w:val="single"/>
          </w:rPr>
          <w:t xml:space="preserve">Titel 1 Allgemeine Vorschriften</w:t>
        </w:r>
      </w:hyperlink>
    </w:p>
    <w:p>
      <w:pPr>
        <w:pStyle w:val="Übersicht"/>
        <w:ind w:left="1020"/>
      </w:pPr>
      <w:hyperlink w:anchor="b1130" w:history="1">
        <w:r>
          <w:rPr>
            <w:color w:val="0A3A8C"/>
            <w:u w:val="single"/>
          </w:rPr>
          <w:t xml:space="preserve">§ 1087 Zuständigkeit</w:t>
        </w:r>
      </w:hyperlink>
    </w:p>
    <w:p>
      <w:pPr>
        <w:pStyle w:val="Übersicht"/>
        <w:ind w:left="1020"/>
      </w:pPr>
      <w:hyperlink w:anchor="b1131" w:history="1">
        <w:r>
          <w:rPr>
            <w:color w:val="0A3A8C"/>
            <w:u w:val="single"/>
          </w:rPr>
          <w:t xml:space="preserve">§ 1088 Maschinelle Bearbeitung</w:t>
        </w:r>
      </w:hyperlink>
    </w:p>
    <w:p>
      <w:pPr>
        <w:pStyle w:val="Übersicht"/>
        <w:ind w:left="1020"/>
      </w:pPr>
      <w:hyperlink w:anchor="b1132" w:history="1">
        <w:r>
          <w:rPr>
            <w:color w:val="0A3A8C"/>
            <w:u w:val="single"/>
          </w:rPr>
          <w:t xml:space="preserve">§ 1089 Zustellung</w:t>
        </w:r>
      </w:hyperlink>
    </w:p>
    <w:p>
      <w:pPr>
        <w:pStyle w:val="Übersicht"/>
        <w:ind w:left="680"/>
      </w:pPr>
      <w:hyperlink w:anchor="b1133" w:history="1">
        <w:r>
          <w:rPr>
            <w:b/>
            <w:color w:val="0A3A8C"/>
            <w:u w:val="single"/>
          </w:rPr>
          <w:t xml:space="preserve">Titel 2 Einspruch gegen den Europäischen Zahlungsbefehl</w:t>
        </w:r>
      </w:hyperlink>
    </w:p>
    <w:p>
      <w:pPr>
        <w:pStyle w:val="Übersicht"/>
        <w:ind w:left="1020"/>
      </w:pPr>
      <w:hyperlink w:anchor="b1134" w:history="1">
        <w:r>
          <w:rPr>
            <w:color w:val="0A3A8C"/>
            <w:u w:val="single"/>
          </w:rPr>
          <w:t xml:space="preserve">§ 1090 Verfahren nach Einspruch</w:t>
        </w:r>
      </w:hyperlink>
    </w:p>
    <w:p>
      <w:pPr>
        <w:pStyle w:val="Übersicht"/>
        <w:ind w:left="1020"/>
      </w:pPr>
      <w:hyperlink w:anchor="b1135" w:history="1">
        <w:r>
          <w:rPr>
            <w:color w:val="0A3A8C"/>
            <w:u w:val="single"/>
          </w:rPr>
          <w:t xml:space="preserve">§ 1091 Einleitung des Streitverfahrens</w:t>
        </w:r>
      </w:hyperlink>
    </w:p>
    <w:p>
      <w:pPr>
        <w:pStyle w:val="Übersicht"/>
        <w:ind w:left="680"/>
      </w:pPr>
      <w:hyperlink w:anchor="b1136" w:history="1">
        <w:r>
          <w:rPr>
            <w:b/>
            <w:color w:val="0A3A8C"/>
            <w:u w:val="single"/>
          </w:rPr>
          <w:t xml:space="preserve">Titel 3 Überprüfung des Europäischen Zahlungsbefehls in Ausnahmefällen</w:t>
        </w:r>
      </w:hyperlink>
    </w:p>
    <w:p>
      <w:pPr>
        <w:pStyle w:val="Übersicht"/>
        <w:ind w:left="1020"/>
      </w:pPr>
      <w:hyperlink w:anchor="b1137" w:history="1">
        <w:r>
          <w:rPr>
            <w:color w:val="0A3A8C"/>
            <w:u w:val="single"/>
          </w:rPr>
          <w:t xml:space="preserve">§ 1092 Verfahren</w:t>
        </w:r>
      </w:hyperlink>
    </w:p>
    <w:p>
      <w:pPr>
        <w:pStyle w:val="Übersicht"/>
        <w:ind w:left="1020"/>
      </w:pPr>
      <w:hyperlink w:anchor="b1138" w:history="1">
        <w:r>
          <w:rPr>
            <w:color w:val="0A3A8C"/>
            <w:u w:val="single"/>
          </w:rPr>
          <w:t xml:space="preserve">§ 1092a Rechtsbehelf bei Nichtzustellung oder bei nicht ordnungsgemäßer Zustellung des Europäischen Zahlungsbefehls</w:t>
        </w:r>
      </w:hyperlink>
    </w:p>
    <w:p>
      <w:pPr>
        <w:pStyle w:val="Übersicht"/>
        <w:ind w:left="680"/>
      </w:pPr>
      <w:hyperlink w:anchor="b1139" w:history="1">
        <w:r>
          <w:rPr>
            <w:b/>
            <w:color w:val="0A3A8C"/>
            <w:u w:val="single"/>
          </w:rPr>
          <w:t xml:space="preserve">Titel 4 Zwangsvollstreckung aus dem Europäischen Zahlungsbefehl</w:t>
        </w:r>
      </w:hyperlink>
    </w:p>
    <w:p>
      <w:pPr>
        <w:pStyle w:val="Übersicht"/>
        <w:ind w:left="1020"/>
      </w:pPr>
      <w:hyperlink w:anchor="b1140" w:history="1">
        <w:r>
          <w:rPr>
            <w:color w:val="0A3A8C"/>
            <w:u w:val="single"/>
          </w:rPr>
          <w:t xml:space="preserve">§ 1093 Vollstreckungsklausel</w:t>
        </w:r>
      </w:hyperlink>
    </w:p>
    <w:p>
      <w:pPr>
        <w:pStyle w:val="Übersicht"/>
        <w:ind w:left="1020"/>
      </w:pPr>
      <w:hyperlink w:anchor="b1141" w:history="1">
        <w:r>
          <w:rPr>
            <w:color w:val="0A3A8C"/>
            <w:u w:val="single"/>
          </w:rPr>
          <w:t xml:space="preserve">§ 1094 Übersetzung</w:t>
        </w:r>
      </w:hyperlink>
    </w:p>
    <w:p>
      <w:pPr>
        <w:pStyle w:val="Übersicht"/>
        <w:ind w:left="1020"/>
      </w:pPr>
      <w:hyperlink w:anchor="b1142" w:history="1">
        <w:r>
          <w:rPr>
            <w:color w:val="0A3A8C"/>
            <w:u w:val="single"/>
          </w:rPr>
          <w:t xml:space="preserve">§ 1095 Vollstreckungsschutz und Vollstreckungsabwehrklage gegen den im Inland erlassenen Europäischen Zahlungsbefehl</w:t>
        </w:r>
      </w:hyperlink>
    </w:p>
    <w:p>
      <w:pPr>
        <w:pStyle w:val="Übersicht"/>
        <w:ind w:left="1020"/>
      </w:pPr>
      <w:hyperlink w:anchor="b1143" w:history="1">
        <w:r>
          <w:rPr>
            <w:color w:val="0A3A8C"/>
            <w:u w:val="single"/>
          </w:rPr>
          <w:t xml:space="preserve">§ 1096 Anträge nach den Artikeln 22 und 23 der Verordnung (EG) Nr. 1896/2006; Vollstreckungsabwehrklage</w:t>
        </w:r>
      </w:hyperlink>
    </w:p>
    <w:p>
      <w:pPr>
        <w:pStyle w:val="Übersicht"/>
        <w:ind w:left="340"/>
      </w:pPr>
      <w:hyperlink w:anchor="b1144" w:history="1">
        <w:r>
          <w:rPr>
            <w:b/>
            <w:color w:val="0A3A8C"/>
            <w:u w:val="single"/>
          </w:rPr>
          <w:t xml:space="preserve">Abschnitt 6 Europäisches Verfahren für geringfügige Forderungen nach der Verordnung (EG) Nr. 861/2007</w:t>
        </w:r>
      </w:hyperlink>
    </w:p>
    <w:p>
      <w:pPr>
        <w:pStyle w:val="Übersicht"/>
        <w:ind w:left="680"/>
      </w:pPr>
      <w:hyperlink w:anchor="b1145" w:history="1">
        <w:r>
          <w:rPr>
            <w:b/>
            <w:color w:val="0A3A8C"/>
            <w:u w:val="single"/>
          </w:rPr>
          <w:t xml:space="preserve">Titel 1 Erkenntnisverfahren</w:t>
        </w:r>
      </w:hyperlink>
    </w:p>
    <w:p>
      <w:pPr>
        <w:pStyle w:val="Übersicht"/>
        <w:ind w:left="1020"/>
      </w:pPr>
      <w:hyperlink w:anchor="b1146" w:history="1">
        <w:r>
          <w:rPr>
            <w:color w:val="0A3A8C"/>
            <w:u w:val="single"/>
          </w:rPr>
          <w:t xml:space="preserve">§ 1097 Einleitung und Durchführung des Verfahrens</w:t>
        </w:r>
      </w:hyperlink>
    </w:p>
    <w:p>
      <w:pPr>
        <w:pStyle w:val="Übersicht"/>
        <w:ind w:left="1020"/>
      </w:pPr>
      <w:hyperlink w:anchor="b1147" w:history="1">
        <w:r>
          <w:rPr>
            <w:color w:val="0A3A8C"/>
            <w:u w:val="single"/>
          </w:rPr>
          <w:t xml:space="preserve">§ 1098 Annahmeverweigerung auf Grund der verwendeten Sprache</w:t>
        </w:r>
      </w:hyperlink>
    </w:p>
    <w:p>
      <w:pPr>
        <w:pStyle w:val="Übersicht"/>
        <w:ind w:left="1020"/>
      </w:pPr>
      <w:hyperlink w:anchor="b1148" w:history="1">
        <w:r>
          <w:rPr>
            <w:color w:val="0A3A8C"/>
            <w:u w:val="single"/>
          </w:rPr>
          <w:t xml:space="preserve">§ 1099 Widerklage</w:t>
        </w:r>
      </w:hyperlink>
    </w:p>
    <w:p>
      <w:pPr>
        <w:pStyle w:val="Übersicht"/>
        <w:ind w:left="1020"/>
      </w:pPr>
      <w:hyperlink w:anchor="b1149" w:history="1">
        <w:r>
          <w:rPr>
            <w:color w:val="0A3A8C"/>
            <w:u w:val="single"/>
          </w:rPr>
          <w:t xml:space="preserve">§ 1100 Mündliche Verhandlung</w:t>
        </w:r>
      </w:hyperlink>
    </w:p>
    <w:p>
      <w:pPr>
        <w:pStyle w:val="Übersicht"/>
        <w:ind w:left="1020"/>
      </w:pPr>
      <w:hyperlink w:anchor="b1150" w:history="1">
        <w:r>
          <w:rPr>
            <w:color w:val="0A3A8C"/>
            <w:u w:val="single"/>
          </w:rPr>
          <w:t xml:space="preserve">§ 1101 Beweisaufnahme</w:t>
        </w:r>
      </w:hyperlink>
    </w:p>
    <w:p>
      <w:pPr>
        <w:pStyle w:val="Übersicht"/>
        <w:ind w:left="1020"/>
      </w:pPr>
      <w:hyperlink w:anchor="b1151" w:history="1">
        <w:r>
          <w:rPr>
            <w:color w:val="0A3A8C"/>
            <w:u w:val="single"/>
          </w:rPr>
          <w:t xml:space="preserve">§ 1102 Urteil</w:t>
        </w:r>
      </w:hyperlink>
    </w:p>
    <w:p>
      <w:pPr>
        <w:pStyle w:val="Übersicht"/>
        <w:ind w:left="1020"/>
      </w:pPr>
      <w:hyperlink w:anchor="b1152" w:history="1">
        <w:r>
          <w:rPr>
            <w:color w:val="0A3A8C"/>
            <w:u w:val="single"/>
          </w:rPr>
          <w:t xml:space="preserve">§ 1103 Säumnis</w:t>
        </w:r>
      </w:hyperlink>
    </w:p>
    <w:p>
      <w:pPr>
        <w:pStyle w:val="Übersicht"/>
        <w:ind w:left="1020"/>
      </w:pPr>
      <w:hyperlink w:anchor="b1153" w:history="1">
        <w:r>
          <w:rPr>
            <w:color w:val="0A3A8C"/>
            <w:u w:val="single"/>
          </w:rPr>
          <w:t xml:space="preserve">§ 1104 Abhilfe bei unverschuldeter Säumnis des Beklagten</w:t>
        </w:r>
      </w:hyperlink>
    </w:p>
    <w:p>
      <w:pPr>
        <w:pStyle w:val="Übersicht"/>
        <w:ind w:left="1020"/>
      </w:pPr>
      <w:hyperlink w:anchor="b1154" w:history="1">
        <w:r>
          <w:rPr>
            <w:color w:val="0A3A8C"/>
            <w:u w:val="single"/>
          </w:rPr>
          <w:t xml:space="preserve">§ 1104a Gemeinsame Gerichte</w:t>
        </w:r>
      </w:hyperlink>
    </w:p>
    <w:p>
      <w:pPr>
        <w:pStyle w:val="Übersicht"/>
        <w:ind w:left="680"/>
      </w:pPr>
      <w:hyperlink w:anchor="b1155" w:history="1">
        <w:r>
          <w:rPr>
            <w:b/>
            <w:color w:val="0A3A8C"/>
            <w:u w:val="single"/>
          </w:rPr>
          <w:t xml:space="preserve">Titel 2 Zwangsvollstreckung</w:t>
        </w:r>
      </w:hyperlink>
    </w:p>
    <w:p>
      <w:pPr>
        <w:pStyle w:val="Übersicht"/>
        <w:ind w:left="1020"/>
      </w:pPr>
      <w:hyperlink w:anchor="b1156" w:history="1">
        <w:r>
          <w:rPr>
            <w:color w:val="0A3A8C"/>
            <w:u w:val="single"/>
          </w:rPr>
          <w:t xml:space="preserve">§ 1105 Zwangsvollstreckung inländischer Titel</w:t>
        </w:r>
      </w:hyperlink>
    </w:p>
    <w:p>
      <w:pPr>
        <w:pStyle w:val="Übersicht"/>
        <w:ind w:left="1020"/>
      </w:pPr>
      <w:hyperlink w:anchor="b1157" w:history="1">
        <w:r>
          <w:rPr>
            <w:color w:val="0A3A8C"/>
            <w:u w:val="single"/>
          </w:rPr>
          <w:t xml:space="preserve">§ 1106 Bestätigung inländischer Titel</w:t>
        </w:r>
      </w:hyperlink>
    </w:p>
    <w:p>
      <w:pPr>
        <w:pStyle w:val="Übersicht"/>
        <w:ind w:left="1020"/>
      </w:pPr>
      <w:hyperlink w:anchor="b1158" w:history="1">
        <w:r>
          <w:rPr>
            <w:color w:val="0A3A8C"/>
            <w:u w:val="single"/>
          </w:rPr>
          <w:t xml:space="preserve">§ 1107 Ausländische Vollstreckungstitel</w:t>
        </w:r>
      </w:hyperlink>
    </w:p>
    <w:p>
      <w:pPr>
        <w:pStyle w:val="Übersicht"/>
        <w:ind w:left="1020"/>
      </w:pPr>
      <w:hyperlink w:anchor="b1159" w:history="1">
        <w:r>
          <w:rPr>
            <w:color w:val="0A3A8C"/>
            <w:u w:val="single"/>
          </w:rPr>
          <w:t xml:space="preserve">§ 1108 Übersetzung</w:t>
        </w:r>
      </w:hyperlink>
    </w:p>
    <w:p>
      <w:pPr>
        <w:pStyle w:val="Übersicht"/>
        <w:ind w:left="1020"/>
      </w:pPr>
      <w:hyperlink w:anchor="b1160" w:history="1">
        <w:r>
          <w:rPr>
            <w:color w:val="0A3A8C"/>
            <w:u w:val="single"/>
          </w:rPr>
          <w:t xml:space="preserve">§ 1109 Anträge nach den Artikeln 22 und 23 der Verordnung (EG) Nr. 861/2007; Vollstreckungsabwehrklage</w:t>
        </w:r>
      </w:hyperlink>
    </w:p>
    <w:p>
      <w:pPr>
        <w:pStyle w:val="Übersicht"/>
        <w:ind w:left="340"/>
      </w:pPr>
      <w:hyperlink w:anchor="b1161" w:history="1">
        <w:r>
          <w:rPr>
            <w:b/>
            <w:color w:val="0A3A8C"/>
            <w:u w:val="single"/>
          </w:rPr>
          <w:t xml:space="preserve">Abschnitt 7 Anerkennung und Vollstreckung nach der Verordnung (EU) Nr. 1215/2012</w:t>
        </w:r>
      </w:hyperlink>
    </w:p>
    <w:p>
      <w:pPr>
        <w:pStyle w:val="Übersicht"/>
        <w:ind w:left="680"/>
      </w:pPr>
      <w:hyperlink w:anchor="b1162" w:history="1">
        <w:r>
          <w:rPr>
            <w:b/>
            <w:color w:val="0A3A8C"/>
            <w:u w:val="single"/>
          </w:rPr>
          <w:t xml:space="preserve">Titel 1 Bescheinigung über inländische Titel</w:t>
        </w:r>
      </w:hyperlink>
    </w:p>
    <w:p>
      <w:pPr>
        <w:pStyle w:val="Übersicht"/>
        <w:ind w:left="1020"/>
      </w:pPr>
      <w:hyperlink w:anchor="b1163" w:history="1">
        <w:r>
          <w:rPr>
            <w:color w:val="0A3A8C"/>
            <w:u w:val="single"/>
          </w:rPr>
          <w:t xml:space="preserve">§ 1110 Zuständigkeit</w:t>
        </w:r>
      </w:hyperlink>
    </w:p>
    <w:p>
      <w:pPr>
        <w:pStyle w:val="Übersicht"/>
        <w:ind w:left="1020"/>
      </w:pPr>
      <w:hyperlink w:anchor="b1164" w:history="1">
        <w:r>
          <w:rPr>
            <w:color w:val="0A3A8C"/>
            <w:u w:val="single"/>
          </w:rPr>
          <w:t xml:space="preserve">§ 1111 Verfahren</w:t>
        </w:r>
      </w:hyperlink>
    </w:p>
    <w:p>
      <w:pPr>
        <w:pStyle w:val="Übersicht"/>
        <w:ind w:left="680"/>
      </w:pPr>
      <w:hyperlink w:anchor="b1165" w:history="1">
        <w:r>
          <w:rPr>
            <w:b/>
            <w:color w:val="0A3A8C"/>
            <w:u w:val="single"/>
          </w:rPr>
          <w:t xml:space="preserve">Titel 2 Anerkennung und Vollstreckung ausländischer Titel im Inland</w:t>
        </w:r>
      </w:hyperlink>
    </w:p>
    <w:p>
      <w:pPr>
        <w:pStyle w:val="Übersicht"/>
        <w:ind w:left="1020"/>
      </w:pPr>
      <w:hyperlink w:anchor="b1166" w:history="1">
        <w:r>
          <w:rPr>
            <w:color w:val="0A3A8C"/>
            <w:u w:val="single"/>
          </w:rPr>
          <w:t xml:space="preserve">§ 1112 Entbehrlichkeit der Vollstreckungsklausel</w:t>
        </w:r>
      </w:hyperlink>
    </w:p>
    <w:p>
      <w:pPr>
        <w:pStyle w:val="Übersicht"/>
        <w:ind w:left="1020"/>
      </w:pPr>
      <w:hyperlink w:anchor="b1167" w:history="1">
        <w:r>
          <w:rPr>
            <w:color w:val="0A3A8C"/>
            <w:u w:val="single"/>
          </w:rPr>
          <w:t xml:space="preserve">§ 1113 Übersetzung oder Transliteration</w:t>
        </w:r>
      </w:hyperlink>
    </w:p>
    <w:p>
      <w:pPr>
        <w:pStyle w:val="Übersicht"/>
        <w:ind w:left="1020"/>
      </w:pPr>
      <w:hyperlink w:anchor="b1168" w:history="1">
        <w:r>
          <w:rPr>
            <w:color w:val="0A3A8C"/>
            <w:u w:val="single"/>
          </w:rPr>
          <w:t xml:space="preserve">§ 1114 Anfechtung der Anpassung eines Titels</w:t>
        </w:r>
      </w:hyperlink>
    </w:p>
    <w:p>
      <w:pPr>
        <w:pStyle w:val="Übersicht"/>
        <w:ind w:left="1020"/>
      </w:pPr>
      <w:hyperlink w:anchor="b1169" w:history="1">
        <w:r>
          <w:rPr>
            <w:color w:val="0A3A8C"/>
            <w:u w:val="single"/>
          </w:rPr>
          <w:t xml:space="preserve">§ 1115 Versagung der Anerkennung oder der Vollstreckung</w:t>
        </w:r>
      </w:hyperlink>
    </w:p>
    <w:p>
      <w:pPr>
        <w:pStyle w:val="Übersicht"/>
        <w:ind w:left="1020"/>
      </w:pPr>
      <w:hyperlink w:anchor="b1170" w:history="1">
        <w:r>
          <w:rPr>
            <w:color w:val="0A3A8C"/>
            <w:u w:val="single"/>
          </w:rPr>
          <w:t xml:space="preserve">§ 1116 Wegfall oder Beschränkung der Vollstreckbarkeit im Ursprungsmitgliedstaat</w:t>
        </w:r>
      </w:hyperlink>
    </w:p>
    <w:p>
      <w:pPr>
        <w:pStyle w:val="Übersicht"/>
        <w:ind w:left="1020"/>
      </w:pPr>
      <w:hyperlink w:anchor="b1171" w:history="1">
        <w:r>
          <w:rPr>
            <w:color w:val="0A3A8C"/>
            <w:u w:val="single"/>
          </w:rPr>
          <w:t xml:space="preserve">§ 1117 Vollstreckungsabwehrklage</w:t>
        </w:r>
      </w:hyperlink>
    </w:p>
    <w:p>
      <w:pPr>
        <w:pStyle w:val="Übersicht"/>
        <w:ind w:left="340"/>
      </w:pPr>
      <w:hyperlink w:anchor="b1172" w:history="1">
        <w:r>
          <w:rPr>
            <w:b/>
            <w:color w:val="0A3A8C"/>
            <w:u w:val="single"/>
          </w:rPr>
          <w:t xml:space="preserve">Abschnitt 8 Beweis der Echtheit ausländischer öffentlicher Urkunden nach der Verordnung (EU) 2016/1191</w:t>
        </w:r>
      </w:hyperlink>
    </w:p>
    <w:p>
      <w:pPr>
        <w:pStyle w:val="Übersicht"/>
        <w:ind w:left="680"/>
      </w:pPr>
      <w:hyperlink w:anchor="b1173" w:history="1">
        <w:r>
          <w:rPr>
            <w:color w:val="0A3A8C"/>
            <w:u w:val="single"/>
          </w:rPr>
          <w:t xml:space="preserve">§ 1118 Zentralbehörde</w:t>
        </w:r>
      </w:hyperlink>
    </w:p>
    <w:p>
      <w:pPr>
        <w:pStyle w:val="Übersicht"/>
        <w:ind w:left="680"/>
      </w:pPr>
      <w:hyperlink w:anchor="b1174" w:history="1">
        <w:r>
          <w:rPr>
            <w:color w:val="0A3A8C"/>
            <w:u w:val="single"/>
          </w:rPr>
          <w:t xml:space="preserve">§ 1119 Verwaltungszusammenarbeit</w:t>
        </w:r>
      </w:hyperlink>
    </w:p>
    <w:p>
      <w:pPr>
        <w:pStyle w:val="Übersicht"/>
        <w:ind w:left="680"/>
      </w:pPr>
      <w:hyperlink w:anchor="b1175" w:history="1">
        <w:r>
          <w:rPr>
            <w:color w:val="0A3A8C"/>
            <w:u w:val="single"/>
          </w:rPr>
          <w:t xml:space="preserve">§ 1120 Mehrsprachige Formulare</w:t>
        </w:r>
      </w:hyperlink>
    </w:p>
    <w:p>
      <w:pPr>
        <w:pStyle w:val="Übersicht"/>
        <w:ind w:left="0"/>
      </w:pPr>
      <w:hyperlink w:anchor="b1176" w:history="1">
        <w:r>
          <w:rPr>
            <w:b/>
            <w:color w:val="0A3A8C"/>
            <w:u w:val="single"/>
          </w:rPr>
          <w:t xml:space="preserve">Buch 12 Erprobung und Evaluierung</w:t>
        </w:r>
      </w:hyperlink>
    </w:p>
    <w:p>
      <w:pPr>
        <w:pStyle w:val="Übersicht"/>
        <w:ind w:left="340"/>
      </w:pPr>
      <w:hyperlink w:anchor="b1177" w:history="1">
        <w:r>
          <w:rPr>
            <w:b/>
            <w:color w:val="0A3A8C"/>
            <w:u w:val="single"/>
          </w:rPr>
          <w:t xml:space="preserve">Abschnitt 1 Allgemeine Vorschriften</w:t>
        </w:r>
      </w:hyperlink>
    </w:p>
    <w:p>
      <w:pPr>
        <w:pStyle w:val="Übersicht"/>
        <w:ind w:left="680"/>
      </w:pPr>
      <w:hyperlink w:anchor="b1178" w:history="1">
        <w:r>
          <w:rPr>
            <w:color w:val="0A3A8C"/>
            <w:u w:val="single"/>
          </w:rPr>
          <w:t xml:space="preserve">§ 1121 Zielsetzung und Anwendungsbereich</w:t>
        </w:r>
      </w:hyperlink>
    </w:p>
    <w:p>
      <w:pPr>
        <w:pStyle w:val="Übersicht"/>
        <w:ind w:left="340"/>
      </w:pPr>
      <w:hyperlink w:anchor="b1179" w:history="1">
        <w:r>
          <w:rPr>
            <w:b/>
            <w:color w:val="0A3A8C"/>
            <w:u w:val="single"/>
          </w:rPr>
          <w:t xml:space="preserve">Abschnitt 2 Erprobung eines Online-Verfahrens</w:t>
        </w:r>
      </w:hyperlink>
    </w:p>
    <w:p>
      <w:pPr>
        <w:pStyle w:val="Übersicht"/>
        <w:ind w:left="680"/>
      </w:pPr>
      <w:hyperlink w:anchor="b1180" w:history="1">
        <w:r>
          <w:rPr>
            <w:b/>
            <w:color w:val="0A3A8C"/>
            <w:u w:val="single"/>
          </w:rPr>
          <w:t xml:space="preserve">Titel 1 Anwendungsbereich</w:t>
        </w:r>
      </w:hyperlink>
    </w:p>
    <w:p>
      <w:pPr>
        <w:pStyle w:val="Übersicht"/>
        <w:ind w:left="1020"/>
      </w:pPr>
      <w:hyperlink w:anchor="b1181" w:history="1">
        <w:r>
          <w:rPr>
            <w:color w:val="0A3A8C"/>
            <w:u w:val="single"/>
          </w:rPr>
          <w:t xml:space="preserve">§ 1122 Umfang der Erprobung</w:t>
        </w:r>
      </w:hyperlink>
    </w:p>
    <w:p>
      <w:pPr>
        <w:pStyle w:val="Übersicht"/>
        <w:ind w:left="1020"/>
      </w:pPr>
      <w:hyperlink w:anchor="b1182" w:history="1">
        <w:r>
          <w:rPr>
            <w:color w:val="0A3A8C"/>
            <w:u w:val="single"/>
          </w:rPr>
          <w:t xml:space="preserve">§ 1123 Verordnungsermächtigungen</w:t>
        </w:r>
      </w:hyperlink>
    </w:p>
    <w:p>
      <w:pPr>
        <w:pStyle w:val="Übersicht"/>
        <w:ind w:left="680"/>
      </w:pPr>
      <w:hyperlink w:anchor="b1183" w:history="1">
        <w:r>
          <w:rPr>
            <w:b/>
            <w:color w:val="0A3A8C"/>
            <w:u w:val="single"/>
          </w:rPr>
          <w:t xml:space="preserve">Titel 2 Verfahren</w:t>
        </w:r>
      </w:hyperlink>
    </w:p>
    <w:p>
      <w:pPr>
        <w:pStyle w:val="Übersicht"/>
        <w:ind w:left="1020"/>
      </w:pPr>
      <w:hyperlink w:anchor="b1184" w:history="1">
        <w:r>
          <w:rPr>
            <w:color w:val="0A3A8C"/>
            <w:u w:val="single"/>
          </w:rPr>
          <w:t xml:space="preserve">§ 1124 Digitale Kommunikation; Verordnungsermächtigung</w:t>
        </w:r>
      </w:hyperlink>
    </w:p>
    <w:p>
      <w:pPr>
        <w:pStyle w:val="Übersicht"/>
        <w:ind w:left="1020"/>
      </w:pPr>
      <w:hyperlink w:anchor="b1185" w:history="1">
        <w:r>
          <w:rPr>
            <w:color w:val="0A3A8C"/>
            <w:u w:val="single"/>
          </w:rPr>
          <w:t xml:space="preserve">§ 1125 Digitale Eingabesysteme im Online-Verfahren; Verordnungsermächtigung</w:t>
        </w:r>
      </w:hyperlink>
    </w:p>
    <w:p>
      <w:pPr>
        <w:pStyle w:val="Übersicht"/>
        <w:ind w:left="1020"/>
      </w:pPr>
      <w:hyperlink w:anchor="b1186" w:history="1">
        <w:r>
          <w:rPr>
            <w:color w:val="0A3A8C"/>
            <w:u w:val="single"/>
          </w:rPr>
          <w:t xml:space="preserve">§ 1126 Digitale Strukturierung</w:t>
        </w:r>
      </w:hyperlink>
    </w:p>
    <w:p>
      <w:pPr>
        <w:pStyle w:val="Übersicht"/>
        <w:ind w:left="1020"/>
      </w:pPr>
      <w:hyperlink w:anchor="b1187" w:history="1">
        <w:r>
          <w:rPr>
            <w:color w:val="0A3A8C"/>
            <w:u w:val="single"/>
          </w:rPr>
          <w:t xml:space="preserve">§ 1127 Verhandlung</w:t>
        </w:r>
      </w:hyperlink>
    </w:p>
    <w:p>
      <w:pPr>
        <w:pStyle w:val="Übersicht"/>
        <w:ind w:left="1020"/>
      </w:pPr>
      <w:hyperlink w:anchor="b1188" w:history="1">
        <w:r>
          <w:rPr>
            <w:color w:val="0A3A8C"/>
            <w:u w:val="single"/>
          </w:rPr>
          <w:t xml:space="preserve">§ 1128 Versäumnisurteil</w:t>
        </w:r>
      </w:hyperlink>
    </w:p>
    <w:p>
      <w:pPr>
        <w:pStyle w:val="Übersicht"/>
        <w:ind w:left="1020"/>
      </w:pPr>
      <w:hyperlink w:anchor="b1189" w:history="1">
        <w:r>
          <w:rPr>
            <w:color w:val="0A3A8C"/>
            <w:u w:val="single"/>
          </w:rPr>
          <w:t xml:space="preserve">§ 1129 Beweisaufnahme</w:t>
        </w:r>
      </w:hyperlink>
    </w:p>
    <w:p>
      <w:pPr>
        <w:pStyle w:val="Übersicht"/>
        <w:ind w:left="1020"/>
      </w:pPr>
      <w:hyperlink w:anchor="b1190" w:history="1">
        <w:r>
          <w:rPr>
            <w:color w:val="0A3A8C"/>
            <w:u w:val="single"/>
          </w:rPr>
          <w:t xml:space="preserve">§ 1130 Benachrichtigung; Ersetzung der Verkündung</w:t>
        </w:r>
      </w:hyperlink>
    </w:p>
    <w:p>
      <w:pPr>
        <w:pStyle w:val="Übersicht"/>
        <w:ind w:left="680"/>
      </w:pPr>
      <w:hyperlink w:anchor="b1191" w:history="1">
        <w:r>
          <w:rPr>
            <w:b/>
            <w:color w:val="0A3A8C"/>
            <w:u w:val="single"/>
          </w:rPr>
          <w:t xml:space="preserve">Titel 3 Kommunikationsplattform</w:t>
        </w:r>
      </w:hyperlink>
    </w:p>
    <w:p>
      <w:pPr>
        <w:pStyle w:val="Übersicht"/>
        <w:ind w:left="1020"/>
      </w:pPr>
      <w:hyperlink w:anchor="b1192" w:history="1">
        <w:r>
          <w:rPr>
            <w:color w:val="0A3A8C"/>
            <w:u w:val="single"/>
          </w:rPr>
          <w:t xml:space="preserve">§ 1131 Entwicklung und Bereitstellung; Verordnungsermächtigungen</w:t>
        </w:r>
      </w:hyperlink>
    </w:p>
    <w:p>
      <w:pPr>
        <w:pStyle w:val="Übersicht"/>
        <w:ind w:left="1020"/>
      </w:pPr>
      <w:hyperlink w:anchor="b1193" w:history="1">
        <w:r>
          <w:rPr>
            <w:color w:val="0A3A8C"/>
            <w:u w:val="single"/>
          </w:rPr>
          <w:t xml:space="preserve">§ 1132 Kommunikations-, Austausch- und Übermittlungsformen</w:t>
        </w:r>
      </w:hyperlink>
    </w:p>
    <w:p>
      <w:pPr>
        <w:pStyle w:val="Übersicht"/>
        <w:ind w:left="1020"/>
      </w:pPr>
      <w:hyperlink w:anchor="b1194" w:history="1">
        <w:r>
          <w:rPr>
            <w:color w:val="0A3A8C"/>
            <w:u w:val="single"/>
          </w:rPr>
          <w:t xml:space="preserve">§ 1133 Nutzungspflichten</w:t>
        </w:r>
      </w:hyperlink>
    </w:p>
    <w:p>
      <w:pPr>
        <w:pStyle w:val="Übersicht"/>
        <w:ind w:left="680"/>
      </w:pPr>
      <w:hyperlink w:anchor="b1195" w:history="1">
        <w:r>
          <w:rPr>
            <w:b/>
            <w:color w:val="0A3A8C"/>
            <w:u w:val="single"/>
          </w:rPr>
          <w:t xml:space="preserve">Titel 4 Evaluierung</w:t>
        </w:r>
      </w:hyperlink>
    </w:p>
    <w:p>
      <w:pPr>
        <w:pStyle w:val="Übersicht"/>
        <w:ind w:left="1020"/>
      </w:pPr>
      <w:hyperlink w:anchor="b1196" w:history="1">
        <w:r>
          <w:rPr>
            <w:color w:val="0A3A8C"/>
            <w:u w:val="single"/>
          </w:rPr>
          <w:t xml:space="preserve">§ 1134 Evaluierung</w:t>
        </w:r>
      </w:hyperlink>
    </w:p>
    <w:p>
      <w:pPr>
        <w:pStyle w:val="Übersicht"/>
        <w:ind w:left="340"/>
      </w:pPr>
      <w:hyperlink w:anchor="b1197" w:history="1">
        <w:r>
          <w:rPr>
            <w:b/>
            <w:color w:val="0A3A8C"/>
            <w:u w:val="single"/>
          </w:rPr>
          <w:t xml:space="preserve">Abschnitt 3 Erprobung weiterer digitaler Eingabesysteme</w:t>
        </w:r>
      </w:hyperlink>
    </w:p>
    <w:p>
      <w:pPr>
        <w:pStyle w:val="Übersicht"/>
        <w:ind w:left="680"/>
      </w:pPr>
      <w:hyperlink w:anchor="b1198" w:history="1">
        <w:r>
          <w:rPr>
            <w:color w:val="0A3A8C"/>
            <w:u w:val="single"/>
          </w:rPr>
          <w:t xml:space="preserve">§ 1135 Umfang der Erprobung</w:t>
        </w:r>
      </w:hyperlink>
    </w:p>
    <w:p>
      <w:pPr>
        <w:pStyle w:val="Übersicht"/>
        <w:ind w:left="680"/>
      </w:pPr>
      <w:hyperlink w:anchor="b1199" w:history="1">
        <w:r>
          <w:rPr>
            <w:color w:val="0A3A8C"/>
            <w:u w:val="single"/>
          </w:rPr>
          <w:t xml:space="preserve">§ 1136 Evaluierung</w:t>
        </w:r>
      </w:hyperlink>
    </w:p>
    <w:p>
      <w:pPr>
        <w:pStyle w:val="Übersicht"/>
        <w:ind w:left="680"/>
      </w:pPr>
      <w:hyperlink w:anchor="b1200" w:history="1">
        <w:r>
          <w:rPr>
            <w:color w:val="0A3A8C"/>
            <w:u w:val="single"/>
          </w:rPr>
          <w:t xml:space="preserve">Anhang EV Auszug aus EinigVtr Anlage I Kapitel III Sachgebiet A Abschnitte III und IV  (BGBl. II 1990, 889, 927, 940)  Abschnitt III  - Maßgaben für das beigetretene Gebiet (Art. 3 EinigVtr) -  Abschnitt IV  - Sonderregelung für das Land Berlin -</w:t>
        </w:r>
      </w:hyperlink>
    </w:p>
    <w:p>
      <w:pPr>
        <w:pStyle w:val="Heading1"/>
      </w:pPr>
      <w:bookmarkStart w:id="1" w:name="b0"/>
      <w:r>
        <w:t>Buch 1 Allgemeine Vorschriften</w:t>
      </w:r>
      <w:bookmarkEnd w:id="1"/>
    </w:p>
    <w:p>
      <w:pPr>
        <w:pStyle w:val="Heading2"/>
      </w:pPr>
      <w:bookmarkStart w:id="2" w:name="b1"/>
      <w:r>
        <w:t>Abschnitt 1 Gerichte</w:t>
      </w:r>
      <w:bookmarkEnd w:id="2"/>
    </w:p>
    <w:p>
      <w:pPr>
        <w:pStyle w:val="Heading3"/>
      </w:pPr>
      <w:bookmarkStart w:id="3" w:name="b2"/>
      <w:r>
        <w:t>Titel 1 Sachliche Zuständigkeit der Gerichte und Wertvorschriften</w:t>
      </w:r>
      <w:bookmarkEnd w:id="3"/>
    </w:p>
    <w:p>
      <w:pPr>
        <w:pStyle w:val="Heading4"/>
      </w:pPr>
      <w:bookmarkStart w:id="4" w:name="b3"/>
      <w:r>
        <w:t>§ 1 Sachliche Zuständigkeit</w:t>
      </w:r>
      <w:r>
        <w:t xml:space="preserve"> </w:t>
      </w:r>
      <w:r>
        <w:rPr>
          <w:rStyle w:val="Suchmarke"/>
        </w:rPr>
        <w:t>#1#</w:t>
      </w:r>
      <w:bookmarkEnd w:id="4"/>
    </w:p>
    <w:p>
      <w:r>
        <w:t>Die sachliche Zuständigkeit der Gerichte wird durch das Gesetz über die Gerichtsverfassung bestimmt.</w:t>
      </w:r>
    </w:p>
    <w:p>
      <w:pPr>
        <w:pStyle w:val="Heading4"/>
      </w:pPr>
      <w:bookmarkStart w:id="5" w:name="b4"/>
      <w:r>
        <w:t>§ 2 Bedeutung des Wertes</w:t>
      </w:r>
      <w:r>
        <w:t xml:space="preserve"> </w:t>
      </w:r>
      <w:r>
        <w:rPr>
          <w:rStyle w:val="Suchmarke"/>
        </w:rPr>
        <w:t>#2#</w:t>
      </w:r>
      <w:bookmarkEnd w:id="5"/>
    </w:p>
    <w:p>
      <w:r>
        <w:t>Kommt es nach den Vorschriften dieses Gesetzes oder des Gerichtsverfassungsgesetzes auf den Wert des Streitgegenstandes, des Beschwerdegegenstandes, der Beschwer oder der Verurteilung an, so gelten die nachfolgenden Vorschriften.</w:t>
      </w:r>
    </w:p>
    <w:p>
      <w:pPr>
        <w:pStyle w:val="Heading4"/>
      </w:pPr>
      <w:bookmarkStart w:id="6" w:name="b5"/>
      <w:r>
        <w:t>§ 3 Wertfestsetzung nach freiem Ermessen</w:t>
      </w:r>
      <w:r>
        <w:t xml:space="preserve"> </w:t>
      </w:r>
      <w:r>
        <w:rPr>
          <w:rStyle w:val="Suchmarke"/>
        </w:rPr>
        <w:t>#3#</w:t>
      </w:r>
      <w:bookmarkEnd w:id="6"/>
    </w:p>
    <w:p>
      <w:r>
        <w:t>Der Wert wird von dem Gericht nach freiem Ermessen festgesetzt; es kann eine beantragte Beweisaufnahme sowie von Amts wegen die Einnahme des Augenscheins und die Begutachtung durch Sachverständige anordnen.</w:t>
      </w:r>
    </w:p>
    <w:p>
      <w:pPr>
        <w:pStyle w:val="Heading4"/>
      </w:pPr>
      <w:bookmarkStart w:id="7" w:name="b6"/>
      <w:r>
        <w:t>§ 4 Wertberechnung; Nebenforderungen</w:t>
      </w:r>
      <w:r>
        <w:t xml:space="preserve"> </w:t>
      </w:r>
      <w:r>
        <w:rPr>
          <w:rStyle w:val="Suchmarke"/>
        </w:rPr>
        <w:t>#4#</w:t>
      </w:r>
      <w:bookmarkEnd w:id="7"/>
    </w:p>
    <w:p>
      <w:r>
        <w:t>(1) Für die Wertberechnung ist der Zeitpunkt der Einreichung der Klage, in der Rechtsmittelinstanz der Zeitpunkt der Einlegung des Rechtsmittels, bei der Verurteilung der Zeitpunkt des Schlusses der mündlichen Verhandlung, auf die das Urteil ergeht, entscheidend; Früchte, Nutzungen, Zinsen und Kosten bleiben unberücksichtigt, wenn sie als Nebenforderungen geltend gemacht werden.</w:t>
      </w:r>
    </w:p>
    <w:p>
      <w:r>
        <w:t>(2) Bei Ansprüchen aus Wechseln im Sinne des Wechselgesetzes sind Zinsen, Kosten und Provision, die außer der Wechselsumme gefordert werden, als Nebenforderungen anzusehen.</w:t>
      </w:r>
    </w:p>
    <w:p>
      <w:pPr>
        <w:pStyle w:val="Heading4"/>
      </w:pPr>
      <w:bookmarkStart w:id="8" w:name="b7"/>
      <w:r>
        <w:t>§ 5 Mehrere Ansprüche</w:t>
      </w:r>
      <w:r>
        <w:t xml:space="preserve"> </w:t>
      </w:r>
      <w:r>
        <w:rPr>
          <w:rStyle w:val="Suchmarke"/>
        </w:rPr>
        <w:t>#5#</w:t>
      </w:r>
      <w:bookmarkEnd w:id="8"/>
    </w:p>
    <w:p>
      <w:r>
        <w:t>Mehrere in einer Klage geltend gemachte Ansprüche werden zusammengerechnet; dies gilt nicht für den Gegenstand der Klage und der Widerklage.</w:t>
      </w:r>
    </w:p>
    <w:p>
      <w:pPr>
        <w:pStyle w:val="Heading4"/>
      </w:pPr>
      <w:bookmarkStart w:id="9" w:name="b8"/>
      <w:r>
        <w:t>§ 6 Besitz; Sicherstellung; Pfandrecht</w:t>
      </w:r>
      <w:r>
        <w:t xml:space="preserve"> </w:t>
      </w:r>
      <w:r>
        <w:rPr>
          <w:rStyle w:val="Suchmarke"/>
        </w:rPr>
        <w:t>#6#</w:t>
      </w:r>
      <w:bookmarkEnd w:id="9"/>
    </w:p>
    <w:p>
      <w:r>
        <w:rPr>
          <w:rStyle w:val="Satznummer"/>
        </w:rPr>
        <w:t>1</w:t>
      </w:r>
      <w:r>
        <w:t xml:space="preserve">Der Wert wird bestimmt: durch den Wert einer Sache, wenn es auf deren Besitz, und durch den Betrag einer Forderung, wenn es auf deren Sicherstellung oder ein Pfandrecht ankommt. </w:t>
      </w:r>
      <w:r>
        <w:rPr>
          <w:rStyle w:val="Satznummer"/>
        </w:rPr>
        <w:t>2</w:t>
      </w:r>
      <w:r>
        <w:t>Hat der Gegenstand des Pfandrechts einen geringeren Wert, so ist dieser maßgebend.</w:t>
      </w:r>
    </w:p>
    <w:p>
      <w:pPr>
        <w:pStyle w:val="Heading4"/>
      </w:pPr>
      <w:bookmarkStart w:id="10" w:name="b9"/>
      <w:r>
        <w:t>§ 7 Grunddienstbarkeit</w:t>
      </w:r>
      <w:r>
        <w:t xml:space="preserve"> </w:t>
      </w:r>
      <w:r>
        <w:rPr>
          <w:rStyle w:val="Suchmarke"/>
        </w:rPr>
        <w:t>#7#</w:t>
      </w:r>
      <w:bookmarkEnd w:id="10"/>
    </w:p>
    <w:p>
      <w:r>
        <w:t>Der Wert einer Grunddienstbarkeit wird durch den Wert, den sie für das herrschende Grundstück hat, und wenn der Betrag, um den sich der Wert des dienenden Grundstücks durch die Dienstbarkeit mindert, größer ist, durch diesen Betrag bestimmt.</w:t>
      </w:r>
    </w:p>
    <w:p>
      <w:pPr>
        <w:pStyle w:val="Heading4"/>
      </w:pPr>
      <w:bookmarkStart w:id="11" w:name="b10"/>
      <w:r>
        <w:t>§ 8 Pacht- oder Mietverhältnis</w:t>
      </w:r>
      <w:r>
        <w:t xml:space="preserve"> </w:t>
      </w:r>
      <w:r>
        <w:rPr>
          <w:rStyle w:val="Suchmarke"/>
        </w:rPr>
        <w:t>#8#</w:t>
      </w:r>
      <w:bookmarkEnd w:id="11"/>
    </w:p>
    <w:p>
      <w:r>
        <w:t>Ist das Bestehen oder die Dauer eines Pacht- oder Mietverhältnisses streitig, so ist der Betrag der auf die gesamte streitige Zeit entfallenden Pacht oder Miete und, wenn der 25fache Betrag des einjährigen Entgelts geringer ist, dieser Betrag für die Wertberechnung entscheidend.</w:t>
      </w:r>
    </w:p>
    <w:p>
      <w:pPr>
        <w:pStyle w:val="Heading4"/>
      </w:pPr>
      <w:bookmarkStart w:id="12" w:name="b11"/>
      <w:r>
        <w:t>§ 9 Wiederkehrende Nutzungen oder Leistungen</w:t>
      </w:r>
      <w:r>
        <w:t xml:space="preserve"> </w:t>
      </w:r>
      <w:r>
        <w:rPr>
          <w:rStyle w:val="Suchmarke"/>
        </w:rPr>
        <w:t>#9#</w:t>
      </w:r>
      <w:bookmarkEnd w:id="12"/>
    </w:p>
    <w:p>
      <w:r>
        <w:rPr>
          <w:rStyle w:val="Satznummer"/>
        </w:rPr>
        <w:t>1</w:t>
      </w:r>
      <w:r>
        <w:t xml:space="preserve">Der Wert des Rechts auf wiederkehrende Nutzungen oder Leistungen wird nach dem dreieinhalbfachen Wert des einjährigen Bezuges berechnet. </w:t>
      </w:r>
      <w:r>
        <w:rPr>
          <w:rStyle w:val="Satznummer"/>
        </w:rPr>
        <w:t>2</w:t>
      </w:r>
      <w:r>
        <w:t>Bei bestimmter Dauer des Bezugsrechts ist der Gesamtbetrag der künftigen Bezüge maßgebend, wenn er der geringere ist.</w:t>
      </w:r>
    </w:p>
    <w:p>
      <w:pPr>
        <w:pStyle w:val="Heading4"/>
      </w:pPr>
      <w:bookmarkStart w:id="13" w:name="b12"/>
      <w:r>
        <w:t>§ 10</w:t>
      </w:r>
      <w:r>
        <w:t xml:space="preserve"> </w:t>
      </w:r>
      <w:r>
        <w:rPr>
          <w:rStyle w:val="Suchmarke"/>
        </w:rPr>
        <w:t>#10#</w:t>
      </w:r>
      <w:bookmarkEnd w:id="13"/>
    </w:p>
    <w:p>
      <w:r>
        <w:t>(weggefallen)</w:t>
      </w:r>
    </w:p>
    <w:p>
      <w:pPr>
        <w:pStyle w:val="Heading4"/>
      </w:pPr>
      <w:bookmarkStart w:id="14" w:name="b13"/>
      <w:r>
        <w:t>§ 11 Bindende Entscheidung über Unzuständigkeit</w:t>
      </w:r>
      <w:r>
        <w:t xml:space="preserve"> </w:t>
      </w:r>
      <w:r>
        <w:rPr>
          <w:rStyle w:val="Suchmarke"/>
        </w:rPr>
        <w:t>#11#</w:t>
      </w:r>
      <w:bookmarkEnd w:id="14"/>
    </w:p>
    <w:p>
      <w:r>
        <w:t>Ist die Unzuständigkeit eines Gerichts auf Grund der Vorschriften über die sachliche Zuständigkeit der Gerichte rechtskräftig ausgesprochen, so ist diese Entscheidung für das Gericht bindend, bei dem die Sache später anhängig wird.</w:t>
      </w:r>
    </w:p>
    <w:p>
      <w:pPr>
        <w:pStyle w:val="Heading3"/>
      </w:pPr>
      <w:bookmarkStart w:id="15" w:name="b14"/>
      <w:r>
        <w:t>Titel 2 Gerichtsstand</w:t>
      </w:r>
      <w:bookmarkEnd w:id="15"/>
    </w:p>
    <w:p>
      <w:pPr>
        <w:pStyle w:val="Heading4"/>
      </w:pPr>
      <w:bookmarkStart w:id="16" w:name="b15"/>
      <w:r>
        <w:t>§ 12 Allgemeiner Gerichtsstand; Begriff</w:t>
      </w:r>
      <w:r>
        <w:t xml:space="preserve"> </w:t>
      </w:r>
      <w:r>
        <w:rPr>
          <w:rStyle w:val="Suchmarke"/>
        </w:rPr>
        <w:t>#12#</w:t>
      </w:r>
      <w:bookmarkEnd w:id="16"/>
    </w:p>
    <w:p>
      <w:r>
        <w:t>Das Gericht, bei dem eine Person ihren allgemeinen Gerichtsstand hat, ist für alle gegen sie zu erhebenden Klagen zuständig, sofern nicht für eine Klage ein ausschließlicher Gerichtsstand begründet ist.</w:t>
      </w:r>
    </w:p>
    <w:p>
      <w:pPr>
        <w:pStyle w:val="Heading4"/>
      </w:pPr>
      <w:bookmarkStart w:id="17" w:name="b16"/>
      <w:r>
        <w:t>§ 13 Allgemeiner Gerichtsstand des Wohnsitzes</w:t>
      </w:r>
      <w:r>
        <w:t xml:space="preserve"> </w:t>
      </w:r>
      <w:r>
        <w:rPr>
          <w:rStyle w:val="Suchmarke"/>
        </w:rPr>
        <w:t>#13#</w:t>
      </w:r>
      <w:bookmarkEnd w:id="17"/>
    </w:p>
    <w:p>
      <w:r>
        <w:t>Der allgemeine Gerichtsstand einer Person wird durch den Wohnsitz bestimmt.</w:t>
      </w:r>
    </w:p>
    <w:p>
      <w:pPr>
        <w:pStyle w:val="Heading4"/>
      </w:pPr>
      <w:bookmarkStart w:id="18" w:name="b17"/>
      <w:r>
        <w:t>§ 14</w:t>
      </w:r>
      <w:r>
        <w:t xml:space="preserve"> </w:t>
      </w:r>
      <w:r>
        <w:rPr>
          <w:rStyle w:val="Suchmarke"/>
        </w:rPr>
        <w:t>#14#</w:t>
      </w:r>
      <w:bookmarkEnd w:id="18"/>
    </w:p>
    <w:p>
      <w:r>
        <w:t>(weggefallen)</w:t>
      </w:r>
    </w:p>
    <w:p>
      <w:pPr>
        <w:pStyle w:val="Heading4"/>
      </w:pPr>
      <w:bookmarkStart w:id="19" w:name="b18"/>
      <w:r>
        <w:t>§ 15 Allgemeiner Gerichtsstand für exterritoriale Deutsche</w:t>
      </w:r>
      <w:r>
        <w:t xml:space="preserve"> </w:t>
      </w:r>
      <w:r>
        <w:rPr>
          <w:rStyle w:val="Suchmarke"/>
        </w:rPr>
        <w:t>#15#</w:t>
      </w:r>
      <w:bookmarkEnd w:id="19"/>
    </w:p>
    <w:p>
      <w:r>
        <w:t xml:space="preserve">(1) </w:t>
      </w:r>
      <w:r>
        <w:rPr>
          <w:rStyle w:val="Satznummer"/>
        </w:rPr>
        <w:t>1</w:t>
      </w:r>
      <w:r>
        <w:t xml:space="preserve">Deutsche, die das Recht der Exterritorialität genießen, sowie die im Ausland beschäftigten deutschen Angehörigen des öffentlichen Dienstes behalten den Gerichtsstand ihres letzten inländischen Wohnsitzes. </w:t>
      </w:r>
      <w:r>
        <w:rPr>
          <w:rStyle w:val="Satznummer"/>
        </w:rPr>
        <w:t>2</w:t>
      </w:r>
      <w:r>
        <w:t>Wenn sie einen solchen Wohnsitz nicht hatten, haben sie ihren allgemeinen Gerichtsstand beim Amtsgericht Schöneberg in Berlin.</w:t>
      </w:r>
    </w:p>
    <w:p>
      <w:r>
        <w:t>(2) Auf Honorarkonsuln ist diese Vorschrift nicht anzuwenden.</w:t>
      </w:r>
    </w:p>
    <w:p>
      <w:pPr>
        <w:pStyle w:val="Heading4"/>
      </w:pPr>
      <w:bookmarkStart w:id="20" w:name="b19"/>
      <w:r>
        <w:t>§ 16 Allgemeiner Gerichtsstand wohnsitzloser Personen</w:t>
      </w:r>
      <w:r>
        <w:t xml:space="preserve"> </w:t>
      </w:r>
      <w:r>
        <w:rPr>
          <w:rStyle w:val="Suchmarke"/>
        </w:rPr>
        <w:t>#16#</w:t>
      </w:r>
      <w:bookmarkEnd w:id="20"/>
    </w:p>
    <w:p>
      <w:r>
        <w:t>Der allgemeine Gerichtsstand einer Person, die keinen Wohnsitz hat, wird durch den Aufenthaltsort im Inland und, wenn ein solcher nicht bekannt ist, durch den letzten Wohnsitz bestimmt.</w:t>
      </w:r>
    </w:p>
    <w:p>
      <w:pPr>
        <w:pStyle w:val="Heading4"/>
      </w:pPr>
      <w:bookmarkStart w:id="21" w:name="b20"/>
      <w:r>
        <w:t>§ 17 Allgemeiner Gerichtsstand juristischer Personen</w:t>
      </w:r>
      <w:r>
        <w:t xml:space="preserve"> </w:t>
      </w:r>
      <w:r>
        <w:rPr>
          <w:rStyle w:val="Suchmarke"/>
        </w:rPr>
        <w:t>#17#</w:t>
      </w:r>
      <w:bookmarkEnd w:id="21"/>
    </w:p>
    <w:p>
      <w:r>
        <w:t xml:space="preserve">(1) </w:t>
      </w:r>
      <w:r>
        <w:rPr>
          <w:rStyle w:val="Satznummer"/>
        </w:rPr>
        <w:t>1</w:t>
      </w:r>
      <w:r>
        <w:t xml:space="preserve">Der allgemeine Gerichtsstand der Gemeinden, der Korporationen sowie derjenigen Gesellschaften, Genossenschaften oder anderen Vereine und derjenigen Stiftungen, Anstalten und Vermögensmassen, die als solche verklagt werden können, wird durch ihren Sitz bestimmt. </w:t>
      </w:r>
      <w:r>
        <w:rPr>
          <w:rStyle w:val="Satznummer"/>
        </w:rPr>
        <w:t>2</w:t>
      </w:r>
      <w:r>
        <w:t>Als Sitz gilt, wenn sich nichts anderes ergibt, der Ort, wo die Verwaltung geführt wird.</w:t>
      </w:r>
    </w:p>
    <w:p>
      <w:r>
        <w:t>(2) Gewerkschaften haben den allgemeinen Gerichtsstand bei dem Gericht, in dessen Bezirk das Bergwerk liegt, Behörden, wenn sie als solche verklagt werden können, bei dem Gericht ihres Amtssitzes.</w:t>
      </w:r>
    </w:p>
    <w:p>
      <w:r>
        <w:t>(3) Neben dem durch die Vorschriften dieses Paragraphen bestimmten Gerichtsstand ist ein durch Statut oder in anderer Weise besonders geregelter Gerichtsstand zulässig.</w:t>
      </w:r>
    </w:p>
    <w:p>
      <w:pPr>
        <w:pStyle w:val="Heading4"/>
      </w:pPr>
      <w:bookmarkStart w:id="22" w:name="b21"/>
      <w:r>
        <w:t>§ 18 Allgemeiner Gerichtsstand des Fiskus</w:t>
      </w:r>
      <w:r>
        <w:t xml:space="preserve"> </w:t>
      </w:r>
      <w:r>
        <w:rPr>
          <w:rStyle w:val="Suchmarke"/>
        </w:rPr>
        <w:t>#18#</w:t>
      </w:r>
      <w:bookmarkEnd w:id="22"/>
    </w:p>
    <w:p>
      <w:r>
        <w:t>Der allgemeine Gerichtsstand des Fiskus wird durch den Sitz der Behörde bestimmt, die berufen ist, den Fiskus in dem Rechtsstreit zu vertreten.</w:t>
      </w:r>
    </w:p>
    <w:p>
      <w:pPr>
        <w:pStyle w:val="Heading4"/>
      </w:pPr>
      <w:bookmarkStart w:id="23" w:name="b22"/>
      <w:r>
        <w:t>§ 19 Mehrere Gerichtsbezirke am Behördensitz</w:t>
      </w:r>
      <w:r>
        <w:t xml:space="preserve"> </w:t>
      </w:r>
      <w:r>
        <w:rPr>
          <w:rStyle w:val="Suchmarke"/>
        </w:rPr>
        <w:t>#19#</w:t>
      </w:r>
      <w:bookmarkEnd w:id="23"/>
    </w:p>
    <w:p>
      <w:r>
        <w:t xml:space="preserve">Ist der Ort, an dem eine Behörde ihren Sitz hat, in mehrere Gerichtsbezirke geteilt, so wird der Bezirk, der im Sinne der </w:t>
      </w:r>
      <w:hyperlink w:anchor="b20" w:history="1">
        <w:r>
          <w:rPr>
            <w:color w:val="0A3A8C"/>
            <w:u w:val="single"/>
          </w:rPr>
          <w:t xml:space="preserve">§§ 17</w:t>
        </w:r>
      </w:hyperlink>
      <w:r>
        <w:t xml:space="preserve">, </w:t>
      </w:r>
      <w:hyperlink w:anchor="b21" w:history="1">
        <w:r>
          <w:rPr>
            <w:color w:val="0A3A8C"/>
            <w:u w:val="single"/>
          </w:rPr>
          <w:t xml:space="preserve">18</w:t>
        </w:r>
      </w:hyperlink>
      <w:r>
        <w:t xml:space="preserve"> als Sitz der Behörde gilt, für die Bundesbehörden von dem Bundesministerium der Justiz und für Verbraucherschutz, im Übrigen von der Landesjustizverwaltung durch allgemeine Anordnung bestimmt.</w:t>
      </w:r>
    </w:p>
    <w:p>
      <w:pPr>
        <w:pStyle w:val="Heading4"/>
      </w:pPr>
      <w:bookmarkStart w:id="24" w:name="b23"/>
      <w:r>
        <w:t>§ 19a Allgemeiner Gerichtsstand des Insolvenzverwalters</w:t>
      </w:r>
      <w:r>
        <w:t xml:space="preserve"> </w:t>
      </w:r>
      <w:r>
        <w:rPr>
          <w:rStyle w:val="Suchmarke"/>
        </w:rPr>
        <w:t>#19a#</w:t>
      </w:r>
      <w:bookmarkEnd w:id="24"/>
    </w:p>
    <w:p>
      <w:r>
        <w:t>Der allgemeine Gerichtsstand eines Insolvenzverwalters für Klagen, die sich auf die Insolvenzmasse beziehen, wird durch den Sitz des Insolvenzgerichts bestimmt.</w:t>
      </w:r>
    </w:p>
    <w:p>
      <w:pPr>
        <w:pStyle w:val="Heading4"/>
      </w:pPr>
      <w:bookmarkStart w:id="25" w:name="b24"/>
      <w:r>
        <w:t>§ 19b Ausschließlicher Gerichtsstand bei restrukturierungsbezogenen Klagen; Verordnungsermächtigung</w:t>
      </w:r>
      <w:r>
        <w:t xml:space="preserve"> </w:t>
      </w:r>
      <w:r>
        <w:rPr>
          <w:rStyle w:val="Suchmarke"/>
        </w:rPr>
        <w:t>#19b#</w:t>
      </w:r>
      <w:bookmarkEnd w:id="25"/>
    </w:p>
    <w:p>
      <w:r>
        <w:t>(1) Für Klagen, die sich auf Restrukturierungssachen nach dem Unternehmensstabilisierungs- und -restrukturierungsgesetz beziehen, ist ausschließlich das Gericht zuständig, in dessen Bezirk das für die Restrukturierungssache zuständige Restrukturierungsgericht seinen Sitz hat.</w:t>
      </w:r>
    </w:p>
    <w:p>
      <w:r>
        <w:t xml:space="preserve">(2) </w:t>
      </w:r>
      <w:r>
        <w:rPr>
          <w:rStyle w:val="Satznummer"/>
        </w:rPr>
        <w:t>1</w:t>
      </w:r>
      <w:r>
        <w:t xml:space="preserve">Die Landesregierungen werden ermächtigt, durch Rechtsverordnung die in Absatz 1 genannten Klagen einem Landgericht für die Bezirke mehrerer Oberlandesgerichte zuzuweisen, sofern dies der sachlichen Förderung oder schnelleren Erledigung der Verfahren dienlich ist. </w:t>
      </w:r>
      <w:r>
        <w:rPr>
          <w:rStyle w:val="Satznummer"/>
        </w:rPr>
        <w:t>2</w:t>
      </w:r>
      <w:r>
        <w:t>Die Landesregierungen können diese Ermächtigung durch Rechtsverordnung auf die Landesjustizverwaltungen übertragen.</w:t>
      </w:r>
    </w:p>
    <w:p>
      <w:pPr>
        <w:pStyle w:val="Heading4"/>
      </w:pPr>
      <w:bookmarkStart w:id="26" w:name="b25"/>
      <w:r>
        <w:t>§ 20 Besonderer Gerichtsstand des Aufenthaltsorts</w:t>
      </w:r>
      <w:r>
        <w:t xml:space="preserve"> </w:t>
      </w:r>
      <w:r>
        <w:rPr>
          <w:rStyle w:val="Suchmarke"/>
        </w:rPr>
        <w:t>#20#</w:t>
      </w:r>
      <w:bookmarkEnd w:id="26"/>
    </w:p>
    <w:p>
      <w:r>
        <w:t>Wenn Personen an einem Ort unter Verhältnissen, die ihrer Natur nach auf einen Aufenthalt von längerer Dauer hinweisen, insbesondere als Hausgehilfen, Arbeiter, Gewerbegehilfen, Studierende, Schüler oder Lehrlinge sich aufhalten, so ist das Gericht des Aufenthaltsortes für alle Klagen zuständig, die gegen diese Personen wegen vermögensrechtlicher Ansprüche erhoben werden.</w:t>
      </w:r>
    </w:p>
    <w:p>
      <w:pPr>
        <w:pStyle w:val="Heading4"/>
      </w:pPr>
      <w:bookmarkStart w:id="27" w:name="b26"/>
      <w:r>
        <w:t>§ 21 Besonderer Gerichtsstand der Niederlassung</w:t>
      </w:r>
      <w:r>
        <w:t xml:space="preserve"> </w:t>
      </w:r>
      <w:r>
        <w:rPr>
          <w:rStyle w:val="Suchmarke"/>
        </w:rPr>
        <w:t>#21#</w:t>
      </w:r>
      <w:bookmarkEnd w:id="27"/>
    </w:p>
    <w:p>
      <w:r>
        <w:t>(1) Hat jemand zum Betrieb einer Fabrik, einer Handlung oder eines anderen Gewerbes eine Niederlassung, von der aus unmittelbar Geschäfte geschlossen werden, so können gegen ihn alle Klagen, die auf den Geschäftsbetrieb der Niederlassung Bezug haben, bei dem Gericht des Ortes erhoben werden, wo die Niederlassung sich befindet.</w:t>
      </w:r>
    </w:p>
    <w:p>
      <w:r>
        <w:t>(2) Der Gerichtsstand der Niederlassung ist auch für Klagen gegen Personen begründet, die ein mit Wohn- und Wirtschaftsgebäuden versehenes Gut als Eigentümer, Nutznießer oder Pächter bewirtschaften, soweit diese Klagen die auf die Bewirtschaftung des Gutes sich beziehenden Rechtsverhältnisse betreffen.</w:t>
      </w:r>
    </w:p>
    <w:p>
      <w:pPr>
        <w:pStyle w:val="Heading4"/>
      </w:pPr>
      <w:bookmarkStart w:id="28" w:name="b27"/>
      <w:r>
        <w:t>§ 22 Besonderer Gerichtsstand der Mitgliedschaft</w:t>
      </w:r>
      <w:r>
        <w:t xml:space="preserve"> </w:t>
      </w:r>
      <w:r>
        <w:rPr>
          <w:rStyle w:val="Suchmarke"/>
        </w:rPr>
        <w:t>#22#</w:t>
      </w:r>
      <w:bookmarkEnd w:id="28"/>
    </w:p>
    <w:p>
      <w:r>
        <w:t>Das Gericht, bei dem Gemeinden, Korporationen, Gesellschaften, Genossenschaften oder andere Vereine den allgemeinen Gerichtsstand haben, ist für die Klagen zuständig, die von ihnen oder von dem Insolvenzverwalter gegen die Mitglieder als solche oder von den Mitgliedern in dieser Eigenschaft gegeneinander erhoben werden.</w:t>
      </w:r>
    </w:p>
    <w:p>
      <w:pPr>
        <w:pStyle w:val="Heading4"/>
      </w:pPr>
      <w:bookmarkStart w:id="29" w:name="b28"/>
      <w:r>
        <w:t>§ 23 Besonderer Gerichtsstand des Vermögens und des Gegenstands</w:t>
      </w:r>
      <w:r>
        <w:t xml:space="preserve"> </w:t>
      </w:r>
      <w:r>
        <w:rPr>
          <w:rStyle w:val="Suchmarke"/>
        </w:rPr>
        <w:t>#23#</w:t>
      </w:r>
      <w:bookmarkEnd w:id="29"/>
    </w:p>
    <w:p>
      <w:r>
        <w:rPr>
          <w:rStyle w:val="Satznummer"/>
        </w:rPr>
        <w:t>1</w:t>
      </w:r>
      <w:r>
        <w:t xml:space="preserve">Für Klagen wegen vermögensrechtlicher Ansprüche gegen eine Person, die im Inland keinen Wohnsitz hat, ist das Gericht zuständig, in dessen Bezirk sich Vermögen derselben oder der mit der Klage in Anspruch genommene Gegenstand befindet. </w:t>
      </w:r>
      <w:r>
        <w:rPr>
          <w:rStyle w:val="Satznummer"/>
        </w:rPr>
        <w:t>2</w:t>
      </w:r>
      <w:r>
        <w:t>Bei Forderungen gilt als der Ort, wo das Vermögen sich befindet, der Wohnsitz des Schuldners und, wenn für die Forderungen eine Sache zur Sicherheit haftet, auch der Ort, wo die Sache sich befindet.</w:t>
      </w:r>
    </w:p>
    <w:p>
      <w:pPr>
        <w:pStyle w:val="Heading4"/>
      </w:pPr>
      <w:bookmarkStart w:id="30" w:name="b29"/>
      <w:r>
        <w:t>§ 24 Ausschließlicher dinglicher Gerichtsstand</w:t>
      </w:r>
      <w:r>
        <w:t xml:space="preserve"> </w:t>
      </w:r>
      <w:r>
        <w:rPr>
          <w:rStyle w:val="Suchmarke"/>
        </w:rPr>
        <w:t>#24#</w:t>
      </w:r>
      <w:bookmarkEnd w:id="30"/>
    </w:p>
    <w:p>
      <w:r>
        <w:t>(1) Für Klagen, durch die das Eigentum, eine dingliche Belastung oder die Freiheit von einer solchen geltend gemacht wird, für Grenzscheidungs-, Teilungs- und Besitzklagen ist, sofern es sich um unbewegliche Sachen handelt, das Gericht ausschließlich zuständig, in dessen Bezirk die Sache belegen ist.</w:t>
      </w:r>
    </w:p>
    <w:p>
      <w:r>
        <w:t>(2) Bei den eine Grunddienstbarkeit, eine Reallast oder ein Vorkaufsrecht betreffenden Klagen ist die Lage des dienenden oder belasteten Grundstücks entscheidend.</w:t>
      </w:r>
    </w:p>
    <w:p>
      <w:pPr>
        <w:pStyle w:val="Heading4"/>
      </w:pPr>
      <w:bookmarkStart w:id="31" w:name="b30"/>
      <w:r>
        <w:t>§ 25 Dinglicher Gerichtsstand des Sachzusammenhanges</w:t>
      </w:r>
      <w:r>
        <w:t xml:space="preserve"> </w:t>
      </w:r>
      <w:r>
        <w:rPr>
          <w:rStyle w:val="Suchmarke"/>
        </w:rPr>
        <w:t>#25#</w:t>
      </w:r>
      <w:bookmarkEnd w:id="31"/>
    </w:p>
    <w:p>
      <w:r>
        <w:t>In dem dinglichen Gerichtsstand kann mit der Klage aus einer Hypothek, Grundschuld oder Rentenschuld die Schuldklage, mit der Klage auf Umschreibung oder Löschung einer Hypothek, Grundschuld oder Rentenschuld die Klage auf Befreiung von der persönlichen Verbindlichkeit, mit der Klage auf Anerkennung einer Reallast die Klage auf rückständige Leistungen erhoben werden, wenn die verbundenen Klagen gegen denselben Beklagten gerichtet sind.</w:t>
      </w:r>
    </w:p>
    <w:p>
      <w:pPr>
        <w:pStyle w:val="Heading4"/>
      </w:pPr>
      <w:bookmarkStart w:id="32" w:name="b31"/>
      <w:r>
        <w:t>§ 26 Dinglicher Gerichtsstand für persönliche Klagen</w:t>
      </w:r>
      <w:r>
        <w:t xml:space="preserve"> </w:t>
      </w:r>
      <w:r>
        <w:rPr>
          <w:rStyle w:val="Suchmarke"/>
        </w:rPr>
        <w:t>#26#</w:t>
      </w:r>
      <w:bookmarkEnd w:id="32"/>
    </w:p>
    <w:p>
      <w:r>
        <w:t>In dem dinglichen Gerichtsstand können persönliche Klagen, die gegen den Eigentümer oder Besitzer einer unbeweglichen Sache als solche gerichtet werden, sowie Klagen wegen Beschädigung eines Grundstücks oder hinsichtlich der Entschädigung wegen Enteignung eines Grundstücks erhoben werden.</w:t>
      </w:r>
    </w:p>
    <w:p>
      <w:pPr>
        <w:pStyle w:val="Heading4"/>
      </w:pPr>
      <w:bookmarkStart w:id="33" w:name="b32"/>
      <w:r>
        <w:t>§ 27 Besonderer Gerichtsstand der Erbschaft</w:t>
      </w:r>
      <w:r>
        <w:t xml:space="preserve"> </w:t>
      </w:r>
      <w:r>
        <w:rPr>
          <w:rStyle w:val="Suchmarke"/>
        </w:rPr>
        <w:t>#27#</w:t>
      </w:r>
      <w:bookmarkEnd w:id="33"/>
    </w:p>
    <w:p>
      <w:r>
        <w:t>(1) Klagen, welche die Feststellung des Erbrechts, Ansprüche des Erben gegen einen Erbschaftsbesitzer, Ansprüche aus Vermächtnissen oder sonstigen Verfügungen von Todes wegen, Pflichtteilsansprüche oder die Teilung der Erbschaft zum Gegenstand haben, können vor dem Gericht erhoben werden, bei dem der Erblasser zur Zeit seines Todes den allgemeinen Gerichtsstand gehabt hat.</w:t>
      </w:r>
    </w:p>
    <w:p>
      <w:r>
        <w:t xml:space="preserve">(2) Ist der Erblasser ein Deutscher und hatte er zur Zeit seines Todes im Inland keinen allgemeinen Gerichtsstand, so können die im Absatz 1 bezeichneten Klagen vor dem Gericht erhoben werden, in dessen Bezirk der Erblasser seinen letzten inländischen Wohnsitz hatte; wenn er einen solchen Wohnsitz nicht hatte, so gilt die Vorschrift des </w:t>
      </w:r>
      <w:hyperlink w:anchor="b18" w:history="1">
        <w:r>
          <w:rPr>
            <w:color w:val="0A3A8C"/>
            <w:u w:val="single"/>
          </w:rPr>
          <w:t xml:space="preserve">§ 15</w:t>
        </w:r>
      </w:hyperlink>
      <w:r>
        <w:t xml:space="preserve"> Abs. 1 Satz 2 entsprechend.</w:t>
      </w:r>
    </w:p>
    <w:p>
      <w:pPr>
        <w:pStyle w:val="Heading4"/>
      </w:pPr>
      <w:bookmarkStart w:id="34" w:name="b33"/>
      <w:r>
        <w:t>§ 28 Erweiterter Gerichtsstand der Erbschaft</w:t>
      </w:r>
      <w:r>
        <w:t xml:space="preserve"> </w:t>
      </w:r>
      <w:r>
        <w:rPr>
          <w:rStyle w:val="Suchmarke"/>
        </w:rPr>
        <w:t>#28#</w:t>
      </w:r>
      <w:bookmarkEnd w:id="34"/>
    </w:p>
    <w:p>
      <w:r>
        <w:t>In dem Gerichtsstand der Erbschaft können auch Klagen wegen anderer Nachlassverbindlichkeiten erhoben werden, solange sich der Nachlass noch ganz oder teilweise im Bezirk des Gerichts befindet oder die vorhandenen mehreren Erben noch als Gesamtschuldner haften.</w:t>
      </w:r>
    </w:p>
    <w:p>
      <w:pPr>
        <w:pStyle w:val="Heading4"/>
      </w:pPr>
      <w:bookmarkStart w:id="35" w:name="b34"/>
      <w:r>
        <w:t>§ 29 Besonderer Gerichtsstand des Erfüllungsorts</w:t>
      </w:r>
      <w:r>
        <w:t xml:space="preserve"> </w:t>
      </w:r>
      <w:r>
        <w:rPr>
          <w:rStyle w:val="Suchmarke"/>
        </w:rPr>
        <w:t>#29#</w:t>
      </w:r>
      <w:bookmarkEnd w:id="35"/>
    </w:p>
    <w:p>
      <w:r>
        <w:t>(1) Für Streitigkeiten aus einem Vertragsverhältnis und über dessen Bestehen ist das Gericht des Ortes zuständig, an dem die streitige Verpflichtung zu erfüllen ist.</w:t>
      </w:r>
    </w:p>
    <w:p>
      <w:r>
        <w:t>(2) Eine Vereinbarung über den Erfüllungsort begründet die Zuständigkeit nur, wenn die Vertragsparteien Kaufleute, juristische Personen des öffentlichen Rechts oder öffentlich-rechtliche Sondervermögen sind.</w:t>
      </w:r>
    </w:p>
    <w:p>
      <w:pPr>
        <w:pStyle w:val="Heading4"/>
      </w:pPr>
      <w:bookmarkStart w:id="36" w:name="b35"/>
      <w:r>
        <w:t>§ 29a Ausschließlicher Gerichtsstand bei Miet- oder Pachträumen</w:t>
      </w:r>
      <w:r>
        <w:t xml:space="preserve"> </w:t>
      </w:r>
      <w:r>
        <w:rPr>
          <w:rStyle w:val="Suchmarke"/>
        </w:rPr>
        <w:t>#29a#</w:t>
      </w:r>
      <w:bookmarkEnd w:id="36"/>
    </w:p>
    <w:p>
      <w:r>
        <w:t>(1) Für Streitigkeiten über Ansprüche aus Miet- oder Pachtverhältnissen über Räume oder über das Bestehen solcher Verhältnisse ist das Gericht ausschließlich zuständig, in dessen Bezirk sich die Räume befinden.</w:t>
      </w:r>
    </w:p>
    <w:p>
      <w:r>
        <w:t>(2) Absatz 1 ist nicht anzuwenden, wenn es sich um Wohnraum der in § 549 Abs. 2 Nr. 1 bis 3 des Bürgerlichen Gesetzbuchs genannten Art handelt.</w:t>
      </w:r>
    </w:p>
    <w:p>
      <w:pPr>
        <w:pStyle w:val="Heading4"/>
      </w:pPr>
      <w:bookmarkStart w:id="37" w:name="b36"/>
      <w:r>
        <w:t>§ 29b (weggefallen)</w:t>
      </w:r>
      <w:r>
        <w:t xml:space="preserve"> </w:t>
      </w:r>
      <w:r>
        <w:rPr>
          <w:rStyle w:val="Suchmarke"/>
        </w:rPr>
        <w:t>#29b#</w:t>
      </w:r>
      <w:bookmarkEnd w:id="37"/>
    </w:p>
    <w:p>
      <w:r>
        <w:t>-</w:t>
      </w:r>
    </w:p>
    <w:p>
      <w:pPr>
        <w:pStyle w:val="Heading4"/>
      </w:pPr>
      <w:bookmarkStart w:id="38" w:name="b37"/>
      <w:r>
        <w:t>§ 29c Besonderer Gerichtsstand für Haustürgeschäfte</w:t>
      </w:r>
      <w:r>
        <w:t xml:space="preserve"> </w:t>
      </w:r>
      <w:r>
        <w:rPr>
          <w:rStyle w:val="Suchmarke"/>
        </w:rPr>
        <w:t>#29c#</w:t>
      </w:r>
      <w:bookmarkEnd w:id="38"/>
    </w:p>
    <w:p>
      <w:r>
        <w:t xml:space="preserve">(1) </w:t>
      </w:r>
      <w:r>
        <w:rPr>
          <w:rStyle w:val="Satznummer"/>
        </w:rPr>
        <w:t>1</w:t>
      </w:r>
      <w:r>
        <w:t xml:space="preserve">Für Klagen aus außerhalb von Geschäftsräumen geschlossenen Verträgen (§ 312b des Bürgerlichen Gesetzbuchs) ist das Gericht zuständig, in dessen Bezirk der Verbraucher zur Zeit der Klageerhebung seinen Wohnsitz, in Ermangelung eines solchen seinen gewöhnlichen Aufenthalt hat. </w:t>
      </w:r>
      <w:r>
        <w:rPr>
          <w:rStyle w:val="Satznummer"/>
        </w:rPr>
        <w:t>2</w:t>
      </w:r>
      <w:r>
        <w:t>Für Klagen gegen den Verbraucher ist dieses Gericht ausschließlich zuständig.</w:t>
      </w:r>
    </w:p>
    <w:p>
      <w:r>
        <w:t>(2) Verbraucher ist jede natürliche Person, die bei dem Erwerb des Anspruchs oder der Begründung des Rechtsverhältnisses nicht überwiegend im Rahmen ihrer gewerblichen oder selbständigen beruflichen Tätigkeit handelt.</w:t>
      </w:r>
    </w:p>
    <w:p>
      <w:r>
        <w:t xml:space="preserve">(3) </w:t>
      </w:r>
      <w:hyperlink w:anchor="b44" w:history="1">
        <w:r>
          <w:rPr>
            <w:color w:val="0A3A8C"/>
            <w:u w:val="single"/>
          </w:rPr>
          <w:t xml:space="preserve">§ 33</w:t>
        </w:r>
      </w:hyperlink>
      <w:r>
        <w:t xml:space="preserve"> Abs. 2 findet auf Widerklagen der anderen Vertragspartei keine Anwendung.</w:t>
      </w:r>
    </w:p>
    <w:p>
      <w:r>
        <w:t>(4) Eine von Absatz 1 abweichende Vereinbarung ist zulässig für den Fall, dass der Verbraucher nach Vertragsschluss seinen Wohnsitz oder gewöhnlichen Aufenthalt aus dem Geltungsbereich dieses Gesetzes verlegt oder sein Wohnsitz oder gewöhnlicher Aufenthalt im Zeitpunkt der Klageerhebung nicht bekannt ist.</w:t>
      </w:r>
    </w:p>
    <w:p>
      <w:pPr>
        <w:pStyle w:val="Heading4"/>
      </w:pPr>
      <w:bookmarkStart w:id="39" w:name="b38"/>
      <w:r>
        <w:t>§ 30 Gerichtsstand bei Beförderungen</w:t>
      </w:r>
      <w:r>
        <w:t xml:space="preserve"> </w:t>
      </w:r>
      <w:r>
        <w:rPr>
          <w:rStyle w:val="Suchmarke"/>
        </w:rPr>
        <w:t>#30#</w:t>
      </w:r>
      <w:bookmarkEnd w:id="39"/>
    </w:p>
    <w:p>
      <w:r>
        <w:t xml:space="preserve">(1) </w:t>
      </w:r>
      <w:r>
        <w:rPr>
          <w:rStyle w:val="Satznummer"/>
        </w:rPr>
        <w:t>1</w:t>
      </w:r>
      <w:r>
        <w:t xml:space="preserve">Für Rechtsstreitigkeiten aus einer Güterbeförderung ist auch das Gericht zuständig, in dessen Bezirk der Ort der Übernahme des Gutes oder der für die Ablieferung des Gutes vorgesehene Ort liegt. </w:t>
      </w:r>
      <w:r>
        <w:rPr>
          <w:rStyle w:val="Satznummer"/>
        </w:rPr>
        <w:t>2</w:t>
      </w:r>
      <w:r>
        <w:t xml:space="preserve">Eine Klage gegen den ausführenden Frachtführer oder ausführenden Verfrachter kann auch in dem Gerichtsstand des Frachtführers oder Verfrachters erhoben werden. </w:t>
      </w:r>
      <w:r>
        <w:rPr>
          <w:rStyle w:val="Satznummer"/>
        </w:rPr>
        <w:t>3</w:t>
      </w:r>
      <w:r>
        <w:t>Eine Klage gegen den Frachtführer oder Verfrachter kann auch in dem Gerichtsstand des ausführenden Frachtführers oder ausführenden Verfrachters erhoben werden.</w:t>
      </w:r>
    </w:p>
    <w:p>
      <w:r>
        <w:t xml:space="preserve">(2) </w:t>
      </w:r>
      <w:r>
        <w:rPr>
          <w:rStyle w:val="Satznummer"/>
        </w:rPr>
        <w:t>1</w:t>
      </w:r>
      <w:r>
        <w:t xml:space="preserve">Für Rechtsstreitigkeiten wegen einer Beförderung von Fahrgästen und ihrem Gepäck auf Schiffen ist auch das Gericht zuständig, in dessen Bezirk sich der im Beförderungsvertrag bestimmte Abgangs- oder Bestimmungsort befindet. </w:t>
      </w:r>
      <w:r>
        <w:rPr>
          <w:rStyle w:val="Satznummer"/>
        </w:rPr>
        <w:t>2</w:t>
      </w:r>
      <w:r>
        <w:t>Eine von Satz 1 abweichende Vereinbarung ist unwirksam, wenn sie vor Eintritt des Ereignisses getroffen wird, das den Tod oder die Körperverletzung des Fahrgasts oder den Verlust, die Beschädigung oder die verspätete Aushändigung des Gepäcks verursacht hat.</w:t>
      </w:r>
    </w:p>
    <w:p>
      <w:pPr>
        <w:pStyle w:val="Heading4"/>
      </w:pPr>
      <w:bookmarkStart w:id="40" w:name="b39"/>
      <w:r>
        <w:t>§ 30a Gerichtsstand bei Bergungsansprüchen</w:t>
      </w:r>
      <w:r>
        <w:t xml:space="preserve"> </w:t>
      </w:r>
      <w:r>
        <w:rPr>
          <w:rStyle w:val="Suchmarke"/>
        </w:rPr>
        <w:t>#30a#</w:t>
      </w:r>
      <w:bookmarkEnd w:id="40"/>
    </w:p>
    <w:p>
      <w:r>
        <w:t>Für Klagen wegen Ansprüchen aus Bergung von Schiffen oder sonstigen Vermögensgegenständen in einem Gewässer gegen eine Person, die im Inland keinen Gerichtsstand hat, ist das Gericht zuständig, bei dem der Kläger im Inland seinen allgemeinen Gerichtsstand hat.</w:t>
      </w:r>
    </w:p>
    <w:p>
      <w:pPr>
        <w:pStyle w:val="Heading4"/>
      </w:pPr>
      <w:bookmarkStart w:id="41" w:name="b40"/>
      <w:r>
        <w:t>§ 31 Besonderer Gerichtsstand der Vermögensverwaltung</w:t>
      </w:r>
      <w:r>
        <w:t xml:space="preserve"> </w:t>
      </w:r>
      <w:r>
        <w:rPr>
          <w:rStyle w:val="Suchmarke"/>
        </w:rPr>
        <w:t>#31#</w:t>
      </w:r>
      <w:bookmarkEnd w:id="41"/>
    </w:p>
    <w:p>
      <w:r>
        <w:t>Für Klagen, die aus einer Vermögensverwaltung von dem Geschäftsherrn gegen den Verwalter oder von dem Verwalter gegen den Geschäftsherrn erhoben werden, ist das Gericht des Ortes zuständig, wo die Verwaltung geführt ist.</w:t>
      </w:r>
    </w:p>
    <w:p>
      <w:pPr>
        <w:pStyle w:val="Heading4"/>
      </w:pPr>
      <w:bookmarkStart w:id="42" w:name="b41"/>
      <w:r>
        <w:t>§ 32 Besonderer Gerichtsstand der unerlaubten Handlung</w:t>
      </w:r>
      <w:r>
        <w:t xml:space="preserve"> </w:t>
      </w:r>
      <w:r>
        <w:rPr>
          <w:rStyle w:val="Suchmarke"/>
        </w:rPr>
        <w:t>#32#</w:t>
      </w:r>
      <w:bookmarkEnd w:id="42"/>
    </w:p>
    <w:p>
      <w:r>
        <w:t>Für Klagen aus unerlaubten Handlungen ist das Gericht zuständig, in dessen Bezirk die Handlung begangen ist.</w:t>
      </w:r>
    </w:p>
    <w:p>
      <w:pPr>
        <w:pStyle w:val="Heading4"/>
      </w:pPr>
      <w:bookmarkStart w:id="43" w:name="b42"/>
      <w:r>
        <w:t>§ 32a Ausschließlicher Gerichtsstand der Umwelteinwirkung</w:t>
      </w:r>
      <w:r>
        <w:t xml:space="preserve"> </w:t>
      </w:r>
      <w:r>
        <w:rPr>
          <w:rStyle w:val="Suchmarke"/>
        </w:rPr>
        <w:t>#32a#</w:t>
      </w:r>
      <w:bookmarkEnd w:id="43"/>
    </w:p>
    <w:p>
      <w:r>
        <w:rPr>
          <w:rStyle w:val="Satznummer"/>
        </w:rPr>
        <w:t>1</w:t>
      </w:r>
      <w:r>
        <w:t xml:space="preserve">Für Klagen gegen den Inhaber einer im Anhang 1 des Umwelthaftungsgesetzes genannten Anlage, mit denen der Ersatz eines durch eine Umwelteinwirkung verursachten Schadens geltend gemacht wird, ist das Gericht ausschließlich zuständig, in dessen Bezirk die Umwelteinwirkung von der Anlage ausgegangen ist. </w:t>
      </w:r>
      <w:r>
        <w:rPr>
          <w:rStyle w:val="Satznummer"/>
        </w:rPr>
        <w:t>2</w:t>
      </w:r>
      <w:r>
        <w:t>Dies gilt nicht, wenn die Anlage im Ausland belegen ist.</w:t>
      </w:r>
    </w:p>
    <w:p>
      <w:pPr>
        <w:pStyle w:val="Heading4"/>
      </w:pPr>
      <w:bookmarkStart w:id="44" w:name="b43"/>
      <w:r>
        <w:t>§ 32b Ausschließlicher Gerichtsstand bei musterverfahrensfähigen Ansprüchen</w:t>
      </w:r>
      <w:r>
        <w:t xml:space="preserve"> </w:t>
      </w:r>
      <w:r>
        <w:rPr>
          <w:rStyle w:val="Suchmarke"/>
        </w:rPr>
        <w:t>#32b#</w:t>
      </w:r>
      <w:bookmarkEnd w:id="44"/>
    </w:p>
    <w:p>
      <w:r>
        <w:t>(1) Für Klagen, in denen ein in § 1 Absatz 1 des Kapitalanleger-Musterverfahrensgesetzes genannter Anspruch geltend gemacht wird, ist das folgende Gericht ausschließlich zuständig:</w:t>
      </w:r>
    </w:p>
    <w:p>
      <w:pPr>
        <w:tabs>
          <w:tab w:pos="567" w:val="left"/>
        </w:tabs>
        <w:ind w:left="567" w:hanging="567"/>
      </w:pPr>
      <w:r>
        <w:t>1.</w:t>
      </w:r>
      <w:r>
        <w:tab/>
      </w:r>
      <w:r>
        <w:t>in den Fällen des § 1 Absatz 1 Nummer 1 und 2 des Kapitalanleger-Musterverfahrensgesetzes das Gericht am inländischen Sitz des betroffenen Emittenten oder des betroffenen Anbieters von sonstigen Vermögensanlagen,</w:t>
      </w:r>
    </w:p>
    <w:p>
      <w:pPr>
        <w:tabs>
          <w:tab w:pos="567" w:val="left"/>
        </w:tabs>
        <w:ind w:left="567" w:hanging="567"/>
      </w:pPr>
      <w:r>
        <w:t>2.</w:t>
      </w:r>
      <w:r>
        <w:tab/>
      </w:r>
      <w:r>
        <w:t>in den Fällen des § 1 Absatz 1 Nummer 3 des Kapitalanleger-Musterverfahrensgesetzes das Gericht am inländischen Sitz der Zielgesellschaft und</w:t>
      </w:r>
    </w:p>
    <w:p>
      <w:pPr>
        <w:tabs>
          <w:tab w:pos="567" w:val="left"/>
        </w:tabs>
        <w:ind w:left="567" w:hanging="567"/>
      </w:pPr>
      <w:r>
        <w:t>3.</w:t>
      </w:r>
      <w:r>
        <w:tab/>
      </w:r>
      <w:r>
        <w:t>in den Fällen des § 1 Absatz 1 Nummer 4 des Kapitalanleger-Musterverfahrensgesetzes das Gericht am inländischen Sitz des betroffenen Anbieters von Kryptowerte-Dienstleistungen.</w:t>
      </w:r>
    </w:p>
    <w:p>
      <w:r>
        <w:t xml:space="preserve">(2) </w:t>
      </w:r>
      <w:r>
        <w:rPr>
          <w:rStyle w:val="Satznummer"/>
        </w:rPr>
        <w:t>1</w:t>
      </w:r>
      <w:r>
        <w:t xml:space="preserve">Die Landesregierungen werden ermächtigt, durch Rechtsverordnung die in Absatz 1 genannten Klagen einem Landgericht für die Bezirke mehrerer Landgerichte zuzuweisen, sofern dies der sachlichen Förderung oder schnelleren Erledigung der Verfahren dienlich ist. </w:t>
      </w:r>
      <w:r>
        <w:rPr>
          <w:rStyle w:val="Satznummer"/>
        </w:rPr>
        <w:t>2</w:t>
      </w:r>
      <w:r>
        <w:t>Die Landesregierungen können diese Ermächtigung auf die Landesjustizverwaltungen übertragen.</w:t>
      </w:r>
    </w:p>
    <w:p>
      <w:pPr>
        <w:pStyle w:val="Heading4"/>
      </w:pPr>
      <w:bookmarkStart w:id="45" w:name="b44"/>
      <w:r>
        <w:t>§ 33 Besonderer Gerichtsstand der Widerklage</w:t>
      </w:r>
      <w:r>
        <w:t xml:space="preserve"> </w:t>
      </w:r>
      <w:r>
        <w:rPr>
          <w:rStyle w:val="Suchmarke"/>
        </w:rPr>
        <w:t>#33#</w:t>
      </w:r>
      <w:bookmarkEnd w:id="45"/>
    </w:p>
    <w:p>
      <w:r>
        <w:t>(1) Bei dem Gericht der Klage kann eine Widerklage erhoben werden, wenn der Gegenanspruch mit dem in der Klage geltend gemachten Anspruch oder mit den gegen ihn vorgebrachten Verteidigungsmitteln in Zusammenhang steht.</w:t>
      </w:r>
    </w:p>
    <w:p>
      <w:r>
        <w:t xml:space="preserve">(2) Dies gilt nicht, wenn für eine Klage wegen des Gegenanspruchs die Vereinbarung der Zuständigkeit des Gerichts nach </w:t>
      </w:r>
      <w:hyperlink w:anchor="b52" w:history="1">
        <w:r>
          <w:rPr>
            <w:color w:val="0A3A8C"/>
            <w:u w:val="single"/>
          </w:rPr>
          <w:t xml:space="preserve">§ 40</w:t>
        </w:r>
      </w:hyperlink>
      <w:r>
        <w:t xml:space="preserve"> Abs. 2 unzulässig ist.</w:t>
      </w:r>
    </w:p>
    <w:p>
      <w:pPr>
        <w:pStyle w:val="Heading4"/>
      </w:pPr>
      <w:bookmarkStart w:id="46" w:name="b45"/>
      <w:r>
        <w:t>§ 34 Besonderer Gerichtsstand des Hauptprozesses</w:t>
      </w:r>
      <w:r>
        <w:t xml:space="preserve"> </w:t>
      </w:r>
      <w:r>
        <w:rPr>
          <w:rStyle w:val="Suchmarke"/>
        </w:rPr>
        <w:t>#34#</w:t>
      </w:r>
      <w:bookmarkEnd w:id="46"/>
    </w:p>
    <w:p>
      <w:r>
        <w:t>Für Klagen der Prozessbevollmächtigten, der Beistände, der Zustellungsbevollmächtigten und der Gerichtsvollzieher wegen Gebühren und Auslagen ist das Gericht des Hauptprozesses zuständig.</w:t>
      </w:r>
    </w:p>
    <w:p>
      <w:pPr>
        <w:pStyle w:val="Heading4"/>
      </w:pPr>
      <w:bookmarkStart w:id="47" w:name="b46"/>
      <w:r>
        <w:t>§ 35 Wahl unter mehreren Gerichtsständen</w:t>
      </w:r>
      <w:r>
        <w:t xml:space="preserve"> </w:t>
      </w:r>
      <w:r>
        <w:rPr>
          <w:rStyle w:val="Suchmarke"/>
        </w:rPr>
        <w:t>#35#</w:t>
      </w:r>
      <w:bookmarkEnd w:id="47"/>
    </w:p>
    <w:p>
      <w:r>
        <w:t>Unter mehreren zuständigen Gerichten hat der Kläger die Wahl.</w:t>
      </w:r>
    </w:p>
    <w:p>
      <w:pPr>
        <w:pStyle w:val="Heading4"/>
      </w:pPr>
      <w:bookmarkStart w:id="48" w:name="b47"/>
      <w:r>
        <w:t>§ 36 Gerichtliche Bestimmung der Zuständigkeit</w:t>
      </w:r>
      <w:r>
        <w:t xml:space="preserve"> </w:t>
      </w:r>
      <w:r>
        <w:rPr>
          <w:rStyle w:val="Suchmarke"/>
        </w:rPr>
        <w:t>#36#</w:t>
      </w:r>
      <w:bookmarkEnd w:id="48"/>
    </w:p>
    <w:p>
      <w:r>
        <w:t>(1) Das zuständige Gericht wird durch das im Rechtszug zunächst höhere Gericht bestimmt:</w:t>
      </w:r>
    </w:p>
    <w:p>
      <w:pPr>
        <w:tabs>
          <w:tab w:pos="567" w:val="left"/>
        </w:tabs>
        <w:ind w:left="567" w:hanging="567"/>
      </w:pPr>
      <w:r>
        <w:t>1.</w:t>
      </w:r>
      <w:r>
        <w:tab/>
      </w:r>
      <w:r>
        <w:t>wenn das an sich zuständige Gericht in einem einzelnen Fall an der Ausübung des Richteramtes rechtlich oder tatsächlich verhindert ist;</w:t>
      </w:r>
    </w:p>
    <w:p>
      <w:pPr>
        <w:tabs>
          <w:tab w:pos="567" w:val="left"/>
        </w:tabs>
        <w:ind w:left="567" w:hanging="567"/>
      </w:pPr>
      <w:r>
        <w:t>2.</w:t>
      </w:r>
      <w:r>
        <w:tab/>
      </w:r>
      <w:r>
        <w:t>wenn es mit Rücksicht auf die Grenzen verschiedener Gerichtsbezirke ungewiss ist, welches Gericht für den Rechtsstreit zuständig sei;</w:t>
      </w:r>
    </w:p>
    <w:p>
      <w:pPr>
        <w:tabs>
          <w:tab w:pos="567" w:val="left"/>
        </w:tabs>
        <w:ind w:left="567" w:hanging="567"/>
      </w:pPr>
      <w:r>
        <w:t>3.</w:t>
      </w:r>
      <w:r>
        <w:tab/>
      </w:r>
      <w:r>
        <w:t>wenn mehrere Personen, die bei verschiedenen Gerichten ihren allgemeinen Gerichtsstand haben, als Streitgenossen im allgemeinen Gerichtsstand verklagt werden sollen und für den Rechtsstreit ein gemeinschaftlicher besonderer Gerichtsstand nicht begründet ist;</w:t>
      </w:r>
    </w:p>
    <w:p>
      <w:pPr>
        <w:tabs>
          <w:tab w:pos="567" w:val="left"/>
        </w:tabs>
        <w:ind w:left="567" w:hanging="567"/>
      </w:pPr>
      <w:r>
        <w:t>4.</w:t>
      </w:r>
      <w:r>
        <w:tab/>
      </w:r>
      <w:r>
        <w:t>wenn die Klage in dem dinglichen Gerichtsstand erhoben werden soll und die Sache in den Bezirken verschiedener Gerichte belegen ist;</w:t>
      </w:r>
    </w:p>
    <w:p>
      <w:pPr>
        <w:tabs>
          <w:tab w:pos="567" w:val="left"/>
        </w:tabs>
        <w:ind w:left="567" w:hanging="567"/>
      </w:pPr>
      <w:r>
        <w:t>5.</w:t>
      </w:r>
      <w:r>
        <w:tab/>
      </w:r>
      <w:r>
        <w:t>wenn in einem Rechtsstreit verschiedene Gerichte sich rechtskräftig für zuständig erklärt haben;</w:t>
      </w:r>
    </w:p>
    <w:p>
      <w:pPr>
        <w:tabs>
          <w:tab w:pos="567" w:val="left"/>
        </w:tabs>
        <w:ind w:left="567" w:hanging="567"/>
      </w:pPr>
      <w:r>
        <w:t>6.</w:t>
      </w:r>
      <w:r>
        <w:tab/>
      </w:r>
      <w:r>
        <w:t>wenn verschiedene Gerichte, von denen eines für den Rechtsstreit zuständig ist, sich rechtskräftig für unzuständig erklärt haben.</w:t>
      </w:r>
    </w:p>
    <w:p>
      <w:r>
        <w:t>(2) Ist das zunächst höhere gemeinschaftliche Gericht der Bundesgerichtshof, so wird das zuständige Gericht durch das Oberlandesgericht bestimmt, zu dessen Bezirk das zuerst mit der Sache befasste Gericht gehört.</w:t>
      </w:r>
    </w:p>
    <w:p>
      <w:r>
        <w:t xml:space="preserve">(3) </w:t>
      </w:r>
      <w:r>
        <w:rPr>
          <w:rStyle w:val="Satznummer"/>
        </w:rPr>
        <w:t>1</w:t>
      </w:r>
      <w:r>
        <w:t xml:space="preserve">Will das Oberlandesgericht bei der Bestimmung des zuständigen Gerichts in einer Rechtsfrage von der Entscheidung eines anderen Oberlandesgerichts oder des Bundesgerichtshofs abweichen, so hat es die Sache unter Begründung seiner Rechtsauffassung dem Bundesgerichtshof vorzulegen. </w:t>
      </w:r>
      <w:r>
        <w:rPr>
          <w:rStyle w:val="Satznummer"/>
        </w:rPr>
        <w:t>2</w:t>
      </w:r>
      <w:r>
        <w:t>In diesem Fall entscheidet der Bundesgerichtshof.</w:t>
      </w:r>
    </w:p>
    <w:p>
      <w:pPr>
        <w:pStyle w:val="Heading4"/>
      </w:pPr>
      <w:bookmarkStart w:id="49" w:name="b48"/>
      <w:r>
        <w:t>§ 37 Verfahren bei gerichtlicher Bestimmung</w:t>
      </w:r>
      <w:r>
        <w:t xml:space="preserve"> </w:t>
      </w:r>
      <w:r>
        <w:rPr>
          <w:rStyle w:val="Suchmarke"/>
        </w:rPr>
        <w:t>#37#</w:t>
      </w:r>
      <w:bookmarkEnd w:id="49"/>
    </w:p>
    <w:p>
      <w:r>
        <w:t>(1) Die Entscheidung über das Gesuch um Bestimmung des zuständigen Gerichts ergeht durch Beschluss.</w:t>
      </w:r>
    </w:p>
    <w:p>
      <w:r>
        <w:t>(2) Der Beschluss, der das zuständige Gericht bestimmt, ist nicht anfechtbar.</w:t>
      </w:r>
    </w:p>
    <w:p>
      <w:pPr>
        <w:pStyle w:val="Heading3"/>
      </w:pPr>
      <w:bookmarkStart w:id="50" w:name="b49"/>
      <w:r>
        <w:t>Titel 3 Vereinbarung über die Zuständigkeit der Gerichte</w:t>
      </w:r>
      <w:bookmarkEnd w:id="50"/>
    </w:p>
    <w:p>
      <w:pPr>
        <w:pStyle w:val="Heading4"/>
      </w:pPr>
      <w:bookmarkStart w:id="51" w:name="b50"/>
      <w:r>
        <w:t>§ 38 Zugelassene Gerichtsstandsvereinbarung</w:t>
      </w:r>
      <w:r>
        <w:t xml:space="preserve"> </w:t>
      </w:r>
      <w:r>
        <w:rPr>
          <w:rStyle w:val="Suchmarke"/>
        </w:rPr>
        <w:t>#38#</w:t>
      </w:r>
      <w:bookmarkEnd w:id="51"/>
    </w:p>
    <w:p>
      <w:r>
        <w:t>(1) Ein an sich unzuständiges Gericht des ersten Rechtszuges wird durch ausdrückliche oder stillschweigende Vereinbarung der Parteien zuständig, wenn die Vertragsparteien Kaufleute, juristische Personen des öffentlichen Rechts oder öffentlich-rechtliche Sondervermögen sind.</w:t>
      </w:r>
    </w:p>
    <w:p>
      <w:r>
        <w:t xml:space="preserve">(2) </w:t>
      </w:r>
      <w:r>
        <w:rPr>
          <w:rStyle w:val="Satznummer"/>
        </w:rPr>
        <w:t>1</w:t>
      </w:r>
      <w:r>
        <w:t xml:space="preserve">Die Zuständigkeit eines Gerichts des ersten Rechtszuges kann ferner vereinbart werden, wenn mindestens eine der Vertragsparteien keinen allgemeinen Gerichtsstand im Inland hat. </w:t>
      </w:r>
      <w:r>
        <w:rPr>
          <w:rStyle w:val="Satznummer"/>
        </w:rPr>
        <w:t>2</w:t>
      </w:r>
      <w:r>
        <w:t xml:space="preserve">Die Vereinbarung muss schriftlich abgeschlossen oder, falls sie mündlich getroffen wird, schriftlich bestätigt werden. </w:t>
      </w:r>
      <w:r>
        <w:rPr>
          <w:rStyle w:val="Satznummer"/>
        </w:rPr>
        <w:t>3</w:t>
      </w:r>
      <w:r>
        <w:t>Hat eine der Parteien einen inländischen allgemeinen Gerichtsstand, so kann für das Inland nur ein Gericht gewählt werden, bei dem diese Partei ihren allgemeinen Gerichtsstand hat oder ein besonderer Gerichtsstand begründet ist.</w:t>
      </w:r>
    </w:p>
    <w:p>
      <w:r>
        <w:t>(3) Im Übrigen ist eine Gerichtsstandsvereinbarung nur zulässig, wenn sie ausdrücklich und schriftlich</w:t>
      </w:r>
    </w:p>
    <w:p>
      <w:pPr>
        <w:tabs>
          <w:tab w:pos="567" w:val="left"/>
        </w:tabs>
        <w:ind w:left="567" w:hanging="567"/>
      </w:pPr>
      <w:r>
        <w:t>1.</w:t>
      </w:r>
      <w:r>
        <w:tab/>
      </w:r>
      <w:r>
        <w:t>nach dem Entstehen der Streitigkeit oder</w:t>
      </w:r>
    </w:p>
    <w:p>
      <w:pPr>
        <w:tabs>
          <w:tab w:pos="567" w:val="left"/>
        </w:tabs>
        <w:ind w:left="567" w:hanging="567"/>
      </w:pPr>
      <w:r>
        <w:t>2.</w:t>
      </w:r>
      <w:r>
        <w:tab/>
      </w:r>
      <w:r>
        <w:t>für den Fall geschlossen wird, dass die im Klageweg in Anspruch zu nehmende Partei nach Vertragsschluss ihren Wohnsitz oder gewöhnlichen Aufenthaltsort aus dem Geltungsbereich dieses Gesetzes verlegt oder ihr Wohnsitz oder gewöhnlicher Aufenthalt im Zeitpunkt der Klageerhebung nicht bekannt ist.</w:t>
      </w:r>
    </w:p>
    <w:p>
      <w:pPr>
        <w:pStyle w:val="Heading4"/>
      </w:pPr>
      <w:bookmarkStart w:id="52" w:name="b51"/>
      <w:r>
        <w:t>§ 39 Zuständigkeit infolge rügeloser Verhandlung</w:t>
      </w:r>
      <w:r>
        <w:t xml:space="preserve"> </w:t>
      </w:r>
      <w:r>
        <w:rPr>
          <w:rStyle w:val="Suchmarke"/>
        </w:rPr>
        <w:t>#39#</w:t>
      </w:r>
      <w:bookmarkEnd w:id="52"/>
    </w:p>
    <w:p>
      <w:r>
        <w:rPr>
          <w:rStyle w:val="Satznummer"/>
        </w:rPr>
        <w:t>1</w:t>
      </w:r>
      <w:r>
        <w:t xml:space="preserve">Die Zuständigkeit eines Gerichts des ersten Rechtszuges wird ferner dadurch begründet, dass der Beklagte, ohne die Unzuständigkeit geltend zu machen, zur Hauptsache mündlich verhandelt. </w:t>
      </w:r>
      <w:r>
        <w:rPr>
          <w:rStyle w:val="Satznummer"/>
        </w:rPr>
        <w:t>2</w:t>
      </w:r>
      <w:r>
        <w:t xml:space="preserve">Dies gilt nicht, wenn die Belehrung nach </w:t>
      </w:r>
      <w:hyperlink w:anchor="b552" w:history="1">
        <w:r>
          <w:rPr>
            <w:color w:val="0A3A8C"/>
            <w:u w:val="single"/>
          </w:rPr>
          <w:t xml:space="preserve">§ 504</w:t>
        </w:r>
      </w:hyperlink>
      <w:r>
        <w:t xml:space="preserve"> unterblieben ist.</w:t>
      </w:r>
    </w:p>
    <w:p>
      <w:pPr>
        <w:pStyle w:val="Heading4"/>
      </w:pPr>
      <w:bookmarkStart w:id="53" w:name="b52"/>
      <w:r>
        <w:t>§ 40 Unwirksame und unzulässige Gerichtsstandsvereinbarung</w:t>
      </w:r>
      <w:r>
        <w:t xml:space="preserve"> </w:t>
      </w:r>
      <w:r>
        <w:rPr>
          <w:rStyle w:val="Suchmarke"/>
        </w:rPr>
        <w:t>#40#</w:t>
      </w:r>
      <w:bookmarkEnd w:id="53"/>
    </w:p>
    <w:p>
      <w:r>
        <w:t>(1) Die Vereinbarung hat keine rechtliche Wirkung, wenn sie nicht auf ein bestimmtes Rechtsverhältnis und die aus ihm entspringenden Rechtsstreitigkeiten sich bezieht.</w:t>
      </w:r>
    </w:p>
    <w:p>
      <w:r>
        <w:t xml:space="preserve">(2) </w:t>
      </w:r>
      <w:r>
        <w:rPr>
          <w:rStyle w:val="Satznummer"/>
        </w:rPr>
        <w:t>1</w:t>
      </w:r>
      <w:r>
        <w:t>Eine Vereinbarung ist unzulässig, wenn</w:t>
      </w:r>
    </w:p>
    <w:p>
      <w:pPr>
        <w:tabs>
          <w:tab w:pos="567" w:val="left"/>
        </w:tabs>
        <w:ind w:left="567" w:hanging="567"/>
      </w:pPr>
      <w:r>
        <w:t>1.</w:t>
      </w:r>
      <w:r>
        <w:tab/>
      </w:r>
      <w:r>
        <w:t>der Rechtsstreit nichtvermögensrechtliche Ansprüche betrifft, die den Amtsgerichten ohne Rücksicht auf den Wert des Streitgegenstandes zugewiesen sind, oder</w:t>
      </w:r>
    </w:p>
    <w:p>
      <w:pPr>
        <w:tabs>
          <w:tab w:pos="567" w:val="left"/>
        </w:tabs>
        <w:ind w:left="567" w:hanging="567"/>
      </w:pPr>
      <w:r>
        <w:t>2.</w:t>
      </w:r>
      <w:r>
        <w:tab/>
      </w:r>
      <w:r>
        <w:t>für die Klage ein ausschließlicher Gerichtsstand begründet ist.</w:t>
      </w:r>
    </w:p>
    <w:p>
      <w:r>
        <w:rPr>
          <w:rStyle w:val="Satznummer"/>
        </w:rPr>
        <w:t>2</w:t>
      </w:r>
      <w:r>
        <w:t>In diesen Fällen wird die Zuständigkeit eines Gerichts auch nicht durch rügeloses Verhandeln zur Hauptsache begründet.</w:t>
      </w:r>
    </w:p>
    <w:p>
      <w:pPr>
        <w:pStyle w:val="Heading3"/>
      </w:pPr>
      <w:bookmarkStart w:id="54" w:name="b53"/>
      <w:r>
        <w:t>Titel 4 Ausschließung und Ablehnung der Gerichtspersonen</w:t>
      </w:r>
      <w:bookmarkEnd w:id="54"/>
    </w:p>
    <w:p>
      <w:pPr>
        <w:pStyle w:val="Heading4"/>
      </w:pPr>
      <w:bookmarkStart w:id="55" w:name="b54"/>
      <w:r>
        <w:t>§ 41 Ausschluss von der Ausübung des Richteramtes</w:t>
      </w:r>
      <w:r>
        <w:t xml:space="preserve"> </w:t>
      </w:r>
      <w:r>
        <w:rPr>
          <w:rStyle w:val="Suchmarke"/>
        </w:rPr>
        <w:t>#41#</w:t>
      </w:r>
      <w:bookmarkEnd w:id="55"/>
    </w:p>
    <w:p>
      <w:r>
        <w:t>Ein Richter ist von der Ausübung des Richteramtes kraft Gesetzes ausgeschlossen:</w:t>
      </w:r>
    </w:p>
    <w:p>
      <w:pPr>
        <w:tabs>
          <w:tab w:pos="567" w:val="left"/>
        </w:tabs>
        <w:ind w:left="567" w:hanging="567"/>
      </w:pPr>
      <w:r>
        <w:t>1.</w:t>
      </w:r>
      <w:r>
        <w:tab/>
      </w:r>
      <w:r>
        <w:t>in Sachen, in denen er selbst Partei ist oder bei denen er zu einer Partei in dem Verhältnis eines Mitberechtigten, Mitverpflichteten oder Regresspflichtigen steht;</w:t>
      </w:r>
    </w:p>
    <w:p>
      <w:pPr>
        <w:tabs>
          <w:tab w:pos="567" w:val="left"/>
        </w:tabs>
        <w:ind w:left="567" w:hanging="567"/>
      </w:pPr>
      <w:r>
        <w:t>2.</w:t>
      </w:r>
      <w:r>
        <w:tab/>
      </w:r>
      <w:r>
        <w:t>in Sachen seines Ehegatten, auch wenn die Ehe nicht mehr besteht;</w:t>
      </w:r>
    </w:p>
    <w:p>
      <w:pPr>
        <w:tabs>
          <w:tab w:pos="567" w:val="left"/>
        </w:tabs>
        <w:ind w:left="567" w:hanging="567"/>
      </w:pPr>
      <w:r>
        <w:t>2a.</w:t>
      </w:r>
      <w:r>
        <w:tab/>
      </w:r>
      <w:r>
        <w:t>in Sachen seines Lebenspartners, auch wenn die Lebenspartnerschaft nicht mehr besteht;</w:t>
      </w:r>
    </w:p>
    <w:p>
      <w:pPr>
        <w:tabs>
          <w:tab w:pos="567" w:val="left"/>
        </w:tabs>
        <w:ind w:left="567" w:hanging="567"/>
      </w:pPr>
      <w:r>
        <w:t>3.</w:t>
      </w:r>
      <w:r>
        <w:tab/>
      </w:r>
      <w:r>
        <w:t>in Sachen einer Person, mit der er in gerader Linie verwandt oder verschwägert, in der Seitenlinie bis zum dritten Grad verwandt oder bis zum zweiten Grad verschwägert ist oder war;</w:t>
      </w:r>
    </w:p>
    <w:p>
      <w:pPr>
        <w:tabs>
          <w:tab w:pos="567" w:val="left"/>
        </w:tabs>
        <w:ind w:left="567" w:hanging="567"/>
      </w:pPr>
      <w:r>
        <w:t>4.</w:t>
      </w:r>
      <w:r>
        <w:tab/>
      </w:r>
      <w:r>
        <w:t>in Sachen, in denen er als Prozessbevollmächtigter oder Beistand einer Partei bestellt oder als gesetzlicher Vertreter einer Partei aufzutreten berechtigt ist oder gewesen ist;</w:t>
      </w:r>
    </w:p>
    <w:p>
      <w:pPr>
        <w:tabs>
          <w:tab w:pos="567" w:val="left"/>
        </w:tabs>
        <w:ind w:left="567" w:hanging="567"/>
      </w:pPr>
      <w:r>
        <w:t>5.</w:t>
      </w:r>
      <w:r>
        <w:tab/>
      </w:r>
      <w:r>
        <w:t>in Sachen, in denen er als Zeuge oder Sachverständiger vernommen ist;</w:t>
      </w:r>
    </w:p>
    <w:p>
      <w:pPr>
        <w:tabs>
          <w:tab w:pos="567" w:val="left"/>
        </w:tabs>
        <w:ind w:left="567" w:hanging="567"/>
      </w:pPr>
      <w:r>
        <w:t>6.</w:t>
      </w:r>
      <w:r>
        <w:tab/>
      </w:r>
      <w:r>
        <w:t>in Sachen, in denen er in einem früheren Rechtszug oder im schiedsrichterlichen Verfahren bei dem Erlass der angefochtenen Entscheidung mitgewirkt hat, sofern es sich nicht um die Tätigkeit eines beauftragten oder ersuchten Richters handelt;</w:t>
      </w:r>
    </w:p>
    <w:p>
      <w:pPr>
        <w:tabs>
          <w:tab w:pos="567" w:val="left"/>
        </w:tabs>
        <w:ind w:left="567" w:hanging="567"/>
      </w:pPr>
      <w:r>
        <w:t>7.</w:t>
      </w:r>
      <w:r>
        <w:tab/>
      </w:r>
      <w:r>
        <w:t>in Sachen wegen überlanger Gerichtsverfahren, wenn er in dem beanstandeten Verfahren in einem Rechtszug mitgewirkt hat, auf dessen Dauer der Entschädigungsanspruch gestützt wird;</w:t>
      </w:r>
    </w:p>
    <w:p>
      <w:pPr>
        <w:tabs>
          <w:tab w:pos="567" w:val="left"/>
        </w:tabs>
        <w:ind w:left="567" w:hanging="567"/>
      </w:pPr>
      <w:r>
        <w:t>8.</w:t>
      </w:r>
      <w:r>
        <w:tab/>
      </w:r>
      <w:r>
        <w:t>in Sachen, in denen er an einem Mediationsverfahren oder einem anderen Verfahren der außergerichtlichen Konfliktbeilegung mitgewirkt hat.</w:t>
      </w:r>
    </w:p>
    <w:p>
      <w:pPr>
        <w:pStyle w:val="Heading4"/>
      </w:pPr>
      <w:bookmarkStart w:id="56" w:name="b55"/>
      <w:r>
        <w:t>§ 42 Ablehnung eines Richters</w:t>
      </w:r>
      <w:r>
        <w:t xml:space="preserve"> </w:t>
      </w:r>
      <w:r>
        <w:rPr>
          <w:rStyle w:val="Suchmarke"/>
        </w:rPr>
        <w:t>#42#</w:t>
      </w:r>
      <w:bookmarkEnd w:id="56"/>
    </w:p>
    <w:p>
      <w:r>
        <w:t>(1) Ein Richter kann sowohl in den Fällen, in denen er von der Ausübung des Richteramts kraft Gesetzes ausgeschlossen ist, als auch wegen Besorgnis der Befangenheit abgelehnt werden.</w:t>
      </w:r>
    </w:p>
    <w:p>
      <w:r>
        <w:t>(2) Wegen Besorgnis der Befangenheit findet die Ablehnung statt, wenn ein Grund vorliegt, der geeignet ist, Misstrauen gegen die Unparteilichkeit eines Richters zu rechtfertigen.</w:t>
      </w:r>
    </w:p>
    <w:p>
      <w:r>
        <w:t>(3) Das Ablehnungsrecht steht in jedem Fall beiden Parteien zu.</w:t>
      </w:r>
    </w:p>
    <w:p>
      <w:pPr>
        <w:pStyle w:val="Heading4"/>
      </w:pPr>
      <w:bookmarkStart w:id="57" w:name="b56"/>
      <w:r>
        <w:t>§ 43 Verlust des Ablehnungsrechts</w:t>
      </w:r>
      <w:r>
        <w:t xml:space="preserve"> </w:t>
      </w:r>
      <w:r>
        <w:rPr>
          <w:rStyle w:val="Suchmarke"/>
        </w:rPr>
        <w:t>#43#</w:t>
      </w:r>
      <w:bookmarkEnd w:id="57"/>
    </w:p>
    <w:p>
      <w:r>
        <w:t>Eine Partei kann einen Richter wegen Besorgnis der Befangenheit nicht mehr ablehnen, wenn sie sich bei ihm, ohne den ihr bekannten Ablehnungsgrund geltend zu machen, in eine Verhandlung eingelassen oder Anträge gestellt hat.</w:t>
      </w:r>
    </w:p>
    <w:p>
      <w:pPr>
        <w:pStyle w:val="Heading4"/>
      </w:pPr>
      <w:bookmarkStart w:id="58" w:name="b57"/>
      <w:r>
        <w:t>§ 44 Ablehnungsgesuch</w:t>
      </w:r>
      <w:r>
        <w:t xml:space="preserve"> </w:t>
      </w:r>
      <w:r>
        <w:rPr>
          <w:rStyle w:val="Suchmarke"/>
        </w:rPr>
        <w:t>#44#</w:t>
      </w:r>
      <w:bookmarkEnd w:id="58"/>
    </w:p>
    <w:p>
      <w:r>
        <w:t>(1) Das Ablehnungsgesuch ist bei dem Gericht, dem der Richter angehört, anzubringen; es kann vor der Geschäftsstelle zu Protokoll erklärt werden.</w:t>
      </w:r>
    </w:p>
    <w:p>
      <w:r>
        <w:t xml:space="preserve">(2) </w:t>
      </w:r>
      <w:r>
        <w:rPr>
          <w:rStyle w:val="Satznummer"/>
        </w:rPr>
        <w:t>1</w:t>
      </w:r>
      <w:r>
        <w:t xml:space="preserve">Der Ablehnungsgrund ist glaubhaft zu machen; zur Versicherung an Eides statt darf die Partei nicht zugelassen werden. </w:t>
      </w:r>
      <w:r>
        <w:rPr>
          <w:rStyle w:val="Satznummer"/>
        </w:rPr>
        <w:t>2</w:t>
      </w:r>
      <w:r>
        <w:t>Zur Glaubhaftmachung kann auf das Zeugnis des abgelehnten Richters Bezug genommen werden.</w:t>
      </w:r>
    </w:p>
    <w:p>
      <w:r>
        <w:t>(3) Der abgelehnte Richter hat sich über den Ablehnungsgrund dienstlich zu äußern.</w:t>
      </w:r>
    </w:p>
    <w:p>
      <w:r>
        <w:t xml:space="preserve">(4) </w:t>
      </w:r>
      <w:r>
        <w:rPr>
          <w:rStyle w:val="Satznummer"/>
        </w:rPr>
        <w:t>1</w:t>
      </w:r>
      <w:r>
        <w:t xml:space="preserve">Wird ein Richter, bei dem die Partei sich in eine Verhandlung eingelassen oder Anträge gestellt hat, wegen Besorgnis der Befangenheit abgelehnt, so ist glaubhaft zu machen, dass der Ablehnungsgrund erst später entstanden oder der Partei bekannt geworden sei. </w:t>
      </w:r>
      <w:r>
        <w:rPr>
          <w:rStyle w:val="Satznummer"/>
        </w:rPr>
        <w:t>2</w:t>
      </w:r>
      <w:r>
        <w:t>Das Ablehnungsgesuch ist unverzüglich anzubringen.</w:t>
      </w:r>
    </w:p>
    <w:p>
      <w:pPr>
        <w:pStyle w:val="Heading4"/>
      </w:pPr>
      <w:bookmarkStart w:id="59" w:name="b58"/>
      <w:r>
        <w:t>§ 45 Entscheidung über das Ablehnungsgesuch</w:t>
      </w:r>
      <w:r>
        <w:t xml:space="preserve"> </w:t>
      </w:r>
      <w:r>
        <w:rPr>
          <w:rStyle w:val="Suchmarke"/>
        </w:rPr>
        <w:t>#45#</w:t>
      </w:r>
      <w:bookmarkEnd w:id="59"/>
    </w:p>
    <w:p>
      <w:r>
        <w:t>(1) Über das Ablehnungsgesuch entscheidet das Gericht, dem der Abgelehnte angehört, ohne dessen Mitwirkung.</w:t>
      </w:r>
    </w:p>
    <w:p>
      <w:r>
        <w:t xml:space="preserve">(2) </w:t>
      </w:r>
      <w:r>
        <w:rPr>
          <w:rStyle w:val="Satznummer"/>
        </w:rPr>
        <w:t>1</w:t>
      </w:r>
      <w:r>
        <w:t xml:space="preserve">Wird ein Richter beim Amtsgericht abgelehnt, so entscheidet ein anderer Richter des Amtsgerichts über das Gesuch. </w:t>
      </w:r>
      <w:r>
        <w:rPr>
          <w:rStyle w:val="Satznummer"/>
        </w:rPr>
        <w:t>2</w:t>
      </w:r>
      <w:r>
        <w:t>Einer Entscheidung bedarf es nicht, wenn der abgelehnte Richter das Ablehnungsgesuch für begründet hält.</w:t>
      </w:r>
    </w:p>
    <w:p>
      <w:r>
        <w:t>(3) Wird das zur Entscheidung berufene Gericht durch Ausscheiden des abgelehnten Mitglieds beschlussunfähig, so entscheidet das im Rechtszug zunächst höhere Gericht.</w:t>
      </w:r>
    </w:p>
    <w:p>
      <w:pPr>
        <w:pStyle w:val="Heading4"/>
      </w:pPr>
      <w:bookmarkStart w:id="60" w:name="b59"/>
      <w:r>
        <w:t>§ 46 Entscheidung und Rechtsmittel</w:t>
      </w:r>
      <w:r>
        <w:t xml:space="preserve"> </w:t>
      </w:r>
      <w:r>
        <w:rPr>
          <w:rStyle w:val="Suchmarke"/>
        </w:rPr>
        <w:t>#46#</w:t>
      </w:r>
      <w:bookmarkEnd w:id="60"/>
    </w:p>
    <w:p>
      <w:r>
        <w:t>(1) Die Entscheidung über das Ablehnungsgesuch ergeht durch Beschluss.</w:t>
      </w:r>
    </w:p>
    <w:p>
      <w:r>
        <w:t>(2) Gegen den Beschluss, durch den das Gesuch für begründet erklärt wird, findet kein Rechtsmittel, gegen den Beschluss, durch den das Gesuch für unbegründet erklärt wird, findet sofortige Beschwerde statt.</w:t>
      </w:r>
    </w:p>
    <w:p>
      <w:pPr>
        <w:pStyle w:val="Heading4"/>
      </w:pPr>
      <w:bookmarkStart w:id="61" w:name="b60"/>
      <w:r>
        <w:t>§ 47 Unaufschiebbare Amtshandlungen</w:t>
      </w:r>
      <w:r>
        <w:t xml:space="preserve"> </w:t>
      </w:r>
      <w:r>
        <w:rPr>
          <w:rStyle w:val="Suchmarke"/>
        </w:rPr>
        <w:t>#47#</w:t>
      </w:r>
      <w:bookmarkEnd w:id="61"/>
    </w:p>
    <w:p>
      <w:r>
        <w:t>(1) Ein abgelehnter Richter hat vor Erledigung des Ablehnungsgesuchs nur solche Handlungen vorzunehmen, die keinen Aufschub gestatten.</w:t>
      </w:r>
    </w:p>
    <w:p>
      <w:r>
        <w:t xml:space="preserve">(2) </w:t>
      </w:r>
      <w:r>
        <w:rPr>
          <w:rStyle w:val="Satznummer"/>
        </w:rPr>
        <w:t>1</w:t>
      </w:r>
      <w:r>
        <w:t xml:space="preserve">Wird ein Richter während der Verhandlung abgelehnt und würde die Entscheidung über die Ablehnung eine Vertagung der Verhandlung erfordern, so kann der Termin unter Mitwirkung des abgelehnten Richters fortgesetzt werden. </w:t>
      </w:r>
      <w:r>
        <w:rPr>
          <w:rStyle w:val="Satznummer"/>
        </w:rPr>
        <w:t>2</w:t>
      </w:r>
      <w:r>
        <w:t>Wird die Ablehnung für begründet erklärt, so ist der nach Anbringung des Ablehnungsgesuchs liegende Teil der Verhandlung zu wiederholen.</w:t>
      </w:r>
    </w:p>
    <w:p>
      <w:pPr>
        <w:pStyle w:val="Heading4"/>
      </w:pPr>
      <w:bookmarkStart w:id="62" w:name="b61"/>
      <w:r>
        <w:t>§ 48 Selbstablehnung; Ablehnung von Amts wegen</w:t>
      </w:r>
      <w:r>
        <w:t xml:space="preserve"> </w:t>
      </w:r>
      <w:r>
        <w:rPr>
          <w:rStyle w:val="Suchmarke"/>
        </w:rPr>
        <w:t>#48#</w:t>
      </w:r>
      <w:bookmarkEnd w:id="62"/>
    </w:p>
    <w:p>
      <w:r>
        <w:t>Das für die Erledigung eines Ablehnungsgesuchs zuständige Gericht hat auch dann zu entscheiden, wenn ein solches Gesuch nicht angebracht ist, ein Richter aber von einem Verhältnis Anzeige macht, das seine Ablehnung rechtfertigen könnte, oder wenn aus anderer Veranlassung Zweifel darüber entstehen, ob ein Richter kraft Gesetzes ausgeschlossen sei.</w:t>
      </w:r>
    </w:p>
    <w:p>
      <w:pPr>
        <w:pStyle w:val="Heading4"/>
      </w:pPr>
      <w:bookmarkStart w:id="63" w:name="b62"/>
      <w:r>
        <w:t>§ 49 Urkundsbeamte</w:t>
      </w:r>
      <w:r>
        <w:t xml:space="preserve"> </w:t>
      </w:r>
      <w:r>
        <w:rPr>
          <w:rStyle w:val="Suchmarke"/>
        </w:rPr>
        <w:t>#49#</w:t>
      </w:r>
      <w:bookmarkEnd w:id="63"/>
    </w:p>
    <w:p>
      <w:r>
        <w:t>Die Vorschriften dieses Titels sind auf den Urkundsbeamten der Geschäftsstelle entsprechend anzuwenden; die Entscheidung ergeht durch das Gericht, bei dem er angestellt ist.</w:t>
      </w:r>
    </w:p>
    <w:p>
      <w:pPr>
        <w:pStyle w:val="Heading2"/>
      </w:pPr>
      <w:bookmarkStart w:id="64" w:name="b63"/>
      <w:r>
        <w:t>Abschnitt 2 Parteien</w:t>
      </w:r>
      <w:bookmarkEnd w:id="64"/>
    </w:p>
    <w:p>
      <w:pPr>
        <w:pStyle w:val="Heading3"/>
      </w:pPr>
      <w:bookmarkStart w:id="65" w:name="b64"/>
      <w:r>
        <w:t>Titel 1 Parteifähigkeit; Prozessfähigkeit</w:t>
      </w:r>
      <w:bookmarkEnd w:id="65"/>
    </w:p>
    <w:p>
      <w:pPr>
        <w:pStyle w:val="Heading4"/>
      </w:pPr>
      <w:bookmarkStart w:id="66" w:name="b65"/>
      <w:r>
        <w:t>§ 50 Parteifähigkeit</w:t>
      </w:r>
      <w:r>
        <w:t xml:space="preserve"> </w:t>
      </w:r>
      <w:r>
        <w:rPr>
          <w:rStyle w:val="Suchmarke"/>
        </w:rPr>
        <w:t>#50#</w:t>
      </w:r>
      <w:bookmarkEnd w:id="66"/>
    </w:p>
    <w:p>
      <w:r>
        <w:t>Parteifähig ist, wer rechtsfähig ist.</w:t>
      </w:r>
    </w:p>
    <w:p>
      <w:pPr>
        <w:pStyle w:val="Heading4"/>
      </w:pPr>
      <w:bookmarkStart w:id="67" w:name="b66"/>
      <w:r>
        <w:t>§ 51 Prozessfähigkeit; gesetzliche Vertretung; Prozessführung</w:t>
      </w:r>
      <w:r>
        <w:t xml:space="preserve"> </w:t>
      </w:r>
      <w:r>
        <w:rPr>
          <w:rStyle w:val="Suchmarke"/>
        </w:rPr>
        <w:t>#51#</w:t>
      </w:r>
      <w:bookmarkEnd w:id="67"/>
    </w:p>
    <w:p>
      <w:r>
        <w:t>(1) Die Fähigkeit einer Partei, vor Gericht zu stehen, die Vertretung nicht prozessfähiger Parteien durch andere Personen (gesetzliche Vertreter) und die Notwendigkeit einer besonderen Ermächtigung zur Prozessführung bestimmt sich nach den Vorschriften des bürgerlichen Rechts, soweit nicht die nachfolgenden Paragraphen abweichende Vorschriften enthalten.</w:t>
      </w:r>
    </w:p>
    <w:p>
      <w:r>
        <w:t>(2) Das Verschulden eines gesetzlichen Vertreters steht dem Verschulden der Partei gleich.</w:t>
      </w:r>
    </w:p>
    <w:p>
      <w:r>
        <w:t>(3) Hat eine nicht prozessfähige Partei, die eine volljährige natürliche Person ist, wirksam eine andere natürliche Person schriftlich mit ihrer gerichtlichen Vertretung bevollmächtigt, so steht diese Person einem gesetzlichen Vertreter gleich, wenn die Bevollmächtigung geeignet ist, gemäß § 1814 Absatz 3 Satz 2 Nummer 1 des Bürgerlichen Gesetzbuchs die Erforderlichkeit einer Betreuung entfallen zu lassen.</w:t>
      </w:r>
    </w:p>
    <w:p>
      <w:pPr>
        <w:pStyle w:val="Heading4"/>
      </w:pPr>
      <w:bookmarkStart w:id="68" w:name="b67"/>
      <w:r>
        <w:t>§ 52 Umfang der Prozessfähigkeit</w:t>
      </w:r>
      <w:r>
        <w:t xml:space="preserve"> </w:t>
      </w:r>
      <w:r>
        <w:rPr>
          <w:rStyle w:val="Suchmarke"/>
        </w:rPr>
        <w:t>#52#</w:t>
      </w:r>
      <w:bookmarkEnd w:id="68"/>
    </w:p>
    <w:p>
      <w:r>
        <w:t>Eine Person ist insoweit prozessfähig, als sie sich durch Verträge verpflichten kann.</w:t>
      </w:r>
    </w:p>
    <w:p>
      <w:pPr>
        <w:pStyle w:val="Heading4"/>
      </w:pPr>
      <w:bookmarkStart w:id="69" w:name="b68"/>
      <w:r>
        <w:t>§ 53 Prozessfähigkeit bei rechtlicher Betreuung</w:t>
      </w:r>
      <w:r>
        <w:t xml:space="preserve"> </w:t>
      </w:r>
      <w:r>
        <w:rPr>
          <w:rStyle w:val="Suchmarke"/>
        </w:rPr>
        <w:t>#53#</w:t>
      </w:r>
      <w:bookmarkEnd w:id="69"/>
    </w:p>
    <w:p>
      <w:r>
        <w:t>(1) Bei Personen, für die ein Betreuer bestellt ist, richtet sich die Prozessfähigkeit nach den allgemeinen Vorschriften.</w:t>
      </w:r>
    </w:p>
    <w:p>
      <w:r>
        <w:t xml:space="preserve">(2) </w:t>
      </w:r>
      <w:r>
        <w:rPr>
          <w:rStyle w:val="Satznummer"/>
        </w:rPr>
        <w:t>1</w:t>
      </w:r>
      <w:r>
        <w:t xml:space="preserve">Wird ein Betreuter in einem Rechtsstreit durch einen Betreuer vertreten, kann der Betreuer in jeder Lage des Verfahrens gegenüber dem Prozessgericht schriftlich oder zu Protokoll der Geschäftsstelle erklären, dass der Rechtsstreit fortan ausschließlich durch ihn geführt wird (Ausschließlichkeitserklärung). </w:t>
      </w:r>
      <w:r>
        <w:rPr>
          <w:rStyle w:val="Satznummer"/>
        </w:rPr>
        <w:t>2</w:t>
      </w:r>
      <w:r>
        <w:t xml:space="preserve">Mit Eingang der Ausschließlichkeitserklärung steht der Betreute für den weiteren Rechtsstreit einer nicht prozessfähigen Person gleich. </w:t>
      </w:r>
      <w:r>
        <w:rPr>
          <w:rStyle w:val="Satznummer"/>
        </w:rPr>
        <w:t>3</w:t>
      </w:r>
      <w:r>
        <w:t>Der Betreuer kann die Ausschließlichkeitserklärung jederzeit mit Wirkung für die Zukunft zurücknehmen.</w:t>
      </w:r>
    </w:p>
    <w:p>
      <w:pPr>
        <w:pStyle w:val="Heading4"/>
      </w:pPr>
      <w:bookmarkStart w:id="70" w:name="b69"/>
      <w:r>
        <w:t>§ 54 Besondere Ermächtigung zu Prozesshandlungen</w:t>
      </w:r>
      <w:r>
        <w:t xml:space="preserve"> </w:t>
      </w:r>
      <w:r>
        <w:rPr>
          <w:rStyle w:val="Suchmarke"/>
        </w:rPr>
        <w:t>#54#</w:t>
      </w:r>
      <w:bookmarkEnd w:id="70"/>
    </w:p>
    <w:p>
      <w:r>
        <w:t>Einzelne Prozesshandlungen, zu denen nach den Vorschriften des bürgerlichen Rechts eine besondere Ermächtigung erforderlich ist, sind ohne sie gültig, wenn die Ermächtigung zur Prozessführung im Allgemeinen erteilt oder die Prozessführung auch ohne eine solche Ermächtigung im Allgemeinen statthaft ist.</w:t>
      </w:r>
    </w:p>
    <w:p>
      <w:pPr>
        <w:pStyle w:val="Heading4"/>
      </w:pPr>
      <w:bookmarkStart w:id="71" w:name="b70"/>
      <w:r>
        <w:t>§ 55 Prozessfähigkeit von Ausländern</w:t>
      </w:r>
      <w:r>
        <w:t xml:space="preserve"> </w:t>
      </w:r>
      <w:r>
        <w:rPr>
          <w:rStyle w:val="Suchmarke"/>
        </w:rPr>
        <w:t>#55#</w:t>
      </w:r>
      <w:bookmarkEnd w:id="71"/>
    </w:p>
    <w:p>
      <w:r>
        <w:t>Ein Ausländer, dem nach dem Recht seines Landes die Prozessfähigkeit mangelt, gilt als prozessfähig, wenn ihm nach dem Recht des Prozessgerichts die Prozessfähigkeit zusteht.</w:t>
      </w:r>
    </w:p>
    <w:p>
      <w:pPr>
        <w:pStyle w:val="Heading4"/>
      </w:pPr>
      <w:bookmarkStart w:id="72" w:name="b71"/>
      <w:r>
        <w:t>§ 56 Prüfung von Amts wegen</w:t>
      </w:r>
      <w:r>
        <w:t xml:space="preserve"> </w:t>
      </w:r>
      <w:r>
        <w:rPr>
          <w:rStyle w:val="Suchmarke"/>
        </w:rPr>
        <w:t>#56#</w:t>
      </w:r>
      <w:bookmarkEnd w:id="72"/>
    </w:p>
    <w:p>
      <w:r>
        <w:t>(1) Das Gericht hat den Mangel der Parteifähigkeit, der Prozessfähigkeit, der Legitimation eines gesetzlichen Vertreters und der erforderlichen Ermächtigung zur Prozessführung von Amts wegen zu berücksichtigen.</w:t>
      </w:r>
    </w:p>
    <w:p>
      <w:r>
        <w:t xml:space="preserve">(2) </w:t>
      </w:r>
      <w:r>
        <w:rPr>
          <w:rStyle w:val="Satznummer"/>
        </w:rPr>
        <w:t>1</w:t>
      </w:r>
      <w:r>
        <w:t xml:space="preserve">Die Partei oder deren gesetzlicher Vertreter kann zur Prozessführung mit Vorbehalt der Beseitigung des Mangels zugelassen werden, wenn mit dem Verzug Gefahr für die Partei verbunden ist. </w:t>
      </w:r>
      <w:r>
        <w:rPr>
          <w:rStyle w:val="Satznummer"/>
        </w:rPr>
        <w:t>2</w:t>
      </w:r>
      <w:r>
        <w:t>Das Endurteil darf erst erlassen werden, nachdem die für die Beseitigung des Mangels zu bestimmende Frist abgelaufen ist.</w:t>
      </w:r>
    </w:p>
    <w:p>
      <w:pPr>
        <w:pStyle w:val="Heading4"/>
      </w:pPr>
      <w:bookmarkStart w:id="73" w:name="b72"/>
      <w:r>
        <w:t>§ 57 Prozesspfleger</w:t>
      </w:r>
      <w:r>
        <w:t xml:space="preserve"> </w:t>
      </w:r>
      <w:r>
        <w:rPr>
          <w:rStyle w:val="Suchmarke"/>
        </w:rPr>
        <w:t>#57#</w:t>
      </w:r>
      <w:bookmarkEnd w:id="73"/>
    </w:p>
    <w:p>
      <w:r>
        <w:t>(1) Soll eine nicht prozessfähige Partei verklagt werden, die ohne gesetzlichen Vertreter ist, so hat ihr der Vorsitzende des Prozessgerichts, falls mit dem Verzug Gefahr verbunden ist, auf Antrag bis zu dem Eintritt des gesetzlichen Vertreters einen besonderen Vertreter zu bestellen.</w:t>
      </w:r>
    </w:p>
    <w:p>
      <w:r>
        <w:t xml:space="preserve">(2) Der Vorsitzende kann einen solchen Vertreter auch bestellen, wenn in den Fällen des </w:t>
      </w:r>
      <w:hyperlink w:anchor="b25" w:history="1">
        <w:r>
          <w:rPr>
            <w:color w:val="0A3A8C"/>
            <w:u w:val="single"/>
          </w:rPr>
          <w:t xml:space="preserve">§ 20</w:t>
        </w:r>
      </w:hyperlink>
      <w:r>
        <w:t xml:space="preserve"> eine nicht prozessfähige Person bei dem Gericht ihres Aufenthaltsortes verklagt werden soll.</w:t>
      </w:r>
    </w:p>
    <w:p>
      <w:pPr>
        <w:pStyle w:val="Heading4"/>
      </w:pPr>
      <w:bookmarkStart w:id="74" w:name="b73"/>
      <w:r>
        <w:t>§ 58 Prozesspfleger bei herrenlosem Grundstück oder Schiff</w:t>
      </w:r>
      <w:r>
        <w:t xml:space="preserve"> </w:t>
      </w:r>
      <w:r>
        <w:rPr>
          <w:rStyle w:val="Suchmarke"/>
        </w:rPr>
        <w:t>#58#</w:t>
      </w:r>
      <w:bookmarkEnd w:id="74"/>
    </w:p>
    <w:p>
      <w:r>
        <w:t>(1) Soll ein Recht an einem Grundstück, das von dem bisherigen Eigentümer nach § 928 des Bürgerlichen Gesetzbuchs aufgegeben und von dem Aneignungsberechtigten noch nicht erworben worden ist, im Wege der Klage geltend gemacht werden, so hat der Vorsitzende des Prozessgerichts auf Antrag einen Vertreter zu bestellen, dem bis zur Eintragung eines neuen Eigentümers die Wahrnehmung der sich aus dem Eigentum ergebenden Rechte und Verpflichtungen im Rechtsstreit obliegt.</w:t>
      </w:r>
    </w:p>
    <w:p>
      <w:r>
        <w:t>(2) Absatz 1 gilt entsprechend, wenn im Wege der Klage ein Recht an einem eingetragenen Schiff oder Schiffsbauwerk geltend gemacht werden soll, das von dem bisherigen Eigentümer nach § 7 des Gesetzes über Rechte an eingetragenen Schiffen und Schiffsbauwerken vom 15. November 1940 (RGBl. I S. 1499) aufgegeben und von dem Aneignungsberechtigten noch nicht erworben worden ist.</w:t>
      </w:r>
    </w:p>
    <w:p>
      <w:pPr>
        <w:pStyle w:val="Heading3"/>
      </w:pPr>
      <w:bookmarkStart w:id="75" w:name="b74"/>
      <w:r>
        <w:t>Titel 2 Streitgenossenschaft</w:t>
      </w:r>
      <w:bookmarkEnd w:id="75"/>
    </w:p>
    <w:p>
      <w:pPr>
        <w:pStyle w:val="Heading4"/>
      </w:pPr>
      <w:bookmarkStart w:id="76" w:name="b75"/>
      <w:r>
        <w:t>§ 59 Streitgenossenschaft bei Rechtsgemeinschaft oder Identität des Grundes</w:t>
      </w:r>
      <w:r>
        <w:t xml:space="preserve"> </w:t>
      </w:r>
      <w:r>
        <w:rPr>
          <w:rStyle w:val="Suchmarke"/>
        </w:rPr>
        <w:t>#59#</w:t>
      </w:r>
      <w:bookmarkEnd w:id="76"/>
    </w:p>
    <w:p>
      <w:r>
        <w:t>Mehrere Personen können als Streitgenossen gemeinschaftlich klagen oder verklagt werden, wenn sie hinsichtlich des Streitgegenstandes in Rechtsgemeinschaft stehen oder wenn sie aus demselben tatsächlichen und rechtlichen Grund berechtigt oder verpflichtet sind.</w:t>
      </w:r>
    </w:p>
    <w:p>
      <w:pPr>
        <w:pStyle w:val="Heading4"/>
      </w:pPr>
      <w:bookmarkStart w:id="77" w:name="b76"/>
      <w:r>
        <w:t>§ 60 Streitgenossenschaft bei Gleichartigkeit der Ansprüche</w:t>
      </w:r>
      <w:r>
        <w:t xml:space="preserve"> </w:t>
      </w:r>
      <w:r>
        <w:rPr>
          <w:rStyle w:val="Suchmarke"/>
        </w:rPr>
        <w:t>#60#</w:t>
      </w:r>
      <w:bookmarkEnd w:id="77"/>
    </w:p>
    <w:p>
      <w:r>
        <w:t>Mehrere Personen können auch dann als Streitgenossen gemeinschaftlich klagen oder verklagt werden, wenn gleichartige und auf einem im Wesentlichen gleichartigen tatsächlichen und rechtlichen Grund beruhende Ansprüche oder Verpflichtungen den Gegenstand des Rechtsstreits bilden.</w:t>
      </w:r>
    </w:p>
    <w:p>
      <w:pPr>
        <w:pStyle w:val="Heading4"/>
      </w:pPr>
      <w:bookmarkStart w:id="78" w:name="b77"/>
      <w:r>
        <w:t>§ 61 Wirkung der Streitgenossenschaft</w:t>
      </w:r>
      <w:r>
        <w:t xml:space="preserve"> </w:t>
      </w:r>
      <w:r>
        <w:rPr>
          <w:rStyle w:val="Suchmarke"/>
        </w:rPr>
        <w:t>#61#</w:t>
      </w:r>
      <w:bookmarkEnd w:id="78"/>
    </w:p>
    <w:p>
      <w:r>
        <w:t>Streitgenossen stehen, soweit nicht aus den Vorschriften des bürgerlichen Rechts oder dieses Gesetzes sich ein anderes ergibt, dem Gegner dergestalt als Einzelne gegenüber, dass die Handlungen des einen Streitgenossen dem anderen weder zum Vorteil noch zum Nachteil gereichen.</w:t>
      </w:r>
    </w:p>
    <w:p>
      <w:pPr>
        <w:pStyle w:val="Heading4"/>
      </w:pPr>
      <w:bookmarkStart w:id="79" w:name="b78"/>
      <w:r>
        <w:t>§ 62 Notwendige Streitgenossenschaft</w:t>
      </w:r>
      <w:r>
        <w:t xml:space="preserve"> </w:t>
      </w:r>
      <w:r>
        <w:rPr>
          <w:rStyle w:val="Suchmarke"/>
        </w:rPr>
        <w:t>#62#</w:t>
      </w:r>
      <w:bookmarkEnd w:id="79"/>
    </w:p>
    <w:p>
      <w:r>
        <w:t>(1) Kann das streitige Rechtsverhältnis allen Streitgenossen gegenüber nur einheitlich festgestellt werden oder ist die Streitgenossenschaft aus einem sonstigen Grund eine notwendige, so werden, wenn ein Termin oder eine Frist nur von einzelnen Streitgenossen versäumt wird, die säumigen Streitgenossen als durch die nicht säumigen vertreten angesehen.</w:t>
      </w:r>
    </w:p>
    <w:p>
      <w:r>
        <w:t>(2) Die säumigen Streitgenossen sind auch in dem späteren Verfahren zuzuziehen.</w:t>
      </w:r>
    </w:p>
    <w:p>
      <w:pPr>
        <w:pStyle w:val="Heading4"/>
      </w:pPr>
      <w:bookmarkStart w:id="80" w:name="b79"/>
      <w:r>
        <w:t>§ 63 Prozessbetrieb; Ladungen</w:t>
      </w:r>
      <w:r>
        <w:t xml:space="preserve"> </w:t>
      </w:r>
      <w:r>
        <w:rPr>
          <w:rStyle w:val="Suchmarke"/>
        </w:rPr>
        <w:t>#63#</w:t>
      </w:r>
      <w:bookmarkEnd w:id="80"/>
    </w:p>
    <w:p>
      <w:r>
        <w:t>Das Recht zur Betreibung des Prozesses steht jedem Streitgenossen zu; zu allen Terminen sind sämtliche Streitgenossen zu laden.</w:t>
      </w:r>
    </w:p>
    <w:p>
      <w:pPr>
        <w:pStyle w:val="Heading3"/>
      </w:pPr>
      <w:bookmarkStart w:id="81" w:name="b80"/>
      <w:r>
        <w:t>Titel 3 Beteiligung Dritter am Rechtsstreit</w:t>
      </w:r>
      <w:bookmarkEnd w:id="81"/>
    </w:p>
    <w:p>
      <w:pPr>
        <w:pStyle w:val="Heading4"/>
      </w:pPr>
      <w:bookmarkStart w:id="82" w:name="b81"/>
      <w:r>
        <w:t>§ 64 Hauptintervention</w:t>
      </w:r>
      <w:r>
        <w:t xml:space="preserve"> </w:t>
      </w:r>
      <w:r>
        <w:rPr>
          <w:rStyle w:val="Suchmarke"/>
        </w:rPr>
        <w:t>#64#</w:t>
      </w:r>
      <w:bookmarkEnd w:id="82"/>
    </w:p>
    <w:p>
      <w:r>
        <w:t>Wer die Sache oder das Recht, worüber zwischen anderen Personen ein Rechtsstreit anhängig geworden ist, ganz oder teilweise für sich in Anspruch nimmt, ist bis zur rechtskräftigen Entscheidung dieses Rechtsstreits berechtigt, seinen Anspruch durch eine gegen beide Parteien gerichtete Klage bei dem Gericht geltend zu machen, vor dem der Rechtsstreit im ersten Rechtszug anhängig wurde.</w:t>
      </w:r>
    </w:p>
    <w:p>
      <w:pPr>
        <w:pStyle w:val="Heading4"/>
      </w:pPr>
      <w:bookmarkStart w:id="83" w:name="b82"/>
      <w:r>
        <w:t>§ 65 Aussetzung des Hauptprozesses</w:t>
      </w:r>
      <w:r>
        <w:t xml:space="preserve"> </w:t>
      </w:r>
      <w:r>
        <w:rPr>
          <w:rStyle w:val="Suchmarke"/>
        </w:rPr>
        <w:t>#65#</w:t>
      </w:r>
      <w:bookmarkEnd w:id="83"/>
    </w:p>
    <w:p>
      <w:r>
        <w:t>Der Hauptprozess kann auf Antrag einer Partei bis zur rechtskräftigen Entscheidung über die Hauptintervention ausgesetzt werden.</w:t>
      </w:r>
    </w:p>
    <w:p>
      <w:pPr>
        <w:pStyle w:val="Heading4"/>
      </w:pPr>
      <w:bookmarkStart w:id="84" w:name="b83"/>
      <w:r>
        <w:t>§ 66 Nebenintervention</w:t>
      </w:r>
      <w:r>
        <w:t xml:space="preserve"> </w:t>
      </w:r>
      <w:r>
        <w:rPr>
          <w:rStyle w:val="Suchmarke"/>
        </w:rPr>
        <w:t>#66#</w:t>
      </w:r>
      <w:bookmarkEnd w:id="84"/>
    </w:p>
    <w:p>
      <w:r>
        <w:t>(1) Wer ein rechtliches Interesse daran hat, dass in einem zwischen anderen Personen anhängigen Rechtsstreit die eine Partei obsiege, kann dieser Partei zum Zwecke ihrer Unterstützung beitreten.</w:t>
      </w:r>
    </w:p>
    <w:p>
      <w:r>
        <w:t>(2) Die Nebenintervention kann in jeder Lage des Rechtsstreits bis zur rechtskräftigen Entscheidung, auch in Verbindung mit der Einlegung eines Rechtsmittels, erfolgen.</w:t>
      </w:r>
    </w:p>
    <w:p>
      <w:pPr>
        <w:pStyle w:val="Heading4"/>
      </w:pPr>
      <w:bookmarkStart w:id="85" w:name="b84"/>
      <w:r>
        <w:t>§ 67 Rechtsstellung des Nebenintervenienten</w:t>
      </w:r>
      <w:r>
        <w:t xml:space="preserve"> </w:t>
      </w:r>
      <w:r>
        <w:rPr>
          <w:rStyle w:val="Suchmarke"/>
        </w:rPr>
        <w:t>#67#</w:t>
      </w:r>
      <w:bookmarkEnd w:id="85"/>
    </w:p>
    <w:p>
      <w:r>
        <w:rPr>
          <w:rStyle w:val="Satznummer"/>
        </w:rPr>
        <w:t>1</w:t>
      </w:r>
      <w:r>
        <w:t xml:space="preserve">Der Nebenintervenient muss den Rechtsstreit in der Lage annehmen, in der er sich zur Zeit seines Beitritts befindet; er ist berechtigt, Angriffs- und Verteidigungsmittel geltend zu machen und alle Prozesshandlungen wirksam vorzunehmen, insoweit nicht seine Erklärungen und Handlungen mit Erklärungen und Handlungen der Hauptpartei in Widerspruch stehen. </w:t>
      </w:r>
      <w:r>
        <w:rPr>
          <w:rStyle w:val="Satznummer"/>
        </w:rPr>
        <w:t>2</w:t>
      </w:r>
      <w:r>
        <w:t xml:space="preserve">Für ihn gelten die </w:t>
      </w:r>
      <w:hyperlink w:anchor="b178" w:history="1">
        <w:r>
          <w:rPr>
            <w:color w:val="0A3A8C"/>
            <w:u w:val="single"/>
          </w:rPr>
          <w:t xml:space="preserve">§§ 141</w:t>
        </w:r>
      </w:hyperlink>
      <w:r>
        <w:t xml:space="preserve"> und </w:t>
      </w:r>
      <w:hyperlink w:anchor="b312" w:history="1">
        <w:r>
          <w:rPr>
            <w:color w:val="0A3A8C"/>
            <w:u w:val="single"/>
          </w:rPr>
          <w:t xml:space="preserve">278</w:t>
        </w:r>
      </w:hyperlink>
      <w:r>
        <w:t xml:space="preserve"> Absatz 3 entsprechend.</w:t>
      </w:r>
    </w:p>
    <w:p>
      <w:pPr>
        <w:pStyle w:val="Heading4"/>
      </w:pPr>
      <w:bookmarkStart w:id="86" w:name="b85"/>
      <w:r>
        <w:t>§ 68 Wirkung der Nebenintervention</w:t>
      </w:r>
      <w:r>
        <w:t xml:space="preserve"> </w:t>
      </w:r>
      <w:r>
        <w:rPr>
          <w:rStyle w:val="Suchmarke"/>
        </w:rPr>
        <w:t>#68#</w:t>
      </w:r>
      <w:bookmarkEnd w:id="86"/>
    </w:p>
    <w:p>
      <w:r>
        <w:t>Der Nebenintervenient wird im Verhältnis zu der Hauptpartei mit der Behauptung nicht gehört, dass der Rechtsstreit, wie er dem Richter vorgelegen habe, unrichtig entschieden sei; er wird mit der Behauptung, dass die Hauptpartei den Rechtsstreit mangelhaft geführt habe, nur insoweit gehört, als er durch die Lage des Rechtsstreits zur Zeit seines Beitritts oder durch Erklärungen und Handlungen der Hauptpartei verhindert worden ist, Angriffs- oder Verteidigungsmittel geltend zu machen, oder als Angriffs- oder Verteidigungsmittel, die ihm unbekannt waren, von der Hauptpartei absichtlich oder durch grobes Verschulden nicht geltend gemacht sind.</w:t>
      </w:r>
    </w:p>
    <w:p>
      <w:pPr>
        <w:pStyle w:val="Heading4"/>
      </w:pPr>
      <w:bookmarkStart w:id="87" w:name="b86"/>
      <w:r>
        <w:t>§ 69 Streitgenössische Nebenintervention</w:t>
      </w:r>
      <w:r>
        <w:t xml:space="preserve"> </w:t>
      </w:r>
      <w:r>
        <w:rPr>
          <w:rStyle w:val="Suchmarke"/>
        </w:rPr>
        <w:t>#69#</w:t>
      </w:r>
      <w:bookmarkEnd w:id="87"/>
    </w:p>
    <w:p>
      <w:r>
        <w:t xml:space="preserve">Insofern nach den Vorschriften des bürgerlichen Rechts die Rechtskraft der in dem Hauptprozess erlassenen Entscheidung auf das Rechtsverhältnis des Nebenintervenienten zu dem Gegner von Wirksamkeit ist, gilt der Nebenintervenient im Sinne des </w:t>
      </w:r>
      <w:hyperlink w:anchor="b77" w:history="1">
        <w:r>
          <w:rPr>
            <w:color w:val="0A3A8C"/>
            <w:u w:val="single"/>
          </w:rPr>
          <w:t xml:space="preserve">§ 61</w:t>
        </w:r>
      </w:hyperlink>
      <w:r>
        <w:t xml:space="preserve"> als Streitgenosse der Hauptpartei.</w:t>
      </w:r>
    </w:p>
    <w:p>
      <w:pPr>
        <w:pStyle w:val="Heading4"/>
      </w:pPr>
      <w:bookmarkStart w:id="88" w:name="b87"/>
      <w:r>
        <w:t>§ 70 Beitritt des Nebenintervenienten</w:t>
      </w:r>
      <w:r>
        <w:t xml:space="preserve"> </w:t>
      </w:r>
      <w:r>
        <w:rPr>
          <w:rStyle w:val="Suchmarke"/>
        </w:rPr>
        <w:t>#70#</w:t>
      </w:r>
      <w:bookmarkEnd w:id="88"/>
    </w:p>
    <w:p>
      <w:r>
        <w:t xml:space="preserve">(1) </w:t>
      </w:r>
      <w:r>
        <w:rPr>
          <w:rStyle w:val="Satznummer"/>
        </w:rPr>
        <w:t>1</w:t>
      </w:r>
      <w:r>
        <w:t xml:space="preserve">Der Beitritt des Nebenintervenienten erfolgt durch Einreichung eines Schriftsatzes bei dem Prozessgericht und, wenn er mit der Einlegung eines Rechtsmittels verbunden wird, durch Einreichung eines Schriftsatzes bei dem Rechtsmittelgericht. </w:t>
      </w:r>
      <w:r>
        <w:rPr>
          <w:rStyle w:val="Satznummer"/>
        </w:rPr>
        <w:t>2</w:t>
      </w:r>
      <w:r>
        <w:t>Der Schriftsatz ist beiden Parteien zuzustellen und muss enthalten:</w:t>
      </w:r>
    </w:p>
    <w:p>
      <w:pPr>
        <w:tabs>
          <w:tab w:pos="567" w:val="left"/>
        </w:tabs>
        <w:ind w:left="567" w:hanging="567"/>
      </w:pPr>
      <w:r>
        <w:t>1.</w:t>
      </w:r>
      <w:r>
        <w:tab/>
      </w:r>
      <w:r>
        <w:t>die Bezeichnung der Parteien und des Rechtsstreits;</w:t>
      </w:r>
    </w:p>
    <w:p>
      <w:pPr>
        <w:tabs>
          <w:tab w:pos="567" w:val="left"/>
        </w:tabs>
        <w:ind w:left="567" w:hanging="567"/>
      </w:pPr>
      <w:r>
        <w:t>2.</w:t>
      </w:r>
      <w:r>
        <w:tab/>
      </w:r>
      <w:r>
        <w:t>die bestimmte Angabe des Interesses, das der Nebenintervenient hat;</w:t>
      </w:r>
    </w:p>
    <w:p>
      <w:pPr>
        <w:tabs>
          <w:tab w:pos="567" w:val="left"/>
        </w:tabs>
        <w:ind w:left="567" w:hanging="567"/>
      </w:pPr>
      <w:r>
        <w:t>3.</w:t>
      </w:r>
      <w:r>
        <w:tab/>
      </w:r>
      <w:r>
        <w:t>die Erklärung des Beitritts.</w:t>
      </w:r>
    </w:p>
    <w:p>
      <w:r>
        <w:t>(2) Außerdem gelten die allgemeinen Vorschriften über die vorbereitenden Schriftsätze.</w:t>
      </w:r>
    </w:p>
    <w:p>
      <w:pPr>
        <w:pStyle w:val="Heading4"/>
      </w:pPr>
      <w:bookmarkStart w:id="89" w:name="b88"/>
      <w:r>
        <w:t>§ 71 Zwischenstreit über Nebenintervention</w:t>
      </w:r>
      <w:r>
        <w:t xml:space="preserve"> </w:t>
      </w:r>
      <w:r>
        <w:rPr>
          <w:rStyle w:val="Suchmarke"/>
        </w:rPr>
        <w:t>#71#</w:t>
      </w:r>
      <w:bookmarkEnd w:id="89"/>
    </w:p>
    <w:p>
      <w:r>
        <w:t xml:space="preserve">(1) </w:t>
      </w:r>
      <w:r>
        <w:rPr>
          <w:rStyle w:val="Satznummer"/>
        </w:rPr>
        <w:t>1</w:t>
      </w:r>
      <w:r>
        <w:t xml:space="preserve">Über den Antrag auf Zurückweisung einer Nebenintervention wird nach mündlicher Verhandlung unter den Parteien und dem Nebenintervenienten entschieden. </w:t>
      </w:r>
      <w:r>
        <w:rPr>
          <w:rStyle w:val="Satznummer"/>
        </w:rPr>
        <w:t>2</w:t>
      </w:r>
      <w:r>
        <w:t>Der Nebenintervenient ist zuzulassen, wenn er sein Interesse glaubhaft macht.</w:t>
      </w:r>
    </w:p>
    <w:p>
      <w:r>
        <w:t>(2) Gegen das Zwischenurteil findet sofortige Beschwerde statt.</w:t>
      </w:r>
    </w:p>
    <w:p>
      <w:r>
        <w:t>(3) Solange nicht die Unzulässigkeit der Intervention rechtskräftig ausgesprochen ist, wird der Intervenient im Hauptverfahren zugezogen.</w:t>
      </w:r>
    </w:p>
    <w:p>
      <w:pPr>
        <w:pStyle w:val="Heading4"/>
      </w:pPr>
      <w:bookmarkStart w:id="90" w:name="b89"/>
      <w:r>
        <w:t>§ 72 Zulässigkeit der Streitverkündung</w:t>
      </w:r>
      <w:r>
        <w:t xml:space="preserve"> </w:t>
      </w:r>
      <w:r>
        <w:rPr>
          <w:rStyle w:val="Suchmarke"/>
        </w:rPr>
        <w:t>#72#</w:t>
      </w:r>
      <w:bookmarkEnd w:id="90"/>
    </w:p>
    <w:p>
      <w:r>
        <w:t>(1) Eine Partei, die für den Fall des ihr ungünstigen Ausganges des Rechtsstreits einen Anspruch auf Gewährleistung oder Schadloshaltung gegen einen Dritten erheben zu können glaubt oder den Anspruch eines Dritten besorgt, kann bis zur rechtskräftigen Entscheidung des Rechtsstreits dem Dritten gerichtlich den Streit verkünden.</w:t>
      </w:r>
    </w:p>
    <w:p>
      <w:r>
        <w:t xml:space="preserve">(2) </w:t>
      </w:r>
      <w:r>
        <w:rPr>
          <w:rStyle w:val="Satznummer"/>
        </w:rPr>
        <w:t>1</w:t>
      </w:r>
      <w:r>
        <w:t xml:space="preserve">Das Gericht und ein vom Gericht ernannter Sachverständiger sind nicht Dritter im Sinne dieser Vorschrift. </w:t>
      </w:r>
      <w:r>
        <w:rPr>
          <w:rStyle w:val="Satznummer"/>
        </w:rPr>
        <w:t>2</w:t>
      </w:r>
      <w:hyperlink w:anchor="b90" w:history="1">
        <w:r>
          <w:rPr>
            <w:color w:val="0A3A8C"/>
            <w:u w:val="single"/>
          </w:rPr>
          <w:t xml:space="preserve">§ 73</w:t>
        </w:r>
      </w:hyperlink>
      <w:r>
        <w:t xml:space="preserve"> Satz 2 ist nicht anzuwenden.</w:t>
      </w:r>
    </w:p>
    <w:p>
      <w:r>
        <w:t>(3) Der Dritte ist zu einer weiteren Streitverkündung berechtigt.</w:t>
      </w:r>
    </w:p>
    <w:p>
      <w:pPr>
        <w:pStyle w:val="Heading4"/>
      </w:pPr>
      <w:bookmarkStart w:id="91" w:name="b90"/>
      <w:r>
        <w:t>§ 73 Form der Streitverkündung</w:t>
      </w:r>
      <w:r>
        <w:t xml:space="preserve"> </w:t>
      </w:r>
      <w:r>
        <w:rPr>
          <w:rStyle w:val="Suchmarke"/>
        </w:rPr>
        <w:t>#73#</w:t>
      </w:r>
      <w:bookmarkEnd w:id="91"/>
    </w:p>
    <w:p>
      <w:r>
        <w:rPr>
          <w:rStyle w:val="Satznummer"/>
        </w:rPr>
        <w:t>1</w:t>
      </w:r>
      <w:r>
        <w:t xml:space="preserve">Zum Zwecke der Streitverkündung hat die Partei einen Schriftsatz einzureichen, in dem der Grund der Streitverkündung und die Lage des Rechtsstreits anzugeben ist. </w:t>
      </w:r>
      <w:r>
        <w:rPr>
          <w:rStyle w:val="Satznummer"/>
        </w:rPr>
        <w:t>2</w:t>
      </w:r>
      <w:r>
        <w:t xml:space="preserve">Der Schriftsatz ist dem Dritten zuzustellen und dem Gegner des Streitverkünders in Abschrift mitzuteilen. </w:t>
      </w:r>
      <w:r>
        <w:rPr>
          <w:rStyle w:val="Satznummer"/>
        </w:rPr>
        <w:t>3</w:t>
      </w:r>
      <w:r>
        <w:t>Die Streitverkündung wird erst mit der Zustellung an den Dritten wirksam.</w:t>
      </w:r>
    </w:p>
    <w:p>
      <w:pPr>
        <w:pStyle w:val="Heading4"/>
      </w:pPr>
      <w:bookmarkStart w:id="92" w:name="b91"/>
      <w:r>
        <w:t>§ 74 Wirkung der Streitverkündung</w:t>
      </w:r>
      <w:r>
        <w:t xml:space="preserve"> </w:t>
      </w:r>
      <w:r>
        <w:rPr>
          <w:rStyle w:val="Suchmarke"/>
        </w:rPr>
        <w:t>#74#</w:t>
      </w:r>
      <w:bookmarkEnd w:id="92"/>
    </w:p>
    <w:p>
      <w:r>
        <w:t>(1) Wenn der Dritte dem Streitverkünder beitritt, so bestimmt sich sein Verhältnis zu den Parteien nach den Grundsätzen über die Nebenintervention.</w:t>
      </w:r>
    </w:p>
    <w:p>
      <w:r>
        <w:t>(2) Lehnt der Dritte den Beitritt ab oder erklärt er sich nicht, so wird der Rechtsstreit ohne Rücksicht auf ihn fortgesetzt.</w:t>
      </w:r>
    </w:p>
    <w:p>
      <w:r>
        <w:t xml:space="preserve">(3) In allen Fällen dieses Paragraphen sind gegen den Dritten die Vorschriften des </w:t>
      </w:r>
      <w:hyperlink w:anchor="b85" w:history="1">
        <w:r>
          <w:rPr>
            <w:color w:val="0A3A8C"/>
            <w:u w:val="single"/>
          </w:rPr>
          <w:t xml:space="preserve">§ 68</w:t>
        </w:r>
      </w:hyperlink>
      <w:r>
        <w:t xml:space="preserve"> mit der Abweichung anzuwenden, dass statt der Zeit des Beitritts die Zeit entscheidet, zu welcher der Beitritt infolge der Streitverkündung möglich war.</w:t>
      </w:r>
    </w:p>
    <w:p>
      <w:pPr>
        <w:pStyle w:val="Heading4"/>
      </w:pPr>
      <w:bookmarkStart w:id="93" w:name="b92"/>
      <w:r>
        <w:t>§ 75 Gläubigerstreit</w:t>
      </w:r>
      <w:r>
        <w:t xml:space="preserve"> </w:t>
      </w:r>
      <w:r>
        <w:rPr>
          <w:rStyle w:val="Suchmarke"/>
        </w:rPr>
        <w:t>#75#</w:t>
      </w:r>
      <w:bookmarkEnd w:id="93"/>
    </w:p>
    <w:p>
      <w:r>
        <w:rPr>
          <w:rStyle w:val="Satznummer"/>
        </w:rPr>
        <w:t>1</w:t>
      </w:r>
      <w:r>
        <w:t xml:space="preserve">Wird von dem verklagten Schuldner einem Dritten, der die geltend gemachte Forderung für sich in Anspruch nimmt, der Streit verkündet und tritt der Dritte in den Streit ein, so ist der Beklagte, wenn er den Betrag der Forderung zugunsten der streitenden Gläubiger unter Verzicht auf das Recht zur Rücknahme hinterlegt, auf seinen Antrag aus dem Rechtsstreit unter Verurteilung in die durch seinen unbegründeten Widerspruch veranlassten Kosten zu entlassen und der Rechtsstreit über die Berechtigung an der Forderung zwischen den streitenden Gläubigern allein fortzusetzen. </w:t>
      </w:r>
      <w:r>
        <w:rPr>
          <w:rStyle w:val="Satznummer"/>
        </w:rPr>
        <w:t>2</w:t>
      </w:r>
      <w:r>
        <w:t>Dem Obsiegenden ist der hinterlegte Betrag zuzusprechen und der Unterliegende auch zur Erstattung der dem Beklagten entstandenen, nicht durch dessen unbegründeten Widerspruch veranlassten Kosten, einschließlich der Kosten der Hinterlegung, zu verurteilen.</w:t>
      </w:r>
    </w:p>
    <w:p>
      <w:pPr>
        <w:pStyle w:val="Heading4"/>
      </w:pPr>
      <w:bookmarkStart w:id="94" w:name="b93"/>
      <w:r>
        <w:t>§ 76 Urheberbenennung bei Besitz</w:t>
      </w:r>
      <w:r>
        <w:t xml:space="preserve"> </w:t>
      </w:r>
      <w:r>
        <w:rPr>
          <w:rStyle w:val="Suchmarke"/>
        </w:rPr>
        <w:t>#76#</w:t>
      </w:r>
      <w:bookmarkEnd w:id="94"/>
    </w:p>
    <w:p>
      <w:r>
        <w:t xml:space="preserve">(1) </w:t>
      </w:r>
      <w:r>
        <w:rPr>
          <w:rStyle w:val="Satznummer"/>
        </w:rPr>
        <w:t>1</w:t>
      </w:r>
      <w:r>
        <w:t xml:space="preserve">Wer als Besitzer einer Sache verklagt ist, die er auf Grund eines Rechtsverhältnisses der im § 868 des Bürgerlichen Gesetzbuchs bezeichneten Art zu besitzen behauptet, kann vor der Verhandlung zur Hauptsache unter Einreichung eines Schriftsatzes, in dem er den mittelbaren Besitzer benennt, und einer Streitverkündungsschrift die Ladung des mittelbaren Besitzers zur Erklärung beantragen. </w:t>
      </w:r>
      <w:r>
        <w:rPr>
          <w:rStyle w:val="Satznummer"/>
        </w:rPr>
        <w:t>2</w:t>
      </w:r>
      <w:r>
        <w:t>Bis zu dieser Erklärung oder bis zum Schluss des Termins, in dem sich der Benannte zu erklären hat, kann der Beklagte die Verhandlung zur Hauptsache verweigern.</w:t>
      </w:r>
    </w:p>
    <w:p>
      <w:r>
        <w:t>(2) Bestreitet der Benannte die Behauptung des Beklagten oder erklärt er sich nicht, so ist der Beklagte berechtigt, dem Klageantrage zu genügen.</w:t>
      </w:r>
    </w:p>
    <w:p>
      <w:r>
        <w:t xml:space="preserve">(3) </w:t>
      </w:r>
      <w:r>
        <w:rPr>
          <w:rStyle w:val="Satznummer"/>
        </w:rPr>
        <w:t>1</w:t>
      </w:r>
      <w:r>
        <w:t xml:space="preserve">Wird die Behauptung des Beklagten von dem Benannten als richtig anerkannt, so ist dieser berechtigt, mit Zustimmung des Beklagten an dessen Stelle den Prozess zu übernehmen. </w:t>
      </w:r>
      <w:r>
        <w:rPr>
          <w:rStyle w:val="Satznummer"/>
        </w:rPr>
        <w:t>2</w:t>
      </w:r>
      <w:r>
        <w:t>Die Zustimmung des Klägers ist nur insoweit erforderlich, als er Ansprüche geltend macht, die unabhängig davon sind, dass der Beklagte auf Grund eines Rechtsverhältnisses der im Absatz 1 bezeichneten Art besitzt.</w:t>
      </w:r>
    </w:p>
    <w:p>
      <w:r>
        <w:t xml:space="preserve">(4) </w:t>
      </w:r>
      <w:r>
        <w:rPr>
          <w:rStyle w:val="Satznummer"/>
        </w:rPr>
        <w:t>1</w:t>
      </w:r>
      <w:r>
        <w:t xml:space="preserve">Hat der Benannte den Prozess übernommen, so ist der Beklagte auf seinen Antrag von der Klage zu entbinden. </w:t>
      </w:r>
      <w:r>
        <w:rPr>
          <w:rStyle w:val="Satznummer"/>
        </w:rPr>
        <w:t>2</w:t>
      </w:r>
      <w:r>
        <w:t>Die Entscheidung ist in Ansehung der Sache selbst auch gegen den Beklagten wirksam und vollstreckbar.</w:t>
      </w:r>
    </w:p>
    <w:p>
      <w:pPr>
        <w:pStyle w:val="Heading4"/>
      </w:pPr>
      <w:bookmarkStart w:id="95" w:name="b94"/>
      <w:r>
        <w:t>§ 77 Urheberbenennung bei Eigentumsbeeinträchtigung</w:t>
      </w:r>
      <w:r>
        <w:t xml:space="preserve"> </w:t>
      </w:r>
      <w:r>
        <w:rPr>
          <w:rStyle w:val="Suchmarke"/>
        </w:rPr>
        <w:t>#77#</w:t>
      </w:r>
      <w:bookmarkEnd w:id="95"/>
    </w:p>
    <w:p>
      <w:r>
        <w:t xml:space="preserve">Ist von dem Eigentümer einer Sache oder von demjenigen, dem ein Recht an einer Sache zusteht, wegen einer Beeinträchtigung des Eigentums oder seines Rechts Klage auf Beseitigung der Beeinträchtigung oder auf Unterlassung weiterer Beeinträchtigungen erhoben, so sind die Vorschriften des </w:t>
      </w:r>
      <w:hyperlink w:anchor="b93" w:history="1">
        <w:r>
          <w:rPr>
            <w:color w:val="0A3A8C"/>
            <w:u w:val="single"/>
          </w:rPr>
          <w:t xml:space="preserve">§ 76</w:t>
        </w:r>
      </w:hyperlink>
      <w:r>
        <w:t xml:space="preserve"> entsprechend anzuwenden, sofern der Beklagte die Beeinträchtigung in Ausübung des Rechtes eines Dritten vorgenommen zu haben behauptet.</w:t>
      </w:r>
    </w:p>
    <w:p>
      <w:pPr>
        <w:pStyle w:val="Heading3"/>
      </w:pPr>
      <w:bookmarkStart w:id="96" w:name="b95"/>
      <w:r>
        <w:t>Titel 4 Prozessbevollmächtigte und Beistände</w:t>
      </w:r>
      <w:bookmarkEnd w:id="96"/>
    </w:p>
    <w:p>
      <w:pPr>
        <w:pStyle w:val="Heading4"/>
      </w:pPr>
      <w:bookmarkStart w:id="97" w:name="b96"/>
      <w:r>
        <w:t>§ 78 Anwaltsprozess</w:t>
      </w:r>
      <w:r>
        <w:t xml:space="preserve"> </w:t>
      </w:r>
      <w:r>
        <w:rPr>
          <w:rStyle w:val="Suchmarke"/>
        </w:rPr>
        <w:t>#78#</w:t>
      </w:r>
      <w:bookmarkEnd w:id="97"/>
    </w:p>
    <w:p>
      <w:r>
        <w:t xml:space="preserve">(1) </w:t>
      </w:r>
      <w:r>
        <w:rPr>
          <w:rStyle w:val="Satznummer"/>
        </w:rPr>
        <w:t>1</w:t>
      </w:r>
      <w:r>
        <w:t xml:space="preserve">Vor den Landgerichten und Oberlandesgerichten müssen sich die Parteien durch einen Rechtsanwalt vertreten lassen. </w:t>
      </w:r>
      <w:r>
        <w:rPr>
          <w:rStyle w:val="Satznummer"/>
        </w:rPr>
        <w:t>2</w:t>
      </w:r>
      <w:r>
        <w:t xml:space="preserve">Ist in einem Land auf Grund des § 8 des Einführungsgesetzes zum Gerichtsverfassungsgesetz ein oberstes Landesgericht errichtet, so müssen sich die Parteien vor diesem ebenfalls durch einen Rechtsanwalt vertreten lassen. </w:t>
      </w:r>
      <w:r>
        <w:rPr>
          <w:rStyle w:val="Satznummer"/>
        </w:rPr>
        <w:t>3</w:t>
      </w:r>
      <w:r>
        <w:t>Vor dem Bundesgerichtshof müssen sich die Parteien durch einen bei dem Bundesgerichtshof zugelassenen Rechtsanwalt vertreten lassen.</w:t>
      </w:r>
    </w:p>
    <w:p>
      <w:r>
        <w:t>(2) Behörden und juristische Personen des öffentlichen Rechts einschließlich der von ihnen zur Erfüllung ihrer öffentlichen Aufgaben gebildeten Zusammenschlüsse können sich als Beteiligte für die Nichtzulassungsbeschwerde durch eigene Beschäftigte mit Befähigung zum Richteramt oder durch Beschäftigte mit Befähigung zum Richteramt anderer Behörden oder juristischer Personen des öffentlichen Rechts einschließlich der von ihnen zur Erfüllung ihrer öffentlichen Aufgaben gebildeten Zusammenschlüsse vertreten lassen.</w:t>
      </w:r>
    </w:p>
    <w:p>
      <w:r>
        <w:t>(3) Diese Vorschriften sind auf das Verfahren vor einem beauftragten oder ersuchten Richter sowie auf Prozesshandlungen, die vor dem Urkundsbeamten der Geschäftsstelle vorgenommen werden können, nicht anzuwenden.</w:t>
      </w:r>
    </w:p>
    <w:p>
      <w:r>
        <w:t>(4) Ein Rechtsanwalt, der nach Maßgabe der Absätze 1 und 2 zur Vertretung berechtigt ist, kann sich selbst vertreten.</w:t>
      </w:r>
    </w:p>
    <w:p>
      <w:pPr>
        <w:pStyle w:val="Heading4"/>
      </w:pPr>
      <w:bookmarkStart w:id="98" w:name="b97"/>
      <w:r>
        <w:t>§ 78a</w:t>
      </w:r>
      <w:r>
        <w:t xml:space="preserve"> </w:t>
      </w:r>
      <w:r>
        <w:rPr>
          <w:rStyle w:val="Suchmarke"/>
        </w:rPr>
        <w:t>#78a#</w:t>
      </w:r>
      <w:bookmarkEnd w:id="98"/>
    </w:p>
    <w:p>
      <w:r>
        <w:t>(weggefallen)</w:t>
      </w:r>
    </w:p>
    <w:p>
      <w:pPr>
        <w:pStyle w:val="Heading4"/>
      </w:pPr>
      <w:bookmarkStart w:id="99" w:name="b98"/>
      <w:r>
        <w:t>§ 78b Notanwalt</w:t>
      </w:r>
      <w:r>
        <w:t xml:space="preserve"> </w:t>
      </w:r>
      <w:r>
        <w:rPr>
          <w:rStyle w:val="Suchmarke"/>
        </w:rPr>
        <w:t>#78b#</w:t>
      </w:r>
      <w:bookmarkEnd w:id="99"/>
    </w:p>
    <w:p>
      <w:r>
        <w:t>(1) Insoweit eine Vertretung durch Anwälte geboten ist, hat das Prozessgericht einer Partei auf ihren Antrag durch Beschluss für den Rechtszug einen Rechtsanwalt zur Wahrnehmung ihrer Rechte beizuordnen, wenn sie einen zu ihrer Vertretung bereiten Rechtsanwalt nicht findet und die Rechtsverfolgung oder Rechtsverteidigung nicht mutwillig oder aussichtslos erscheint.</w:t>
      </w:r>
    </w:p>
    <w:p>
      <w:r>
        <w:t>(2) Gegen den Beschluss, durch den die Beiordnung eines Rechtsanwalts abgelehnt wird, findet die sofortige Beschwerde statt.</w:t>
      </w:r>
    </w:p>
    <w:p>
      <w:pPr>
        <w:pStyle w:val="Heading4"/>
      </w:pPr>
      <w:bookmarkStart w:id="100" w:name="b99"/>
      <w:r>
        <w:t>§ 78c Auswahl des Rechtsanwalts</w:t>
      </w:r>
      <w:r>
        <w:t xml:space="preserve"> </w:t>
      </w:r>
      <w:r>
        <w:rPr>
          <w:rStyle w:val="Suchmarke"/>
        </w:rPr>
        <w:t>#78c#</w:t>
      </w:r>
      <w:bookmarkEnd w:id="100"/>
    </w:p>
    <w:p>
      <w:r>
        <w:t xml:space="preserve">(1) Der nach </w:t>
      </w:r>
      <w:hyperlink w:anchor="b98" w:history="1">
        <w:r>
          <w:rPr>
            <w:color w:val="0A3A8C"/>
            <w:u w:val="single"/>
          </w:rPr>
          <w:t xml:space="preserve">§ 78b</w:t>
        </w:r>
      </w:hyperlink>
      <w:r>
        <w:t xml:space="preserve"> beizuordnende Rechtsanwalt wird durch den Vorsitzenden des Gerichts aus der Zahl der in dem Bezirk des Prozessgerichts niedergelassenen Rechtsanwälte ausgewählt.</w:t>
      </w:r>
    </w:p>
    <w:p>
      <w:r>
        <w:t>(2) Der beigeordnete Rechtsanwalt kann die Übernahme der Vertretung davon abhängig machen, dass die Partei ihm einen Vorschuss zahlt, der nach dem Rechtsanwaltsvergütungsgesetz zu bemessen ist.</w:t>
      </w:r>
    </w:p>
    <w:p>
      <w:r>
        <w:t xml:space="preserve">(3) </w:t>
      </w:r>
      <w:r>
        <w:rPr>
          <w:rStyle w:val="Satznummer"/>
        </w:rPr>
        <w:t>1</w:t>
      </w:r>
      <w:r>
        <w:t xml:space="preserve">Gegen eine Verfügung, die nach Absatz 1 getroffen wird, steht der Partei und dem Rechtsanwalt die sofortige Beschwerde zu. </w:t>
      </w:r>
      <w:r>
        <w:rPr>
          <w:rStyle w:val="Satznummer"/>
        </w:rPr>
        <w:t>2</w:t>
      </w:r>
      <w:r>
        <w:t>Dem Rechtsanwalt steht die sofortige Beschwerde auch zu, wenn der Vorsitzende des Gerichts den Antrag, die Beiordnung aufzuheben (§ 48 Abs. 2 der Bundesrechtsanwaltsordnung), ablehnt.</w:t>
      </w:r>
    </w:p>
    <w:p>
      <w:pPr>
        <w:pStyle w:val="Heading4"/>
      </w:pPr>
      <w:bookmarkStart w:id="101" w:name="b100"/>
      <w:r>
        <w:t>§ 79 Parteiprozess</w:t>
      </w:r>
      <w:r>
        <w:t xml:space="preserve"> </w:t>
      </w:r>
      <w:r>
        <w:rPr>
          <w:rStyle w:val="Suchmarke"/>
        </w:rPr>
        <w:t>#79#</w:t>
      </w:r>
      <w:bookmarkEnd w:id="101"/>
    </w:p>
    <w:p>
      <w:r>
        <w:t xml:space="preserve">(1) </w:t>
      </w:r>
      <w:r>
        <w:rPr>
          <w:rStyle w:val="Satznummer"/>
        </w:rPr>
        <w:t>1</w:t>
      </w:r>
      <w:r>
        <w:t xml:space="preserve">Soweit eine Vertretung durch Rechtsanwälte nicht geboten ist, können die Parteien den Rechtsstreit selbst führen. </w:t>
      </w:r>
      <w:r>
        <w:rPr>
          <w:rStyle w:val="Satznummer"/>
        </w:rPr>
        <w:t>2</w:t>
      </w:r>
      <w:r>
        <w:t>Parteien, die eine fremde oder ihnen zum Zweck der Einziehung auf fremde Rechnung abgetretene Geldforderung geltend machen, müssen sich durch einen Rechtsanwalt als Bevollmächtigten vertreten lassen, soweit sie nicht nach Maßgabe des Absatzes 2 zur Vertretung des Gläubigers befugt wären oder eine Forderung einziehen, deren ursprünglicher Gläubiger sie sind.</w:t>
      </w:r>
    </w:p>
    <w:p>
      <w:r>
        <w:t xml:space="preserve">(2) </w:t>
      </w:r>
      <w:r>
        <w:rPr>
          <w:rStyle w:val="Satznummer"/>
        </w:rPr>
        <w:t>1</w:t>
      </w:r>
      <w:r>
        <w:t xml:space="preserve">Die Parteien können sich durch einen Rechtsanwalt als Bevollmächtigten vertreten lassen. </w:t>
      </w:r>
      <w:r>
        <w:rPr>
          <w:rStyle w:val="Satznummer"/>
        </w:rPr>
        <w:t>2</w:t>
      </w:r>
      <w:r>
        <w:t>Darüber hinaus sind als Bevollmächtigte vertretungsbefugt nur</w:t>
      </w:r>
    </w:p>
    <w:p>
      <w:pPr>
        <w:tabs>
          <w:tab w:pos="567" w:val="left"/>
        </w:tabs>
        <w:ind w:left="567" w:hanging="567"/>
      </w:pPr>
      <w:r>
        <w:t>1.</w:t>
      </w:r>
      <w:r>
        <w:tab/>
      </w:r>
      <w:r>
        <w:t>Beschäftigte der Partei oder eines mit ihr verbundenen Unternehmens (§ 15 des Aktiengesetzes); Behörden und juristische Personen des öffentlichen Rechts einschließlich der von ihnen zur Erfüllung ihrer öffentlichen Aufgaben gebildeten Zusammenschlüsse können sich auch durch Beschäftigte anderer Behörden oder juristischer Personen des öffentlichen Rechts einschließlich der von ihnen zur Erfüllung ihrer öffentlichen Aufgaben gebildeten Zusammenschlüsse vertreten lassen,</w:t>
      </w:r>
    </w:p>
    <w:p>
      <w:pPr>
        <w:tabs>
          <w:tab w:pos="567" w:val="left"/>
        </w:tabs>
        <w:ind w:left="567" w:hanging="567"/>
      </w:pPr>
      <w:r>
        <w:t>2.</w:t>
      </w:r>
      <w:r>
        <w:tab/>
      </w:r>
      <w:r>
        <w:t>volljährige Familienangehörige (§ 15 der Abgabenordnung, § 11 des Lebenspartnerschaftsgesetzes), Personen mit Befähigung zum Richteramt und Streitgenossen, wenn die Vertretung nicht im Zusammenhang mit einer entgeltlichen Tätigkeit steht,</w:t>
      </w:r>
    </w:p>
    <w:p>
      <w:pPr>
        <w:tabs>
          <w:tab w:pos="567" w:val="left"/>
        </w:tabs>
        <w:ind w:left="567" w:hanging="567"/>
      </w:pPr>
      <w:r>
        <w:t>3.</w:t>
      </w:r>
      <w:r>
        <w:tab/>
      </w:r>
      <w:r>
        <w:t>Verbraucherzentralen und andere mit öffentlichen Mitteln geförderte Verbraucherverbände bei der Einziehung von Forderungen von Verbrauchern im Rahmen ihres Aufgabenbereichs,</w:t>
      </w:r>
    </w:p>
    <w:p>
      <w:pPr>
        <w:tabs>
          <w:tab w:pos="567" w:val="left"/>
        </w:tabs>
        <w:ind w:left="567" w:hanging="567"/>
      </w:pPr>
      <w:r>
        <w:t>4.</w:t>
      </w:r>
      <w:r>
        <w:tab/>
      </w:r>
      <w:r>
        <w:t>Personen, die Inkassodienstleistungen erbringen (registrierte Personen nach § 10 Absatz 1 Satz 1 Nummer 1 des Rechtsdienstleistungsgesetzes), und Kreditdienstleistungsinstitute mit einer Erlaubnis nach § 10 Absatz 1 des Kreditzweitmarktgesetzes im Mahnverfahren bis zur Abgabe an das Streitgericht und im Verfahren der Zwangsvollstreckung wegen Geldforderungen in das bewegliche Vermögen mit Ausnahme von Handlungen, die ein streitiges Verfahren einleiten oder innerhalb eines streitigen Verfahrens vorzunehmen sind.</w:t>
      </w:r>
    </w:p>
    <w:p>
      <w:r>
        <w:rPr>
          <w:rStyle w:val="Satznummer"/>
        </w:rPr>
        <w:t>3</w:t>
      </w:r>
      <w:r>
        <w:t>Bevollmächtigte, die keine natürlichen Personen sind, handeln durch ihre Organe und mit der Prozessvertretung beauftragten Vertreter.</w:t>
      </w:r>
    </w:p>
    <w:p>
      <w:r>
        <w:t xml:space="preserve">(3) </w:t>
      </w:r>
      <w:r>
        <w:rPr>
          <w:rStyle w:val="Satznummer"/>
        </w:rPr>
        <w:t>1</w:t>
      </w:r>
      <w:r>
        <w:t xml:space="preserve">Das Gericht weist Bevollmächtigte, die nicht nach Maßgabe des Absatzes 2 vertretungsbefugt sind, durch unanfechtbaren Beschluss zurück. </w:t>
      </w:r>
      <w:r>
        <w:rPr>
          <w:rStyle w:val="Satznummer"/>
        </w:rPr>
        <w:t>2</w:t>
      </w:r>
      <w:r>
        <w:t xml:space="preserve">Prozesshandlungen eines nicht vertretungsbefugten Bevollmächtigten und Zustellungen oder Mitteilungen an diesen Bevollmächtigten sind bis zu seiner Zurückweisung wirksam. </w:t>
      </w:r>
      <w:r>
        <w:rPr>
          <w:rStyle w:val="Satznummer"/>
        </w:rPr>
        <w:t>3</w:t>
      </w:r>
      <w:r>
        <w:t>Das Gericht kann den in Absatz 2 Satz 2 Nr. 1 bis 3 bezeichneten Bevollmächtigten durch unanfechtbaren Beschluss die weitere Vertretung untersagen, wenn sie nicht in der Lage sind, das Sach- und Streitverhältnis sachgerecht darzustellen.</w:t>
      </w:r>
    </w:p>
    <w:p>
      <w:r>
        <w:t xml:space="preserve">(4) </w:t>
      </w:r>
      <w:r>
        <w:rPr>
          <w:rStyle w:val="Satznummer"/>
        </w:rPr>
        <w:t>1</w:t>
      </w:r>
      <w:r>
        <w:t xml:space="preserve">Richter dürfen nicht als Bevollmächtigte vor einem Gericht auftreten, dem sie angehören. </w:t>
      </w:r>
      <w:r>
        <w:rPr>
          <w:rStyle w:val="Satznummer"/>
        </w:rPr>
        <w:t>2</w:t>
      </w:r>
      <w:r>
        <w:t xml:space="preserve">Ehrenamtliche Richter dürfen, außer in den Fällen des Absatzes 2 Satz 2 Nr. 1, nicht vor einem Spruchkörper auftreten, dem sie angehören. </w:t>
      </w:r>
      <w:r>
        <w:rPr>
          <w:rStyle w:val="Satznummer"/>
        </w:rPr>
        <w:t>3</w:t>
      </w:r>
      <w:r>
        <w:t>Absatz 3 Satz 1 und 2 gilt entsprechend.</w:t>
      </w:r>
    </w:p>
    <w:p>
      <w:pPr>
        <w:pStyle w:val="Heading4"/>
      </w:pPr>
      <w:bookmarkStart w:id="102" w:name="b101"/>
      <w:r>
        <w:t>§ 80 Prozessvollmacht</w:t>
      </w:r>
      <w:r>
        <w:t xml:space="preserve"> </w:t>
      </w:r>
      <w:r>
        <w:rPr>
          <w:rStyle w:val="Suchmarke"/>
        </w:rPr>
        <w:t>#80#</w:t>
      </w:r>
      <w:bookmarkEnd w:id="102"/>
    </w:p>
    <w:p>
      <w:r>
        <w:rPr>
          <w:rStyle w:val="Satznummer"/>
        </w:rPr>
        <w:t>1</w:t>
      </w:r>
      <w:r>
        <w:t xml:space="preserve">Die Vollmacht ist schriftlich zu den Gerichtsakten einzureichen. </w:t>
      </w:r>
      <w:r>
        <w:rPr>
          <w:rStyle w:val="Satznummer"/>
        </w:rPr>
        <w:t>2</w:t>
      </w:r>
      <w:r>
        <w:t>Sie kann nachgereicht werden; hierfür kann das Gericht eine Frist bestimmen.</w:t>
      </w:r>
    </w:p>
    <w:p>
      <w:pPr>
        <w:pStyle w:val="Heading4"/>
      </w:pPr>
      <w:bookmarkStart w:id="103" w:name="b102"/>
      <w:r>
        <w:t>§ 81 Umfang der Prozessvollmacht</w:t>
      </w:r>
      <w:r>
        <w:t xml:space="preserve"> </w:t>
      </w:r>
      <w:r>
        <w:rPr>
          <w:rStyle w:val="Suchmarke"/>
        </w:rPr>
        <w:t>#81#</w:t>
      </w:r>
      <w:bookmarkEnd w:id="103"/>
    </w:p>
    <w:p>
      <w:r>
        <w:t xml:space="preserve">Die Prozessvollmacht ermächtigt zu allen den Rechtsstreit betreffenden Prozesshandlungen, einschließlich derjenigen, die durch eine Widerklage, eine Wiederaufnahme des Verfahrens, eine Rüge nach </w:t>
      </w:r>
      <w:hyperlink w:anchor="b368" w:history="1">
        <w:r>
          <w:rPr>
            <w:color w:val="0A3A8C"/>
            <w:u w:val="single"/>
          </w:rPr>
          <w:t xml:space="preserve">§ 321a</w:t>
        </w:r>
      </w:hyperlink>
      <w:r>
        <w:t xml:space="preserve"> und die Zwangsvollstreckung veranlasst werden; zur Bestellung eines Vertreters sowie eines Bevollmächtigten für die höheren Instanzen; zur Beseitigung des Rechtsstreits durch Vergleich, Verzichtleistung auf den Streitgegenstand oder Anerkennung des von dem Gegner geltend gemachten Anspruchs; zur Empfangnahme der von dem Gegner oder aus der Staatskasse zu erstattenden Kosten.</w:t>
      </w:r>
    </w:p>
    <w:p>
      <w:pPr>
        <w:pStyle w:val="Heading4"/>
      </w:pPr>
      <w:bookmarkStart w:id="104" w:name="b103"/>
      <w:r>
        <w:t>§ 82 Geltung für Nebenverfahren</w:t>
      </w:r>
      <w:r>
        <w:t xml:space="preserve"> </w:t>
      </w:r>
      <w:r>
        <w:rPr>
          <w:rStyle w:val="Suchmarke"/>
        </w:rPr>
        <w:t>#82#</w:t>
      </w:r>
      <w:bookmarkEnd w:id="104"/>
    </w:p>
    <w:p>
      <w:r>
        <w:t>Die Vollmacht für den Hauptprozess umfasst die Vollmacht für das eine Hauptintervention, einen Arrest oder eine einstweilige Verfügung betreffende Verfahren.</w:t>
      </w:r>
    </w:p>
    <w:p>
      <w:pPr>
        <w:pStyle w:val="Heading4"/>
      </w:pPr>
      <w:bookmarkStart w:id="105" w:name="b104"/>
      <w:r>
        <w:t>§ 83 Beschränkung der Prozessvollmacht</w:t>
      </w:r>
      <w:r>
        <w:t xml:space="preserve"> </w:t>
      </w:r>
      <w:r>
        <w:rPr>
          <w:rStyle w:val="Suchmarke"/>
        </w:rPr>
        <w:t>#83#</w:t>
      </w:r>
      <w:bookmarkEnd w:id="105"/>
    </w:p>
    <w:p>
      <w:r>
        <w:t>(1) Eine Beschränkung des gesetzlichen Umfanges der Vollmacht hat dem Gegner gegenüber nur insoweit rechtliche Wirkung, als diese Beschränkung die Beseitigung des Rechtsstreits durch Vergleich, Verzichtleistung auf den Streitgegenstand oder Anerkennung des von dem Gegner geltend gemachten Anspruchs betrifft.</w:t>
      </w:r>
    </w:p>
    <w:p>
      <w:r>
        <w:t>(2) Insoweit eine Vertretung durch Anwälte nicht geboten ist, kann eine Vollmacht für einzelne Prozesshandlungen erteilt werden.</w:t>
      </w:r>
    </w:p>
    <w:p>
      <w:pPr>
        <w:pStyle w:val="Heading4"/>
      </w:pPr>
      <w:bookmarkStart w:id="106" w:name="b105"/>
      <w:r>
        <w:t>§ 84 Mehrere Prozessbevollmächtigte</w:t>
      </w:r>
      <w:r>
        <w:t xml:space="preserve"> </w:t>
      </w:r>
      <w:r>
        <w:rPr>
          <w:rStyle w:val="Suchmarke"/>
        </w:rPr>
        <w:t>#84#</w:t>
      </w:r>
      <w:bookmarkEnd w:id="106"/>
    </w:p>
    <w:p>
      <w:r>
        <w:rPr>
          <w:rStyle w:val="Satznummer"/>
        </w:rPr>
        <w:t>1</w:t>
      </w:r>
      <w:r>
        <w:t xml:space="preserve">Mehrere Bevollmächtigte sind berechtigt, sowohl gemeinschaftlich als einzeln die Partei zu vertreten. </w:t>
      </w:r>
      <w:r>
        <w:rPr>
          <w:rStyle w:val="Satznummer"/>
        </w:rPr>
        <w:t>2</w:t>
      </w:r>
      <w:r>
        <w:t>Eine abweichende Bestimmung der Vollmacht hat dem Gegner gegenüber keine rechtliche Wirkung.</w:t>
      </w:r>
    </w:p>
    <w:p>
      <w:pPr>
        <w:pStyle w:val="Heading4"/>
      </w:pPr>
      <w:bookmarkStart w:id="107" w:name="b106"/>
      <w:r>
        <w:t>§ 85 Wirkung der Prozessvollmacht</w:t>
      </w:r>
      <w:r>
        <w:t xml:space="preserve"> </w:t>
      </w:r>
      <w:r>
        <w:rPr>
          <w:rStyle w:val="Suchmarke"/>
        </w:rPr>
        <w:t>#85#</w:t>
      </w:r>
      <w:bookmarkEnd w:id="107"/>
    </w:p>
    <w:p>
      <w:r>
        <w:t xml:space="preserve">(1) </w:t>
      </w:r>
      <w:r>
        <w:rPr>
          <w:rStyle w:val="Satznummer"/>
        </w:rPr>
        <w:t>1</w:t>
      </w:r>
      <w:r>
        <w:t xml:space="preserve">Die von dem Bevollmächtigten vorgenommenen Prozesshandlungen sind für die Partei in gleicher Art verpflichtend, als wenn sie von der Partei selbst vorgenommen wären. </w:t>
      </w:r>
      <w:r>
        <w:rPr>
          <w:rStyle w:val="Satznummer"/>
        </w:rPr>
        <w:t>2</w:t>
      </w:r>
      <w:r>
        <w:t>Dies gilt von Geständnissen und anderen tatsächlichen Erklärungen, insoweit sie nicht von der miterschienenen Partei sofort widerrufen oder berichtigt werden.</w:t>
      </w:r>
    </w:p>
    <w:p>
      <w:r>
        <w:t>(2) Das Verschulden des Bevollmächtigten steht dem Verschulden der Partei gleich.</w:t>
      </w:r>
    </w:p>
    <w:p>
      <w:pPr>
        <w:pStyle w:val="Heading4"/>
      </w:pPr>
      <w:bookmarkStart w:id="108" w:name="b107"/>
      <w:r>
        <w:t>§ 86 Fortbestand der Prozessvollmacht</w:t>
      </w:r>
      <w:r>
        <w:t xml:space="preserve"> </w:t>
      </w:r>
      <w:r>
        <w:rPr>
          <w:rStyle w:val="Suchmarke"/>
        </w:rPr>
        <w:t>#86#</w:t>
      </w:r>
      <w:bookmarkEnd w:id="108"/>
    </w:p>
    <w:p>
      <w:r>
        <w:t>Die Vollmacht wird weder durch den Tod des Vollmachtgebers noch durch eine Veränderung in seiner Prozessfähigkeit oder seiner gesetzlichen Vertretung aufgehoben; der Bevollmächtigte hat jedoch, wenn er nach Aussetzung des Rechtsstreits für den Nachfolger im Rechtsstreit auftritt, dessen Vollmacht beizubringen.</w:t>
      </w:r>
    </w:p>
    <w:p>
      <w:pPr>
        <w:pStyle w:val="Heading4"/>
      </w:pPr>
      <w:bookmarkStart w:id="109" w:name="b108"/>
      <w:r>
        <w:t>§ 87 Erlöschen der Vollmacht</w:t>
      </w:r>
      <w:r>
        <w:t xml:space="preserve"> </w:t>
      </w:r>
      <w:r>
        <w:rPr>
          <w:rStyle w:val="Suchmarke"/>
        </w:rPr>
        <w:t>#87#</w:t>
      </w:r>
      <w:bookmarkEnd w:id="109"/>
    </w:p>
    <w:p>
      <w:r>
        <w:t>(1) Dem Gegner gegenüber erlangt die Kündigung des Vollmachtvertrags erst durch die Anzeige des Erlöschens der Vollmacht, in Anwaltsprozessen erst durch die Anzeige der Bestellung eines anderen Anwalts rechtliche Wirksamkeit.</w:t>
      </w:r>
    </w:p>
    <w:p>
      <w:r>
        <w:t>(2) Der Bevollmächtigte wird durch die von seiner Seite erfolgte Kündigung nicht gehindert, für den Vollmachtgeber so lange zu handeln, bis dieser für Wahrnehmung seiner Rechte in anderer Weise gesorgt hat.</w:t>
      </w:r>
    </w:p>
    <w:p>
      <w:pPr>
        <w:pStyle w:val="Heading4"/>
      </w:pPr>
      <w:bookmarkStart w:id="110" w:name="b109"/>
      <w:r>
        <w:t>§ 88 Mangel der Vollmacht</w:t>
      </w:r>
      <w:r>
        <w:t xml:space="preserve"> </w:t>
      </w:r>
      <w:r>
        <w:rPr>
          <w:rStyle w:val="Suchmarke"/>
        </w:rPr>
        <w:t>#88#</w:t>
      </w:r>
      <w:bookmarkEnd w:id="110"/>
    </w:p>
    <w:p>
      <w:r>
        <w:t>(1) Der Mangel der Vollmacht kann von dem Gegner in jeder Lage des Rechtsstreits gerügt werden.</w:t>
      </w:r>
    </w:p>
    <w:p>
      <w:r>
        <w:t>(2) Das Gericht hat den Mangel der Vollmacht von Amts wegen zu berücksichtigen, wenn nicht als Bevollmächtigter ein Rechtsanwalt auftritt.</w:t>
      </w:r>
    </w:p>
    <w:p>
      <w:pPr>
        <w:pStyle w:val="Heading4"/>
      </w:pPr>
      <w:bookmarkStart w:id="111" w:name="b110"/>
      <w:r>
        <w:t>§ 89 Vollmachtloser Vertreter</w:t>
      </w:r>
      <w:r>
        <w:t xml:space="preserve"> </w:t>
      </w:r>
      <w:r>
        <w:rPr>
          <w:rStyle w:val="Suchmarke"/>
        </w:rPr>
        <w:t>#89#</w:t>
      </w:r>
      <w:bookmarkEnd w:id="111"/>
    </w:p>
    <w:p>
      <w:r>
        <w:t xml:space="preserve">(1) </w:t>
      </w:r>
      <w:r>
        <w:rPr>
          <w:rStyle w:val="Satznummer"/>
        </w:rPr>
        <w:t>1</w:t>
      </w:r>
      <w:r>
        <w:t xml:space="preserve">Handelt jemand für eine Partei als Geschäftsführer ohne Auftrag oder als Bevollmächtigter ohne Beibringung einer Vollmacht, so kann er gegen oder ohne Sicherheitsleistung für Kosten und Schäden zur Prozessführung einstweilen zugelassen werden. </w:t>
      </w:r>
      <w:r>
        <w:rPr>
          <w:rStyle w:val="Satznummer"/>
        </w:rPr>
        <w:t>2</w:t>
      </w:r>
      <w:r>
        <w:t xml:space="preserve">Das Endurteil darf erst erlassen werden, nachdem die für die Beibringung der Genehmigung zu bestimmende Frist abgelaufen ist. </w:t>
      </w:r>
      <w:r>
        <w:rPr>
          <w:rStyle w:val="Satznummer"/>
        </w:rPr>
        <w:t>3</w:t>
      </w:r>
      <w:r>
        <w:t>Ist zu der Zeit, zu der das Endurteil erlassen wird, die Genehmigung nicht beigebracht, so ist der einstweilen zur Prozessführung Zugelassene zum Ersatz der dem Gegner infolge der Zulassung erwachsenen Kosten zu verurteilen; auch hat er dem Gegner die infolge der Zulassung entstandenen Schäden zu ersetzen.</w:t>
      </w:r>
    </w:p>
    <w:p>
      <w:r>
        <w:t>(2) Die Partei muss die Prozessführung gegen sich gelten lassen, wenn sie auch nur mündlich Vollmacht erteilt oder wenn sie die Prozessführung ausdrücklich oder stillschweigend genehmigt hat.</w:t>
      </w:r>
    </w:p>
    <w:p>
      <w:pPr>
        <w:pStyle w:val="Heading4"/>
      </w:pPr>
      <w:bookmarkStart w:id="112" w:name="b111"/>
      <w:r>
        <w:t>§ 90 Beistand</w:t>
      </w:r>
      <w:r>
        <w:t xml:space="preserve"> </w:t>
      </w:r>
      <w:r>
        <w:rPr>
          <w:rStyle w:val="Suchmarke"/>
        </w:rPr>
        <w:t>#90#</w:t>
      </w:r>
      <w:bookmarkEnd w:id="112"/>
    </w:p>
    <w:p>
      <w:r>
        <w:t xml:space="preserve">(1) </w:t>
      </w:r>
      <w:r>
        <w:rPr>
          <w:rStyle w:val="Satznummer"/>
        </w:rPr>
        <w:t>1</w:t>
      </w:r>
      <w:r>
        <w:t xml:space="preserve">In der Verhandlung können die Parteien mit Beiständen erscheinen. </w:t>
      </w:r>
      <w:r>
        <w:rPr>
          <w:rStyle w:val="Satznummer"/>
        </w:rPr>
        <w:t>2</w:t>
      </w:r>
      <w:r>
        <w:t xml:space="preserve">Beistand kann sein, wer in Verfahren, in denen die Partei den Rechtsstreit selbst führen kann, als Bevollmächtigter zur Vertretung in der Verhandlung befugt ist. </w:t>
      </w:r>
      <w:r>
        <w:rPr>
          <w:rStyle w:val="Satznummer"/>
        </w:rPr>
        <w:t>3</w:t>
      </w:r>
      <w:r>
        <w:t xml:space="preserve">Das Gericht kann andere Personen als Beistand zulassen, wenn dies sachdienlich ist und hierfür nach den Umständen des Einzelfalls ein Bedürfnis besteht. </w:t>
      </w:r>
      <w:r>
        <w:rPr>
          <w:rStyle w:val="Satznummer"/>
        </w:rPr>
        <w:t>4</w:t>
      </w:r>
      <w:hyperlink w:anchor="b100" w:history="1">
        <w:r>
          <w:rPr>
            <w:color w:val="0A3A8C"/>
            <w:u w:val="single"/>
          </w:rPr>
          <w:t xml:space="preserve">§ 79</w:t>
        </w:r>
      </w:hyperlink>
      <w:r>
        <w:t xml:space="preserve"> Abs. 3 Satz 1 und 3 und Abs. 4 gilt entsprechend.</w:t>
      </w:r>
    </w:p>
    <w:p>
      <w:r>
        <w:t>(2) Das von dem Beistand Vorgetragene gilt als von der Partei vorgebracht, insoweit es nicht von dieser sofort widerrufen oder berichtigt wird.</w:t>
      </w:r>
    </w:p>
    <w:p>
      <w:pPr>
        <w:pStyle w:val="Heading3"/>
      </w:pPr>
      <w:bookmarkStart w:id="113" w:name="b112"/>
      <w:r>
        <w:t>Titel 5 Prozesskosten</w:t>
      </w:r>
      <w:bookmarkEnd w:id="113"/>
    </w:p>
    <w:p>
      <w:pPr>
        <w:pStyle w:val="Heading4"/>
      </w:pPr>
      <w:bookmarkStart w:id="114" w:name="b113"/>
      <w:r>
        <w:t>§ 91 Grundsatz und Umfang der Kostenpflicht</w:t>
      </w:r>
      <w:r>
        <w:t xml:space="preserve"> </w:t>
      </w:r>
      <w:r>
        <w:rPr>
          <w:rStyle w:val="Suchmarke"/>
        </w:rPr>
        <w:t>#91#</w:t>
      </w:r>
      <w:bookmarkEnd w:id="114"/>
    </w:p>
    <w:p>
      <w:r>
        <w:t xml:space="preserve">(1) </w:t>
      </w:r>
      <w:r>
        <w:rPr>
          <w:rStyle w:val="Satznummer"/>
        </w:rPr>
        <w:t>1</w:t>
      </w:r>
      <w:r>
        <w:t xml:space="preserve">Die unterliegende Partei hat die Kosten des Rechtsstreits zu tragen, insbesondere die dem Gegner erwachsenen Kosten zu erstatten, soweit sie zur zweckentsprechenden Rechtsverfolgung oder Rechtsverteidigung notwendig waren. </w:t>
      </w:r>
      <w:r>
        <w:rPr>
          <w:rStyle w:val="Satznummer"/>
        </w:rPr>
        <w:t>2</w:t>
      </w:r>
      <w:r>
        <w:t>Die Kostenerstattung umfasst auch die Entschädigung des Gegners für die durch notwendige Reisen oder durch die notwendige Wahrnehmung von Terminen entstandene Zeitversäumnis; die für die Entschädigung von Zeugen geltenden Vorschriften sind entsprechend anzuwenden.</w:t>
      </w:r>
    </w:p>
    <w:p>
      <w:r>
        <w:t xml:space="preserve">(2) </w:t>
      </w:r>
      <w:r>
        <w:rPr>
          <w:rStyle w:val="Satznummer"/>
        </w:rPr>
        <w:t>1</w:t>
      </w:r>
      <w:r>
        <w:t xml:space="preserve">Die gesetzlichen Gebühren und Auslagen des Rechtsanwalts der obsiegenden Partei sind in allen Prozessen zu erstatten, Reisekosten eines Rechtsanwalts, der nicht in dem Bezirk des Prozessgerichts niedergelassen ist und am Ort des Prozessgerichts auch nicht wohnt, jedoch nur insoweit, als die Zuziehung zur zweckentsprechenden Rechtsverfolgung oder Rechtsverteidigung notwendig war. </w:t>
      </w:r>
      <w:r>
        <w:rPr>
          <w:rStyle w:val="Satznummer"/>
        </w:rPr>
        <w:t>2</w:t>
      </w:r>
      <w:r>
        <w:t xml:space="preserve">Die Kosten mehrerer Rechtsanwälte sind nur insoweit zu erstatten, als sie die Kosten eines Rechtsanwalts nicht übersteigen oder als in der Person des Rechtsanwalts ein Wechsel eintreten musste. </w:t>
      </w:r>
      <w:r>
        <w:rPr>
          <w:rStyle w:val="Satznummer"/>
        </w:rPr>
        <w:t>3</w:t>
      </w:r>
      <w:r>
        <w:t>In eigener Sache sind dem Rechtsanwalt die Gebühren und Auslagen zu erstatten, die er als Gebühren und Auslagen eines bevollmächtigten Rechtsanwalts erstattet verlangen könnte.</w:t>
      </w:r>
    </w:p>
    <w:p>
      <w:r>
        <w:t>(3) Zu den Kosten des Rechtsstreits im Sinne der Absätze 1, 2 gehören auch die Gebühren, die durch ein Güteverfahren vor einer durch die Landesjustizverwaltung eingerichteten oder anerkannten Gütestelle entstanden sind; dies gilt nicht, wenn zwischen der Beendigung des Güteverfahrens und der Klageerhebung mehr als ein Jahr verstrichen ist.</w:t>
      </w:r>
    </w:p>
    <w:p>
      <w:r>
        <w:t>(4) Zu den Kosten des Rechtsstreits im Sinne von Absatz 1 gehören auch Kosten, die die obsiegende Partei der unterlegenen Partei im Verlaufe des Rechtsstreits gezahlt hat.</w:t>
      </w:r>
    </w:p>
    <w:p>
      <w:r>
        <w:t>(5) Wurde in einem Rechtsstreit über einen Anspruch nach Absatz 1 Satz 1 entschieden, so ist die Verjährung des Anspruchs gehemmt, bis die Entscheidung rechtskräftig geworden ist oder der Rechtsstreit auf andere Weise beendet wird.</w:t>
      </w:r>
    </w:p>
    <w:p>
      <w:pPr>
        <w:pStyle w:val="Heading4"/>
      </w:pPr>
      <w:bookmarkStart w:id="115" w:name="b114"/>
      <w:r>
        <w:t>§ 91a Kosten bei Erledigung der Hauptsache</w:t>
      </w:r>
      <w:r>
        <w:t xml:space="preserve"> </w:t>
      </w:r>
      <w:r>
        <w:rPr>
          <w:rStyle w:val="Suchmarke"/>
        </w:rPr>
        <w:t>#91a#</w:t>
      </w:r>
      <w:bookmarkEnd w:id="115"/>
    </w:p>
    <w:p>
      <w:r>
        <w:t xml:space="preserve">(1) </w:t>
      </w:r>
      <w:r>
        <w:rPr>
          <w:rStyle w:val="Satznummer"/>
        </w:rPr>
        <w:t>1</w:t>
      </w:r>
      <w:r>
        <w:t xml:space="preserve">Haben die Parteien in der mündlichen Verhandlung oder durch Einreichung eines Schriftsatzes oder zu Protokoll der Geschäftsstelle den Rechtsstreit in der Hauptsache für erledigt erklärt, so entscheidet das Gericht über die Kosten unter Berücksichtigung des bisherigen Sach- und Streitstandes nach billigem Ermessen durch Beschluss. </w:t>
      </w:r>
      <w:r>
        <w:rPr>
          <w:rStyle w:val="Satznummer"/>
        </w:rPr>
        <w:t>2</w:t>
      </w:r>
      <w:r>
        <w:t>Dasselbe gilt, wenn der Beklagte der Erledigungserklärung des Klägers nicht innerhalb einer Notfrist von zwei Wochen seit der Zustellung des Schriftsatzes widerspricht, wenn der Beklagte zuvor auf diese Folge hingewiesen worden ist.</w:t>
      </w:r>
    </w:p>
    <w:p>
      <w:r>
        <w:t xml:space="preserve">(2) </w:t>
      </w:r>
      <w:r>
        <w:rPr>
          <w:rStyle w:val="Satznummer"/>
        </w:rPr>
        <w:t>1</w:t>
      </w:r>
      <w:r>
        <w:t xml:space="preserve">Gegen die Entscheidung findet die sofortige Beschwerde statt. </w:t>
      </w:r>
      <w:r>
        <w:rPr>
          <w:rStyle w:val="Satznummer"/>
        </w:rPr>
        <w:t>2</w:t>
      </w:r>
      <w:r>
        <w:t xml:space="preserve">Dies gilt nicht, wenn der Streitwert der Hauptsache den in </w:t>
      </w:r>
      <w:hyperlink w:anchor="b562" w:history="1">
        <w:r>
          <w:rPr>
            <w:color w:val="0A3A8C"/>
            <w:u w:val="single"/>
          </w:rPr>
          <w:t xml:space="preserve">§ 511</w:t>
        </w:r>
      </w:hyperlink>
      <w:r>
        <w:t xml:space="preserve"> genannten Betrag nicht übersteigt. </w:t>
      </w:r>
      <w:r>
        <w:rPr>
          <w:rStyle w:val="Satznummer"/>
        </w:rPr>
        <w:t>3</w:t>
      </w:r>
      <w:r>
        <w:t>Vor der Entscheidung über die Beschwerde ist der Gegner zu hören.</w:t>
      </w:r>
    </w:p>
    <w:p>
      <w:pPr>
        <w:pStyle w:val="Heading4"/>
      </w:pPr>
      <w:bookmarkStart w:id="116" w:name="b115"/>
      <w:r>
        <w:t>§ 92 Kosten bei teilweisem Obsiegen</w:t>
      </w:r>
      <w:r>
        <w:t xml:space="preserve"> </w:t>
      </w:r>
      <w:r>
        <w:rPr>
          <w:rStyle w:val="Suchmarke"/>
        </w:rPr>
        <w:t>#92#</w:t>
      </w:r>
      <w:bookmarkEnd w:id="116"/>
    </w:p>
    <w:p>
      <w:r>
        <w:t xml:space="preserve">(1) </w:t>
      </w:r>
      <w:r>
        <w:rPr>
          <w:rStyle w:val="Satznummer"/>
        </w:rPr>
        <w:t>1</w:t>
      </w:r>
      <w:r>
        <w:t xml:space="preserve">Wenn jede Partei teils obsiegt, teils unterliegt, so sind die Kosten gegeneinander aufzuheben oder verhältnismäßig zu teilen. </w:t>
      </w:r>
      <w:r>
        <w:rPr>
          <w:rStyle w:val="Satznummer"/>
        </w:rPr>
        <w:t>2</w:t>
      </w:r>
      <w:r>
        <w:t>Sind die Kosten gegeneinander aufgehoben, so fallen die Gerichtskosten jeder Partei zur Hälfte zur Last.</w:t>
      </w:r>
    </w:p>
    <w:p>
      <w:r>
        <w:t>(2) Das Gericht kann der einen Partei die gesamten Prozesskosten auferlegen, wenn</w:t>
      </w:r>
    </w:p>
    <w:p>
      <w:pPr>
        <w:tabs>
          <w:tab w:pos="567" w:val="left"/>
        </w:tabs>
        <w:ind w:left="567" w:hanging="567"/>
      </w:pPr>
      <w:r>
        <w:t>1.</w:t>
      </w:r>
      <w:r>
        <w:tab/>
      </w:r>
      <w:r>
        <w:t>die Zuvielforderung der anderen Partei verhältnismäßig geringfügig war und keine oder nur geringfügig höhere Kosten veranlasst hat oder</w:t>
      </w:r>
    </w:p>
    <w:p>
      <w:pPr>
        <w:tabs>
          <w:tab w:pos="567" w:val="left"/>
        </w:tabs>
        <w:ind w:left="567" w:hanging="567"/>
      </w:pPr>
      <w:r>
        <w:t>2.</w:t>
      </w:r>
      <w:r>
        <w:tab/>
      </w:r>
      <w:r>
        <w:t>der Betrag der Forderung der anderen Partei von der Festsetzung durch richterliches Ermessen, von der Ermittlung durch Sachverständige oder von einer gegenseitigen Berechnung abhängig war.</w:t>
      </w:r>
    </w:p>
    <w:p>
      <w:pPr>
        <w:pStyle w:val="Heading4"/>
      </w:pPr>
      <w:bookmarkStart w:id="117" w:name="b116"/>
      <w:r>
        <w:t>§ 93 Kosten bei sofortigem Anerkenntnis</w:t>
      </w:r>
      <w:r>
        <w:t xml:space="preserve"> </w:t>
      </w:r>
      <w:r>
        <w:rPr>
          <w:rStyle w:val="Suchmarke"/>
        </w:rPr>
        <w:t>#93#</w:t>
      </w:r>
      <w:bookmarkEnd w:id="117"/>
    </w:p>
    <w:p>
      <w:r>
        <w:t>Hat der Beklagte nicht durch sein Verhalten zur Erhebung der Klage Veranlassung gegeben, so fallen dem Kläger die Prozesskosten zur Last, wenn der Beklagte den Anspruch sofort anerkennt.</w:t>
      </w:r>
    </w:p>
    <w:p>
      <w:pPr>
        <w:pStyle w:val="Heading4"/>
      </w:pPr>
      <w:bookmarkStart w:id="118" w:name="b117"/>
      <w:r>
        <w:t>§ 93a (weggefallen)</w:t>
      </w:r>
      <w:r>
        <w:t xml:space="preserve"> </w:t>
      </w:r>
      <w:r>
        <w:rPr>
          <w:rStyle w:val="Suchmarke"/>
        </w:rPr>
        <w:t>#93a#</w:t>
      </w:r>
      <w:bookmarkEnd w:id="118"/>
    </w:p>
    <w:p>
      <w:r>
        <w:t>-</w:t>
      </w:r>
    </w:p>
    <w:p>
      <w:pPr>
        <w:pStyle w:val="Heading4"/>
      </w:pPr>
      <w:bookmarkStart w:id="119" w:name="b118"/>
      <w:r>
        <w:t>§ 93b Kosten bei Räumungsklagen</w:t>
      </w:r>
      <w:r>
        <w:t xml:space="preserve"> </w:t>
      </w:r>
      <w:r>
        <w:rPr>
          <w:rStyle w:val="Suchmarke"/>
        </w:rPr>
        <w:t>#93b#</w:t>
      </w:r>
      <w:bookmarkEnd w:id="119"/>
    </w:p>
    <w:p>
      <w:r>
        <w:t xml:space="preserve">(1) </w:t>
      </w:r>
      <w:r>
        <w:rPr>
          <w:rStyle w:val="Satznummer"/>
        </w:rPr>
        <w:t>1</w:t>
      </w:r>
      <w:r>
        <w:t xml:space="preserve">Wird einer Klage auf Räumung von Wohnraum mit Rücksicht darauf stattgegeben, dass ein Verlangen des Beklagten auf Fortsetzung des Mietverhältnisses auf Grund der §§ 574 bis 574b des Bürgerlichen Gesetzbuchs wegen der berechtigten Interessen des Klägers nicht gerechtfertigt ist, so kann das Gericht die Kosten ganz oder teilweise dem Kläger auferlegen, wenn der Beklagte die Fortsetzung des Mietverhältnisses unter Angabe von Gründen verlangt hatte und der Kläger aus Gründen obsiegt, die erst nachträglich entstanden sind (§ 574 Abs. 3 des Bürgerlichen Gesetzbuchs). </w:t>
      </w:r>
      <w:r>
        <w:rPr>
          <w:rStyle w:val="Satznummer"/>
        </w:rPr>
        <w:t>2</w:t>
      </w:r>
      <w:r>
        <w:t>Dies gilt in einem Rechtsstreit wegen Fortsetzung des Mietverhältnisses bei Abweisung der Klage entsprechend.</w:t>
      </w:r>
    </w:p>
    <w:p>
      <w:r>
        <w:t xml:space="preserve">(2) </w:t>
      </w:r>
      <w:r>
        <w:rPr>
          <w:rStyle w:val="Satznummer"/>
        </w:rPr>
        <w:t>1</w:t>
      </w:r>
      <w:r>
        <w:t xml:space="preserve">Wird eine Klage auf Räumung von Wohnraum mit Rücksicht darauf abgewiesen, dass auf Verlangen des Beklagten die Fortsetzung des Mietverhältnisses auf Grund der §§ 574 bis 574b des Bürgerlichen Gesetzbuchs bestimmt wird, so kann das Gericht die Kosten ganz oder teilweise dem Beklagten auferlegen, wenn er auf Verlangen des Klägers nicht unverzüglich über die Gründe des Widerspruchs Auskunft erteilt hat. </w:t>
      </w:r>
      <w:r>
        <w:rPr>
          <w:rStyle w:val="Satznummer"/>
        </w:rPr>
        <w:t>2</w:t>
      </w:r>
      <w:r>
        <w:t>Dies gilt in einem Rechtsstreit wegen Fortsetzung des Mietverhältnisses entsprechend, wenn der Klage stattgegeben wird.</w:t>
      </w:r>
    </w:p>
    <w:p>
      <w:r>
        <w:t>(3) Erkennt der Beklagte den Anspruch auf Räumung von Wohnraum sofort an, wird ihm jedoch eine Räumungsfrist bewilligt, so kann das Gericht die Kosten ganz oder teilweise dem Kläger auferlegen, wenn der Beklagte bereits vor Erhebung der Klage unter Angabe von Gründen die Fortsetzung des Mietverhältnisses oder eine den Umständen nach angemessene Räumungsfrist vom Kläger vergeblich begehrt hatte.</w:t>
      </w:r>
    </w:p>
    <w:p>
      <w:pPr>
        <w:pStyle w:val="Heading4"/>
      </w:pPr>
      <w:bookmarkStart w:id="120" w:name="b119"/>
      <w:r>
        <w:t>§ 94 Kosten bei übergegangenem Anspruch</w:t>
      </w:r>
      <w:r>
        <w:t xml:space="preserve"> </w:t>
      </w:r>
      <w:r>
        <w:rPr>
          <w:rStyle w:val="Suchmarke"/>
        </w:rPr>
        <w:t>#94#</w:t>
      </w:r>
      <w:bookmarkEnd w:id="120"/>
    </w:p>
    <w:p>
      <w:r>
        <w:t>Macht der Kläger einen auf ihn übergangenen Anspruch geltend, ohne dass er vor der Erhebung der Klage dem Beklagten den Übergang mitgeteilt und auf Verlangen nachgewiesen hat, so fallen ihm die Prozesskosten insoweit zur Last, als sie dadurch entstanden sind, dass der Beklagte durch die Unterlassung der Mitteilung oder des Nachweises veranlasst worden ist, den Anspruch zu bestreiten.</w:t>
      </w:r>
    </w:p>
    <w:p>
      <w:pPr>
        <w:pStyle w:val="Heading4"/>
      </w:pPr>
      <w:bookmarkStart w:id="121" w:name="b120"/>
      <w:r>
        <w:t>§ 95 Kosten bei Säumnis oder Verschulden</w:t>
      </w:r>
      <w:r>
        <w:t xml:space="preserve"> </w:t>
      </w:r>
      <w:r>
        <w:rPr>
          <w:rStyle w:val="Suchmarke"/>
        </w:rPr>
        <w:t>#95#</w:t>
      </w:r>
      <w:bookmarkEnd w:id="121"/>
    </w:p>
    <w:p>
      <w:r>
        <w:t>Die Partei, die einen Termin oder eine Frist versäumt oder die Verlegung eines Termins, die Vertagung einer Verhandlung, die Anberaumung eines Termins zur Fortsetzung der Verhandlung oder die Verlängerung einer Frist durch ihr Verschulden veranlasst, hat die dadurch verursachten Kosten zu tragen.</w:t>
      </w:r>
    </w:p>
    <w:p>
      <w:pPr>
        <w:pStyle w:val="Heading4"/>
      </w:pPr>
      <w:bookmarkStart w:id="122" w:name="b121"/>
      <w:r>
        <w:t>§ 96 Kosten erfolgloser Angriffs- oder Verteidigungsmittel</w:t>
      </w:r>
      <w:r>
        <w:t xml:space="preserve"> </w:t>
      </w:r>
      <w:r>
        <w:rPr>
          <w:rStyle w:val="Suchmarke"/>
        </w:rPr>
        <w:t>#96#</w:t>
      </w:r>
      <w:bookmarkEnd w:id="122"/>
    </w:p>
    <w:p>
      <w:r>
        <w:t>Die Kosten eines ohne Erfolg gebliebenen Angriffs- oder Verteidigungsmittels können der Partei auferlegt werden, die es geltend gemacht hat, auch wenn sie in der Hauptsache obsiegt.</w:t>
      </w:r>
    </w:p>
    <w:p>
      <w:pPr>
        <w:pStyle w:val="Heading4"/>
      </w:pPr>
      <w:bookmarkStart w:id="123" w:name="b122"/>
      <w:r>
        <w:t>§ 97 Rechtsmittelkosten</w:t>
      </w:r>
      <w:r>
        <w:t xml:space="preserve"> </w:t>
      </w:r>
      <w:r>
        <w:rPr>
          <w:rStyle w:val="Suchmarke"/>
        </w:rPr>
        <w:t>#97#</w:t>
      </w:r>
      <w:bookmarkEnd w:id="123"/>
    </w:p>
    <w:p>
      <w:r>
        <w:t>(1) Die Kosten eines ohne Erfolg eingelegten Rechtsmittels fallen der Partei zur Last, die es eingelegt hat.</w:t>
      </w:r>
    </w:p>
    <w:p>
      <w:r>
        <w:t>(2) Die Kosten des Rechtsmittelverfahrens sind der obsiegenden Partei ganz oder teilweise aufzuerlegen, wenn sie auf Grund eines neuen Vorbringens obsiegt, das sie in einem früheren Rechtszug geltend zu machen imstande war.</w:t>
      </w:r>
    </w:p>
    <w:p>
      <w:r>
        <w:t>(3) (weggefallen)</w:t>
      </w:r>
    </w:p>
    <w:p>
      <w:pPr>
        <w:pStyle w:val="Heading4"/>
      </w:pPr>
      <w:bookmarkStart w:id="124" w:name="b123"/>
      <w:r>
        <w:t>§ 98 Vergleichskosten</w:t>
      </w:r>
      <w:r>
        <w:t xml:space="preserve"> </w:t>
      </w:r>
      <w:r>
        <w:rPr>
          <w:rStyle w:val="Suchmarke"/>
        </w:rPr>
        <w:t>#98#</w:t>
      </w:r>
      <w:bookmarkEnd w:id="124"/>
    </w:p>
    <w:p>
      <w:r>
        <w:rPr>
          <w:rStyle w:val="Satznummer"/>
        </w:rPr>
        <w:t>1</w:t>
      </w:r>
      <w:r>
        <w:t xml:space="preserve">Die Kosten eines abgeschlossenen Vergleichs sind als gegeneinander aufgehoben anzusehen, wenn nicht die Parteien ein anderes vereinbart haben. </w:t>
      </w:r>
      <w:r>
        <w:rPr>
          <w:rStyle w:val="Satznummer"/>
        </w:rPr>
        <w:t>2</w:t>
      </w:r>
      <w:r>
        <w:t>Das Gleiche gilt von den Kosten des durch Vergleich erledigten Rechtsstreits, soweit nicht über sie bereits rechtskräftig erkannt ist.</w:t>
      </w:r>
    </w:p>
    <w:p>
      <w:pPr>
        <w:pStyle w:val="Heading4"/>
      </w:pPr>
      <w:bookmarkStart w:id="125" w:name="b124"/>
      <w:r>
        <w:t>§ 99 Anfechtung von Kostenentscheidungen</w:t>
      </w:r>
      <w:r>
        <w:t xml:space="preserve"> </w:t>
      </w:r>
      <w:r>
        <w:rPr>
          <w:rStyle w:val="Suchmarke"/>
        </w:rPr>
        <w:t>#99#</w:t>
      </w:r>
      <w:bookmarkEnd w:id="125"/>
    </w:p>
    <w:p>
      <w:r>
        <w:t>(1) Die Anfechtung der Kostenentscheidung ist unzulässig, wenn nicht gegen die Entscheidung in der Hauptsache ein Rechtsmittel eingelegt wird.</w:t>
      </w:r>
    </w:p>
    <w:p>
      <w:r>
        <w:t xml:space="preserve">(2) </w:t>
      </w:r>
      <w:r>
        <w:rPr>
          <w:rStyle w:val="Satznummer"/>
        </w:rPr>
        <w:t>1</w:t>
      </w:r>
      <w:r>
        <w:t xml:space="preserve">Ist die Hauptsache durch eine auf Grund eines Anerkenntnisses ausgesprochene Verurteilung erledigt, so findet gegen die Kostenentscheidung die sofortige Beschwerde statt. </w:t>
      </w:r>
      <w:r>
        <w:rPr>
          <w:rStyle w:val="Satznummer"/>
        </w:rPr>
        <w:t>2</w:t>
      </w:r>
      <w:r>
        <w:t xml:space="preserve">Dies gilt nicht, wenn der Streitwert der Hauptsache den in </w:t>
      </w:r>
      <w:hyperlink w:anchor="b562" w:history="1">
        <w:r>
          <w:rPr>
            <w:color w:val="0A3A8C"/>
            <w:u w:val="single"/>
          </w:rPr>
          <w:t xml:space="preserve">§ 511</w:t>
        </w:r>
      </w:hyperlink>
      <w:r>
        <w:t xml:space="preserve"> genannten Betrag nicht übersteigt. </w:t>
      </w:r>
      <w:r>
        <w:rPr>
          <w:rStyle w:val="Satznummer"/>
        </w:rPr>
        <w:t>3</w:t>
      </w:r>
      <w:r>
        <w:t>Vor der Entscheidung über die Beschwerde ist der Gegner zu hören.</w:t>
      </w:r>
    </w:p>
    <w:p>
      <w:pPr>
        <w:pStyle w:val="Heading4"/>
      </w:pPr>
      <w:bookmarkStart w:id="126" w:name="b125"/>
      <w:r>
        <w:t>§ 100 Kosten bei Streitgenossen</w:t>
      </w:r>
      <w:r>
        <w:t xml:space="preserve"> </w:t>
      </w:r>
      <w:r>
        <w:rPr>
          <w:rStyle w:val="Suchmarke"/>
        </w:rPr>
        <w:t>#100#</w:t>
      </w:r>
      <w:bookmarkEnd w:id="126"/>
    </w:p>
    <w:p>
      <w:r>
        <w:t>(1) Besteht der unterliegende Teil aus mehreren Personen, so haften sie für die Kostenerstattung nach Kopfteilen.</w:t>
      </w:r>
    </w:p>
    <w:p>
      <w:r>
        <w:t>(2) Bei einer erheblichen Verschiedenheit der Beteiligung am Rechtsstreit kann nach dem Ermessen des Gerichts die Beteiligung zum Maßstab genommen werden.</w:t>
      </w:r>
    </w:p>
    <w:p>
      <w:r>
        <w:t>(3) Hat ein Streitgenosse ein besonderes Angriffs- oder Verteidigungsmittel geltend gemacht, so haften die übrigen Streitgenossen nicht für die dadurch veranlassten Kosten.</w:t>
      </w:r>
    </w:p>
    <w:p>
      <w:r>
        <w:t xml:space="preserve">(4) </w:t>
      </w:r>
      <w:r>
        <w:rPr>
          <w:rStyle w:val="Satznummer"/>
        </w:rPr>
        <w:t>1</w:t>
      </w:r>
      <w:r>
        <w:t xml:space="preserve">Werden mehrere Beklagte als Gesamtschuldner verurteilt, so haften sie auch für die Kostenerstattung, unbeschadet der Vorschrift des Absatzes 3, als Gesamtschuldner. </w:t>
      </w:r>
      <w:r>
        <w:rPr>
          <w:rStyle w:val="Satznummer"/>
        </w:rPr>
        <w:t>2</w:t>
      </w:r>
      <w:r>
        <w:t>Die Vorschriften des bürgerlichen Rechts, nach denen sich diese Haftung auf die im Absatz 3 bezeichneten Kosten erstreckt, bleiben unberührt.</w:t>
      </w:r>
    </w:p>
    <w:p>
      <w:pPr>
        <w:pStyle w:val="Heading4"/>
      </w:pPr>
      <w:bookmarkStart w:id="127" w:name="b126"/>
      <w:r>
        <w:t>§ 101 Kosten einer Nebenintervention</w:t>
      </w:r>
      <w:r>
        <w:t xml:space="preserve"> </w:t>
      </w:r>
      <w:r>
        <w:rPr>
          <w:rStyle w:val="Suchmarke"/>
        </w:rPr>
        <w:t>#101#</w:t>
      </w:r>
      <w:bookmarkEnd w:id="127"/>
    </w:p>
    <w:p>
      <w:r>
        <w:t xml:space="preserve">(1) Die durch eine Nebenintervention verursachten Kosten sind dem Gegner der Hauptpartei aufzuerlegen, soweit er nach den Vorschriften der </w:t>
      </w:r>
      <w:hyperlink w:anchor="b113" w:history="1">
        <w:r>
          <w:rPr>
            <w:color w:val="0A3A8C"/>
            <w:u w:val="single"/>
          </w:rPr>
          <w:t xml:space="preserve">§§ 91</w:t>
        </w:r>
      </w:hyperlink>
      <w:r>
        <w:t xml:space="preserve"> bis </w:t>
      </w:r>
      <w:hyperlink w:anchor="b123" w:history="1">
        <w:r>
          <w:rPr>
            <w:color w:val="0A3A8C"/>
            <w:u w:val="single"/>
          </w:rPr>
          <w:t xml:space="preserve">98</w:t>
        </w:r>
      </w:hyperlink>
      <w:r>
        <w:t xml:space="preserve"> die Kosten des Rechtsstreits zu tragen hat; soweit dies nicht der Fall ist, sind sie dem Nebenintervenienten aufzuerlegen.</w:t>
      </w:r>
    </w:p>
    <w:p>
      <w:r>
        <w:t>(2) Gilt der Nebenintervenient als Streitgenosse der Hauptpartei (</w:t>
      </w:r>
      <w:hyperlink w:anchor="b86" w:history="1">
        <w:r>
          <w:rPr>
            <w:color w:val="0A3A8C"/>
            <w:u w:val="single"/>
          </w:rPr>
          <w:t xml:space="preserve">§ 69</w:t>
        </w:r>
      </w:hyperlink>
      <w:r>
        <w:t xml:space="preserve">), so sind die Vorschriften des </w:t>
      </w:r>
      <w:hyperlink w:anchor="b125" w:history="1">
        <w:r>
          <w:rPr>
            <w:color w:val="0A3A8C"/>
            <w:u w:val="single"/>
          </w:rPr>
          <w:t xml:space="preserve">§ 100</w:t>
        </w:r>
      </w:hyperlink>
      <w:r>
        <w:t xml:space="preserve"> maßgebend.</w:t>
      </w:r>
    </w:p>
    <w:p>
      <w:pPr>
        <w:pStyle w:val="Heading4"/>
      </w:pPr>
      <w:bookmarkStart w:id="128" w:name="b127"/>
      <w:r>
        <w:t>§ 102 Änderung der Kostenentscheidung</w:t>
      </w:r>
      <w:r>
        <w:t xml:space="preserve"> </w:t>
      </w:r>
      <w:r>
        <w:rPr>
          <w:rStyle w:val="Suchmarke"/>
        </w:rPr>
        <w:t>#102#</w:t>
      </w:r>
      <w:bookmarkEnd w:id="128"/>
    </w:p>
    <w:p>
      <w:r>
        <w:t xml:space="preserve">(1) </w:t>
      </w:r>
      <w:r>
        <w:rPr>
          <w:rStyle w:val="Satznummer"/>
        </w:rPr>
        <w:t>1</w:t>
      </w:r>
      <w:r>
        <w:t>Wird die Wertfestsetzung für die Gerichtsgebühren</w:t>
      </w:r>
    </w:p>
    <w:p>
      <w:pPr>
        <w:tabs>
          <w:tab w:pos="567" w:val="left"/>
        </w:tabs>
        <w:ind w:left="567" w:hanging="567"/>
      </w:pPr>
      <w:r>
        <w:t>1.</w:t>
      </w:r>
      <w:r>
        <w:tab/>
      </w:r>
      <w:r>
        <w:t>nach § 63 Absatz 3 des Gerichtskostengesetzes,</w:t>
      </w:r>
    </w:p>
    <w:p>
      <w:pPr>
        <w:tabs>
          <w:tab w:pos="567" w:val="left"/>
        </w:tabs>
        <w:ind w:left="567" w:hanging="567"/>
      </w:pPr>
      <w:r>
        <w:t>2.</w:t>
      </w:r>
      <w:r>
        <w:tab/>
      </w:r>
      <w:r>
        <w:t>nach § 55 Absatz 3 des Gesetzes über Gerichtskosten in Familiensachen,</w:t>
      </w:r>
    </w:p>
    <w:p>
      <w:pPr>
        <w:tabs>
          <w:tab w:pos="567" w:val="left"/>
        </w:tabs>
        <w:ind w:left="567" w:hanging="567"/>
      </w:pPr>
      <w:r>
        <w:t>3.</w:t>
      </w:r>
      <w:r>
        <w:tab/>
      </w:r>
      <w:r>
        <w:t>infolge einer Beschwerde gegen die Festsetzung des Streitwerts nach § 68 des Gerichtskostengesetzes oder</w:t>
      </w:r>
    </w:p>
    <w:p>
      <w:pPr>
        <w:tabs>
          <w:tab w:pos="567" w:val="left"/>
        </w:tabs>
        <w:ind w:left="567" w:hanging="567"/>
      </w:pPr>
      <w:r>
        <w:t>4.</w:t>
      </w:r>
      <w:r>
        <w:tab/>
      </w:r>
      <w:r>
        <w:t>infolge einer Beschwerde gegen die Festsetzung des Verfahrenswerts nach § 59 des Gesetzes über Gerichtskosten in Familiensachen</w:t>
      </w:r>
    </w:p>
    <w:p>
      <w:r>
        <w:t xml:space="preserve">geändert, so kann das Gericht seine getroffene Kostenentscheidung von Amts wegen ändern. </w:t>
      </w:r>
      <w:r>
        <w:rPr>
          <w:rStyle w:val="Satznummer"/>
        </w:rPr>
        <w:t>2</w:t>
      </w:r>
      <w:r>
        <w:t>Wird die Kostenentscheidung nach Satz 1 geändert, ist auch eine bereits erfolgte Kostenfestsetzung von Amts wegen zu ändern.</w:t>
      </w:r>
    </w:p>
    <w:p>
      <w:r>
        <w:t xml:space="preserve">(2) </w:t>
      </w:r>
      <w:r>
        <w:rPr>
          <w:rStyle w:val="Satznummer"/>
        </w:rPr>
        <w:t>1</w:t>
      </w:r>
      <w:r>
        <w:t xml:space="preserve">Für die Entscheidung nach Absatz 1 Satz 1 gilt </w:t>
      </w:r>
      <w:hyperlink w:anchor="b365" w:history="1">
        <w:r>
          <w:rPr>
            <w:color w:val="0A3A8C"/>
            <w:u w:val="single"/>
          </w:rPr>
          <w:t xml:space="preserve">§ 319</w:t>
        </w:r>
      </w:hyperlink>
      <w:r>
        <w:t xml:space="preserve"> Absatz 2 entsprechend. </w:t>
      </w:r>
      <w:r>
        <w:rPr>
          <w:rStyle w:val="Satznummer"/>
        </w:rPr>
        <w:t>2</w:t>
      </w:r>
      <w:r>
        <w:t xml:space="preserve">Vor der Entscheidung sind die Parteien zu hören. </w:t>
      </w:r>
      <w:r>
        <w:rPr>
          <w:rStyle w:val="Satznummer"/>
        </w:rPr>
        <w:t>3</w:t>
      </w:r>
      <w:r>
        <w:t xml:space="preserve">Die Änderung der Kostenentscheidung ist nur innerhalb von sechs Monaten zulässig, nachdem die Änderung der Wertfestsetzung Rechtskraft erlangt hat. </w:t>
      </w:r>
      <w:r>
        <w:rPr>
          <w:rStyle w:val="Satznummer"/>
        </w:rPr>
        <w:t>4</w:t>
      </w:r>
      <w:r>
        <w:t>Die Änderung der Kostenentscheidung hat keine Änderung der übrigen Teile des Urteils oder des Beschlusses zur Folge.</w:t>
      </w:r>
    </w:p>
    <w:p>
      <w:r>
        <w:t xml:space="preserve">(3) </w:t>
      </w:r>
      <w:r>
        <w:rPr>
          <w:rStyle w:val="Satznummer"/>
        </w:rPr>
        <w:t>1</w:t>
      </w:r>
      <w:r>
        <w:t xml:space="preserve">Entscheidungen nach Absatz 1 Satz 1 sind unanfechtbar. </w:t>
      </w:r>
      <w:r>
        <w:rPr>
          <w:rStyle w:val="Satznummer"/>
        </w:rPr>
        <w:t>2</w:t>
      </w:r>
      <w:r>
        <w:t xml:space="preserve">Auf Entscheidungen nach Absatz 1 Satz 2 ist </w:t>
      </w:r>
      <w:hyperlink w:anchor="b129" w:history="1">
        <w:r>
          <w:rPr>
            <w:color w:val="0A3A8C"/>
            <w:u w:val="single"/>
          </w:rPr>
          <w:t xml:space="preserve">§ 104</w:t>
        </w:r>
      </w:hyperlink>
      <w:r>
        <w:t xml:space="preserve"> Absatz 3 anzuwenden.</w:t>
      </w:r>
    </w:p>
    <w:p>
      <w:pPr>
        <w:pStyle w:val="Heading4"/>
      </w:pPr>
      <w:bookmarkStart w:id="129" w:name="b128"/>
      <w:r>
        <w:t>§ 103 Kostenfestsetzungsgrundlage; Kostenfestsetzungsantrag</w:t>
      </w:r>
      <w:r>
        <w:t xml:space="preserve"> </w:t>
      </w:r>
      <w:r>
        <w:rPr>
          <w:rStyle w:val="Suchmarke"/>
        </w:rPr>
        <w:t>#103#</w:t>
      </w:r>
      <w:bookmarkEnd w:id="129"/>
    </w:p>
    <w:p>
      <w:r>
        <w:t>(1) Der Anspruch auf Erstattung der Prozesskosten kann nur auf Grund eines zur Zwangsvollstreckung geeigneten Titels geltend gemacht werden.</w:t>
      </w:r>
    </w:p>
    <w:p>
      <w:r>
        <w:t xml:space="preserve">(2) </w:t>
      </w:r>
      <w:r>
        <w:rPr>
          <w:rStyle w:val="Satznummer"/>
        </w:rPr>
        <w:t>1</w:t>
      </w:r>
      <w:r>
        <w:t xml:space="preserve">Der Antrag auf Festsetzung des zu erstattenden Betrages ist bei dem Gericht des ersten Rechtszuges anzubringen. </w:t>
      </w:r>
      <w:r>
        <w:rPr>
          <w:rStyle w:val="Satznummer"/>
        </w:rPr>
        <w:t>2</w:t>
      </w:r>
      <w:r>
        <w:t>Die Kostenberechnung, ihre zur Mitteilung an den Gegner bestimmte Abschrift und die zur Rechtfertigung der einzelnen Ansätze dienenden Belege sind beizufügen.</w:t>
      </w:r>
    </w:p>
    <w:p>
      <w:pPr>
        <w:pStyle w:val="Heading4"/>
      </w:pPr>
      <w:bookmarkStart w:id="130" w:name="b129"/>
      <w:r>
        <w:t>§ 104 Kostenfestsetzungsverfahren</w:t>
      </w:r>
      <w:r>
        <w:t xml:space="preserve"> </w:t>
      </w:r>
      <w:r>
        <w:rPr>
          <w:rStyle w:val="Suchmarke"/>
        </w:rPr>
        <w:t>#104#</w:t>
      </w:r>
      <w:bookmarkEnd w:id="130"/>
    </w:p>
    <w:p>
      <w:r>
        <w:t xml:space="preserve">(1) </w:t>
      </w:r>
      <w:r>
        <w:rPr>
          <w:rStyle w:val="Satznummer"/>
        </w:rPr>
        <w:t>1</w:t>
      </w:r>
      <w:r>
        <w:t xml:space="preserve">Über den Festsetzungsantrag entscheidet das Gericht des ersten Rechtszuges. </w:t>
      </w:r>
      <w:r>
        <w:rPr>
          <w:rStyle w:val="Satznummer"/>
        </w:rPr>
        <w:t>2</w:t>
      </w:r>
      <w:r>
        <w:t xml:space="preserve">Auf Antrag ist auszusprechen, dass die festgesetzten Kosten vom Eingang des Festsetzungsantrags, im Falle des § 105 Abs. 3 von der Verkündung des Urteils ab mit fünf Prozentpunkten über dem Basiszinssatz nach § 247 des Bürgerlichen Gesetzbuchs zu verzinsen sind. </w:t>
      </w:r>
      <w:r>
        <w:rPr>
          <w:rStyle w:val="Satznummer"/>
        </w:rPr>
        <w:t>3</w:t>
      </w:r>
      <w:r>
        <w:t xml:space="preserve">Die Entscheidung ist, sofern dem Antrag ganz oder teilweise entsprochen wird, dem Gegner des Antragstellers unter Beifügung einer Abschrift der Kostenrechnung von Amts wegen zuzustellen. </w:t>
      </w:r>
      <w:r>
        <w:rPr>
          <w:rStyle w:val="Satznummer"/>
        </w:rPr>
        <w:t>4</w:t>
      </w:r>
      <w:r>
        <w:t>Dem Antragsteller ist die Entscheidung nur dann von Amts wegen zuzustellen, wenn der Antrag ganz oder teilweise zurückgewiesen wird; im Übrigen ergeht die Mitteilung formlos.</w:t>
      </w:r>
    </w:p>
    <w:p>
      <w:r>
        <w:t xml:space="preserve">(2) </w:t>
      </w:r>
      <w:r>
        <w:rPr>
          <w:rStyle w:val="Satznummer"/>
        </w:rPr>
        <w:t>1</w:t>
      </w:r>
      <w:r>
        <w:t xml:space="preserve">Zur Berücksichtigung eines Ansatzes genügt, dass er glaubhaft gemacht ist. </w:t>
      </w:r>
      <w:r>
        <w:rPr>
          <w:rStyle w:val="Satznummer"/>
        </w:rPr>
        <w:t>2</w:t>
      </w:r>
      <w:r>
        <w:t xml:space="preserve">Hinsichtlich der einem Rechtsanwalt erwachsenden Auslagen für Post- und Telekommunikationsdienstleistungen genügt die Versicherung des Rechtsanwalts, dass diese Auslagen entstanden sind. </w:t>
      </w:r>
      <w:r>
        <w:rPr>
          <w:rStyle w:val="Satznummer"/>
        </w:rPr>
        <w:t>3</w:t>
      </w:r>
      <w:r>
        <w:t>Zur Berücksichtigung von Umsatzsteuerbeträgen genügt die Erklärung des Antragstellers, dass er die Beträge nicht als Vorsteuer abziehen kann.</w:t>
      </w:r>
    </w:p>
    <w:p>
      <w:r>
        <w:t xml:space="preserve">(3) </w:t>
      </w:r>
      <w:r>
        <w:rPr>
          <w:rStyle w:val="Satznummer"/>
        </w:rPr>
        <w:t>1</w:t>
      </w:r>
      <w:r>
        <w:t xml:space="preserve">Gegen die Entscheidung findet sofortige Beschwerde statt. </w:t>
      </w:r>
      <w:r>
        <w:rPr>
          <w:rStyle w:val="Satznummer"/>
        </w:rPr>
        <w:t>2</w:t>
      </w:r>
      <w:r>
        <w:t>Das Beschwerdegericht kann das Verfahren aussetzen, bis die Entscheidung, auf die der Festsetzungsantrag gestützt wird, rechtskräftig ist.</w:t>
      </w:r>
    </w:p>
    <w:p>
      <w:pPr>
        <w:pStyle w:val="Heading4"/>
      </w:pPr>
      <w:bookmarkStart w:id="131" w:name="b130"/>
      <w:r>
        <w:t>§ 105 Vereinfachter Kostenfestsetzungsbeschluss</w:t>
      </w:r>
      <w:r>
        <w:t xml:space="preserve"> </w:t>
      </w:r>
      <w:r>
        <w:rPr>
          <w:rStyle w:val="Suchmarke"/>
        </w:rPr>
        <w:t>#105#</w:t>
      </w:r>
      <w:bookmarkEnd w:id="131"/>
    </w:p>
    <w:p>
      <w:r>
        <w:t xml:space="preserve">(1) </w:t>
      </w:r>
      <w:r>
        <w:rPr>
          <w:rStyle w:val="Satznummer"/>
        </w:rPr>
        <w:t>1</w:t>
      </w:r>
      <w:r>
        <w:t xml:space="preserve">Der Festsetzungsbeschluss kann auf das Urteil und die Ausfertigungen gesetzt werden, sofern bei Eingang des Antrags eine Ausfertigung des Urteils noch nicht erteilt ist und eine Verzögerung der Ausfertigung nicht eintritt. </w:t>
      </w:r>
      <w:r>
        <w:rPr>
          <w:rStyle w:val="Satznummer"/>
        </w:rPr>
        <w:t>2</w:t>
      </w:r>
      <w:r>
        <w:t xml:space="preserve">Erfolgt der Festsetzungsbeschluss in der Form des </w:t>
      </w:r>
      <w:hyperlink w:anchor="b164" w:history="1">
        <w:r>
          <w:rPr>
            <w:color w:val="0A3A8C"/>
            <w:u w:val="single"/>
          </w:rPr>
          <w:t xml:space="preserve">§ 130b</w:t>
        </w:r>
      </w:hyperlink>
      <w:r>
        <w:t xml:space="preserve">, ist er in einem gesonderten elektronischen Dokument festzuhalten. </w:t>
      </w:r>
      <w:r>
        <w:rPr>
          <w:rStyle w:val="Satznummer"/>
        </w:rPr>
        <w:t>3</w:t>
      </w:r>
      <w:r>
        <w:t>Das Dokument ist mit dem Urteil untrennbar zu verbinden.</w:t>
      </w:r>
    </w:p>
    <w:p>
      <w:r>
        <w:t xml:space="preserve">(2) </w:t>
      </w:r>
      <w:r>
        <w:rPr>
          <w:rStyle w:val="Satznummer"/>
        </w:rPr>
        <w:t>1</w:t>
      </w:r>
      <w:r>
        <w:t xml:space="preserve">Eine besondere Ausfertigung und Zustellung des Festsetzungsbeschlusses findet in den Fällen des Absatzes 1 nicht statt. </w:t>
      </w:r>
      <w:r>
        <w:rPr>
          <w:rStyle w:val="Satznummer"/>
        </w:rPr>
        <w:t>2</w:t>
      </w:r>
      <w:r>
        <w:t xml:space="preserve">Den Parteien ist der festgesetzte Betrag mitzuteilen, dem Gegner des Antragstellers unter Beifügung der Abschrift der Kostenberechnung. </w:t>
      </w:r>
      <w:r>
        <w:rPr>
          <w:rStyle w:val="Satznummer"/>
        </w:rPr>
        <w:t>3</w:t>
      </w:r>
      <w:r>
        <w:t>Die Verbindung des Festsetzungsbeschlusses mit dem Urteil soll unterbleiben, sofern dem Festsetzungsantrag auch nur teilweise nicht entsprochen wird.</w:t>
      </w:r>
    </w:p>
    <w:p>
      <w:r>
        <w:t>(3) Eines Festsetzungsantrags bedarf es nicht, wenn die Partei vor der Verkündung des Urteils die Berechnung ihrer Kosten eingereicht hat; in diesem Fall ist die dem Gegner mitzuteilende Abschrift der Kostenberechnung von Amts wegen anzufertigen.</w:t>
      </w:r>
    </w:p>
    <w:p>
      <w:pPr>
        <w:pStyle w:val="Heading4"/>
      </w:pPr>
      <w:bookmarkStart w:id="132" w:name="b131"/>
      <w:r>
        <w:t>§ 106 Verteilung nach Quoten</w:t>
      </w:r>
      <w:r>
        <w:t xml:space="preserve"> </w:t>
      </w:r>
      <w:r>
        <w:rPr>
          <w:rStyle w:val="Suchmarke"/>
        </w:rPr>
        <w:t>#106#</w:t>
      </w:r>
      <w:bookmarkEnd w:id="132"/>
    </w:p>
    <w:p>
      <w:r>
        <w:t xml:space="preserve">(1) </w:t>
      </w:r>
      <w:r>
        <w:rPr>
          <w:rStyle w:val="Satznummer"/>
        </w:rPr>
        <w:t>1</w:t>
      </w:r>
      <w:r>
        <w:t xml:space="preserve">Sind die Prozesskosten ganz oder teilweise nach Quoten verteilt, so hat nach Eingang des Festsetzungsantrags das Gericht den Gegner aufzufordern, die Berechnung seiner Kosten binnen einer Woche bei Gericht einzureichen. </w:t>
      </w:r>
      <w:r>
        <w:rPr>
          <w:rStyle w:val="Satznummer"/>
        </w:rPr>
        <w:t>2</w:t>
      </w:r>
      <w:r>
        <w:t xml:space="preserve">Die Vorschriften des </w:t>
      </w:r>
      <w:hyperlink w:anchor="b130" w:history="1">
        <w:r>
          <w:rPr>
            <w:color w:val="0A3A8C"/>
            <w:u w:val="single"/>
          </w:rPr>
          <w:t xml:space="preserve">§ 105</w:t>
        </w:r>
      </w:hyperlink>
      <w:r>
        <w:t xml:space="preserve"> sind nicht anzuwenden.</w:t>
      </w:r>
    </w:p>
    <w:p>
      <w:r>
        <w:t xml:space="preserve">(2) </w:t>
      </w:r>
      <w:r>
        <w:rPr>
          <w:rStyle w:val="Satznummer"/>
        </w:rPr>
        <w:t>1</w:t>
      </w:r>
      <w:r>
        <w:t xml:space="preserve">Nach fruchtlosem Ablauf der einwöchigen Frist ergeht die Entscheidung ohne Rücksicht auf die Kosten des Gegners, unbeschadet des Rechts des letzteren, den Anspruch auf Erstattung nachträglich geltend zu machen. </w:t>
      </w:r>
      <w:r>
        <w:rPr>
          <w:rStyle w:val="Satznummer"/>
        </w:rPr>
        <w:t>2</w:t>
      </w:r>
      <w:r>
        <w:t>Der Gegner haftet für die Mehrkosten, die durch das nachträgliche Verfahren entstehen.</w:t>
      </w:r>
    </w:p>
    <w:p>
      <w:pPr>
        <w:pStyle w:val="Heading4"/>
      </w:pPr>
      <w:bookmarkStart w:id="133" w:name="b132"/>
      <w:r>
        <w:t>§ 107 Änderung nach Streitwertfestsetzung</w:t>
      </w:r>
      <w:r>
        <w:t xml:space="preserve"> </w:t>
      </w:r>
      <w:r>
        <w:rPr>
          <w:rStyle w:val="Suchmarke"/>
        </w:rPr>
        <w:t>#107#</w:t>
      </w:r>
      <w:bookmarkEnd w:id="133"/>
    </w:p>
    <w:p>
      <w:r>
        <w:t xml:space="preserve">(1) </w:t>
      </w:r>
      <w:r>
        <w:rPr>
          <w:rStyle w:val="Satznummer"/>
        </w:rPr>
        <w:t>1</w:t>
      </w:r>
      <w:r>
        <w:t xml:space="preserve">Ergeht nach der Kostenfestsetzung eine Entscheidung, durch die der Wert des Streitgegenstandes festgesetzt wird, so ist, falls diese Entscheidung von der Wertberechnung abweicht, die der Kostenfestsetzung zugrunde liegt, auf Antrag die Kostenfestsetzung entsprechend abzuändern. </w:t>
      </w:r>
      <w:r>
        <w:rPr>
          <w:rStyle w:val="Satznummer"/>
        </w:rPr>
        <w:t>2</w:t>
      </w:r>
      <w:r>
        <w:t>Über den Antrag entscheidet das Gericht des ersten Rechtszuges.</w:t>
      </w:r>
    </w:p>
    <w:p>
      <w:r>
        <w:t xml:space="preserve">(2) </w:t>
      </w:r>
      <w:r>
        <w:rPr>
          <w:rStyle w:val="Satznummer"/>
        </w:rPr>
        <w:t>1</w:t>
      </w:r>
      <w:r>
        <w:t xml:space="preserve">Der Antrag ist binnen der Frist von einem Monat bei der Geschäftsstelle anzubringen. </w:t>
      </w:r>
      <w:r>
        <w:rPr>
          <w:rStyle w:val="Satznummer"/>
        </w:rPr>
        <w:t>2</w:t>
      </w:r>
      <w:r>
        <w:t>Die Frist beginnt mit der Zustellung und, wenn es einer solchen nicht bedarf, mit der Verkündung des den Wert des Streitgegenstandes festsetzenden Beschlusses.</w:t>
      </w:r>
    </w:p>
    <w:p>
      <w:r>
        <w:t xml:space="preserve">(3) Die Vorschriften des </w:t>
      </w:r>
      <w:hyperlink w:anchor="b129" w:history="1">
        <w:r>
          <w:rPr>
            <w:color w:val="0A3A8C"/>
            <w:u w:val="single"/>
          </w:rPr>
          <w:t xml:space="preserve">§ 104</w:t>
        </w:r>
      </w:hyperlink>
      <w:r>
        <w:t xml:space="preserve"> Abs. 3 sind anzuwenden.</w:t>
      </w:r>
    </w:p>
    <w:p>
      <w:pPr>
        <w:pStyle w:val="Heading3"/>
      </w:pPr>
      <w:bookmarkStart w:id="134" w:name="b133"/>
      <w:r>
        <w:t>Titel 6 Sicherheitsleistung</w:t>
      </w:r>
      <w:bookmarkEnd w:id="134"/>
    </w:p>
    <w:p>
      <w:pPr>
        <w:pStyle w:val="Heading4"/>
      </w:pPr>
      <w:bookmarkStart w:id="135" w:name="b134"/>
      <w:r>
        <w:t>§ 108 Art und Höhe der Sicherheit</w:t>
      </w:r>
      <w:r>
        <w:t xml:space="preserve"> </w:t>
      </w:r>
      <w:r>
        <w:rPr>
          <w:rStyle w:val="Suchmarke"/>
        </w:rPr>
        <w:t>#108#</w:t>
      </w:r>
      <w:bookmarkEnd w:id="135"/>
    </w:p>
    <w:p>
      <w:r>
        <w:t xml:space="preserve">(1) </w:t>
      </w:r>
      <w:r>
        <w:rPr>
          <w:rStyle w:val="Satznummer"/>
        </w:rPr>
        <w:t>1</w:t>
      </w:r>
      <w:r>
        <w:t xml:space="preserve">In den Fällen der Bestellung einer prozessualen Sicherheit kann das Gericht nach freiem Ermessen bestimmen, in welcher Art und Höhe die Sicherheit zu leisten ist. </w:t>
      </w:r>
      <w:r>
        <w:rPr>
          <w:rStyle w:val="Satznummer"/>
        </w:rPr>
        <w:t>2</w:t>
      </w:r>
      <w:r>
        <w:t>Soweit das Gericht eine Bestimmung nicht getroffen hat und die Parteien ein anderes nicht vereinbart haben, ist die Sicherheitsleistung durch die schriftliche, unwiderrufliche, unbedingte und unbefristete Bürgschaft eines im Inland zum Geschäftsbetrieb befugten Kreditinstituts oder durch Hinterlegung von Geld oder solchen Wertpapieren zu bewirken, die nach § 234 Abs. 1 und 3 des Bürgerlichen Gesetzbuchs zur Sicherheitsleistung geeignet sind.</w:t>
      </w:r>
    </w:p>
    <w:p>
      <w:r>
        <w:t xml:space="preserve">(2) Die Vorschriften des </w:t>
      </w:r>
      <w:hyperlink w:anchor="b262" w:history="1">
        <w:r>
          <w:rPr>
            <w:color w:val="0A3A8C"/>
            <w:u w:val="single"/>
          </w:rPr>
          <w:t xml:space="preserve">§ 234</w:t>
        </w:r>
      </w:hyperlink>
      <w:r>
        <w:t xml:space="preserve"> Abs. 2 und des § 235 des Bürgerlichen Gesetzbuchs sind entsprechend anzuwenden.</w:t>
      </w:r>
    </w:p>
    <w:p>
      <w:pPr>
        <w:pStyle w:val="Heading4"/>
      </w:pPr>
      <w:bookmarkStart w:id="136" w:name="b135"/>
      <w:r>
        <w:t>§ 109 Rückgabe der Sicherheit</w:t>
      </w:r>
      <w:r>
        <w:t xml:space="preserve"> </w:t>
      </w:r>
      <w:r>
        <w:rPr>
          <w:rStyle w:val="Suchmarke"/>
        </w:rPr>
        <w:t>#109#</w:t>
      </w:r>
      <w:bookmarkEnd w:id="136"/>
    </w:p>
    <w:p>
      <w:r>
        <w:t>(1) Ist die Veranlassung für eine Sicherheitsleistung weggefallen, so hat auf Antrag das Gericht, das die Bestellung der Sicherheit angeordnet oder zugelassen hat, eine Frist zu bestimmen, binnen der ihm die Partei, zu deren Gunsten die Sicherheit geleistet ist, die Einwilligung in die Rückgabe der Sicherheit zu erklären oder die Erhebung der Klage wegen ihrer Ansprüche nachzuweisen hat.</w:t>
      </w:r>
    </w:p>
    <w:p>
      <w:r>
        <w:t xml:space="preserve">(2) </w:t>
      </w:r>
      <w:r>
        <w:rPr>
          <w:rStyle w:val="Satznummer"/>
        </w:rPr>
        <w:t>1</w:t>
      </w:r>
      <w:r>
        <w:t xml:space="preserve">Nach Ablauf der Frist hat das Gericht auf Antrag die Rückgabe der Sicherheit anzuordnen, wenn nicht inzwischen die Erhebung der Klage nachgewiesen ist; ist die Sicherheit durch eine Bürgschaft bewirkt worden, so ordnet das Gericht das Erlöschen der Bürgschaft an. </w:t>
      </w:r>
      <w:r>
        <w:rPr>
          <w:rStyle w:val="Satznummer"/>
        </w:rPr>
        <w:t>2</w:t>
      </w:r>
      <w:r>
        <w:t>Die Anordnung wird erst mit der Rechtskraft wirksam.</w:t>
      </w:r>
    </w:p>
    <w:p>
      <w:r>
        <w:t xml:space="preserve">(3) </w:t>
      </w:r>
      <w:r>
        <w:rPr>
          <w:rStyle w:val="Satznummer"/>
        </w:rPr>
        <w:t>1</w:t>
      </w:r>
      <w:r>
        <w:t xml:space="preserve">Die Anträge und die Einwilligung in die Rückgabe der Sicherheit können vor der Geschäftsstelle zu Protokoll erklärt werden. </w:t>
      </w:r>
      <w:r>
        <w:rPr>
          <w:rStyle w:val="Satznummer"/>
        </w:rPr>
        <w:t>2</w:t>
      </w:r>
      <w:r>
        <w:t>Die Entscheidungen ergehen durch Beschluss.</w:t>
      </w:r>
    </w:p>
    <w:p>
      <w:r>
        <w:t>(4) Gegen den Beschluss, durch den der im Absatz 1 vorgesehene Antrag abgelehnt wird, steht dem Antragsteller, gegen die im Absatz 2 bezeichnete Entscheidung steht beiden Teilen die sofortige Beschwerde zu.</w:t>
      </w:r>
    </w:p>
    <w:p>
      <w:pPr>
        <w:pStyle w:val="Heading4"/>
      </w:pPr>
      <w:bookmarkStart w:id="137" w:name="b136"/>
      <w:r>
        <w:t>§ 110 Prozesskostensicherheit</w:t>
      </w:r>
      <w:r>
        <w:t xml:space="preserve"> </w:t>
      </w:r>
      <w:r>
        <w:rPr>
          <w:rStyle w:val="Suchmarke"/>
        </w:rPr>
        <w:t>#110#</w:t>
      </w:r>
      <w:bookmarkEnd w:id="137"/>
    </w:p>
    <w:p>
      <w:r>
        <w:t>(1) Kläger, die ihren gewöhnlichen Aufenthalt nicht in einem Mitgliedstaat der Europäischen Union oder einem Vertragsstaat des Abkommens über den Europäischen Wirtschaftsraum haben, leisten auf Verlangen des Beklagten wegen der Prozesskosten Sicherheit.</w:t>
      </w:r>
    </w:p>
    <w:p>
      <w:r>
        <w:t>(2) Diese Verpflichtung tritt nicht ein:</w:t>
      </w:r>
    </w:p>
    <w:p>
      <w:pPr>
        <w:tabs>
          <w:tab w:pos="567" w:val="left"/>
        </w:tabs>
        <w:ind w:left="567" w:hanging="567"/>
      </w:pPr>
      <w:r>
        <w:t>1.</w:t>
      </w:r>
      <w:r>
        <w:tab/>
      </w:r>
      <w:r>
        <w:t>wenn auf Grund völkerrechtlicher Verträge keine Sicherheit verlangt werden kann;</w:t>
      </w:r>
    </w:p>
    <w:p>
      <w:pPr>
        <w:tabs>
          <w:tab w:pos="567" w:val="left"/>
        </w:tabs>
        <w:ind w:left="567" w:hanging="567"/>
      </w:pPr>
      <w:r>
        <w:t>2.</w:t>
      </w:r>
      <w:r>
        <w:tab/>
      </w:r>
      <w:r>
        <w:t>wenn die Entscheidung über die Erstattung der Prozesskosten an den Beklagten auf Grund völkerrechtlicher Verträge vollstreckt würde;</w:t>
      </w:r>
    </w:p>
    <w:p>
      <w:pPr>
        <w:tabs>
          <w:tab w:pos="567" w:val="left"/>
        </w:tabs>
        <w:ind w:left="567" w:hanging="567"/>
      </w:pPr>
      <w:r>
        <w:t>3.</w:t>
      </w:r>
      <w:r>
        <w:tab/>
      </w:r>
      <w:r>
        <w:t>wenn der Kläger im Inland ein zur Deckung der Prozesskosten hinreichendes Grundvermögen oder dinglich gesicherte Forderungen besitzt;</w:t>
      </w:r>
    </w:p>
    <w:p>
      <w:pPr>
        <w:tabs>
          <w:tab w:pos="567" w:val="left"/>
        </w:tabs>
        <w:ind w:left="567" w:hanging="567"/>
      </w:pPr>
      <w:r>
        <w:t>4.</w:t>
      </w:r>
      <w:r>
        <w:tab/>
      </w:r>
      <w:r>
        <w:t>bei Widerklagen;</w:t>
      </w:r>
    </w:p>
    <w:p>
      <w:pPr>
        <w:tabs>
          <w:tab w:pos="567" w:val="left"/>
        </w:tabs>
        <w:ind w:left="567" w:hanging="567"/>
      </w:pPr>
      <w:r>
        <w:t>5.</w:t>
      </w:r>
      <w:r>
        <w:tab/>
      </w:r>
      <w:r>
        <w:t>bei Klagen, die auf Grund einer öffentlichen Aufforderung erhoben werden.</w:t>
      </w:r>
    </w:p>
    <w:p>
      <w:pPr>
        <w:pStyle w:val="Heading4"/>
      </w:pPr>
      <w:bookmarkStart w:id="138" w:name="b137"/>
      <w:r>
        <w:t>§ 111 Nachträgliche Prozesskostensicherheit</w:t>
      </w:r>
      <w:r>
        <w:t xml:space="preserve"> </w:t>
      </w:r>
      <w:r>
        <w:rPr>
          <w:rStyle w:val="Suchmarke"/>
        </w:rPr>
        <w:t>#111#</w:t>
      </w:r>
      <w:bookmarkEnd w:id="138"/>
    </w:p>
    <w:p>
      <w:r>
        <w:t>Der Beklagte kann auch dann Sicherheit verlangen, wenn die Voraussetzungen für die Verpflichtung zur Sicherheitsleistung erst im Laufe des Rechtsstreits eintreten und nicht ein zur Deckung ausreichender Teil des erhobenen Anspruchs unbestritten ist.</w:t>
      </w:r>
    </w:p>
    <w:p>
      <w:pPr>
        <w:pStyle w:val="Heading4"/>
      </w:pPr>
      <w:bookmarkStart w:id="139" w:name="b138"/>
      <w:r>
        <w:t>§ 112 Höhe der Prozesskostensicherheit</w:t>
      </w:r>
      <w:r>
        <w:t xml:space="preserve"> </w:t>
      </w:r>
      <w:r>
        <w:rPr>
          <w:rStyle w:val="Suchmarke"/>
        </w:rPr>
        <w:t>#112#</w:t>
      </w:r>
      <w:bookmarkEnd w:id="139"/>
    </w:p>
    <w:p>
      <w:r>
        <w:t>(1) Die Höhe der zu leistenden Sicherheit wird von dem Gericht nach freiem Ermessen festgesetzt.</w:t>
      </w:r>
    </w:p>
    <w:p>
      <w:r>
        <w:t xml:space="preserve">(2) </w:t>
      </w:r>
      <w:r>
        <w:rPr>
          <w:rStyle w:val="Satznummer"/>
        </w:rPr>
        <w:t>1</w:t>
      </w:r>
      <w:r>
        <w:t xml:space="preserve">Bei der Festsetzung ist derjenige Betrag der Prozesskosten zugrunde zu legen, den der Beklagte wahrscheinlich aufzuwenden haben wird. </w:t>
      </w:r>
      <w:r>
        <w:rPr>
          <w:rStyle w:val="Satznummer"/>
        </w:rPr>
        <w:t>2</w:t>
      </w:r>
      <w:r>
        <w:t>Die dem Beklagten durch eine Widerklage erwachsenden Kosten sind hierbei nicht zu berücksichtigen.</w:t>
      </w:r>
    </w:p>
    <w:p>
      <w:r>
        <w:t>(3) Ergibt sich im Laufe des Rechtsstreits, dass die geleistete Sicherheit nicht hinreicht, so kann der Beklagte die Leistung einer weiteren Sicherheit verlangen, sofern nicht ein zur Deckung ausreichender Teil des erhobenen Anspruchs unbestritten ist.</w:t>
      </w:r>
    </w:p>
    <w:p>
      <w:pPr>
        <w:pStyle w:val="Heading4"/>
      </w:pPr>
      <w:bookmarkStart w:id="140" w:name="b139"/>
      <w:r>
        <w:t>§ 113 Fristbestimmung für Prozesskostensicherheit</w:t>
      </w:r>
      <w:r>
        <w:t xml:space="preserve"> </w:t>
      </w:r>
      <w:r>
        <w:rPr>
          <w:rStyle w:val="Suchmarke"/>
        </w:rPr>
        <w:t>#113#</w:t>
      </w:r>
      <w:bookmarkEnd w:id="140"/>
    </w:p>
    <w:p>
      <w:r>
        <w:rPr>
          <w:rStyle w:val="Satznummer"/>
        </w:rPr>
        <w:t>1</w:t>
      </w:r>
      <w:r>
        <w:t xml:space="preserve">Das Gericht hat dem Kläger bei Anordnung der Sicherheitsleistung eine Frist zu bestimmen, binnen der die Sicherheit zu leisten ist. </w:t>
      </w:r>
      <w:r>
        <w:rPr>
          <w:rStyle w:val="Satznummer"/>
        </w:rPr>
        <w:t>2</w:t>
      </w:r>
      <w:r>
        <w:t>Nach Ablauf der Frist ist auf Antrag des Beklagten, wenn die Sicherheit bis zur Entscheidung nicht geleistet ist, die Klage für zurückgenommen zu erklären oder, wenn über ein Rechtsmittel des Klägers zu verhandeln ist, dieses zu verwerfen.</w:t>
      </w:r>
    </w:p>
    <w:p>
      <w:pPr>
        <w:pStyle w:val="Heading3"/>
      </w:pPr>
      <w:bookmarkStart w:id="141" w:name="b140"/>
      <w:r>
        <w:t>Titel 7 Prozesskostenhilfe und Prozesskostenvorschuss</w:t>
      </w:r>
      <w:bookmarkEnd w:id="141"/>
    </w:p>
    <w:p>
      <w:pPr>
        <w:pStyle w:val="Heading4"/>
      </w:pPr>
      <w:bookmarkStart w:id="142" w:name="b141"/>
      <w:r>
        <w:t>§ 114 Voraussetzungen</w:t>
      </w:r>
      <w:r>
        <w:t xml:space="preserve"> </w:t>
      </w:r>
      <w:r>
        <w:rPr>
          <w:rStyle w:val="Suchmarke"/>
        </w:rPr>
        <w:t>#114#</w:t>
      </w:r>
      <w:bookmarkEnd w:id="142"/>
    </w:p>
    <w:p>
      <w:r>
        <w:t xml:space="preserve">(1) </w:t>
      </w:r>
      <w:r>
        <w:rPr>
          <w:rStyle w:val="Satznummer"/>
        </w:rPr>
        <w:t>1</w:t>
      </w:r>
      <w:r>
        <w:t xml:space="preserve">Eine Partei, die nach ihren persönlichen und wirtschaftlichen Verhältnissen die Kosten der Prozessführung nicht, nur zum Teil oder nur in Raten aufbringen kann, erhält auf Antrag Prozesskostenhilfe, wenn die beabsichtigte Rechtsverfolgung oder Rechtsverteidigung hinreichende Aussicht auf Erfolg bietet und nicht mutwillig erscheint. </w:t>
      </w:r>
      <w:r>
        <w:rPr>
          <w:rStyle w:val="Satznummer"/>
        </w:rPr>
        <w:t>2</w:t>
      </w:r>
      <w:r>
        <w:t xml:space="preserve">Für die grenzüberschreitende Prozesskostenhilfe innerhalb der Europäischen Union gelten ergänzend die </w:t>
      </w:r>
      <w:hyperlink w:anchor="b1114" w:history="1">
        <w:r>
          <w:rPr>
            <w:color w:val="0A3A8C"/>
            <w:u w:val="single"/>
          </w:rPr>
          <w:t xml:space="preserve">§§ 1076</w:t>
        </w:r>
      </w:hyperlink>
      <w:r>
        <w:t xml:space="preserve"> bis </w:t>
      </w:r>
      <w:hyperlink w:anchor="b1116" w:history="1">
        <w:r>
          <w:rPr>
            <w:color w:val="0A3A8C"/>
            <w:u w:val="single"/>
          </w:rPr>
          <w:t xml:space="preserve">1078</w:t>
        </w:r>
      </w:hyperlink>
      <w:r>
        <w:t>.</w:t>
      </w:r>
    </w:p>
    <w:p>
      <w:r>
        <w:t>(2) Mutwillig ist die Rechtsverfolgung oder Rechtsverteidigung, wenn eine Partei, die keine Prozesskostenhilfe beansprucht, bei verständiger Würdigung aller Umstände von der Rechtsverfolgung oder Rechtsverteidigung absehen würde, obwohl eine hinreichende Aussicht auf Erfolg besteht.</w:t>
      </w:r>
    </w:p>
    <w:p>
      <w:pPr>
        <w:pStyle w:val="Heading4"/>
      </w:pPr>
      <w:bookmarkStart w:id="143" w:name="b142"/>
      <w:r>
        <w:t>§ 115 Einsatz von Einkommen und Vermögen</w:t>
      </w:r>
      <w:r>
        <w:t xml:space="preserve"> </w:t>
      </w:r>
      <w:r>
        <w:rPr>
          <w:rStyle w:val="Suchmarke"/>
        </w:rPr>
        <w:t>#115#</w:t>
      </w:r>
      <w:bookmarkEnd w:id="143"/>
    </w:p>
    <w:p>
      <w:r>
        <w:t xml:space="preserve">(1) </w:t>
      </w:r>
      <w:r>
        <w:rPr>
          <w:rStyle w:val="Satznummer"/>
        </w:rPr>
        <w:t>1</w:t>
      </w:r>
      <w:r>
        <w:t xml:space="preserve">Die Partei hat ihr Einkommen einzusetzen. </w:t>
      </w:r>
      <w:r>
        <w:rPr>
          <w:rStyle w:val="Satznummer"/>
        </w:rPr>
        <w:t>2</w:t>
      </w:r>
      <w:r>
        <w:t xml:space="preserve">Zum Einkommen gehören alle Einkünfte in Geld oder Geldeswert. </w:t>
      </w:r>
      <w:r>
        <w:rPr>
          <w:rStyle w:val="Satznummer"/>
        </w:rPr>
        <w:t>3</w:t>
      </w:r>
      <w:r>
        <w:t>Von ihm sind abzusetzen:</w:t>
      </w:r>
    </w:p>
    <w:p>
      <w:pPr>
        <w:tabs>
          <w:tab w:pos="567" w:val="left"/>
        </w:tabs>
        <w:ind w:left="567" w:hanging="567"/>
      </w:pPr>
      <w:r>
        <w:t>1.</w:t>
      </w:r>
      <w:r>
        <w:tab/>
      </w:r>
    </w:p>
    <w:p>
      <w:pPr>
        <w:tabs>
          <w:tab w:pos="1134" w:val="left"/>
        </w:tabs>
        <w:ind w:left="1134" w:hanging="567"/>
      </w:pPr>
      <w:r>
        <w:t>a)</w:t>
      </w:r>
      <w:r>
        <w:tab/>
      </w:r>
      <w:r>
        <w:t>die in § 82 Abs. 2 des Zwölften Buches Sozialgesetzbuch bezeichneten Beträge;</w:t>
      </w:r>
    </w:p>
    <w:p>
      <w:pPr>
        <w:tabs>
          <w:tab w:pos="1134" w:val="left"/>
        </w:tabs>
        <w:ind w:left="1134" w:hanging="567"/>
      </w:pPr>
      <w:r>
        <w:t>b)</w:t>
      </w:r>
      <w:r>
        <w:tab/>
      </w:r>
      <w:r>
        <w:t>bei Parteien, die ein Einkommen aus Erwerbstätigkeit erzielen, ein Betrag in Höhe von 50 vom Hundert des Regelsatzes, der für den alleinstehenden oder alleinerziehenden Leistungsberechtigten vom Bund gemäß der Regelbedarfsstufe 1 nach der Anlage zu § 28 des Zwölften Buches Sozialgesetzbuch festgesetzt oder fortgeschrieben worden ist;</w:t>
      </w:r>
    </w:p>
    <w:p>
      <w:pPr>
        <w:tabs>
          <w:tab w:pos="567" w:val="left"/>
        </w:tabs>
        <w:ind w:left="567" w:hanging="567"/>
      </w:pPr>
      <w:r>
        <w:t>2.</w:t>
      </w:r>
      <w:r>
        <w:tab/>
      </w:r>
    </w:p>
    <w:p>
      <w:pPr>
        <w:tabs>
          <w:tab w:pos="1134" w:val="left"/>
        </w:tabs>
        <w:ind w:left="1134" w:hanging="567"/>
      </w:pPr>
      <w:r>
        <w:t>a)</w:t>
      </w:r>
      <w:r>
        <w:tab/>
      </w:r>
      <w:r>
        <w:t>für die Partei und ihren Ehegatten oder ihren Lebenspartner jeweils ein Betrag in Höhe des um 10 vom Hundert erhöhten Regelsatzes, der für den alleinstehenden oder alleinerziehenden Leistungsberechtigten vom Bund gemäß der Regelbedarfsstufe 1 nach der Anlage zu § 28 des Zwölften Buches Sozialgesetzbuch festgesetzt oder fortgeschrieben worden ist;</w:t>
      </w:r>
    </w:p>
    <w:p>
      <w:pPr>
        <w:tabs>
          <w:tab w:pos="1134" w:val="left"/>
        </w:tabs>
        <w:ind w:left="1134" w:hanging="567"/>
      </w:pPr>
      <w:r>
        <w:t>b)</w:t>
      </w:r>
      <w:r>
        <w:tab/>
      </w:r>
      <w:r>
        <w:t>bei weiteren Unterhaltsleistungen auf Grund gesetzlicher Unterhaltspflicht für jede unterhaltsberechtigte Person jeweils ein Betrag in Höhe des um 10 vom Hundert erhöhten Regelsatzes, der für eine Person ihres Alters vom Bund gemäß den Regelbedarfsstufen 3 bis 6 nach der Anlage zu § 28 des Zwölften Buches Sozialgesetzbuch festgesetzt oder fortgeschrieben worden ist;</w:t>
      </w:r>
    </w:p>
    <w:p>
      <w:pPr>
        <w:tabs>
          <w:tab w:pos="567" w:val="left"/>
        </w:tabs>
        <w:ind w:left="567" w:hanging="567"/>
      </w:pPr>
      <w:r>
        <w:t>3.</w:t>
      </w:r>
      <w:r>
        <w:tab/>
      </w:r>
      <w:r>
        <w:t>die Kosten der Unterkunft und Heizung, soweit sie nicht in einem auffälligen Missverhältnis zu den Lebensverhältnissen der Partei stehen;</w:t>
      </w:r>
    </w:p>
    <w:p>
      <w:pPr>
        <w:tabs>
          <w:tab w:pos="567" w:val="left"/>
        </w:tabs>
        <w:ind w:left="567" w:hanging="567"/>
      </w:pPr>
      <w:r>
        <w:t>4.</w:t>
      </w:r>
      <w:r>
        <w:tab/>
      </w:r>
      <w:r>
        <w:t>Mehrbedarfe nach § 21 des Zweiten Buches Sozialgesetzbuch und nach § 30 des Zwölften Buches Sozialgesetzbuch;</w:t>
      </w:r>
    </w:p>
    <w:p>
      <w:pPr>
        <w:tabs>
          <w:tab w:pos="567" w:val="left"/>
        </w:tabs>
        <w:ind w:left="567" w:hanging="567"/>
      </w:pPr>
      <w:r>
        <w:t>5.</w:t>
      </w:r>
      <w:r>
        <w:tab/>
      </w:r>
      <w:r>
        <w:t>weitere Beträge, soweit dies mit Rücksicht auf besondere Belastungen angemessen ist; § 1610a des Bürgerlichen Gesetzbuchs gilt entsprechend.</w:t>
      </w:r>
    </w:p>
    <w:p>
      <w:r>
        <w:rPr>
          <w:rStyle w:val="Satznummer"/>
        </w:rPr>
        <w:t>4</w:t>
      </w:r>
      <w:r>
        <w:t xml:space="preserve">Maßgeblich sind die Beträge, die zum Zeitpunkt der Bewilligung der Prozesskostenhilfe gelten. </w:t>
      </w:r>
      <w:r>
        <w:rPr>
          <w:rStyle w:val="Satznummer"/>
        </w:rPr>
        <w:t>5</w:t>
      </w:r>
      <w:r>
        <w:t xml:space="preserve">Soweit am Wohnsitz der Partei aufgrund einer Neufestsetzung oder Fortschreibung nach § 29 Absatz 2 bis 4 des Zwölften Buches Sozialgesetzbuch höhere Regelsätze gelten, sind diese heranzuziehen. </w:t>
      </w:r>
      <w:r>
        <w:rPr>
          <w:rStyle w:val="Satznummer"/>
        </w:rPr>
        <w:t>6</w:t>
      </w:r>
      <w:r>
        <w:t xml:space="preserve">Das Bundesministerium der Justiz und für Verbraucherschutz gibt bei jeder Neufestsetzung oder jeder Fortschreibung die maßgebenden Beträge nach Satz 3 Nummer 1 Buchstabe b und Nummer 2 und nach Satz 5 im Bundesgesetzblatt bekannt. </w:t>
      </w:r>
      <w:r>
        <w:rPr>
          <w:rStyle w:val="Satznummer"/>
        </w:rPr>
        <w:t>7</w:t>
      </w:r>
      <w:r>
        <w:t xml:space="preserve">Diese Beträge sind, soweit sie nicht volle Euro ergeben, bis zu 0,49 Euro abzurunden und von 0,50 Euro an aufzurunden. </w:t>
      </w:r>
      <w:r>
        <w:rPr>
          <w:rStyle w:val="Satznummer"/>
        </w:rPr>
        <w:t>8</w:t>
      </w:r>
      <w:r>
        <w:t xml:space="preserve">Die Unterhaltsfreibeträge nach Satz 3 Nr. 2 vermindern sich um eigenes Einkommen der unterhaltsberechtigten Person. </w:t>
      </w:r>
      <w:r>
        <w:rPr>
          <w:rStyle w:val="Satznummer"/>
        </w:rPr>
        <w:t>9</w:t>
      </w:r>
      <w:r>
        <w:t>Wird eine Geldrente gezahlt, so ist sie an Stelle des Freibetrages abzusetzen, soweit dies angemessen ist.</w:t>
      </w:r>
    </w:p>
    <w:p>
      <w:r>
        <w:t xml:space="preserve">(2) </w:t>
      </w:r>
      <w:r>
        <w:rPr>
          <w:rStyle w:val="Satznummer"/>
        </w:rPr>
        <w:t>1</w:t>
      </w:r>
      <w:r>
        <w:t xml:space="preserve">Von dem nach den Abzügen verbleibenden Teil des monatlichen Einkommens (einzusetzendes Einkommen) sind Monatsraten in Höhe der Hälfte des einzusetzenden Einkommens festzusetzen; die Monatsraten sind auf volle Euro abzurunden. </w:t>
      </w:r>
      <w:r>
        <w:rPr>
          <w:rStyle w:val="Satznummer"/>
        </w:rPr>
        <w:t>2</w:t>
      </w:r>
      <w:r>
        <w:t xml:space="preserve">Beträgt die Höhe einer Monatsrate weniger als 10 Euro, ist von der Festsetzung von Monatsraten abzusehen. </w:t>
      </w:r>
      <w:r>
        <w:rPr>
          <w:rStyle w:val="Satznummer"/>
        </w:rPr>
        <w:t>3</w:t>
      </w:r>
      <w:r>
        <w:t xml:space="preserve">Bei einem einzusetzenden Einkommen von mehr als 600 Euro beträgt die Monatsrate 300 Euro zuzüglich des Teils des einzusetzenden Einkommens, der 600 Euro übersteigt. </w:t>
      </w:r>
      <w:r>
        <w:rPr>
          <w:rStyle w:val="Satznummer"/>
        </w:rPr>
        <w:t>4</w:t>
      </w:r>
      <w:r>
        <w:t>Unabhängig von der Zahl der Rechtszüge sind höchstens 48 Monatsraten aufzubringen.</w:t>
      </w:r>
    </w:p>
    <w:p>
      <w:r>
        <w:t xml:space="preserve">(3) </w:t>
      </w:r>
      <w:r>
        <w:rPr>
          <w:rStyle w:val="Satznummer"/>
        </w:rPr>
        <w:t>1</w:t>
      </w:r>
      <w:r>
        <w:t xml:space="preserve">Die Partei hat ihr Vermögen einzusetzen, soweit dies zumutbar ist. </w:t>
      </w:r>
      <w:r>
        <w:rPr>
          <w:rStyle w:val="Satznummer"/>
        </w:rPr>
        <w:t>2</w:t>
      </w:r>
      <w:r>
        <w:t>§ 90 des Zwölften Buches Sozialgesetzbuch gilt entsprechend.</w:t>
      </w:r>
    </w:p>
    <w:p>
      <w:r>
        <w:t>(4) Prozesskostenhilfe wird nicht bewilligt, wenn die Kosten der Prozessführung der Partei vier Monatsraten und die aus dem Vermögen aufzubringenden Teilbeträge voraussichtlich nicht übersteigen.</w:t>
      </w:r>
    </w:p>
    <w:p>
      <w:pPr>
        <w:pStyle w:val="Heading4"/>
      </w:pPr>
      <w:bookmarkStart w:id="144" w:name="b143"/>
      <w:r>
        <w:t>§ 116 Partei kraft Amtes; juristische Person; parteifähige Vereinigung</w:t>
      </w:r>
      <w:r>
        <w:t xml:space="preserve"> </w:t>
      </w:r>
      <w:r>
        <w:rPr>
          <w:rStyle w:val="Suchmarke"/>
        </w:rPr>
        <w:t>#116#</w:t>
      </w:r>
      <w:bookmarkEnd w:id="144"/>
    </w:p>
    <w:p>
      <w:r>
        <w:rPr>
          <w:rStyle w:val="Satznummer"/>
        </w:rPr>
        <w:t>1</w:t>
      </w:r>
      <w:r>
        <w:t>Prozesskostenhilfe erhalten auf Antrag</w:t>
      </w:r>
    </w:p>
    <w:p>
      <w:pPr>
        <w:tabs>
          <w:tab w:pos="567" w:val="left"/>
        </w:tabs>
        <w:ind w:left="567" w:hanging="567"/>
      </w:pPr>
      <w:r>
        <w:t>1.</w:t>
      </w:r>
      <w:r>
        <w:tab/>
      </w:r>
      <w:r>
        <w:t>eine Partei kraft Amtes, wenn die Kosten aus der verwalteten Vermögensmasse nicht aufgebracht werden können und den am Gegenstand des Rechtsstreits wirtschaftlich Beteiligten nicht zuzumuten ist, die Kosten aufzubringen;</w:t>
      </w:r>
    </w:p>
    <w:p>
      <w:pPr>
        <w:tabs>
          <w:tab w:pos="567" w:val="left"/>
        </w:tabs>
        <w:ind w:left="567" w:hanging="567"/>
      </w:pPr>
      <w:r>
        <w:t>2.</w:t>
      </w:r>
      <w:r>
        <w:tab/>
      </w:r>
      <w:r>
        <w:t>eine juristische Person oder parteifähige Vereinigung, die im Inland, in einem anderen Mitgliedstaat der Europäischen Union oder einem anderen Vertragsstaat des Abkommens über den Europäischen Wirtschaftsraum gegründet und dort ansässig ist, wenn die Kosten weder von ihr noch von den am Gegenstand des Rechtsstreits wirtschaftlich Beteiligten aufgebracht werden können und wenn die Unterlassung der Rechtsverfolgung oder Rechtsverteidigung allgemeinen Interessen zuwiderlaufen würde.</w:t>
      </w:r>
    </w:p>
    <w:p>
      <w:r>
        <w:rPr>
          <w:rStyle w:val="Satznummer"/>
        </w:rPr>
        <w:t>2</w:t>
      </w:r>
      <w:hyperlink w:anchor="b141" w:history="1">
        <w:r>
          <w:rPr>
            <w:color w:val="0A3A8C"/>
            <w:u w:val="single"/>
          </w:rPr>
          <w:t xml:space="preserve">§ 114</w:t>
        </w:r>
      </w:hyperlink>
      <w:r>
        <w:t xml:space="preserve"> Absatz 1 Satz 1 letzter Halbsatz und Absatz 2 ist anzuwenden. </w:t>
      </w:r>
      <w:r>
        <w:rPr>
          <w:rStyle w:val="Satznummer"/>
        </w:rPr>
        <w:t>3</w:t>
      </w:r>
      <w:r>
        <w:t>Können die Kosten nur zum Teil oder nur in Teilbeträgen aufgebracht werden, so sind die entsprechenden Beträge zu zahlen.</w:t>
      </w:r>
    </w:p>
    <w:p>
      <w:pPr>
        <w:pStyle w:val="Heading4"/>
      </w:pPr>
      <w:bookmarkStart w:id="145" w:name="b144"/>
      <w:r>
        <w:t>§ 117 Antrag; Verordnungsermächtigung</w:t>
      </w:r>
      <w:r>
        <w:t xml:space="preserve"> </w:t>
      </w:r>
      <w:r>
        <w:rPr>
          <w:rStyle w:val="Suchmarke"/>
        </w:rPr>
        <w:t>#117#</w:t>
      </w:r>
      <w:bookmarkEnd w:id="145"/>
    </w:p>
    <w:p>
      <w:r>
        <w:t xml:space="preserve">(1) </w:t>
      </w:r>
      <w:r>
        <w:rPr>
          <w:rStyle w:val="Satznummer"/>
        </w:rPr>
        <w:t>1</w:t>
      </w:r>
      <w:r>
        <w:t xml:space="preserve">Der Antrag auf Bewilligung der Prozesskostenhilfe ist bei dem Prozessgericht zu stellen; er kann vor der Geschäftsstelle zu Protokoll erklärt werden. </w:t>
      </w:r>
      <w:r>
        <w:rPr>
          <w:rStyle w:val="Satznummer"/>
        </w:rPr>
        <w:t>2</w:t>
      </w:r>
      <w:r>
        <w:t xml:space="preserve">In dem Antrag ist das Streitverhältnis unter Angabe der Beweismittel darzustellen. </w:t>
      </w:r>
      <w:r>
        <w:rPr>
          <w:rStyle w:val="Satznummer"/>
        </w:rPr>
        <w:t>3</w:t>
      </w:r>
      <w:r>
        <w:t>Der Antrag auf Bewilligung von Prozesskostenhilfe für die Zwangsvollstreckung ist bei dem für die Zwangsvollstreckung zuständigen Gericht zu stellen.</w:t>
      </w:r>
    </w:p>
    <w:p>
      <w:r>
        <w:t xml:space="preserve">(2) </w:t>
      </w:r>
      <w:r>
        <w:rPr>
          <w:rStyle w:val="Satznummer"/>
        </w:rPr>
        <w:t>1</w:t>
      </w:r>
      <w:r>
        <w:t xml:space="preserve">Dem Antrag sind eine Erklärung der Partei über ihre persönlichen und wirtschaftlichen Verhältnisse (Familienverhältnisse, Beruf, Vermögen, Einkommen und Lasten) sowie entsprechende Belege beizufügen. </w:t>
      </w:r>
      <w:r>
        <w:rPr>
          <w:rStyle w:val="Satznummer"/>
        </w:rPr>
        <w:t>2</w:t>
      </w:r>
      <w:r>
        <w:t xml:space="preserve">Die Erklärung und die Belege dürfen dem Gegner nur mit Zustimmung der Partei zugänglich gemacht werden; es sei denn, der Gegner hat gegen den Antragsteller nach den Vorschriften des bürgerlichen Rechts einen Anspruch auf Auskunft über Einkünfte und Vermögen des Antragstellers. </w:t>
      </w:r>
      <w:r>
        <w:rPr>
          <w:rStyle w:val="Satznummer"/>
        </w:rPr>
        <w:t>3</w:t>
      </w:r>
      <w:r>
        <w:t xml:space="preserve">Dem Antragsteller ist vor der Übermittlung seiner Erklärung an den Gegner Gelegenheit zur Stellungnahme zu geben. </w:t>
      </w:r>
      <w:r>
        <w:rPr>
          <w:rStyle w:val="Satznummer"/>
        </w:rPr>
        <w:t>4</w:t>
      </w:r>
      <w:r>
        <w:t>Er ist über die Übermittlung seiner Erklärung zu unterrichten.</w:t>
      </w:r>
    </w:p>
    <w:p>
      <w:r>
        <w:t xml:space="preserve">(3) </w:t>
      </w:r>
      <w:r>
        <w:rPr>
          <w:rStyle w:val="Satznummer"/>
        </w:rPr>
        <w:t>1</w:t>
      </w:r>
      <w:r>
        <w:t xml:space="preserve">Das Bundesministerium der Justiz wird ermächtigt, zur Vereinfachung und Vereinheitlichung des Verfahrens durch Rechtsverordnung mit Zustimmung des Bundesrates Formulare für die Erklärung einzuführen. </w:t>
      </w:r>
      <w:r>
        <w:rPr>
          <w:rStyle w:val="Satznummer"/>
        </w:rPr>
        <w:t>2</w:t>
      </w:r>
      <w:r>
        <w:t xml:space="preserve">Die Formulare enthalten die nach </w:t>
      </w:r>
      <w:hyperlink w:anchor="b148" w:history="1">
        <w:r>
          <w:rPr>
            <w:color w:val="0A3A8C"/>
            <w:u w:val="single"/>
          </w:rPr>
          <w:t xml:space="preserve">§ 120a</w:t>
        </w:r>
      </w:hyperlink>
      <w:r>
        <w:t xml:space="preserve"> Absatz 2 Satz 4 erforderliche Belehrung.</w:t>
      </w:r>
    </w:p>
    <w:p>
      <w:r>
        <w:t xml:space="preserve">(4) </w:t>
      </w:r>
      <w:r>
        <w:rPr>
          <w:rStyle w:val="Satznummer"/>
        </w:rPr>
        <w:t>1</w:t>
      </w:r>
      <w:r>
        <w:t xml:space="preserve">Soweit Formulare für die Erklärung nach Absatz 2 eingeführt sind, muss sich die Partei ihrer bedienen. </w:t>
      </w:r>
      <w:r>
        <w:rPr>
          <w:rStyle w:val="Satznummer"/>
        </w:rPr>
        <w:t>2</w:t>
      </w:r>
      <w:r>
        <w:t>In geeigneten Fällen kann die Geschäftsstelle die Erklärung auch zu Protokoll aufnehmen.</w:t>
      </w:r>
    </w:p>
    <w:p>
      <w:pPr>
        <w:pStyle w:val="Heading4"/>
      </w:pPr>
      <w:bookmarkStart w:id="146" w:name="b145"/>
      <w:r>
        <w:t>§ 118 Bewilligungsverfahren</w:t>
      </w:r>
      <w:r>
        <w:t xml:space="preserve"> </w:t>
      </w:r>
      <w:r>
        <w:rPr>
          <w:rStyle w:val="Suchmarke"/>
        </w:rPr>
        <w:t>#118#</w:t>
      </w:r>
      <w:bookmarkEnd w:id="146"/>
    </w:p>
    <w:p>
      <w:r>
        <w:t xml:space="preserve">(1) </w:t>
      </w:r>
      <w:r>
        <w:rPr>
          <w:rStyle w:val="Satznummer"/>
        </w:rPr>
        <w:t>1</w:t>
      </w:r>
      <w:r>
        <w:t xml:space="preserve">Dem Gegner ist Gelegenheit zur Stellungnahme zu geben, ob er die Voraussetzungen für die Bewilligung von Prozesskostenhilfe für gegeben hält, soweit dies aus besonderen Gründen nicht unzweckmäßig erscheint. </w:t>
      </w:r>
      <w:r>
        <w:rPr>
          <w:rStyle w:val="Satznummer"/>
        </w:rPr>
        <w:t>2</w:t>
      </w:r>
      <w:r>
        <w:t xml:space="preserve">Die Stellungnahme kann vor der Geschäftsstelle zu Protokoll erklärt werden. </w:t>
      </w:r>
      <w:r>
        <w:rPr>
          <w:rStyle w:val="Satznummer"/>
        </w:rPr>
        <w:t>3</w:t>
      </w:r>
      <w:r>
        <w:t xml:space="preserve">Das Gericht kann die Parteien zur mündlichen Erörterung laden, wenn eine Einigung zu erwarten ist; ein Vergleich ist zu gerichtlichem Protokoll zu nehmen. </w:t>
      </w:r>
      <w:r>
        <w:rPr>
          <w:rStyle w:val="Satznummer"/>
        </w:rPr>
        <w:t>4</w:t>
      </w:r>
      <w:r>
        <w:t xml:space="preserve">Dem Gegner entstandene Kosten werden nicht erstattet. </w:t>
      </w:r>
      <w:r>
        <w:rPr>
          <w:rStyle w:val="Satznummer"/>
        </w:rPr>
        <w:t>5</w:t>
      </w:r>
      <w:r>
        <w:t xml:space="preserve">Die durch die Vernehmung von Zeugen und Sachverständigen nach Absatz 2 Satz 3 entstandenen Auslagen sind als Gerichtskosten von der Partei zu tragen, der die Kosten des Rechtsstreits auferlegt sind. </w:t>
      </w:r>
      <w:r>
        <w:rPr>
          <w:rStyle w:val="Satznummer"/>
        </w:rPr>
        <w:t>6</w:t>
      </w:r>
      <w:hyperlink w:anchor="b159" w:history="1">
        <w:r>
          <w:rPr>
            <w:color w:val="0A3A8C"/>
            <w:u w:val="single"/>
          </w:rPr>
          <w:t xml:space="preserve">§ 128a</w:t>
        </w:r>
      </w:hyperlink>
      <w:r>
        <w:t xml:space="preserve"> gilt für den Erörterungstermin nach Satz 3 entsprechend.</w:t>
      </w:r>
    </w:p>
    <w:p>
      <w:r>
        <w:t xml:space="preserve">(2) </w:t>
      </w:r>
      <w:r>
        <w:rPr>
          <w:rStyle w:val="Satznummer"/>
        </w:rPr>
        <w:t>1</w:t>
      </w:r>
      <w:r>
        <w:t xml:space="preserve">Das Gericht kann verlangen, dass der Antragsteller seine tatsächlichen Angaben glaubhaft macht, es kann insbesondere auch die Abgabe einer Versicherung an Eides statt fordern. </w:t>
      </w:r>
      <w:r>
        <w:rPr>
          <w:rStyle w:val="Satznummer"/>
        </w:rPr>
        <w:t>2</w:t>
      </w:r>
      <w:r>
        <w:t xml:space="preserve">Es kann Erhebungen anstellen, insbesondere die Vorlegung von Urkunden anordnen und Auskünfte einholen. </w:t>
      </w:r>
      <w:r>
        <w:rPr>
          <w:rStyle w:val="Satznummer"/>
        </w:rPr>
        <w:t>3</w:t>
      </w:r>
      <w:r>
        <w:t xml:space="preserve">Zeugen und Sachverständige werden nicht vernommen, es sei denn, dass auf andere Weise nicht geklärt werden kann, ob die Rechtsverfolgung oder Rechtsverteidigung hinreichende Aussicht auf Erfolg bietet und nicht mutwillig erscheint; eine Beeidigung findet nicht statt. </w:t>
      </w:r>
      <w:r>
        <w:rPr>
          <w:rStyle w:val="Satznummer"/>
        </w:rPr>
        <w:t>4</w:t>
      </w:r>
      <w:r>
        <w:t>Hat der Antragsteller innerhalb einer von dem Gericht gesetzten Frist Angaben über seine persönlichen und wirtschaftlichen Verhältnisse nicht glaubhaft gemacht oder bestimmte Fragen nicht oder ungenügend beantwortet, so lehnt das Gericht die Bewilligung von Prozesskostenhilfe insoweit ab.</w:t>
      </w:r>
    </w:p>
    <w:p>
      <w:r>
        <w:t>(3) Die in Absatz 1, 2 bezeichneten Maßnahmen werden von dem Vorsitzenden oder einem von ihm beauftragten Mitglied des Gerichts durchgeführt.</w:t>
      </w:r>
    </w:p>
    <w:p>
      <w:pPr>
        <w:pStyle w:val="Heading4"/>
      </w:pPr>
      <w:bookmarkStart w:id="147" w:name="b146"/>
      <w:r>
        <w:t>§ 119 Bewilligung</w:t>
      </w:r>
      <w:r>
        <w:t xml:space="preserve"> </w:t>
      </w:r>
      <w:r>
        <w:rPr>
          <w:rStyle w:val="Suchmarke"/>
        </w:rPr>
        <w:t>#119#</w:t>
      </w:r>
      <w:bookmarkEnd w:id="147"/>
    </w:p>
    <w:p>
      <w:r>
        <w:t xml:space="preserve">(1) </w:t>
      </w:r>
      <w:r>
        <w:rPr>
          <w:rStyle w:val="Satznummer"/>
        </w:rPr>
        <w:t>1</w:t>
      </w:r>
      <w:r>
        <w:t xml:space="preserve">Die Bewilligung der Prozesskostenhilfe erfolgt für jeden Rechtszug besonders. </w:t>
      </w:r>
      <w:r>
        <w:rPr>
          <w:rStyle w:val="Satznummer"/>
        </w:rPr>
        <w:t>2</w:t>
      </w:r>
      <w:r>
        <w:t>In einem höheren Rechtszug ist nicht zu prüfen, ob die Rechtsverfolgung oder Rechtsverteidigung hinreichende Aussicht auf Erfolg bietet oder mutwillig erscheint, wenn der Gegner das Rechtsmittel eingelegt hat.</w:t>
      </w:r>
    </w:p>
    <w:p>
      <w:r>
        <w:t>(2) Die Bewilligung von Prozesskostenhilfe für die Zwangsvollstreckung in das bewegliche Vermögen umfasst alle Vollstreckungshandlungen im Bezirk des Vollstreckungsgerichts einschließlich des Verfahrens auf Abgabe der Vermögensauskunft und der eidesstattlichen Versicherung.</w:t>
      </w:r>
    </w:p>
    <w:p>
      <w:pPr>
        <w:pStyle w:val="Heading4"/>
      </w:pPr>
      <w:bookmarkStart w:id="148" w:name="b147"/>
      <w:r>
        <w:t>§ 120 Festsetzung von Zahlungen</w:t>
      </w:r>
      <w:r>
        <w:t xml:space="preserve"> </w:t>
      </w:r>
      <w:r>
        <w:rPr>
          <w:rStyle w:val="Suchmarke"/>
        </w:rPr>
        <w:t>#120#</w:t>
      </w:r>
      <w:bookmarkEnd w:id="148"/>
    </w:p>
    <w:p>
      <w:r>
        <w:t xml:space="preserve">(1) </w:t>
      </w:r>
      <w:r>
        <w:rPr>
          <w:rStyle w:val="Satznummer"/>
        </w:rPr>
        <w:t>1</w:t>
      </w:r>
      <w:r>
        <w:t xml:space="preserve">Mit der Bewilligung der Prozesskostenhilfe setzt das Gericht zu zahlende Monatsraten und aus dem Vermögen zu zahlende Beträge fest. </w:t>
      </w:r>
      <w:r>
        <w:rPr>
          <w:rStyle w:val="Satznummer"/>
        </w:rPr>
        <w:t>2</w:t>
      </w:r>
      <w:r>
        <w:t xml:space="preserve">Setzt das Gericht nach </w:t>
      </w:r>
      <w:hyperlink w:anchor="b142" w:history="1">
        <w:r>
          <w:rPr>
            <w:color w:val="0A3A8C"/>
            <w:u w:val="single"/>
          </w:rPr>
          <w:t xml:space="preserve">§ 115</w:t>
        </w:r>
      </w:hyperlink>
      <w:r>
        <w:t xml:space="preserve"> Absatz 1 Satz 3 Nummer 5 mit Rücksicht auf besondere Belastungen von dem Einkommen Beträge ab und ist anzunehmen, dass die Belastungen bis zum Ablauf von vier Jahren ganz oder teilweise entfallen werden, so setzt das Gericht zugleich diejenigen Zahlungen fest, die sich ergeben, wenn die Belastungen nicht oder nur in verringertem Umfang berücksichtigt werden, und bestimmt den Zeitpunkt, von dem an sie zu erbringen sind.</w:t>
      </w:r>
    </w:p>
    <w:p>
      <w:r>
        <w:t>(2) Die Zahlungen sind an die Landeskasse zu leisten, im Verfahren vor dem Bundesgerichtshof an die Bundeskasse, wenn Prozesskostenhilfe in einem vorherigen Rechtszug nicht bewilligt worden ist.</w:t>
      </w:r>
    </w:p>
    <w:p>
      <w:r>
        <w:t>(3) Das Gericht soll die vorläufige Einstellung der Zahlungen bestimmen,</w:t>
      </w:r>
    </w:p>
    <w:p>
      <w:pPr>
        <w:tabs>
          <w:tab w:pos="567" w:val="left"/>
        </w:tabs>
        <w:ind w:left="567" w:hanging="567"/>
      </w:pPr>
      <w:r>
        <w:t>1.</w:t>
      </w:r>
      <w:r>
        <w:tab/>
      </w:r>
      <w:r>
        <w:t>wenn die Zahlungen der Partei die voraussichtlich entstehenden Kosten decken;</w:t>
      </w:r>
    </w:p>
    <w:p>
      <w:pPr>
        <w:tabs>
          <w:tab w:pos="567" w:val="left"/>
        </w:tabs>
        <w:ind w:left="567" w:hanging="567"/>
      </w:pPr>
      <w:r>
        <w:t>2.</w:t>
      </w:r>
      <w:r>
        <w:tab/>
      </w:r>
      <w:r>
        <w:t>wenn die Partei, ein ihr beigeordneter Rechtsanwalt oder die Bundes- oder Landeskasse die Kosten gegen einen anderen am Verfahren Beteiligten geltend machen kann.</w:t>
      </w:r>
    </w:p>
    <w:p>
      <w:r>
        <w:t>(4) (weggefallen)</w:t>
      </w:r>
    </w:p>
    <w:p>
      <w:pPr>
        <w:pStyle w:val="Heading4"/>
      </w:pPr>
      <w:bookmarkStart w:id="149" w:name="b148"/>
      <w:r>
        <w:t>§ 120a Änderung der Bewilligung</w:t>
      </w:r>
      <w:r>
        <w:t xml:space="preserve"> </w:t>
      </w:r>
      <w:r>
        <w:rPr>
          <w:rStyle w:val="Suchmarke"/>
        </w:rPr>
        <w:t>#120a#</w:t>
      </w:r>
      <w:bookmarkEnd w:id="149"/>
    </w:p>
    <w:p>
      <w:r>
        <w:t xml:space="preserve">(1) </w:t>
      </w:r>
      <w:r>
        <w:rPr>
          <w:rStyle w:val="Satznummer"/>
        </w:rPr>
        <w:t>1</w:t>
      </w:r>
      <w:r>
        <w:t xml:space="preserve">Das Gericht soll die Entscheidung über die zu leistenden Zahlungen ändern, wenn sich die für die Prozesskostenhilfe maßgebenden persönlichen oder wirtschaftlichen Verhältnisse wesentlich verändert haben. </w:t>
      </w:r>
      <w:r>
        <w:rPr>
          <w:rStyle w:val="Satznummer"/>
        </w:rPr>
        <w:t>2</w:t>
      </w:r>
      <w:r>
        <w:t xml:space="preserve">Eine Änderung der nach § 115 Absatz 1 Satz 3 Nummer 1 Buchstabe b und Nummer 2 maßgebenden Beträge ist nur auf Antrag und nur dann zu berücksichtigen, wenn sie dazu führt, dass keine Monatsrate zu zahlen ist. </w:t>
      </w:r>
      <w:r>
        <w:rPr>
          <w:rStyle w:val="Satznummer"/>
        </w:rPr>
        <w:t>3</w:t>
      </w:r>
      <w:r>
        <w:t xml:space="preserve">Auf Verlangen des Gerichts muss die Partei jederzeit erklären, ob eine Veränderung der Verhältnisse eingetreten ist. </w:t>
      </w:r>
      <w:r>
        <w:rPr>
          <w:rStyle w:val="Satznummer"/>
        </w:rPr>
        <w:t>4</w:t>
      </w:r>
      <w:r>
        <w:t>Eine Änderung zum Nachteil der Partei ist ausgeschlossen, wenn seit der rechtskräftigen Entscheidung oder der sonstigen Beendigung des Verfahrens vier Jahre vergangen sind.</w:t>
      </w:r>
    </w:p>
    <w:p>
      <w:r>
        <w:t xml:space="preserve">(2) </w:t>
      </w:r>
      <w:r>
        <w:rPr>
          <w:rStyle w:val="Satznummer"/>
        </w:rPr>
        <w:t>1</w:t>
      </w:r>
      <w:r>
        <w:t xml:space="preserve">Verbessern sich vor dem in Absatz 1 Satz 4 genannten Zeitpunkt die wirtschaftlichen Verhältnisse der Partei wesentlich oder ändert sich ihre Anschrift, hat sie dies dem Gericht unverzüglich mitzuteilen. </w:t>
      </w:r>
      <w:r>
        <w:rPr>
          <w:rStyle w:val="Satznummer"/>
        </w:rPr>
        <w:t>2</w:t>
      </w:r>
      <w:r>
        <w:t xml:space="preserve">Bezieht die Partei ein laufendes monatliches Einkommen, ist eine Einkommensverbesserung nur wesentlich, wenn die Differenz zu dem bisher zu Grunde gelegten Bruttoeinkommen nicht nur einmalig 100 Euro übersteigt. </w:t>
      </w:r>
      <w:r>
        <w:rPr>
          <w:rStyle w:val="Satznummer"/>
        </w:rPr>
        <w:t>3</w:t>
      </w:r>
      <w:r>
        <w:t xml:space="preserve">Satz 2 gilt entsprechend, soweit abzugsfähige Belastungen entfallen. </w:t>
      </w:r>
      <w:r>
        <w:rPr>
          <w:rStyle w:val="Satznummer"/>
        </w:rPr>
        <w:t>4</w:t>
      </w:r>
      <w:r>
        <w:t>Hierüber und über die Folgen eines Verstoßes ist die Partei bei der Antragstellung zu belehren.</w:t>
      </w:r>
    </w:p>
    <w:p>
      <w:r>
        <w:t xml:space="preserve">(3) </w:t>
      </w:r>
      <w:r>
        <w:rPr>
          <w:rStyle w:val="Satznummer"/>
        </w:rPr>
        <w:t>1</w:t>
      </w:r>
      <w:r>
        <w:t xml:space="preserve">Eine wesentliche Verbesserung der wirtschaftlichen Verhältnisse kann insbesondere dadurch eintreten, dass die Partei durch die Rechtsverfolgung oder Rechtsverteidigung etwas erlangt. </w:t>
      </w:r>
      <w:r>
        <w:rPr>
          <w:rStyle w:val="Satznummer"/>
        </w:rPr>
        <w:t>2</w:t>
      </w:r>
      <w:r>
        <w:t xml:space="preserve">Das Gericht soll nach der rechtskräftigen Entscheidung oder der sonstigen Beendigung des Verfahrens prüfen, ob eine Änderung der Entscheidung über die zu leistenden Zahlungen mit Rücksicht auf das durch die Rechtsverfolgung oder Rechtsverteidigung Erlangte geboten ist. </w:t>
      </w:r>
      <w:r>
        <w:rPr>
          <w:rStyle w:val="Satznummer"/>
        </w:rPr>
        <w:t>3</w:t>
      </w:r>
      <w:r>
        <w:t>Eine Änderung der Entscheidung ist ausgeschlossen, soweit die Partei bei rechtzeitiger Leistung des durch die Rechtsverfolgung oder Rechtsverteidigung Erlangten ratenfreie Prozesskostenhilfe erhalten hätte.</w:t>
      </w:r>
    </w:p>
    <w:p>
      <w:r>
        <w:t xml:space="preserve">(4) </w:t>
      </w:r>
      <w:r>
        <w:rPr>
          <w:rStyle w:val="Satznummer"/>
        </w:rPr>
        <w:t>1</w:t>
      </w:r>
      <w:r>
        <w:t xml:space="preserve">Für die Erklärung über die Änderung der persönlichen oder wirtschaftlichen Verhältnisse nach Absatz 1 Satz 3 muss die Partei das gemäß </w:t>
      </w:r>
      <w:hyperlink w:anchor="b144" w:history="1">
        <w:r>
          <w:rPr>
            <w:color w:val="0A3A8C"/>
            <w:u w:val="single"/>
          </w:rPr>
          <w:t xml:space="preserve">§ 117</w:t>
        </w:r>
      </w:hyperlink>
      <w:r>
        <w:t xml:space="preserve"> Absatz 3 eingeführte Formular benutzen. </w:t>
      </w:r>
      <w:r>
        <w:rPr>
          <w:rStyle w:val="Satznummer"/>
        </w:rPr>
        <w:t>2</w:t>
      </w:r>
      <w:r>
        <w:t xml:space="preserve">Für die Überprüfung der persönlichen und wirtschaftlichen Verhältnisse gilt </w:t>
      </w:r>
      <w:hyperlink w:anchor="b145" w:history="1">
        <w:r>
          <w:rPr>
            <w:color w:val="0A3A8C"/>
            <w:u w:val="single"/>
          </w:rPr>
          <w:t xml:space="preserve">§ 118</w:t>
        </w:r>
      </w:hyperlink>
      <w:r>
        <w:t xml:space="preserve"> Absatz 2 entsprechend.</w:t>
      </w:r>
    </w:p>
    <w:p>
      <w:pPr>
        <w:pStyle w:val="Heading4"/>
      </w:pPr>
      <w:bookmarkStart w:id="150" w:name="b149"/>
      <w:r>
        <w:t>§ 121 Beiordnung eines Rechtsanwalts</w:t>
      </w:r>
      <w:r>
        <w:t xml:space="preserve"> </w:t>
      </w:r>
      <w:r>
        <w:rPr>
          <w:rStyle w:val="Suchmarke"/>
        </w:rPr>
        <w:t>#121#</w:t>
      </w:r>
      <w:bookmarkEnd w:id="150"/>
    </w:p>
    <w:p>
      <w:r>
        <w:t>(1) Ist eine Vertretung durch Anwälte vorgeschrieben, wird der Partei ein zur Vertretung bereiter Rechtsanwalt ihrer Wahl beigeordnet.</w:t>
      </w:r>
    </w:p>
    <w:p>
      <w:r>
        <w:t>(2) Ist eine Vertretung durch Anwälte nicht vorgeschrieben, wird der Partei auf ihren Antrag ein zur Vertretung bereiter Rechtsanwalt ihrer Wahl beigeordnet, wenn die Vertretung durch einen Rechtsanwalt erforderlich erscheint oder der Gegner durch einen Rechtsanwalt vertreten ist.</w:t>
      </w:r>
    </w:p>
    <w:p>
      <w:r>
        <w:t>(3) Ein nicht in dem Bezirk des Prozessgerichts niedergelassener Rechtsanwalt kann nur beigeordnet werden, wenn dadurch weitere Kosten nicht entstehen.</w:t>
      </w:r>
    </w:p>
    <w:p>
      <w:r>
        <w:t>(4) Wenn besondere Umstände dies erfordern, kann der Partei auf ihren Antrag ein zur Vertretung bereiter Rechtsanwalt ihrer Wahl zur Wahrnehmung eines Termins zur Beweisaufnahme vor dem ersuchten Richter oder zur Vermittlung des Verkehrs mit dem Prozessbevollmächtigten beigeordnet werden.</w:t>
      </w:r>
    </w:p>
    <w:p>
      <w:r>
        <w:t>(5) Findet die Partei keinen zur Vertretung bereiten Anwalt, ordnet der Vorsitzende ihr auf Antrag einen Rechtsanwalt bei.</w:t>
      </w:r>
    </w:p>
    <w:p>
      <w:pPr>
        <w:pStyle w:val="Heading4"/>
      </w:pPr>
      <w:bookmarkStart w:id="151" w:name="b150"/>
      <w:r>
        <w:t>§ 122 Wirkung der Prozesskostenhilfe</w:t>
      </w:r>
      <w:r>
        <w:t xml:space="preserve"> </w:t>
      </w:r>
      <w:r>
        <w:rPr>
          <w:rStyle w:val="Suchmarke"/>
        </w:rPr>
        <w:t>#122#</w:t>
      </w:r>
      <w:bookmarkEnd w:id="151"/>
    </w:p>
    <w:p>
      <w:r>
        <w:t>(1) Die Bewilligung der Prozesskostenhilfe bewirkt, dass</w:t>
      </w:r>
    </w:p>
    <w:p>
      <w:pPr>
        <w:tabs>
          <w:tab w:pos="567" w:val="left"/>
        </w:tabs>
        <w:ind w:left="567" w:hanging="567"/>
      </w:pPr>
      <w:r>
        <w:t>1.</w:t>
      </w:r>
      <w:r>
        <w:tab/>
      </w:r>
      <w:r>
        <w:t>die Bundes- oder Landeskasse</w:t>
      </w:r>
    </w:p>
    <w:p>
      <w:pPr>
        <w:tabs>
          <w:tab w:pos="1134" w:val="left"/>
        </w:tabs>
        <w:ind w:left="1134" w:hanging="567"/>
      </w:pPr>
      <w:r>
        <w:t>a)</w:t>
      </w:r>
      <w:r>
        <w:tab/>
      </w:r>
      <w:r>
        <w:t>die rückständigen und die entstehenden Gerichtskosten und Gerichtsvollzieherkosten,</w:t>
      </w:r>
    </w:p>
    <w:p>
      <w:pPr>
        <w:tabs>
          <w:tab w:pos="1134" w:val="left"/>
        </w:tabs>
        <w:ind w:left="1134" w:hanging="567"/>
      </w:pPr>
      <w:r>
        <w:t>b)</w:t>
      </w:r>
      <w:r>
        <w:tab/>
      </w:r>
      <w:r>
        <w:t>die auf sie übergegangenen Ansprüche der beigeordneten Rechtsanwälte gegen die Partei</w:t>
      </w:r>
    </w:p>
    <w:p>
      <w:pPr>
        <w:ind w:left="567"/>
      </w:pPr>
      <w:r>
        <w:t>nur nach den Bestimmungen, die das Gericht trifft, gegen die Partei geltend machen kann,</w:t>
      </w:r>
    </w:p>
    <w:p>
      <w:pPr>
        <w:tabs>
          <w:tab w:pos="567" w:val="left"/>
        </w:tabs>
        <w:ind w:left="567" w:hanging="567"/>
      </w:pPr>
      <w:r>
        <w:t>2.</w:t>
      </w:r>
      <w:r>
        <w:tab/>
      </w:r>
      <w:r>
        <w:t>die Partei von der Verpflichtung zur Sicherheitsleistung für die Prozesskosten befreit ist,</w:t>
      </w:r>
    </w:p>
    <w:p>
      <w:pPr>
        <w:tabs>
          <w:tab w:pos="567" w:val="left"/>
        </w:tabs>
        <w:ind w:left="567" w:hanging="567"/>
      </w:pPr>
      <w:r>
        <w:t>3.</w:t>
      </w:r>
      <w:r>
        <w:tab/>
      </w:r>
      <w:r>
        <w:t>die beigeordneten Rechtsanwälte Ansprüche auf Vergütung gegen die Partei nicht geltend machen können.</w:t>
      </w:r>
    </w:p>
    <w:p>
      <w:r>
        <w:t>(2) Ist dem Kläger, dem Berufungskläger oder dem Revisionskläger Prozesskostenhilfe bewilligt und ist nicht bestimmt worden, dass Zahlungen an die Bundes- oder Landeskasse zu leisten sind, so hat dies für den Gegner die einstweilige Befreiung von den in Absatz 1 Nr. 1 Buchstabe a bezeichneten Kosten zur Folge.</w:t>
      </w:r>
    </w:p>
    <w:p>
      <w:pPr>
        <w:pStyle w:val="Heading4"/>
      </w:pPr>
      <w:bookmarkStart w:id="152" w:name="b151"/>
      <w:r>
        <w:t>§ 123 Kostenerstattung</w:t>
      </w:r>
      <w:r>
        <w:t xml:space="preserve"> </w:t>
      </w:r>
      <w:r>
        <w:rPr>
          <w:rStyle w:val="Suchmarke"/>
        </w:rPr>
        <w:t>#123#</w:t>
      </w:r>
      <w:bookmarkEnd w:id="152"/>
    </w:p>
    <w:p>
      <w:r>
        <w:t>Die Bewilligung der Prozesskostenhilfe hat auf die Verpflichtung, die dem Gegner entstandenen Kosten zu erstatten, keinen Einfluss.</w:t>
      </w:r>
    </w:p>
    <w:p>
      <w:pPr>
        <w:pStyle w:val="Heading4"/>
      </w:pPr>
      <w:bookmarkStart w:id="153" w:name="b152"/>
      <w:r>
        <w:t>§ 124 Aufhebung der Bewilligung</w:t>
      </w:r>
      <w:r>
        <w:t xml:space="preserve"> </w:t>
      </w:r>
      <w:r>
        <w:rPr>
          <w:rStyle w:val="Suchmarke"/>
        </w:rPr>
        <w:t>#124#</w:t>
      </w:r>
      <w:bookmarkEnd w:id="153"/>
    </w:p>
    <w:p>
      <w:r>
        <w:t>(1) Das Gericht soll die Bewilligung der Prozesskostenhilfe aufheben, wenn</w:t>
      </w:r>
    </w:p>
    <w:p>
      <w:pPr>
        <w:tabs>
          <w:tab w:pos="567" w:val="left"/>
        </w:tabs>
        <w:ind w:left="567" w:hanging="567"/>
      </w:pPr>
      <w:r>
        <w:t>1.</w:t>
      </w:r>
      <w:r>
        <w:tab/>
      </w:r>
      <w:r>
        <w:t>die Partei durch unrichtige Darstellung des Streitverhältnisses die für die Bewilligung der Prozesskostenhilfe maßgebenden Voraussetzungen vorgetäuscht hat;</w:t>
      </w:r>
    </w:p>
    <w:p>
      <w:pPr>
        <w:tabs>
          <w:tab w:pos="567" w:val="left"/>
        </w:tabs>
        <w:ind w:left="567" w:hanging="567"/>
      </w:pPr>
      <w:r>
        <w:t>2.</w:t>
      </w:r>
      <w:r>
        <w:tab/>
      </w:r>
      <w:r>
        <w:t xml:space="preserve">die Partei absichtlich oder aus grober Nachlässigkeit unrichtige Angaben über die persönlichen oder wirtschaftlichen Verhältnisse gemacht oder eine Erklärung nach </w:t>
      </w:r>
      <w:hyperlink w:anchor="b148" w:history="1">
        <w:r>
          <w:rPr>
            <w:color w:val="0A3A8C"/>
            <w:u w:val="single"/>
          </w:rPr>
          <w:t xml:space="preserve">§ 120a</w:t>
        </w:r>
      </w:hyperlink>
      <w:r>
        <w:t xml:space="preserve"> Absatz 1 Satz 3 nicht oder ungenügend abgegeben hat;</w:t>
      </w:r>
    </w:p>
    <w:p>
      <w:pPr>
        <w:tabs>
          <w:tab w:pos="567" w:val="left"/>
        </w:tabs>
        <w:ind w:left="567" w:hanging="567"/>
      </w:pPr>
      <w:r>
        <w:t>3.</w:t>
      </w:r>
      <w:r>
        <w:tab/>
      </w:r>
      <w:r>
        <w:t>die persönlichen oder wirtschaftlichen Voraussetzungen für die Prozesskostenhilfe nicht vorgelegen haben; in diesem Fall ist die Aufhebung ausgeschlossen, wenn seit der rechtskräftigen Entscheidung oder sonstigen Beendigung des Verfahrens vier Jahre vergangen sind;</w:t>
      </w:r>
    </w:p>
    <w:p>
      <w:pPr>
        <w:tabs>
          <w:tab w:pos="567" w:val="left"/>
        </w:tabs>
        <w:ind w:left="567" w:hanging="567"/>
      </w:pPr>
      <w:r>
        <w:t>4.</w:t>
      </w:r>
      <w:r>
        <w:tab/>
      </w:r>
      <w:r>
        <w:t>die Partei entgegen § 120a Absatz 2 Satz 1 bis 3 dem Gericht wesentliche Verbesserungen ihrer Einkommens- und Vermögensverhältnisse oder Änderungen ihrer Anschrift absichtlich oder aus grober Nachlässigkeit unrichtig oder nicht unverzüglich mitgeteilt hat;</w:t>
      </w:r>
    </w:p>
    <w:p>
      <w:pPr>
        <w:tabs>
          <w:tab w:pos="567" w:val="left"/>
        </w:tabs>
        <w:ind w:left="567" w:hanging="567"/>
      </w:pPr>
      <w:r>
        <w:t>5.</w:t>
      </w:r>
      <w:r>
        <w:tab/>
      </w:r>
      <w:r>
        <w:t>die Partei länger als drei Monate mit der Zahlung einer Monatsrate oder mit der Zahlung eines sonstigen Betrages im Rückstand ist.</w:t>
      </w:r>
    </w:p>
    <w:p>
      <w:r>
        <w:t>(2) Das Gericht kann die Bewilligung der Prozesskostenhilfe aufheben, soweit die von der Partei beantragte Beweiserhebung auf Grund von Umständen, die im Zeitpunkt der Bewilligung der Prozesskostenhilfe noch nicht berücksichtigt werden konnten, keine hinreichende Aussicht auf Erfolg bietet oder der Beweisantritt mutwillig erscheint.</w:t>
      </w:r>
    </w:p>
    <w:p>
      <w:pPr>
        <w:pStyle w:val="Heading4"/>
      </w:pPr>
      <w:bookmarkStart w:id="154" w:name="b153"/>
      <w:r>
        <w:t>§ 125 Einziehung der Kosten</w:t>
      </w:r>
      <w:r>
        <w:t xml:space="preserve"> </w:t>
      </w:r>
      <w:r>
        <w:rPr>
          <w:rStyle w:val="Suchmarke"/>
        </w:rPr>
        <w:t>#125#</w:t>
      </w:r>
      <w:bookmarkEnd w:id="154"/>
    </w:p>
    <w:p>
      <w:r>
        <w:t>(1) Die Gerichtskosten und die Gerichtsvollzieherkosten können von dem Gegner erst eingezogen werden, wenn er rechtskräftig in die Prozesskosten verurteilt ist.</w:t>
      </w:r>
    </w:p>
    <w:p>
      <w:r>
        <w:t>(2) Die Gerichtskosten, von deren Zahlung der Gegner einstweilen befreit ist, sind von ihm einzuziehen, soweit er rechtskräftig in die Prozesskosten verurteilt oder der Rechtsstreit ohne Urteil über die Kosten beendet ist.</w:t>
      </w:r>
    </w:p>
    <w:p>
      <w:pPr>
        <w:pStyle w:val="Heading4"/>
      </w:pPr>
      <w:bookmarkStart w:id="155" w:name="b154"/>
      <w:r>
        <w:t>§ 126 Beitreibung der Rechtsanwaltskosten</w:t>
      </w:r>
      <w:r>
        <w:t xml:space="preserve"> </w:t>
      </w:r>
      <w:r>
        <w:rPr>
          <w:rStyle w:val="Suchmarke"/>
        </w:rPr>
        <w:t>#126#</w:t>
      </w:r>
      <w:bookmarkEnd w:id="155"/>
    </w:p>
    <w:p>
      <w:r>
        <w:t>(1) Die für die Partei bestellten Rechtsanwälte sind berechtigt, ihre Gebühren und Auslagen von dem in die Prozesskosten verurteilten Gegner im eigenen Namen beizutreiben.</w:t>
      </w:r>
    </w:p>
    <w:p>
      <w:r>
        <w:t xml:space="preserve">(2) </w:t>
      </w:r>
      <w:r>
        <w:rPr>
          <w:rStyle w:val="Satznummer"/>
        </w:rPr>
        <w:t>1</w:t>
      </w:r>
      <w:r>
        <w:t xml:space="preserve">Eine Einrede aus der Person der Partei ist nicht zulässig. </w:t>
      </w:r>
      <w:r>
        <w:rPr>
          <w:rStyle w:val="Satznummer"/>
        </w:rPr>
        <w:t>2</w:t>
      </w:r>
      <w:r>
        <w:t>Der Gegner kann mit Kosten aufrechnen, die nach der in demselben Rechtsstreit über die Kosten erlassenen Entscheidung von der Partei zu erstatten sind.</w:t>
      </w:r>
    </w:p>
    <w:p>
      <w:pPr>
        <w:pStyle w:val="Heading4"/>
      </w:pPr>
      <w:bookmarkStart w:id="156" w:name="b155"/>
      <w:r>
        <w:t>§ 127 Entscheidungen</w:t>
      </w:r>
      <w:r>
        <w:t xml:space="preserve"> </w:t>
      </w:r>
      <w:r>
        <w:rPr>
          <w:rStyle w:val="Suchmarke"/>
        </w:rPr>
        <w:t>#127#</w:t>
      </w:r>
      <w:bookmarkEnd w:id="156"/>
    </w:p>
    <w:p>
      <w:r>
        <w:t xml:space="preserve">(1) </w:t>
      </w:r>
      <w:r>
        <w:rPr>
          <w:rStyle w:val="Satznummer"/>
        </w:rPr>
        <w:t>1</w:t>
      </w:r>
      <w:r>
        <w:t xml:space="preserve">Entscheidungen im Verfahren über die Prozesskostenhilfe ergehen ohne mündliche Verhandlung. </w:t>
      </w:r>
      <w:r>
        <w:rPr>
          <w:rStyle w:val="Satznummer"/>
        </w:rPr>
        <w:t>2</w:t>
      </w:r>
      <w:r>
        <w:t xml:space="preserve">Zuständig ist das Gericht des ersten Rechtszuges; ist das Verfahren in einem höheren Rechtszug anhängig, so ist das Gericht dieses Rechtszuges zuständig. </w:t>
      </w:r>
      <w:r>
        <w:rPr>
          <w:rStyle w:val="Satznummer"/>
        </w:rPr>
        <w:t>3</w:t>
      </w:r>
      <w:r>
        <w:t>Soweit die Gründe der Entscheidung Angaben über die persönlichen und wirtschaftlichen Verhältnisse der Partei enthalten, dürfen sie dem Gegner nur mit Zustimmung der Partei zugänglich gemacht werden.</w:t>
      </w:r>
    </w:p>
    <w:p>
      <w:r>
        <w:t xml:space="preserve">(2) </w:t>
      </w:r>
      <w:r>
        <w:rPr>
          <w:rStyle w:val="Satznummer"/>
        </w:rPr>
        <w:t>1</w:t>
      </w:r>
      <w:r>
        <w:t xml:space="preserve">Die Bewilligung der Prozesskostenhilfe kann nur nach Maßgabe des Absatzes 3 angefochten werden. </w:t>
      </w:r>
      <w:r>
        <w:rPr>
          <w:rStyle w:val="Satznummer"/>
        </w:rPr>
        <w:t>2</w:t>
      </w:r>
      <w:r>
        <w:t xml:space="preserve">Im Übrigen findet die sofortige Beschwerde statt; dies gilt nicht, wenn der Streitwert der Hauptsache den in </w:t>
      </w:r>
      <w:hyperlink w:anchor="b562" w:history="1">
        <w:r>
          <w:rPr>
            <w:color w:val="0A3A8C"/>
            <w:u w:val="single"/>
          </w:rPr>
          <w:t xml:space="preserve">§ 511</w:t>
        </w:r>
      </w:hyperlink>
      <w:r>
        <w:t xml:space="preserve"> genannten Betrag nicht übersteigt, es sei denn, das Gericht hat ausschließlich die persönlichen oder wirtschaftlichen Voraussetzungen für die Prozesskostenhilfe verneint. </w:t>
      </w:r>
      <w:r>
        <w:rPr>
          <w:rStyle w:val="Satznummer"/>
        </w:rPr>
        <w:t>3</w:t>
      </w:r>
      <w:r>
        <w:t>Die Notfrist beträgt einen Monat.</w:t>
      </w:r>
    </w:p>
    <w:p>
      <w:r>
        <w:t xml:space="preserve">(3) </w:t>
      </w:r>
      <w:r>
        <w:rPr>
          <w:rStyle w:val="Satznummer"/>
        </w:rPr>
        <w:t>1</w:t>
      </w:r>
      <w:r>
        <w:t xml:space="preserve">Gegen die Bewilligung der Prozesskostenhilfe findet die sofortige Beschwerde der Staatskasse statt, wenn weder Monatsraten noch aus dem Vermögen zu zahlende Beträge festgesetzt worden sind. </w:t>
      </w:r>
      <w:r>
        <w:rPr>
          <w:rStyle w:val="Satznummer"/>
        </w:rPr>
        <w:t>2</w:t>
      </w:r>
      <w:r>
        <w:t xml:space="preserve">Die Beschwerde kann nur darauf gestützt werden, dass die Partei gemäß </w:t>
      </w:r>
      <w:hyperlink w:anchor="b142" w:history="1">
        <w:r>
          <w:rPr>
            <w:color w:val="0A3A8C"/>
            <w:u w:val="single"/>
          </w:rPr>
          <w:t xml:space="preserve">§ 115</w:t>
        </w:r>
      </w:hyperlink>
      <w:r>
        <w:t xml:space="preserve"> Absatz 1 bis 3 nach ihren persönlichen und wirtschaftlichen Verhältnissen Zahlungen zu leisten oder gemäß § 116 Satz 3 Beträge zu zahlen hat. </w:t>
      </w:r>
      <w:r>
        <w:rPr>
          <w:rStyle w:val="Satznummer"/>
        </w:rPr>
        <w:t>3</w:t>
      </w:r>
      <w:r>
        <w:t xml:space="preserve">Die Notfrist beträgt einen Monat und beginnt mit der Bekanntgabe des Beschlusses. </w:t>
      </w:r>
      <w:r>
        <w:rPr>
          <w:rStyle w:val="Satznummer"/>
        </w:rPr>
        <w:t>4</w:t>
      </w:r>
      <w:r>
        <w:t xml:space="preserve">Nach Ablauf von drei Monaten seit der Verkündung der Entscheidung ist die Beschwerde unstatthaft. </w:t>
      </w:r>
      <w:r>
        <w:rPr>
          <w:rStyle w:val="Satznummer"/>
        </w:rPr>
        <w:t>5</w:t>
      </w:r>
      <w:r>
        <w:t xml:space="preserve">Wird die Entscheidung nicht verkündet, so tritt an die Stelle der Verkündung der Zeitpunkt, in dem die unterschriebene Entscheidung der Geschäftsstelle übermittelt wird. </w:t>
      </w:r>
      <w:r>
        <w:rPr>
          <w:rStyle w:val="Satznummer"/>
        </w:rPr>
        <w:t>6</w:t>
      </w:r>
      <w:r>
        <w:t>Die Entscheidung wird der Staatskasse nicht von Amts wegen mitgeteilt.</w:t>
      </w:r>
    </w:p>
    <w:p>
      <w:r>
        <w:t>(4) Die Kosten des Beschwerdeverfahrens werden nicht erstattet.</w:t>
      </w:r>
    </w:p>
    <w:p>
      <w:pPr>
        <w:pStyle w:val="Heading2"/>
      </w:pPr>
      <w:bookmarkStart w:id="157" w:name="b156"/>
      <w:r>
        <w:t>Abschnitt 3 Verfahren</w:t>
      </w:r>
      <w:bookmarkEnd w:id="157"/>
    </w:p>
    <w:p>
      <w:pPr>
        <w:pStyle w:val="Heading3"/>
      </w:pPr>
      <w:bookmarkStart w:id="158" w:name="b157"/>
      <w:r>
        <w:t>Titel 1 Mündliche Verhandlung</w:t>
      </w:r>
      <w:bookmarkEnd w:id="158"/>
    </w:p>
    <w:p>
      <w:pPr>
        <w:pStyle w:val="Heading4"/>
      </w:pPr>
      <w:bookmarkStart w:id="159" w:name="b158"/>
      <w:r>
        <w:t>§ 128 Grundsatz der Mündlichkeit; schriftliches Verfahren</w:t>
      </w:r>
      <w:r>
        <w:t xml:space="preserve"> </w:t>
      </w:r>
      <w:r>
        <w:rPr>
          <w:rStyle w:val="Suchmarke"/>
        </w:rPr>
        <w:t>#128#</w:t>
      </w:r>
      <w:bookmarkEnd w:id="159"/>
    </w:p>
    <w:p>
      <w:r>
        <w:t>(1) Die Parteien verhandeln über den Rechtsstreit vor dem erkennenden Gericht mündlich.</w:t>
      </w:r>
    </w:p>
    <w:p>
      <w:r>
        <w:t xml:space="preserve">(2) </w:t>
      </w:r>
      <w:r>
        <w:rPr>
          <w:rStyle w:val="Satznummer"/>
        </w:rPr>
        <w:t>1</w:t>
      </w:r>
      <w:r>
        <w:t xml:space="preserve">Mit Zustimmung der Parteien, die nur bei einer wesentlichen Änderung der Prozesslage widerruflich ist, kann das Gericht eine Entscheidung ohne mündliche Verhandlung treffen. </w:t>
      </w:r>
      <w:r>
        <w:rPr>
          <w:rStyle w:val="Satznummer"/>
        </w:rPr>
        <w:t>2</w:t>
      </w:r>
      <w:r>
        <w:t xml:space="preserve">Es bestimmt alsbald den Zeitpunkt, bis zu dem Schriftsätze eingereicht werden können, und den Termin zur Verkündung der Entscheidung. </w:t>
      </w:r>
      <w:r>
        <w:rPr>
          <w:rStyle w:val="Satznummer"/>
        </w:rPr>
        <w:t>3</w:t>
      </w:r>
      <w:r>
        <w:t>Eine Entscheidung ohne mündliche Verhandlung ist unzulässig, wenn seit der Zustimmung der Parteien mehr als drei Monate verstrichen sind.</w:t>
      </w:r>
    </w:p>
    <w:p>
      <w:r>
        <w:t>(3) Ist nur noch über die Kosten oder Nebenforderungen zu entscheiden, kann die Entscheidung ohne mündliche Verhandlung ergehen.</w:t>
      </w:r>
    </w:p>
    <w:p>
      <w:r>
        <w:t>(4) Entscheidungen des Gerichts, die nicht Urteile sind, können ohne mündliche Verhandlung ergehen, soweit nichts anderes bestimmt ist.</w:t>
      </w:r>
    </w:p>
    <w:p>
      <w:pPr>
        <w:pStyle w:val="Heading4"/>
      </w:pPr>
      <w:bookmarkStart w:id="160" w:name="b159"/>
      <w:r>
        <w:t>§ 128a Videoverhandlung</w:t>
      </w:r>
      <w:r>
        <w:t xml:space="preserve"> </w:t>
      </w:r>
      <w:r>
        <w:rPr>
          <w:rStyle w:val="Suchmarke"/>
        </w:rPr>
        <w:t>#128a#</w:t>
      </w:r>
      <w:bookmarkEnd w:id="160"/>
    </w:p>
    <w:p>
      <w:r>
        <w:t xml:space="preserve">(1) </w:t>
      </w:r>
      <w:r>
        <w:rPr>
          <w:rStyle w:val="Satznummer"/>
        </w:rPr>
        <w:t>1</w:t>
      </w:r>
      <w:r>
        <w:t xml:space="preserve">Die mündliche Verhandlung kann in geeigneten Fällen und soweit ausreichende Kapazitäten zur Verfügung stehen als Videoverhandlung stattfinden. </w:t>
      </w:r>
      <w:r>
        <w:rPr>
          <w:rStyle w:val="Satznummer"/>
        </w:rPr>
        <w:t>2</w:t>
      </w:r>
      <w:r>
        <w:t xml:space="preserve">Eine mündliche Verhandlung findet als Videoverhandlung statt, wenn an ihr mindestens ein Verfahrensbeteiligter oder mindestens ein Mitglied des Gerichts per Bild- und Tonübertragung teilnimmt. </w:t>
      </w:r>
      <w:r>
        <w:rPr>
          <w:rStyle w:val="Satznummer"/>
        </w:rPr>
        <w:t>3</w:t>
      </w:r>
      <w:r>
        <w:t>Verfahrensbeteiligte nach dieser Vorschrift sind die Parteien und Nebenintervenienten, ihre Bevollmächtigten sowie Vertreter und Beistände.</w:t>
      </w:r>
    </w:p>
    <w:p>
      <w:r>
        <w:t xml:space="preserve">(2) </w:t>
      </w:r>
      <w:r>
        <w:rPr>
          <w:rStyle w:val="Satznummer"/>
        </w:rPr>
        <w:t>1</w:t>
      </w:r>
      <w:r>
        <w:t xml:space="preserve">Der Vorsitzende kann unter den Voraussetzungen des Absatzes 1 Satz 1 die Teilnahme an der mündlichen Verhandlung per Bild- und Tonübertragung für einen Verfahrensbeteiligten, mehrere oder alle Verfahrensbeteiligte gestatten oder anordnen. </w:t>
      </w:r>
      <w:r>
        <w:rPr>
          <w:rStyle w:val="Satznummer"/>
        </w:rPr>
        <w:t>2</w:t>
      </w:r>
      <w:r>
        <w:t xml:space="preserve">Gegen eine Anordnung kann der Adressat innerhalb einer Frist von zwei Wochen Einspruch einlegen. </w:t>
      </w:r>
      <w:r>
        <w:rPr>
          <w:rStyle w:val="Satznummer"/>
        </w:rPr>
        <w:t>3</w:t>
      </w:r>
      <w:r>
        <w:t>Hierauf weist der Vorsitzende mit der Anordnung hin.</w:t>
      </w:r>
    </w:p>
    <w:p>
      <w:r>
        <w:t xml:space="preserve">(3) </w:t>
      </w:r>
      <w:r>
        <w:rPr>
          <w:rStyle w:val="Satznummer"/>
        </w:rPr>
        <w:t>1</w:t>
      </w:r>
      <w:r>
        <w:t xml:space="preserve">Beantragt ein Verfahrensbeteiligter seine Teilnahme per Bild- und Tonübertragung, soll der Vorsitzende ihm diese unter den Voraussetzungen des Absatzes 1 Satz 1 gestatten. </w:t>
      </w:r>
      <w:r>
        <w:rPr>
          <w:rStyle w:val="Satznummer"/>
        </w:rPr>
        <w:t>2</w:t>
      </w:r>
      <w:r>
        <w:t>Die Ablehnung eines Antrags auf Teilnahme per Bild- und Tonübertragung ist kurz zu begründen.</w:t>
      </w:r>
    </w:p>
    <w:p>
      <w:r>
        <w:t xml:space="preserve">(4) </w:t>
      </w:r>
      <w:r>
        <w:rPr>
          <w:rStyle w:val="Satznummer"/>
        </w:rPr>
        <w:t>1</w:t>
      </w:r>
      <w:r>
        <w:t xml:space="preserve">Wird der Einspruch nach Absatz 2 Satz 2 fristgerecht eingelegt, so hebt der Vorsitzende die Anordnung für alle Verfahrensbeteiligten auf, gegenüber denen eine Anordnung erfolgt ist. </w:t>
      </w:r>
      <w:r>
        <w:rPr>
          <w:rStyle w:val="Satznummer"/>
        </w:rPr>
        <w:t>2</w:t>
      </w:r>
      <w:r>
        <w:t xml:space="preserve">In diesem Fall soll der Vorsitzende den Verfahrensbeteiligten, die keinen Einspruch eingelegt haben, die Teilnahme per Bild- und Tonübertragung gestatten. </w:t>
      </w:r>
      <w:r>
        <w:rPr>
          <w:rStyle w:val="Satznummer"/>
        </w:rPr>
        <w:t>3</w:t>
      </w:r>
      <w:r>
        <w:t>Das Antragsrecht nach Absatz 3 Satz 1 bleibt hiervon unberührt.</w:t>
      </w:r>
    </w:p>
    <w:p>
      <w:r>
        <w:t xml:space="preserve">(5) </w:t>
      </w:r>
      <w:r>
        <w:rPr>
          <w:rStyle w:val="Satznummer"/>
        </w:rPr>
        <w:t>1</w:t>
      </w:r>
      <w:r>
        <w:t xml:space="preserve">Der Vorsitzende leitet die Videoverhandlung von der Gerichtsstelle aus. </w:t>
      </w:r>
      <w:r>
        <w:rPr>
          <w:rStyle w:val="Satznummer"/>
        </w:rPr>
        <w:t>2</w:t>
      </w:r>
      <w:r>
        <w:t>Er kann anderen Mitgliedern des Gerichts bei Vorliegen erheblicher Gründe gestatten, an der mündlichen Verhandlung per Bild- und Tonübertragung teilzunehmen.</w:t>
      </w:r>
    </w:p>
    <w:p>
      <w:r>
        <w:t xml:space="preserve">(6) </w:t>
      </w:r>
      <w:r>
        <w:rPr>
          <w:rStyle w:val="Satznummer"/>
        </w:rPr>
        <w:t>1</w:t>
      </w:r>
      <w:r>
        <w:t xml:space="preserve">Den Verfahrensbeteiligten und Dritten ist es untersagt, die Videoverhandlung aufzuzeichnen. </w:t>
      </w:r>
      <w:r>
        <w:rPr>
          <w:rStyle w:val="Satznummer"/>
        </w:rPr>
        <w:t>2</w:t>
      </w:r>
      <w:r>
        <w:t xml:space="preserve">Hierauf sind sie zu Beginn der Verhandlung hinzuweisen. </w:t>
      </w:r>
      <w:r>
        <w:rPr>
          <w:rStyle w:val="Satznummer"/>
        </w:rPr>
        <w:t>3</w:t>
      </w:r>
      <w:r>
        <w:t xml:space="preserve">Die Videoverhandlung kann für die Zwecke des </w:t>
      </w:r>
      <w:hyperlink w:anchor="b198" w:history="1">
        <w:r>
          <w:rPr>
            <w:color w:val="0A3A8C"/>
            <w:u w:val="single"/>
          </w:rPr>
          <w:t xml:space="preserve">§ 160a</w:t>
        </w:r>
      </w:hyperlink>
      <w:r>
        <w:t xml:space="preserve"> ganz oder teilweise aufgezeichnet werden. </w:t>
      </w:r>
      <w:r>
        <w:rPr>
          <w:rStyle w:val="Satznummer"/>
        </w:rPr>
        <w:t>4</w:t>
      </w:r>
      <w:r>
        <w:t>Über Beginn und Ende der Aufzeichnung sind die Verfahrensbeteiligten zu informieren.</w:t>
      </w:r>
    </w:p>
    <w:p>
      <w:r>
        <w:t xml:space="preserve">(7) </w:t>
      </w:r>
      <w:r>
        <w:rPr>
          <w:rStyle w:val="Satznummer"/>
        </w:rPr>
        <w:t>1</w:t>
      </w:r>
      <w:r>
        <w:t xml:space="preserve">Entscheidungen nach dieser Vorschrift sind unanfechtbar. </w:t>
      </w:r>
      <w:r>
        <w:rPr>
          <w:rStyle w:val="Satznummer"/>
        </w:rPr>
        <w:t>2</w:t>
      </w:r>
      <w:r>
        <w:t>Absatz 2 Satz 2 bleibt unberührt.</w:t>
      </w:r>
    </w:p>
    <w:p>
      <w:pPr>
        <w:pStyle w:val="Heading4"/>
      </w:pPr>
      <w:bookmarkStart w:id="161" w:name="b160"/>
      <w:r>
        <w:t>§ 129 Vorbereitende Schriftsätze</w:t>
      </w:r>
      <w:r>
        <w:t xml:space="preserve"> </w:t>
      </w:r>
      <w:r>
        <w:rPr>
          <w:rStyle w:val="Suchmarke"/>
        </w:rPr>
        <w:t>#129#</w:t>
      </w:r>
      <w:bookmarkEnd w:id="161"/>
    </w:p>
    <w:p>
      <w:r>
        <w:t>(1) In Anwaltsprozessen wird die mündliche Verhandlung durch Schriftsätze vorbereitet.</w:t>
      </w:r>
    </w:p>
    <w:p>
      <w:r>
        <w:t>(2) In anderen Prozessen kann den Parteien durch richterliche Anordnung aufgegeben werden, die mündliche Verhandlung durch Schriftsätze oder zu Protokoll der Geschäftsstelle abzugebende Erklärungen vorzubereiten.</w:t>
      </w:r>
    </w:p>
    <w:p>
      <w:pPr>
        <w:pStyle w:val="Heading4"/>
      </w:pPr>
      <w:bookmarkStart w:id="162" w:name="b161"/>
      <w:r>
        <w:t>§ 129a Anträge und Erklärungen zu Protokoll</w:t>
      </w:r>
      <w:r>
        <w:t xml:space="preserve"> </w:t>
      </w:r>
      <w:r>
        <w:rPr>
          <w:rStyle w:val="Suchmarke"/>
        </w:rPr>
        <w:t>#129a#</w:t>
      </w:r>
      <w:bookmarkEnd w:id="162"/>
    </w:p>
    <w:p>
      <w:r>
        <w:t>(1) Anträge und Erklärungen, deren Abgabe vor dem Urkundsbeamten der Geschäftsstelle zulässig ist, können vor der Geschäftsstelle eines jeden Amtsgerichts zu Protokoll abgegeben werden.</w:t>
      </w:r>
    </w:p>
    <w:p>
      <w:r>
        <w:t xml:space="preserve">(2) </w:t>
      </w:r>
      <w:r>
        <w:rPr>
          <w:rStyle w:val="Satznummer"/>
        </w:rPr>
        <w:t>1</w:t>
      </w:r>
      <w:r>
        <w:t xml:space="preserve">Der Urkundsbeamte der Geschäftsstelle kann Anträge und Erklärungen nach Absatz 1 auch per Bild- und Tonübertragung aufnehmen. </w:t>
      </w:r>
      <w:r>
        <w:rPr>
          <w:rStyle w:val="Satznummer"/>
        </w:rPr>
        <w:t>2</w:t>
      </w:r>
      <w:r>
        <w:t xml:space="preserve">In diesem Fall kann sich der Urkundsbeamte der Geschäftsstelle bei der Aufnahme der Anträge und Erklärungen an einem anderen Ort als der Geschäftsstelle aufhalten. </w:t>
      </w:r>
      <w:r>
        <w:rPr>
          <w:rStyle w:val="Satznummer"/>
        </w:rPr>
        <w:t>3</w:t>
      </w:r>
      <w:r>
        <w:t xml:space="preserve">Die Bild- und Tonübertragung wird nicht aufgezeichnet. </w:t>
      </w:r>
      <w:r>
        <w:rPr>
          <w:rStyle w:val="Satznummer"/>
        </w:rPr>
        <w:t>4</w:t>
      </w:r>
      <w:hyperlink w:anchor="b200" w:history="1">
        <w:r>
          <w:rPr>
            <w:color w:val="0A3A8C"/>
            <w:u w:val="single"/>
          </w:rPr>
          <w:t xml:space="preserve">§ 162</w:t>
        </w:r>
      </w:hyperlink>
      <w:r>
        <w:t xml:space="preserve"> Absatz 1 Satz 1 und 3 gilt entsprechend.</w:t>
      </w:r>
    </w:p>
    <w:p>
      <w:r>
        <w:t xml:space="preserve">(3) </w:t>
      </w:r>
      <w:r>
        <w:rPr>
          <w:rStyle w:val="Satznummer"/>
        </w:rPr>
        <w:t>1</w:t>
      </w:r>
      <w:r>
        <w:t xml:space="preserve">Die Geschäftsstelle hat das Protokoll unverzüglich an das Gericht zu übermitteln, an das der Antrag oder die Erklärung gerichtet ist. </w:t>
      </w:r>
      <w:r>
        <w:rPr>
          <w:rStyle w:val="Satznummer"/>
        </w:rPr>
        <w:t>2</w:t>
      </w:r>
      <w:r>
        <w:t xml:space="preserve">Die Wirkung einer Prozesshandlung tritt frühestens ein, wenn das Protokoll dort eingeht. </w:t>
      </w:r>
      <w:r>
        <w:rPr>
          <w:rStyle w:val="Satznummer"/>
        </w:rPr>
        <w:t>3</w:t>
      </w:r>
      <w:r>
        <w:t>Die Übermittlung des Protokolls kann demjenigen, der den Antrag oder die Erklärung zu Protokoll abgegeben hat, mit seiner Zustimmung überlassen werden.</w:t>
      </w:r>
    </w:p>
    <w:p>
      <w:pPr>
        <w:pStyle w:val="Heading4"/>
      </w:pPr>
      <w:bookmarkStart w:id="163" w:name="b162"/>
      <w:r>
        <w:t>§ 130 Inhalt der Schriftsätze</w:t>
      </w:r>
      <w:r>
        <w:t xml:space="preserve"> </w:t>
      </w:r>
      <w:r>
        <w:rPr>
          <w:rStyle w:val="Suchmarke"/>
        </w:rPr>
        <w:t>#130#</w:t>
      </w:r>
      <w:bookmarkEnd w:id="163"/>
    </w:p>
    <w:p>
      <w:r>
        <w:t>Die vorbereitenden Schriftsätze sollen enthalten:</w:t>
      </w:r>
    </w:p>
    <w:p>
      <w:pPr>
        <w:tabs>
          <w:tab w:pos="567" w:val="left"/>
        </w:tabs>
        <w:ind w:left="567" w:hanging="567"/>
      </w:pPr>
      <w:r>
        <w:t>1.</w:t>
      </w:r>
      <w:r>
        <w:tab/>
      </w:r>
      <w:r>
        <w:t>die Bezeichnung der Parteien und ihrer gesetzlichen Vertreter nach Namen, Stand oder Gewerbe, Wohnort und Parteistellung; die Bezeichnung des Gerichts und des Streitgegenstandes; die Zahl der Anlagen;</w:t>
      </w:r>
    </w:p>
    <w:p>
      <w:pPr>
        <w:tabs>
          <w:tab w:pos="567" w:val="left"/>
        </w:tabs>
        <w:ind w:left="567" w:hanging="567"/>
      </w:pPr>
      <w:r>
        <w:t>1a.</w:t>
      </w:r>
      <w:r>
        <w:tab/>
      </w:r>
      <w:r>
        <w:t>die für eine Übermittlung elektronischer Dokumente erforderlichen Angaben, sofern eine solche möglich ist;</w:t>
      </w:r>
    </w:p>
    <w:p>
      <w:pPr>
        <w:tabs>
          <w:tab w:pos="567" w:val="left"/>
        </w:tabs>
        <w:ind w:left="567" w:hanging="567"/>
      </w:pPr>
      <w:r>
        <w:t>2.</w:t>
      </w:r>
      <w:r>
        <w:tab/>
      </w:r>
      <w:r>
        <w:t>die Anträge, welche die Partei in der Gerichtssitzung zu stellen beabsichtigt;</w:t>
      </w:r>
    </w:p>
    <w:p>
      <w:pPr>
        <w:tabs>
          <w:tab w:pos="567" w:val="left"/>
        </w:tabs>
        <w:ind w:left="567" w:hanging="567"/>
      </w:pPr>
      <w:r>
        <w:t>3.</w:t>
      </w:r>
      <w:r>
        <w:tab/>
      </w:r>
      <w:r>
        <w:t>die Angabe der zur Begründung der Anträge dienenden tatsächlichen Verhältnisse;</w:t>
      </w:r>
    </w:p>
    <w:p>
      <w:pPr>
        <w:tabs>
          <w:tab w:pos="567" w:val="left"/>
        </w:tabs>
        <w:ind w:left="567" w:hanging="567"/>
      </w:pPr>
      <w:r>
        <w:t>4.</w:t>
      </w:r>
      <w:r>
        <w:tab/>
      </w:r>
      <w:r>
        <w:t>die Erklärung über die tatsächlichen Behauptungen des Gegners;</w:t>
      </w:r>
    </w:p>
    <w:p>
      <w:pPr>
        <w:tabs>
          <w:tab w:pos="567" w:val="left"/>
        </w:tabs>
        <w:ind w:left="567" w:hanging="567"/>
      </w:pPr>
      <w:r>
        <w:t>5.</w:t>
      </w:r>
      <w:r>
        <w:tab/>
      </w:r>
      <w:r>
        <w:t>die Bezeichnung der Beweismittel, deren sich die Partei zum Nachweis oder zur Widerlegung tatsächlicher Behauptungen bedienen will, sowie die Erklärung über die von dem Gegner bezeichneten Beweismittel;</w:t>
      </w:r>
    </w:p>
    <w:p>
      <w:pPr>
        <w:tabs>
          <w:tab w:pos="567" w:val="left"/>
        </w:tabs>
        <w:ind w:left="567" w:hanging="567"/>
      </w:pPr>
      <w:r>
        <w:t>6.</w:t>
      </w:r>
      <w:r>
        <w:tab/>
      </w:r>
      <w:r>
        <w:t>die Unterschrift der Person, die den Schriftsatz verantwortet, bei Übermittlung durch einen Telefaxdienst (Telekopie) die Wiedergabe der Unterschrift in der Kopie.</w:t>
      </w:r>
    </w:p>
    <w:p>
      <w:pPr>
        <w:pStyle w:val="Heading4"/>
      </w:pPr>
      <w:bookmarkStart w:id="164" w:name="b163"/>
      <w:r>
        <w:t>§ 130a Elektronisches Dokument; Verordnungsermächtigung</w:t>
      </w:r>
      <w:r>
        <w:t xml:space="preserve"> </w:t>
      </w:r>
      <w:r>
        <w:rPr>
          <w:rStyle w:val="Suchmarke"/>
        </w:rPr>
        <w:t>#130a#</w:t>
      </w:r>
      <w:bookmarkEnd w:id="164"/>
    </w:p>
    <w:p>
      <w:r>
        <w:t>(1) Vorbereitende Schriftsätze und deren Anlagen, schriftlich einzureichende Anträge und Erklärungen der Parteien sowie schriftlich einzureichende Auskünfte, Aussagen, Gutachten, Übersetzungen, Anträge und Erklärungen Dritter können nach Maßgabe der folgenden Absätze als elektronische Dokumente bei Gericht eingereicht werden.</w:t>
      </w:r>
    </w:p>
    <w:p>
      <w:r>
        <w:t xml:space="preserve">(2) </w:t>
      </w:r>
      <w:r>
        <w:rPr>
          <w:rStyle w:val="Satznummer"/>
        </w:rPr>
        <w:t>1</w:t>
      </w:r>
      <w:r>
        <w:t xml:space="preserve">Das elektronische Dokument muss für die Bearbeitung durch das Gericht geeignet sein. </w:t>
      </w:r>
      <w:r>
        <w:rPr>
          <w:rStyle w:val="Satznummer"/>
        </w:rPr>
        <w:t>2</w:t>
      </w:r>
      <w:r>
        <w:t>Die Bundesregierung bestimmt durch Rechtsverordnung mit Zustimmung des Bundesrates technische Rahmenbedingungen für die Übermittlung und die Eignung zur Bearbeitung durch das Gericht sowie das Nähere zur Verarbeitung von Daten der Postfachinhaber nach Absatz 4 Satz 1 Nummer 3 und 4 in einem sicheren elektronischen Verzeichnis.</w:t>
      </w:r>
    </w:p>
    <w:p>
      <w:r>
        <w:t xml:space="preserve">(3) </w:t>
      </w:r>
      <w:r>
        <w:rPr>
          <w:rStyle w:val="Satznummer"/>
        </w:rPr>
        <w:t>1</w:t>
      </w:r>
      <w:r>
        <w:t xml:space="preserve">Das elektronische Dokument muss mit einer qualifizierten elektronischen Signatur der verantwortenden Person versehen sein oder von der verantwortenden Person signiert und auf einem sicheren Übermittlungsweg eingereicht werden. </w:t>
      </w:r>
      <w:r>
        <w:rPr>
          <w:rStyle w:val="Satznummer"/>
        </w:rPr>
        <w:t>2</w:t>
      </w:r>
      <w:r>
        <w:t xml:space="preserve">Satz 1 gilt nicht für Anlagen, die vorbereitenden Schriftsätzen beigefügt sind. </w:t>
      </w:r>
      <w:r>
        <w:rPr>
          <w:rStyle w:val="Satznummer"/>
        </w:rPr>
        <w:t>3</w:t>
      </w:r>
      <w:r>
        <w:t>Soll ein schriftlich einzureichender Antrag oder eine schriftlich einzureichende Erklärung einer Partei oder eines Dritten als elektronisches Dokument eingereicht werden, so kann der unterschriebene Antrag oder die unterschriebene Erklärung in ein elektronisches Dokument übertragen und durch den Bevollmächtigten, den Vertreter oder den Beistand nach Satz 1 übermittelt werden.</w:t>
      </w:r>
    </w:p>
    <w:p>
      <w:r>
        <w:t xml:space="preserve">(4) </w:t>
      </w:r>
      <w:r>
        <w:rPr>
          <w:rStyle w:val="Satznummer"/>
        </w:rPr>
        <w:t>1</w:t>
      </w:r>
      <w:r>
        <w:t>Sichere Übermittlungswege sind</w:t>
      </w:r>
    </w:p>
    <w:p>
      <w:pPr>
        <w:tabs>
          <w:tab w:pos="567" w:val="left"/>
        </w:tabs>
        <w:ind w:left="567" w:hanging="567"/>
      </w:pPr>
      <w:r>
        <w:t>1.</w:t>
      </w:r>
      <w:r>
        <w:tab/>
      </w:r>
      <w:r>
        <w:t>der Übermittlungsweg zwischen den besonderen elektronischen Anwaltspostfächern nach den §§ 31a und 31b der Bundesrechtsanwaltsordnung oder einem entsprechenden, auf gesetzlicher Grundlage errichteten elektronischen Postfach und der elektronischen Poststelle des Gerichts,</w:t>
      </w:r>
    </w:p>
    <w:p>
      <w:pPr>
        <w:tabs>
          <w:tab w:pos="567" w:val="left"/>
        </w:tabs>
        <w:ind w:left="567" w:hanging="567"/>
      </w:pPr>
      <w:r>
        <w:t>2.</w:t>
      </w:r>
      <w:r>
        <w:tab/>
      </w:r>
      <w:r>
        <w:t>der Übermittlungsweg zwischen einem nach Durchführung eines Identifizierungsverfahrens eingerichteten Postfach einer Behörde oder einer juristischen Person des öffentlichen Rechts und der elektronischen Poststelle des Gerichts,</w:t>
      </w:r>
    </w:p>
    <w:p>
      <w:pPr>
        <w:tabs>
          <w:tab w:pos="567" w:val="left"/>
        </w:tabs>
        <w:ind w:left="567" w:hanging="567"/>
      </w:pPr>
      <w:r>
        <w:t>3.</w:t>
      </w:r>
      <w:r>
        <w:tab/>
      </w:r>
      <w:r>
        <w:t>der Übermittlungsweg zwischen einem nach Durchführung eines Identifizierungsverfahrens eingerichteten elektronischen Postfach einer natürlichen oder juristischen Person oder einer sonstigen Vereinigung und der elektronischen Poststelle des Gerichts,</w:t>
      </w:r>
    </w:p>
    <w:p>
      <w:pPr>
        <w:tabs>
          <w:tab w:pos="567" w:val="left"/>
        </w:tabs>
        <w:ind w:left="567" w:hanging="567"/>
      </w:pPr>
      <w:r>
        <w:t>4.</w:t>
      </w:r>
      <w:r>
        <w:tab/>
      </w:r>
      <w:r>
        <w:t>der Übermittlungsweg zwischen einem nach Durchführung eines Identifizierungsverfahrens genutzten Postfach- und Versanddienst eines Nutzerkontos im Sinne des § 2 Absatz 5 des Onlinezugangsgesetzes und der elektronischen Poststelle des Gerichts,</w:t>
      </w:r>
    </w:p>
    <w:p>
      <w:pPr>
        <w:tabs>
          <w:tab w:pos="567" w:val="left"/>
        </w:tabs>
        <w:ind w:left="567" w:hanging="567"/>
      </w:pPr>
      <w:r>
        <w:t>5.</w:t>
      </w:r>
      <w:r>
        <w:tab/>
      </w:r>
      <w:r>
        <w:t>sonstige bundeseinheitliche Übermittlungswege, die durch Rechtsverordnung der Bundesregierung mit Zustimmung des Bundesrates festgelegt werden, bei denen die Authentizität und Integrität der Daten sowie die Barrierefreiheit gewährleistet sind.</w:t>
      </w:r>
    </w:p>
    <w:p>
      <w:r>
        <w:rPr>
          <w:rStyle w:val="Satznummer"/>
        </w:rPr>
        <w:t>2</w:t>
      </w:r>
      <w:r>
        <w:t>Das Nähere zu den Übermittlungswegen gemäß Satz 1 Nummer 2 bis 4 regelt die Rechtsverordnung nach Absatz 2 Satz 2.</w:t>
      </w:r>
    </w:p>
    <w:p>
      <w:r>
        <w:t xml:space="preserve">(5) </w:t>
      </w:r>
      <w:r>
        <w:rPr>
          <w:rStyle w:val="Satznummer"/>
        </w:rPr>
        <w:t>1</w:t>
      </w:r>
      <w:r>
        <w:t xml:space="preserve">Ein elektronisches Dokument ist eingegangen, sobald es auf der für den Empfang bestimmten Einrichtung des Gerichts gespeichert ist. </w:t>
      </w:r>
      <w:r>
        <w:rPr>
          <w:rStyle w:val="Satznummer"/>
        </w:rPr>
        <w:t>2</w:t>
      </w:r>
      <w:r>
        <w:t>Dem Absender ist eine automatisierte Bestätigung über den Zeitpunkt des Eingangs zu erteilen.</w:t>
      </w:r>
    </w:p>
    <w:p>
      <w:r>
        <w:t xml:space="preserve">(6) </w:t>
      </w:r>
      <w:r>
        <w:rPr>
          <w:rStyle w:val="Satznummer"/>
        </w:rPr>
        <w:t>1</w:t>
      </w:r>
      <w:r>
        <w:t xml:space="preserve">Ist ein elektronisches Dokument für das Gericht zur Bearbeitung nicht geeignet, ist dies dem Absender unter Hinweis auf die Unwirksamkeit des Eingangs unverzüglich mitzuteilen. </w:t>
      </w:r>
      <w:r>
        <w:rPr>
          <w:rStyle w:val="Satznummer"/>
        </w:rPr>
        <w:t>2</w:t>
      </w:r>
      <w:r>
        <w:t>Das Dokument gilt als zum Zeitpunkt der früheren Einreichung eingegangen, sofern der Absender es unverzüglich in einer für das Gericht zur Bearbeitung geeigneten Form nachreicht und glaubhaft macht, dass es mit dem zuerst eingereichten Dokument inhaltlich übereinstimmt.</w:t>
      </w:r>
    </w:p>
    <w:p>
      <w:pPr>
        <w:pStyle w:val="Heading4"/>
      </w:pPr>
      <w:bookmarkStart w:id="165" w:name="b164"/>
      <w:r>
        <w:t>§ 130b Gerichtliches elektronisches Dokument</w:t>
      </w:r>
      <w:r>
        <w:t xml:space="preserve"> </w:t>
      </w:r>
      <w:r>
        <w:rPr>
          <w:rStyle w:val="Suchmarke"/>
        </w:rPr>
        <w:t>#130b#</w:t>
      </w:r>
      <w:bookmarkEnd w:id="165"/>
    </w:p>
    <w:p>
      <w:r>
        <w:rPr>
          <w:rStyle w:val="Satznummer"/>
        </w:rPr>
        <w:t>1</w:t>
      </w:r>
      <w:r>
        <w:t xml:space="preserve">Soweit dieses Gesetz dem Richter, dem Rechtspfleger, dem Urkundsbeamten der Geschäftsstelle oder dem Gerichtsvollzieher die handschriftliche Unterzeichnung vorschreibt, genügt dieser Form die Aufzeichnung als elektronisches Dokument, wenn die verantwortenden Personen am Ende des Dokuments ihren Namen hinzufügen und das Dokument mit einer qualifizierten elektronischen Signatur versehen. </w:t>
      </w:r>
      <w:r>
        <w:rPr>
          <w:rStyle w:val="Satznummer"/>
        </w:rPr>
        <w:t>2</w:t>
      </w:r>
      <w:r>
        <w:t xml:space="preserve">Der in Satz 1 genannten Form genügt auch ein elektronisches Dokument, in welches das handschriftlich unterzeichnete Schriftstück gemäß </w:t>
      </w:r>
      <w:hyperlink w:anchor="b337" w:history="1">
        <w:r>
          <w:rPr>
            <w:color w:val="0A3A8C"/>
            <w:u w:val="single"/>
          </w:rPr>
          <w:t xml:space="preserve">§ 298a</w:t>
        </w:r>
      </w:hyperlink>
      <w:r>
        <w:t xml:space="preserve"> Absatz 2 übertragen worden ist.</w:t>
      </w:r>
    </w:p>
    <w:p>
      <w:pPr>
        <w:pStyle w:val="Heading4"/>
      </w:pPr>
      <w:bookmarkStart w:id="166" w:name="b165"/>
      <w:r>
        <w:t>§ 130c Formulare; Verordnungsermächtigung</w:t>
      </w:r>
      <w:r>
        <w:t xml:space="preserve"> </w:t>
      </w:r>
      <w:r>
        <w:rPr>
          <w:rStyle w:val="Suchmarke"/>
        </w:rPr>
        <w:t>#130c#</w:t>
      </w:r>
      <w:bookmarkEnd w:id="166"/>
    </w:p>
    <w:p>
      <w:r>
        <w:rPr>
          <w:rStyle w:val="Satznummer"/>
        </w:rPr>
        <w:t>1</w:t>
      </w:r>
      <w:r>
        <w:t xml:space="preserve">Das Bundesministerium der Justiz und für Verbraucherschutz kann durch Rechtsverordnung mit Zustimmung des Bundesrates elektronische Formulare einführen. </w:t>
      </w:r>
      <w:r>
        <w:rPr>
          <w:rStyle w:val="Satznummer"/>
        </w:rPr>
        <w:t>2</w:t>
      </w:r>
      <w:r>
        <w:t xml:space="preserve">Die Rechtsverordnung kann bestimmen, dass die in den Formularen enthaltenen Angaben ganz oder teilweise in strukturierter maschinenlesbarer Form zu übermitteln sind. </w:t>
      </w:r>
      <w:r>
        <w:rPr>
          <w:rStyle w:val="Satznummer"/>
        </w:rPr>
        <w:t>3</w:t>
      </w:r>
      <w:r>
        <w:t xml:space="preserve">Die Formulare sind auf einer in der Rechtsverordnung zu bestimmenden Kommunikationsplattform im Internet zur Nutzung bereitzustellen. </w:t>
      </w:r>
      <w:r>
        <w:rPr>
          <w:rStyle w:val="Satznummer"/>
        </w:rPr>
        <w:t>4</w:t>
      </w:r>
      <w:r>
        <w:t xml:space="preserve">Die Rechtsverordnung kann bestimmen, dass eine Identifikation des Formularverwenders abweichend von </w:t>
      </w:r>
      <w:hyperlink w:anchor="b163" w:history="1">
        <w:r>
          <w:rPr>
            <w:color w:val="0A3A8C"/>
            <w:u w:val="single"/>
          </w:rPr>
          <w:t xml:space="preserve">§ 130a</w:t>
        </w:r>
      </w:hyperlink>
      <w:r>
        <w:t xml:space="preserve"> Absatz 3 auch durch Nutzung des elektronischen Identitätsnachweises nach § 18 des Personalausweisgesetzes, § 12 des eID-Karte-Gesetzes oder § 78 Absatz 5 des Aufenthaltsgesetzes erfolgen kann.</w:t>
      </w:r>
    </w:p>
    <w:p>
      <w:pPr>
        <w:pStyle w:val="Heading4"/>
      </w:pPr>
      <w:bookmarkStart w:id="167" w:name="b166"/>
      <w:r>
        <w:t>§ 130d Nutzungspflicht für Rechtsanwälte und Behörden</w:t>
      </w:r>
      <w:r>
        <w:t xml:space="preserve"> </w:t>
      </w:r>
      <w:r>
        <w:rPr>
          <w:rStyle w:val="Suchmarke"/>
        </w:rPr>
        <w:t>#130d#</w:t>
      </w:r>
      <w:bookmarkEnd w:id="167"/>
    </w:p>
    <w:p>
      <w:r>
        <w:rPr>
          <w:rStyle w:val="Satznummer"/>
        </w:rPr>
        <w:t>1</w:t>
      </w:r>
      <w:r>
        <w:t xml:space="preserve">Vorbereitende Schriftsätze und deren Anlagen sowie schriftlich einzureichende Anträge und Erklärungen, die durch einen Rechtsanwalt, durch eine Behörde oder durch eine juristische Person des öffentlichen Rechts einschließlich der von ihr zur Erfüllung ihrer öffentlichen Aufgaben gebildeten Zusammenschlüsse eingereicht werden, sind als elektronisches Dokument zu übermitteln. </w:t>
      </w:r>
      <w:r>
        <w:rPr>
          <w:rStyle w:val="Satznummer"/>
        </w:rPr>
        <w:t>2</w:t>
      </w:r>
      <w:r>
        <w:t xml:space="preserve">Ist dies aus technischen Gründen vorübergehend nicht möglich, bleibt die Übermittlung nach den allgemeinen Vorschriften zulässig. </w:t>
      </w:r>
      <w:r>
        <w:rPr>
          <w:rStyle w:val="Satznummer"/>
        </w:rPr>
        <w:t>3</w:t>
      </w:r>
      <w:r>
        <w:t>Die vorübergehende Unmöglichkeit ist bei der Ersatzeinreichung oder unverzüglich danach glaubhaft zu machen; auf Anforderung ist ein elektronisches Dokument nachzureichen.</w:t>
      </w:r>
    </w:p>
    <w:p>
      <w:pPr>
        <w:pStyle w:val="Heading4"/>
      </w:pPr>
      <w:bookmarkStart w:id="168" w:name="b167"/>
      <w:r>
        <w:t>§ 130e Formfiktion</w:t>
      </w:r>
      <w:r>
        <w:t xml:space="preserve"> </w:t>
      </w:r>
      <w:r>
        <w:rPr>
          <w:rStyle w:val="Suchmarke"/>
        </w:rPr>
        <w:t>#130e#</w:t>
      </w:r>
      <w:bookmarkEnd w:id="168"/>
    </w:p>
    <w:p>
      <w:r>
        <w:rPr>
          <w:rStyle w:val="Satznummer"/>
        </w:rPr>
        <w:t>1</w:t>
      </w:r>
      <w:r>
        <w:t xml:space="preserve">Ist eine empfangsbedürftige Willenserklärung, die der schriftlichen oder elektronischen Form bedarf, klar erkennbar in einem vorbereitenden Schriftsatz enthalten, der als elektronisches Dokument nach </w:t>
      </w:r>
      <w:hyperlink w:anchor="b163" w:history="1">
        <w:r>
          <w:rPr>
            <w:color w:val="0A3A8C"/>
            <w:u w:val="single"/>
          </w:rPr>
          <w:t xml:space="preserve">§ 130a</w:t>
        </w:r>
      </w:hyperlink>
      <w:r>
        <w:t xml:space="preserve"> bei Gericht eingereicht und dem Empfänger zugestellt oder mitgeteilt wurde, so gilt die Willenserklärung als in schriftlicher oder elektronischer Form zugegangen. </w:t>
      </w:r>
      <w:r>
        <w:rPr>
          <w:rStyle w:val="Satznummer"/>
        </w:rPr>
        <w:t>2</w:t>
      </w:r>
      <w:r>
        <w:t>Dies gilt auch dann, wenn die Ersetzung der schriftlichen Form durch die elektronische Form ausgeschlossen ist.</w:t>
      </w:r>
    </w:p>
    <w:p>
      <w:pPr>
        <w:pStyle w:val="Heading4"/>
      </w:pPr>
      <w:bookmarkStart w:id="169" w:name="b168"/>
      <w:r>
        <w:t>§ 131 Beifügung von Urkunden</w:t>
      </w:r>
      <w:r>
        <w:t xml:space="preserve"> </w:t>
      </w:r>
      <w:r>
        <w:rPr>
          <w:rStyle w:val="Suchmarke"/>
        </w:rPr>
        <w:t>#131#</w:t>
      </w:r>
      <w:bookmarkEnd w:id="169"/>
    </w:p>
    <w:p>
      <w:r>
        <w:t>(1) Dem vorbereitenden Schriftsatz sind die in den Händen der Partei befindlichen Urkunden, auf die in dem Schriftsatz Bezug genommen wird, in Abschrift beizufügen.</w:t>
      </w:r>
    </w:p>
    <w:p>
      <w:r>
        <w:t>(2) Kommen nur einzelne Teile einer Urkunde in Betracht, so genügt die Beifügung eines Auszugs, der den Eingang, die zur Sache gehörende Stelle, den Schluss, das Datum und die Unterschrift enthält.</w:t>
      </w:r>
    </w:p>
    <w:p>
      <w:r>
        <w:t>(3) Sind die Urkunden dem Gegner bereits bekannt oder von bedeutendem Umfang, so genügt ihre genaue Bezeichnung mit dem Erbieten, Einsicht zu gewähren.</w:t>
      </w:r>
    </w:p>
    <w:p>
      <w:pPr>
        <w:pStyle w:val="Heading4"/>
      </w:pPr>
      <w:bookmarkStart w:id="170" w:name="b169"/>
      <w:r>
        <w:t>§ 132 Fristen für Schriftsätze</w:t>
      </w:r>
      <w:r>
        <w:t xml:space="preserve"> </w:t>
      </w:r>
      <w:r>
        <w:rPr>
          <w:rStyle w:val="Suchmarke"/>
        </w:rPr>
        <w:t>#132#</w:t>
      </w:r>
      <w:bookmarkEnd w:id="170"/>
    </w:p>
    <w:p>
      <w:r>
        <w:t xml:space="preserve">(1) </w:t>
      </w:r>
      <w:r>
        <w:rPr>
          <w:rStyle w:val="Satznummer"/>
        </w:rPr>
        <w:t>1</w:t>
      </w:r>
      <w:r>
        <w:t xml:space="preserve">Der vorbereitende Schriftsatz, der neue Tatsachen oder ein anderes neues Vorbringen enthält, ist so rechtzeitig einzureichen, dass er mindestens eine Woche vor der mündlichen Verhandlung zugestellt werden kann. </w:t>
      </w:r>
      <w:r>
        <w:rPr>
          <w:rStyle w:val="Satznummer"/>
        </w:rPr>
        <w:t>2</w:t>
      </w:r>
      <w:r>
        <w:t>Das Gleiche gilt für einen Schriftsatz, der einen Zwischenstreit betrifft.</w:t>
      </w:r>
    </w:p>
    <w:p>
      <w:r>
        <w:t xml:space="preserve">(2) </w:t>
      </w:r>
      <w:r>
        <w:rPr>
          <w:rStyle w:val="Satznummer"/>
        </w:rPr>
        <w:t>1</w:t>
      </w:r>
      <w:r>
        <w:t xml:space="preserve">Der vorbereitende Schriftsatz, der eine Gegenerklärung auf neues Vorbringen enthält, ist so rechtzeitig einzureichen, dass er mindestens drei Tage vor der mündlichen Verhandlung zugestellt werden kann. </w:t>
      </w:r>
      <w:r>
        <w:rPr>
          <w:rStyle w:val="Satznummer"/>
        </w:rPr>
        <w:t>2</w:t>
      </w:r>
      <w:r>
        <w:t>Dies gilt nicht, wenn es sich um eine schriftliche Gegenerklärung in einem Zwischenstreit handelt.</w:t>
      </w:r>
    </w:p>
    <w:p>
      <w:pPr>
        <w:pStyle w:val="Heading4"/>
      </w:pPr>
      <w:bookmarkStart w:id="171" w:name="b170"/>
      <w:r>
        <w:t>§ 133 Abschriften</w:t>
      </w:r>
      <w:r>
        <w:t xml:space="preserve"> </w:t>
      </w:r>
      <w:r>
        <w:rPr>
          <w:rStyle w:val="Suchmarke"/>
        </w:rPr>
        <w:t>#133#</w:t>
      </w:r>
      <w:bookmarkEnd w:id="171"/>
    </w:p>
    <w:p>
      <w:r>
        <w:t xml:space="preserve">(1) </w:t>
      </w:r>
      <w:r>
        <w:rPr>
          <w:rStyle w:val="Satznummer"/>
        </w:rPr>
        <w:t>1</w:t>
      </w:r>
      <w:r>
        <w:t xml:space="preserve">Die Parteien sollen den Schriftsätzen, die sie bei dem Gericht einreichen, die für die Zustellung erforderliche Zahl von Abschriften der Schriftsätze und deren Anlagen beifügen. </w:t>
      </w:r>
      <w:r>
        <w:rPr>
          <w:rStyle w:val="Satznummer"/>
        </w:rPr>
        <w:t>2</w:t>
      </w:r>
      <w:r>
        <w:t>Das gilt nicht für elektronisch übermittelte Dokumente sowie für Anlagen, die dem Gegner in Urschrift oder in Abschrift vorliegen.</w:t>
      </w:r>
    </w:p>
    <w:p>
      <w:r>
        <w:t>(2) Im Falle der Zustellung von Anwalt zu Anwalt (</w:t>
      </w:r>
      <w:hyperlink w:anchor="b238" w:history="1">
        <w:r>
          <w:rPr>
            <w:color w:val="0A3A8C"/>
            <w:u w:val="single"/>
          </w:rPr>
          <w:t xml:space="preserve">§ 195</w:t>
        </w:r>
      </w:hyperlink>
      <w:r>
        <w:t>) haben die Parteien sofort nach der Zustellung eine für das Prozessgericht bestimmte Abschrift ihrer vorbereitenden Schriftsätze und der Anlagen bei dem Gericht einzureichen.</w:t>
      </w:r>
    </w:p>
    <w:p>
      <w:pPr>
        <w:pStyle w:val="Heading4"/>
      </w:pPr>
      <w:bookmarkStart w:id="172" w:name="b171"/>
      <w:r>
        <w:t>§ 134 Einsicht von Urkunden</w:t>
      </w:r>
      <w:r>
        <w:t xml:space="preserve"> </w:t>
      </w:r>
      <w:r>
        <w:rPr>
          <w:rStyle w:val="Suchmarke"/>
        </w:rPr>
        <w:t>#134#</w:t>
      </w:r>
      <w:bookmarkEnd w:id="172"/>
    </w:p>
    <w:p>
      <w:r>
        <w:t>(1) Die Partei ist, wenn sie rechtzeitig aufgefordert wird, verpflichtet, die in ihren Händen befindlichen Urkunden, auf die sie in einem vorbereitenden Schriftsatz Bezug genommen hat, vor der mündlichen Verhandlung auf der Geschäftsstelle niederzulegen und den Gegner von der Niederlegung zu benachrichtigen.</w:t>
      </w:r>
    </w:p>
    <w:p>
      <w:r>
        <w:t xml:space="preserve">(2) </w:t>
      </w:r>
      <w:r>
        <w:rPr>
          <w:rStyle w:val="Satznummer"/>
        </w:rPr>
        <w:t>1</w:t>
      </w:r>
      <w:r>
        <w:t xml:space="preserve">Der Gegner hat zur Einsicht der Urkunden eine Frist von drei Tagen. </w:t>
      </w:r>
      <w:r>
        <w:rPr>
          <w:rStyle w:val="Satznummer"/>
        </w:rPr>
        <w:t>2</w:t>
      </w:r>
      <w:r>
        <w:t>Die Frist kann auf Antrag von dem Vorsitzenden verlängert oder abgekürzt werden.</w:t>
      </w:r>
    </w:p>
    <w:p>
      <w:pPr>
        <w:pStyle w:val="Heading4"/>
      </w:pPr>
      <w:bookmarkStart w:id="173" w:name="b172"/>
      <w:r>
        <w:t>§ 135 Mitteilung von Urkunden unter Rechtsanwälten</w:t>
      </w:r>
      <w:r>
        <w:t xml:space="preserve"> </w:t>
      </w:r>
      <w:r>
        <w:rPr>
          <w:rStyle w:val="Suchmarke"/>
        </w:rPr>
        <w:t>#135#</w:t>
      </w:r>
      <w:bookmarkEnd w:id="173"/>
    </w:p>
    <w:p>
      <w:r>
        <w:t>(1) Den Rechtsanwälten steht es frei, die Mitteilung von Urkunden von Hand zu Hand gegen Empfangsbescheinigung zu bewirken.</w:t>
      </w:r>
    </w:p>
    <w:p>
      <w:r>
        <w:t>(2) Gibt ein Rechtsanwalt die ihm eingehändigte Urkunde nicht binnen der bestimmten Frist zurück, so ist er auf Antrag nach mündlicher Verhandlung zur unverzüglichen Rückgabe zu verurteilen.</w:t>
      </w:r>
    </w:p>
    <w:p>
      <w:r>
        <w:t>(3) Gegen das Zwischenurteil findet sofortige Beschwerde statt.</w:t>
      </w:r>
    </w:p>
    <w:p>
      <w:pPr>
        <w:pStyle w:val="Heading4"/>
      </w:pPr>
      <w:bookmarkStart w:id="174" w:name="b173"/>
      <w:r>
        <w:t>§ 136 Prozessleitung durch Vorsitzenden</w:t>
      </w:r>
      <w:r>
        <w:t xml:space="preserve"> </w:t>
      </w:r>
      <w:r>
        <w:rPr>
          <w:rStyle w:val="Suchmarke"/>
        </w:rPr>
        <w:t>#136#</w:t>
      </w:r>
      <w:bookmarkEnd w:id="174"/>
    </w:p>
    <w:p>
      <w:r>
        <w:t>(1) Der Vorsitzende eröffnet und leitet die Verhandlung.</w:t>
      </w:r>
    </w:p>
    <w:p>
      <w:r>
        <w:t xml:space="preserve">(2) </w:t>
      </w:r>
      <w:r>
        <w:rPr>
          <w:rStyle w:val="Satznummer"/>
        </w:rPr>
        <w:t>1</w:t>
      </w:r>
      <w:r>
        <w:t xml:space="preserve">Er erteilt das Wort und kann es demjenigen, der seinen Anordnungen nicht Folge leistet, entziehen. </w:t>
      </w:r>
      <w:r>
        <w:rPr>
          <w:rStyle w:val="Satznummer"/>
        </w:rPr>
        <w:t>2</w:t>
      </w:r>
      <w:r>
        <w:t>Er hat jedem Mitglied des Gerichts auf Verlangen zu gestatten, Fragen zu stellen.</w:t>
      </w:r>
    </w:p>
    <w:p>
      <w:r>
        <w:t>(3) Er hat Sorge zu tragen, dass die Sache erschöpfend erörtert und die Verhandlung ohne Unterbrechung zu Ende geführt wird; erforderlichenfalls hat er die Sitzung zur Fortsetzung der Verhandlung sofort zu bestimmen.</w:t>
      </w:r>
    </w:p>
    <w:p>
      <w:r>
        <w:t>(4) Er schließt die Verhandlung, wenn nach Ansicht des Gerichts die Sache vollständig erörtert ist, und verkündet die Urteile und Beschlüsse des Gerichts.</w:t>
      </w:r>
    </w:p>
    <w:p>
      <w:pPr>
        <w:pStyle w:val="Heading4"/>
      </w:pPr>
      <w:bookmarkStart w:id="175" w:name="b174"/>
      <w:r>
        <w:t>§ 137 Gang der mündlichen Verhandlung</w:t>
      </w:r>
      <w:r>
        <w:t xml:space="preserve"> </w:t>
      </w:r>
      <w:r>
        <w:rPr>
          <w:rStyle w:val="Suchmarke"/>
        </w:rPr>
        <w:t>#137#</w:t>
      </w:r>
      <w:bookmarkEnd w:id="175"/>
    </w:p>
    <w:p>
      <w:r>
        <w:t>(1) Die mündliche Verhandlung wird dadurch eingeleitet, dass die Parteien ihre Anträge stellen.</w:t>
      </w:r>
    </w:p>
    <w:p>
      <w:r>
        <w:t>(2) Die Vorträge der Parteien sind in freier Rede zu halten; sie haben das Streitverhältnis in tatsächlicher und rechtlicher Beziehung zu umfassen.</w:t>
      </w:r>
    </w:p>
    <w:p>
      <w:r>
        <w:t xml:space="preserve">(3) </w:t>
      </w:r>
      <w:r>
        <w:rPr>
          <w:rStyle w:val="Satznummer"/>
        </w:rPr>
        <w:t>1</w:t>
      </w:r>
      <w:r>
        <w:t xml:space="preserve">Eine Bezugnahme auf Dokumente ist zulässig, soweit keine der Parteien widerspricht und das Gericht sie für angemessen hält. </w:t>
      </w:r>
      <w:r>
        <w:rPr>
          <w:rStyle w:val="Satznummer"/>
        </w:rPr>
        <w:t>2</w:t>
      </w:r>
      <w:r>
        <w:t>Die Vorlesung von Dokumenten findet nur insoweit statt, als es auf ihren wörtlichen Inhalt ankommt.</w:t>
      </w:r>
    </w:p>
    <w:p>
      <w:r>
        <w:t>(4) In Anwaltsprozessen ist neben dem Anwalt auch der Partei selbst auf Antrag das Wort zu gestatten.</w:t>
      </w:r>
    </w:p>
    <w:p>
      <w:pPr>
        <w:pStyle w:val="Heading4"/>
      </w:pPr>
      <w:bookmarkStart w:id="176" w:name="b175"/>
      <w:r>
        <w:t>§ 138 Erklärungspflicht über Tatsachen; Wahrheitspflicht</w:t>
      </w:r>
      <w:r>
        <w:t xml:space="preserve"> </w:t>
      </w:r>
      <w:r>
        <w:rPr>
          <w:rStyle w:val="Suchmarke"/>
        </w:rPr>
        <w:t>#138#</w:t>
      </w:r>
      <w:bookmarkEnd w:id="176"/>
    </w:p>
    <w:p>
      <w:r>
        <w:t>(1) Die Parteien haben ihre Erklärungen über tatsächliche Umstände vollständig und der Wahrheit gemäß abzugeben.</w:t>
      </w:r>
    </w:p>
    <w:p>
      <w:r>
        <w:t>(2) Jede Partei hat sich über die von dem Gegner behaupteten Tatsachen zu erklären.</w:t>
      </w:r>
    </w:p>
    <w:p>
      <w:r>
        <w:t>(3) Tatsachen, die nicht ausdrücklich bestritten werden, sind als zugestanden anzusehen, wenn nicht die Absicht, sie bestreiten zu wollen, aus den übrigen Erklärungen der Partei hervorgeht.</w:t>
      </w:r>
    </w:p>
    <w:p>
      <w:r>
        <w:t>(4) Eine Erklärung mit Nichtwissen ist nur über Tatsachen zulässig, die weder eigene Handlungen der Partei noch Gegenstand ihrer eigenen Wahrnehmung gewesen sind.</w:t>
      </w:r>
    </w:p>
    <w:p>
      <w:pPr>
        <w:pStyle w:val="Heading4"/>
      </w:pPr>
      <w:bookmarkStart w:id="177" w:name="b176"/>
      <w:r>
        <w:t>§ 139 Materielle Prozessleitung</w:t>
      </w:r>
      <w:r>
        <w:t xml:space="preserve"> </w:t>
      </w:r>
      <w:r>
        <w:rPr>
          <w:rStyle w:val="Suchmarke"/>
        </w:rPr>
        <w:t>#139#</w:t>
      </w:r>
      <w:bookmarkEnd w:id="177"/>
    </w:p>
    <w:p>
      <w:r>
        <w:t xml:space="preserve">(1) </w:t>
      </w:r>
      <w:r>
        <w:rPr>
          <w:rStyle w:val="Satznummer"/>
        </w:rPr>
        <w:t>1</w:t>
      </w:r>
      <w:r>
        <w:t xml:space="preserve">Das Gericht hat das Sach- und Streitverhältnis, soweit erforderlich, mit den Parteien nach der tatsächlichen und rechtlichen Seite zu erörtern und Fragen zu stellen. </w:t>
      </w:r>
      <w:r>
        <w:rPr>
          <w:rStyle w:val="Satznummer"/>
        </w:rPr>
        <w:t>2</w:t>
      </w:r>
      <w:r>
        <w:t xml:space="preserve">Es hat dahin zu wirken, dass die Parteien sich rechtzeitig und vollständig über alle erheblichen Tatsachen erklären, insbesondere ungenügende Angaben zu den geltend gemachten Tatsachen ergänzen, die Beweismittel bezeichnen und die sachdienlichen Anträge stellen. </w:t>
      </w:r>
      <w:r>
        <w:rPr>
          <w:rStyle w:val="Satznummer"/>
        </w:rPr>
        <w:t>3</w:t>
      </w:r>
      <w:r>
        <w:t>Das Gericht kann durch Maßnahmen der Prozessleitung das Verfahren strukturieren und den Streitstoff abschichten.</w:t>
      </w:r>
    </w:p>
    <w:p>
      <w:r>
        <w:t xml:space="preserve">(2) </w:t>
      </w:r>
      <w:r>
        <w:rPr>
          <w:rStyle w:val="Satznummer"/>
        </w:rPr>
        <w:t>1</w:t>
      </w:r>
      <w:r>
        <w:t xml:space="preserve">Auf einen Gesichtspunkt, den eine Partei erkennbar übersehen oder für unerheblich gehalten hat, darf das Gericht, soweit nicht nur eine Nebenforderung betroffen ist, seine Entscheidung nur stützen, wenn es darauf hingewiesen und Gelegenheit zur Äußerung dazu gegeben hat. </w:t>
      </w:r>
      <w:r>
        <w:rPr>
          <w:rStyle w:val="Satznummer"/>
        </w:rPr>
        <w:t>2</w:t>
      </w:r>
      <w:r>
        <w:t>Dasselbe gilt für einen Gesichtspunkt, den das Gericht anders beurteilt als beide Parteien.</w:t>
      </w:r>
    </w:p>
    <w:p>
      <w:r>
        <w:t>(3) Das Gericht hat auf die Bedenken aufmerksam zu machen, die hinsichtlich der von Amts wegen zu berücksichtigenden Punkte bestehen.</w:t>
      </w:r>
    </w:p>
    <w:p>
      <w:r>
        <w:t xml:space="preserve">(4) </w:t>
      </w:r>
      <w:r>
        <w:rPr>
          <w:rStyle w:val="Satznummer"/>
        </w:rPr>
        <w:t>1</w:t>
      </w:r>
      <w:r>
        <w:t xml:space="preserve">Hinweise nach dieser Vorschrift sind so früh wie möglich zu erteilen und aktenkundig zu machen. </w:t>
      </w:r>
      <w:r>
        <w:rPr>
          <w:rStyle w:val="Satznummer"/>
        </w:rPr>
        <w:t>2</w:t>
      </w:r>
      <w:r>
        <w:t xml:space="preserve">Ihre Erteilung kann nur durch den Inhalt der Akten bewiesen werden. </w:t>
      </w:r>
      <w:r>
        <w:rPr>
          <w:rStyle w:val="Satznummer"/>
        </w:rPr>
        <w:t>3</w:t>
      </w:r>
      <w:r>
        <w:t>Gegen den Inhalt der Akten ist nur der Nachweis der Fälschung zulässig.</w:t>
      </w:r>
    </w:p>
    <w:p>
      <w:r>
        <w:t>(5) Ist einer Partei eine sofortige Erklärung zu einem gerichtlichen Hinweis nicht möglich, so soll auf ihren Antrag das Gericht eine Frist bestimmen, in der sie die Erklärung in einem Schriftsatz nachbringen kann.</w:t>
      </w:r>
    </w:p>
    <w:p>
      <w:pPr>
        <w:pStyle w:val="Heading4"/>
      </w:pPr>
      <w:bookmarkStart w:id="178" w:name="b177"/>
      <w:r>
        <w:t>§ 140 Beanstandung von Prozessleitung oder Fragen</w:t>
      </w:r>
      <w:r>
        <w:t xml:space="preserve"> </w:t>
      </w:r>
      <w:r>
        <w:rPr>
          <w:rStyle w:val="Suchmarke"/>
        </w:rPr>
        <w:t>#140#</w:t>
      </w:r>
      <w:bookmarkEnd w:id="178"/>
    </w:p>
    <w:p>
      <w:r>
        <w:t>Wird eine auf die Sachleitung bezügliche Anordnung des Vorsitzenden oder eine von dem Vorsitzenden oder einem Gerichtsmitglied gestellte Frage von einer bei der Verhandlung beteiligten Person als unzulässig beanstandet, so entscheidet das Gericht.</w:t>
      </w:r>
    </w:p>
    <w:p>
      <w:pPr>
        <w:pStyle w:val="Heading4"/>
      </w:pPr>
      <w:bookmarkStart w:id="179" w:name="b178"/>
      <w:r>
        <w:t>§ 141 Anordnung des persönlichen Erscheinens</w:t>
      </w:r>
      <w:r>
        <w:t xml:space="preserve"> </w:t>
      </w:r>
      <w:r>
        <w:rPr>
          <w:rStyle w:val="Suchmarke"/>
        </w:rPr>
        <w:t>#141#</w:t>
      </w:r>
      <w:bookmarkEnd w:id="179"/>
    </w:p>
    <w:p>
      <w:r>
        <w:t xml:space="preserve">(1) </w:t>
      </w:r>
      <w:r>
        <w:rPr>
          <w:rStyle w:val="Satznummer"/>
        </w:rPr>
        <w:t>1</w:t>
      </w:r>
      <w:r>
        <w:t xml:space="preserve">Das Gericht soll das persönliche Erscheinen beider Parteien anordnen, wenn dies zur Aufklärung des Sachverhalts geboten erscheint. </w:t>
      </w:r>
      <w:r>
        <w:rPr>
          <w:rStyle w:val="Satznummer"/>
        </w:rPr>
        <w:t>2</w:t>
      </w:r>
      <w:r>
        <w:t xml:space="preserve">Das Gericht kann das persönliche Erscheinen auch als Teilnahme an einer Videoverhandlung nach </w:t>
      </w:r>
      <w:hyperlink w:anchor="b159" w:history="1">
        <w:r>
          <w:rPr>
            <w:color w:val="0A3A8C"/>
            <w:u w:val="single"/>
          </w:rPr>
          <w:t xml:space="preserve">§ 128a</w:t>
        </w:r>
      </w:hyperlink>
      <w:r>
        <w:t xml:space="preserve"> gestatten oder anordnen. </w:t>
      </w:r>
      <w:r>
        <w:rPr>
          <w:rStyle w:val="Satznummer"/>
        </w:rPr>
        <w:t>3</w:t>
      </w:r>
      <w:r>
        <w:t>Ist einer Partei aus wichtigem Grund das persönliche Erscheinen in dem Termin nicht zuzumuten, so sieht das Gericht von der Anordnung ihres persönlichen Erscheinens ab.</w:t>
      </w:r>
    </w:p>
    <w:p>
      <w:r>
        <w:t xml:space="preserve">(2) </w:t>
      </w:r>
      <w:r>
        <w:rPr>
          <w:rStyle w:val="Satznummer"/>
        </w:rPr>
        <w:t>1</w:t>
      </w:r>
      <w:r>
        <w:t xml:space="preserve">Wird das Erscheinen angeordnet, so ist die Partei von Amts wegen zu laden. </w:t>
      </w:r>
      <w:r>
        <w:rPr>
          <w:rStyle w:val="Satznummer"/>
        </w:rPr>
        <w:t>2</w:t>
      </w:r>
      <w:r>
        <w:t>Die Ladung ist der Partei selbst mitzuteilen, auch wenn sie einen Prozessbevollmächtigten bestellt hat; der Zustellung bedarf die Ladung nicht.</w:t>
      </w:r>
    </w:p>
    <w:p>
      <w:r>
        <w:t xml:space="preserve">(3) </w:t>
      </w:r>
      <w:r>
        <w:rPr>
          <w:rStyle w:val="Satznummer"/>
        </w:rPr>
        <w:t>1</w:t>
      </w:r>
      <w:r>
        <w:t xml:space="preserve">Bleibt die Partei im Termin aus, so kann gegen sie Ordnungsgeld wie gegen einen im Vernehmungstermin nicht erschienenen Zeugen festgesetzt werden. </w:t>
      </w:r>
      <w:r>
        <w:rPr>
          <w:rStyle w:val="Satznummer"/>
        </w:rPr>
        <w:t>2</w:t>
      </w:r>
      <w:r>
        <w:t xml:space="preserve">Dies gilt nicht, wenn die Partei zur Verhandlung einen Vertreter entsendet, der zur Aufklärung des Tatbestandes in der Lage und zur Abgabe der gebotenen Erklärungen, insbesondere zu einem Vergleichsabschluss, ermächtigt ist. </w:t>
      </w:r>
      <w:r>
        <w:rPr>
          <w:rStyle w:val="Satznummer"/>
        </w:rPr>
        <w:t>3</w:t>
      </w:r>
      <w:r>
        <w:t>Die Partei ist auf die Folgen ihres Ausbleibens in der Ladung hinzuweisen.</w:t>
      </w:r>
    </w:p>
    <w:p>
      <w:pPr>
        <w:pStyle w:val="Heading4"/>
      </w:pPr>
      <w:bookmarkStart w:id="180" w:name="b179"/>
      <w:r>
        <w:t>§ 142 Anordnung der Urkundenvorlegung</w:t>
      </w:r>
      <w:r>
        <w:t xml:space="preserve"> </w:t>
      </w:r>
      <w:r>
        <w:rPr>
          <w:rStyle w:val="Suchmarke"/>
        </w:rPr>
        <w:t>#142#</w:t>
      </w:r>
      <w:bookmarkEnd w:id="180"/>
    </w:p>
    <w:p>
      <w:r>
        <w:t xml:space="preserve">(1) </w:t>
      </w:r>
      <w:r>
        <w:rPr>
          <w:rStyle w:val="Satznummer"/>
        </w:rPr>
        <w:t>1</w:t>
      </w:r>
      <w:r>
        <w:t xml:space="preserve">Das Gericht kann anordnen, dass eine Partei oder ein Dritter die in ihrem oder seinem Besitz befindlichen Urkunden und sonstigen Unterlagen, auf die sich eine Partei bezogen hat, vorlegt. </w:t>
      </w:r>
      <w:r>
        <w:rPr>
          <w:rStyle w:val="Satznummer"/>
        </w:rPr>
        <w:t>2</w:t>
      </w:r>
      <w:r>
        <w:t>Das Gericht kann hierfür eine Frist setzen sowie anordnen, dass die vorgelegten Unterlagen während einer von ihm zu bestimmenden Zeit auf der Geschäftsstelle verbleiben.</w:t>
      </w:r>
    </w:p>
    <w:p>
      <w:r>
        <w:t xml:space="preserve">(2) </w:t>
      </w:r>
      <w:r>
        <w:rPr>
          <w:rStyle w:val="Satznummer"/>
        </w:rPr>
        <w:t>1</w:t>
      </w:r>
      <w:r>
        <w:t xml:space="preserve">Dritte sind zur Vorlegung nicht verpflichtet, soweit ihnen diese nicht zumutbar ist oder sie zur Zeugnisverweigerung gemäß den </w:t>
      </w:r>
      <w:hyperlink w:anchor="b444" w:history="1">
        <w:r>
          <w:rPr>
            <w:color w:val="0A3A8C"/>
            <w:u w:val="single"/>
          </w:rPr>
          <w:t xml:space="preserve">§§ 383</w:t>
        </w:r>
      </w:hyperlink>
      <w:r>
        <w:t xml:space="preserve"> bis </w:t>
      </w:r>
      <w:hyperlink w:anchor="b446" w:history="1">
        <w:r>
          <w:rPr>
            <w:color w:val="0A3A8C"/>
            <w:u w:val="single"/>
          </w:rPr>
          <w:t xml:space="preserve">385</w:t>
        </w:r>
      </w:hyperlink>
      <w:r>
        <w:t xml:space="preserve"> berechtigt sind. </w:t>
      </w:r>
      <w:r>
        <w:rPr>
          <w:rStyle w:val="Satznummer"/>
        </w:rPr>
        <w:t>2</w:t>
      </w:r>
      <w:r>
        <w:t xml:space="preserve">Die </w:t>
      </w:r>
      <w:hyperlink w:anchor="b447" w:history="1">
        <w:r>
          <w:rPr>
            <w:color w:val="0A3A8C"/>
            <w:u w:val="single"/>
          </w:rPr>
          <w:t xml:space="preserve">§§ 386</w:t>
        </w:r>
      </w:hyperlink>
      <w:r>
        <w:t xml:space="preserve"> bis </w:t>
      </w:r>
      <w:hyperlink w:anchor="b451" w:history="1">
        <w:r>
          <w:rPr>
            <w:color w:val="0A3A8C"/>
            <w:u w:val="single"/>
          </w:rPr>
          <w:t xml:space="preserve">390</w:t>
        </w:r>
      </w:hyperlink>
      <w:r>
        <w:t xml:space="preserve"> gelten entsprechend.</w:t>
      </w:r>
    </w:p>
    <w:p>
      <w:r>
        <w:t xml:space="preserve">(3) </w:t>
      </w:r>
      <w:r>
        <w:rPr>
          <w:rStyle w:val="Satznummer"/>
        </w:rPr>
        <w:t>1</w:t>
      </w:r>
      <w:r>
        <w:t xml:space="preserve">Das Gericht kann anordnen, dass von in fremder Sprache abgefassten Urkunden eine Übersetzung beigebracht wird, die ein Übersetzer angefertigt hat, der für Sprachübertragungen der betreffenden Art in einem Land nach den landesrechtlichen Vorschriften ermächtigt oder öffentlich bestellt wurde oder einem solchen Übersetzer jeweils gleichgestellt ist. </w:t>
      </w:r>
      <w:r>
        <w:rPr>
          <w:rStyle w:val="Satznummer"/>
        </w:rPr>
        <w:t>2</w:t>
      </w:r>
      <w:r>
        <w:t xml:space="preserve">Eine solche Übersetzung gilt als richtig und vollständig, wenn dies von dem Übersetzer bescheinigt wird. </w:t>
      </w:r>
      <w:r>
        <w:rPr>
          <w:rStyle w:val="Satznummer"/>
        </w:rPr>
        <w:t>3</w:t>
      </w:r>
      <w:r>
        <w:t xml:space="preserve">Die Bescheinigung soll auf die Übersetzung gesetzt werden, Ort und Tag der Übersetzung sowie die Stellung des Übersetzers angeben und von ihm unterschrieben werden. </w:t>
      </w:r>
      <w:r>
        <w:rPr>
          <w:rStyle w:val="Satznummer"/>
        </w:rPr>
        <w:t>4</w:t>
      </w:r>
      <w:r>
        <w:t xml:space="preserve">Der Beweis der Unrichtigkeit oder Unvollständigkeit der Übersetzung ist zulässig. </w:t>
      </w:r>
      <w:r>
        <w:rPr>
          <w:rStyle w:val="Satznummer"/>
        </w:rPr>
        <w:t>5</w:t>
      </w:r>
      <w:r>
        <w:t>Die Anordnung nach Satz 1 kann nicht gegenüber dem Dritten ergehen.</w:t>
      </w:r>
    </w:p>
    <w:p>
      <w:pPr>
        <w:pStyle w:val="Heading4"/>
      </w:pPr>
      <w:bookmarkStart w:id="181" w:name="b180"/>
      <w:r>
        <w:t>§ 143 Anordnung der Aktenübermittlung</w:t>
      </w:r>
      <w:r>
        <w:t xml:space="preserve"> </w:t>
      </w:r>
      <w:r>
        <w:rPr>
          <w:rStyle w:val="Suchmarke"/>
        </w:rPr>
        <w:t>#143#</w:t>
      </w:r>
      <w:bookmarkEnd w:id="181"/>
    </w:p>
    <w:p>
      <w:r>
        <w:t>Das Gericht kann anordnen, dass die Parteien die in ihrem Besitz befindlichen Akten vorlegen, soweit diese aus Dokumenten bestehen, welche die Verhandlung und Entscheidung der Sache betreffen.</w:t>
      </w:r>
    </w:p>
    <w:p>
      <w:pPr>
        <w:pStyle w:val="Heading4"/>
      </w:pPr>
      <w:bookmarkStart w:id="182" w:name="b181"/>
      <w:r>
        <w:t>§ 144 Augenschein; Sachverständige</w:t>
      </w:r>
      <w:r>
        <w:t xml:space="preserve"> </w:t>
      </w:r>
      <w:r>
        <w:rPr>
          <w:rStyle w:val="Suchmarke"/>
        </w:rPr>
        <w:t>#144#</w:t>
      </w:r>
      <w:bookmarkEnd w:id="182"/>
    </w:p>
    <w:p>
      <w:r>
        <w:t xml:space="preserve">(1) </w:t>
      </w:r>
      <w:r>
        <w:rPr>
          <w:rStyle w:val="Satznummer"/>
        </w:rPr>
        <w:t>1</w:t>
      </w:r>
      <w:r>
        <w:t xml:space="preserve">Das Gericht kann die Einnahme des Augenscheins sowie die Hinzuziehung von Sachverständigen anordnen. </w:t>
      </w:r>
      <w:r>
        <w:rPr>
          <w:rStyle w:val="Satznummer"/>
        </w:rPr>
        <w:t>2</w:t>
      </w:r>
      <w:r>
        <w:t xml:space="preserve">Es kann zu diesem Zweck einer Partei oder einem Dritten die Vorlegung eines in ihrem oder seinem Besitz befindlichen Gegenstandes aufgeben und hierfür eine Frist setzen. </w:t>
      </w:r>
      <w:r>
        <w:rPr>
          <w:rStyle w:val="Satznummer"/>
        </w:rPr>
        <w:t>3</w:t>
      </w:r>
      <w:r>
        <w:t>Es kann auch die Duldung der Maßnahme nach Satz 1 aufgeben, sofern nicht eine Wohnung betroffen ist.</w:t>
      </w:r>
    </w:p>
    <w:p>
      <w:r>
        <w:t xml:space="preserve">(2) </w:t>
      </w:r>
      <w:r>
        <w:rPr>
          <w:rStyle w:val="Satznummer"/>
        </w:rPr>
        <w:t>1</w:t>
      </w:r>
      <w:r>
        <w:t xml:space="preserve">Dritte sind zur Vorlegung oder Duldung nicht verpflichtet, soweit ihnen diese nicht zumutbar ist oder sie zur Zeugnisverweigerung gemäß den </w:t>
      </w:r>
      <w:hyperlink w:anchor="b444" w:history="1">
        <w:r>
          <w:rPr>
            <w:color w:val="0A3A8C"/>
            <w:u w:val="single"/>
          </w:rPr>
          <w:t xml:space="preserve">§§ 383</w:t>
        </w:r>
      </w:hyperlink>
      <w:r>
        <w:t xml:space="preserve"> bis </w:t>
      </w:r>
      <w:hyperlink w:anchor="b446" w:history="1">
        <w:r>
          <w:rPr>
            <w:color w:val="0A3A8C"/>
            <w:u w:val="single"/>
          </w:rPr>
          <w:t xml:space="preserve">385</w:t>
        </w:r>
      </w:hyperlink>
      <w:r>
        <w:t xml:space="preserve"> berechtigt sind. </w:t>
      </w:r>
      <w:r>
        <w:rPr>
          <w:rStyle w:val="Satznummer"/>
        </w:rPr>
        <w:t>2</w:t>
      </w:r>
      <w:r>
        <w:t xml:space="preserve">Die </w:t>
      </w:r>
      <w:hyperlink w:anchor="b447" w:history="1">
        <w:r>
          <w:rPr>
            <w:color w:val="0A3A8C"/>
            <w:u w:val="single"/>
          </w:rPr>
          <w:t xml:space="preserve">§§ 386</w:t>
        </w:r>
      </w:hyperlink>
      <w:r>
        <w:t xml:space="preserve"> bis </w:t>
      </w:r>
      <w:hyperlink w:anchor="b451" w:history="1">
        <w:r>
          <w:rPr>
            <w:color w:val="0A3A8C"/>
            <w:u w:val="single"/>
          </w:rPr>
          <w:t xml:space="preserve">390</w:t>
        </w:r>
      </w:hyperlink>
      <w:r>
        <w:t xml:space="preserve"> gelten entsprechend.</w:t>
      </w:r>
    </w:p>
    <w:p>
      <w:r>
        <w:t>(3) Die Vorschriften, die eine auf Antrag angeordnete Einnahme des Augenscheins oder Begutachtung durch Sachverständige zum Gegenstand haben, sind entsprechend anzuwenden.</w:t>
      </w:r>
    </w:p>
    <w:p>
      <w:pPr>
        <w:pStyle w:val="Heading4"/>
      </w:pPr>
      <w:bookmarkStart w:id="183" w:name="b182"/>
      <w:r>
        <w:t>§ 145 Prozesstrennung</w:t>
      </w:r>
      <w:r>
        <w:t xml:space="preserve"> </w:t>
      </w:r>
      <w:r>
        <w:rPr>
          <w:rStyle w:val="Suchmarke"/>
        </w:rPr>
        <w:t>#145#</w:t>
      </w:r>
      <w:bookmarkEnd w:id="183"/>
    </w:p>
    <w:p>
      <w:r>
        <w:t xml:space="preserve">(1) </w:t>
      </w:r>
      <w:r>
        <w:rPr>
          <w:rStyle w:val="Satznummer"/>
        </w:rPr>
        <w:t>1</w:t>
      </w:r>
      <w:r>
        <w:t xml:space="preserve">Das Gericht kann anordnen, dass mehrere in einer Klage erhobene Ansprüche in getrennten Prozessen verhandelt werden, wenn dies aus sachlichen Gründen gerechtfertigt ist. </w:t>
      </w:r>
      <w:r>
        <w:rPr>
          <w:rStyle w:val="Satznummer"/>
        </w:rPr>
        <w:t>2</w:t>
      </w:r>
      <w:r>
        <w:t>Die Entscheidung ergeht durch Beschluss und ist zu begründen.</w:t>
      </w:r>
    </w:p>
    <w:p>
      <w:r>
        <w:t>(2) Das Gleiche gilt, wenn der Beklagte eine Widerklage erhoben hat und der Gegenanspruch mit dem in der Klage geltend gemachten Anspruch nicht in rechtlichem Zusammenhang steht.</w:t>
      </w:r>
    </w:p>
    <w:p>
      <w:r>
        <w:t xml:space="preserve">(3) Macht der Beklagte die Aufrechnung einer Gegenforderung geltend, die mit der in der Klage geltend gemachten Forderung nicht in rechtlichem Zusammenhang steht, so kann das Gericht anordnen, dass über die Klage und über die Aufrechnung getrennt verhandelt werde; die Vorschriften des </w:t>
      </w:r>
      <w:hyperlink w:anchor="b343" w:history="1">
        <w:r>
          <w:rPr>
            <w:color w:val="0A3A8C"/>
            <w:u w:val="single"/>
          </w:rPr>
          <w:t xml:space="preserve">§ 302</w:t>
        </w:r>
      </w:hyperlink>
      <w:r>
        <w:t xml:space="preserve"> sind anzuwenden.</w:t>
      </w:r>
    </w:p>
    <w:p>
      <w:pPr>
        <w:pStyle w:val="Heading4"/>
      </w:pPr>
      <w:bookmarkStart w:id="184" w:name="b183"/>
      <w:r>
        <w:t>§ 146 Beschränkung auf einzelne Angriffs- und Verteidigungsmittel</w:t>
      </w:r>
      <w:r>
        <w:t xml:space="preserve"> </w:t>
      </w:r>
      <w:r>
        <w:rPr>
          <w:rStyle w:val="Suchmarke"/>
        </w:rPr>
        <w:t>#146#</w:t>
      </w:r>
      <w:bookmarkEnd w:id="184"/>
    </w:p>
    <w:p>
      <w:r>
        <w:t>Das Gericht kann anordnen, dass bei mehreren auf denselben Anspruch sich beziehenden selbständigen Angriffs- oder Verteidigungsmitteln (Klagegründen, Einreden, Repliken usw.) die Verhandlung zunächst auf eines oder einige dieser Angriffs- oder Verteidigungsmittel zu beschränken sei.</w:t>
      </w:r>
    </w:p>
    <w:p>
      <w:pPr>
        <w:pStyle w:val="Heading4"/>
      </w:pPr>
      <w:bookmarkStart w:id="185" w:name="b184"/>
      <w:r>
        <w:t>§ 147 Prozessverbindung</w:t>
      </w:r>
      <w:r>
        <w:t xml:space="preserve"> </w:t>
      </w:r>
      <w:r>
        <w:rPr>
          <w:rStyle w:val="Suchmarke"/>
        </w:rPr>
        <w:t>#147#</w:t>
      </w:r>
      <w:bookmarkEnd w:id="185"/>
    </w:p>
    <w:p>
      <w:r>
        <w:t>Das Gericht kann die Verbindung mehrerer bei ihm anhängiger Prozesse derselben oder verschiedener Parteien zum Zwecke der gleichzeitigen Verhandlung und Entscheidung anordnen, wenn die Ansprüche, die den Gegenstand dieser Prozesse bilden, in rechtlichem Zusammenhang stehen oder in einer Klage hätten geltend gemacht werden können.</w:t>
      </w:r>
    </w:p>
    <w:p>
      <w:pPr>
        <w:pStyle w:val="Heading4"/>
      </w:pPr>
      <w:bookmarkStart w:id="186" w:name="b185"/>
      <w:r>
        <w:t>§ 148 Aussetzung bei Vorgreiflichkeit</w:t>
      </w:r>
      <w:r>
        <w:t xml:space="preserve"> </w:t>
      </w:r>
      <w:r>
        <w:rPr>
          <w:rStyle w:val="Suchmarke"/>
        </w:rPr>
        <w:t>#148#</w:t>
      </w:r>
      <w:bookmarkEnd w:id="186"/>
    </w:p>
    <w:p>
      <w:r>
        <w:t>(1) Das Gericht kann, wenn die Entscheidung des Rechtsstreits ganz oder zum Teil von dem Bestehen oder Nichtbestehen eines Rechtsverhältnisses abhängt, das den Gegenstand eines anderen anhängigen Rechtsstreits bildet oder von einer Verwaltungsbehörde festzustellen ist, anordnen, dass die Verhandlung bis zur Erledigung des anderen Rechtsstreits oder bis zur Entscheidung der Verwaltungsbehörde auszusetzen sei.</w:t>
      </w:r>
    </w:p>
    <w:p>
      <w:r>
        <w:t>(2) Das Gericht kann ferner, wenn die Entscheidung des Rechtsstreits ganz oder zum Teil von dem Bestehen oder Nichtbestehen von Rechtsverhältnissen oder Rechtsfragen abhängt, die Gegenstand einer Verbandsklage nach dem Verbraucherrechtedurchsetzungsgesetz sind, auf Antrag des Klägers, der nicht Verbraucher oder nach diesem Gesetz einem Verbraucher gleichgestellt ist, anordnen, dass die Verhandlung bis zur rechtskräftigen Entscheidung oder sonstigen Erledigung des Verbandsklageverfahrens auszusetzen sei.</w:t>
      </w:r>
    </w:p>
    <w:p>
      <w:r>
        <w:t xml:space="preserve">(3) Das Gericht kann, wenn eine für die Entscheidung des Rechtsstreits erhebliche Beweisfrage bereits Gegenstand einer schriftlichen Begutachtung durch einen in einem anderen Verfahren ernannten Sachverständigen ist, anordnen, dass die Verhandlung bis zur Vorlage des nach </w:t>
      </w:r>
      <w:hyperlink w:anchor="b476" w:history="1">
        <w:r>
          <w:rPr>
            <w:color w:val="0A3A8C"/>
            <w:u w:val="single"/>
          </w:rPr>
          <w:t xml:space="preserve">§ 411a</w:t>
        </w:r>
      </w:hyperlink>
      <w:r>
        <w:t xml:space="preserve"> verwertbaren Gutachtens ausgesetzt wird.</w:t>
      </w:r>
    </w:p>
    <w:p>
      <w:r>
        <w:t xml:space="preserve">(4) </w:t>
      </w:r>
      <w:r>
        <w:rPr>
          <w:rStyle w:val="Satznummer"/>
        </w:rPr>
        <w:t>1</w:t>
      </w:r>
      <w:r>
        <w:t xml:space="preserve">Das Gericht kann ferner, wenn die Entscheidung des Rechtsstreits von Rechtsfragen abhängt, die den Gegenstand eines bei dem Revisionsgericht anhängigen Leitentscheidungsverfahrens bilden, nach Anhörung der Parteien anordnen, dass die Verhandlung bis zur Erledigung des Leitentscheidungsverfahrens auszusetzen ist. </w:t>
      </w:r>
      <w:r>
        <w:rPr>
          <w:rStyle w:val="Satznummer"/>
        </w:rPr>
        <w:t>2</w:t>
      </w:r>
      <w:r>
        <w:t xml:space="preserve">Eine Aussetzung hat zu unterbleiben, wenn eine Partei der Aussetzung widerspricht und gewichtige Gründe hierfür glaubhaft macht. </w:t>
      </w:r>
      <w:r>
        <w:rPr>
          <w:rStyle w:val="Satznummer"/>
        </w:rPr>
        <w:t>3</w:t>
      </w:r>
      <w:hyperlink w:anchor="b186" w:history="1">
        <w:r>
          <w:rPr>
            <w:color w:val="0A3A8C"/>
            <w:u w:val="single"/>
          </w:rPr>
          <w:t xml:space="preserve">§ 149</w:t>
        </w:r>
      </w:hyperlink>
      <w:r>
        <w:t xml:space="preserve"> Absatz 2 gilt entsprechend.</w:t>
      </w:r>
    </w:p>
    <w:p>
      <w:pPr>
        <w:pStyle w:val="Heading4"/>
      </w:pPr>
      <w:bookmarkStart w:id="187" w:name="b186"/>
      <w:r>
        <w:t>§ 149 Aussetzung bei Verdacht einer Straftat</w:t>
      </w:r>
      <w:r>
        <w:t xml:space="preserve"> </w:t>
      </w:r>
      <w:r>
        <w:rPr>
          <w:rStyle w:val="Suchmarke"/>
        </w:rPr>
        <w:t>#149#</w:t>
      </w:r>
      <w:bookmarkEnd w:id="187"/>
    </w:p>
    <w:p>
      <w:r>
        <w:t>(1) Das Gericht kann, wenn sich im Laufe eines Rechtsstreits der Verdacht einer Straftat ergibt, deren Ermittlung auf die Entscheidung von Einfluss ist, die Aussetzung der Verhandlung bis zur Erledigung des Strafverfahrens anordnen.</w:t>
      </w:r>
    </w:p>
    <w:p>
      <w:r>
        <w:t xml:space="preserve">(2) </w:t>
      </w:r>
      <w:r>
        <w:rPr>
          <w:rStyle w:val="Satznummer"/>
        </w:rPr>
        <w:t>1</w:t>
      </w:r>
      <w:r>
        <w:t xml:space="preserve">Das Gericht hat die Verhandlung auf Antrag einer Partei fortzusetzen, wenn seit der Aussetzung ein Jahr vergangen ist. </w:t>
      </w:r>
      <w:r>
        <w:rPr>
          <w:rStyle w:val="Satznummer"/>
        </w:rPr>
        <w:t>2</w:t>
      </w:r>
      <w:r>
        <w:t>Dies gilt nicht, wenn gewichtige Gründe für die Aufrechterhaltung der Aussetzung sprechen.</w:t>
      </w:r>
    </w:p>
    <w:p>
      <w:pPr>
        <w:pStyle w:val="Heading4"/>
      </w:pPr>
      <w:bookmarkStart w:id="188" w:name="b187"/>
      <w:r>
        <w:t>§ 150 Aufhebung von Trennung, Verbindung oder Aussetzung</w:t>
      </w:r>
      <w:r>
        <w:t xml:space="preserve"> </w:t>
      </w:r>
      <w:r>
        <w:rPr>
          <w:rStyle w:val="Suchmarke"/>
        </w:rPr>
        <w:t>#150#</w:t>
      </w:r>
      <w:bookmarkEnd w:id="188"/>
    </w:p>
    <w:p>
      <w:r>
        <w:rPr>
          <w:rStyle w:val="Satznummer"/>
        </w:rPr>
        <w:t>1</w:t>
      </w:r>
      <w:r>
        <w:t xml:space="preserve">Das Gericht kann die von ihm erlassenen, eine Trennung, Verbindung oder Aussetzung betreffenden Anordnungen wieder aufheben. </w:t>
      </w:r>
      <w:r>
        <w:rPr>
          <w:rStyle w:val="Satznummer"/>
        </w:rPr>
        <w:t>2</w:t>
      </w:r>
      <w:hyperlink w:anchor="b186" w:history="1">
        <w:r>
          <w:rPr>
            <w:color w:val="0A3A8C"/>
            <w:u w:val="single"/>
          </w:rPr>
          <w:t xml:space="preserve">§ 149</w:t>
        </w:r>
      </w:hyperlink>
      <w:r>
        <w:t xml:space="preserve"> Abs. 2 bleibt unberührt.</w:t>
      </w:r>
    </w:p>
    <w:p>
      <w:pPr>
        <w:pStyle w:val="Heading4"/>
      </w:pPr>
      <w:bookmarkStart w:id="189" w:name="b188"/>
      <w:r>
        <w:t>§ 151</w:t>
      </w:r>
      <w:r>
        <w:t xml:space="preserve"> </w:t>
      </w:r>
      <w:r>
        <w:rPr>
          <w:rStyle w:val="Suchmarke"/>
        </w:rPr>
        <w:t>#151#</w:t>
      </w:r>
      <w:bookmarkEnd w:id="189"/>
    </w:p>
    <w:p>
      <w:r>
        <w:t>(weggefallen)</w:t>
      </w:r>
    </w:p>
    <w:p>
      <w:pPr>
        <w:pStyle w:val="Heading4"/>
      </w:pPr>
      <w:bookmarkStart w:id="190" w:name="b189"/>
      <w:r>
        <w:t>§ 152 Aussetzung bei Eheaufhebungsantrag</w:t>
      </w:r>
      <w:r>
        <w:t xml:space="preserve"> </w:t>
      </w:r>
      <w:r>
        <w:rPr>
          <w:rStyle w:val="Suchmarke"/>
        </w:rPr>
        <w:t>#152#</w:t>
      </w:r>
      <w:bookmarkEnd w:id="190"/>
    </w:p>
    <w:p>
      <w:r>
        <w:rPr>
          <w:rStyle w:val="Satznummer"/>
        </w:rPr>
        <w:t>1</w:t>
      </w:r>
      <w:r>
        <w:t xml:space="preserve">Hängt die Entscheidung eines Rechtsstreits davon ab, ob eine Ehe aufhebbar ist, und ist die Aufhebung beantragt, so hat das Gericht auf Antrag das Verfahren auszusetzen. </w:t>
      </w:r>
      <w:r>
        <w:rPr>
          <w:rStyle w:val="Satznummer"/>
        </w:rPr>
        <w:t>2</w:t>
      </w:r>
      <w:r>
        <w:t>Ist das Verfahren über die Aufhebung erledigt, so findet die Aufnahme des ausgesetzten Verfahrens statt.</w:t>
      </w:r>
    </w:p>
    <w:p>
      <w:pPr>
        <w:pStyle w:val="Heading4"/>
      </w:pPr>
      <w:bookmarkStart w:id="191" w:name="b190"/>
      <w:r>
        <w:t>§ 153 Aussetzung bei Vaterschaftsanfechtungsklage</w:t>
      </w:r>
      <w:r>
        <w:t xml:space="preserve"> </w:t>
      </w:r>
      <w:r>
        <w:rPr>
          <w:rStyle w:val="Suchmarke"/>
        </w:rPr>
        <w:t>#153#</w:t>
      </w:r>
      <w:bookmarkEnd w:id="191"/>
    </w:p>
    <w:p>
      <w:r>
        <w:t xml:space="preserve">Hängt die Entscheidung eines Rechtsstreits davon ab, ob ein Mann, dessen Vaterschaft im Wege der Anfechtungsklage angefochten worden ist, der Vater des Kindes ist, so gelten die Vorschriften des </w:t>
      </w:r>
      <w:hyperlink w:anchor="b189" w:history="1">
        <w:r>
          <w:rPr>
            <w:color w:val="0A3A8C"/>
            <w:u w:val="single"/>
          </w:rPr>
          <w:t xml:space="preserve">§ 152</w:t>
        </w:r>
      </w:hyperlink>
      <w:r>
        <w:t xml:space="preserve"> entsprechend.</w:t>
      </w:r>
    </w:p>
    <w:p>
      <w:pPr>
        <w:pStyle w:val="Heading4"/>
      </w:pPr>
      <w:bookmarkStart w:id="192" w:name="b191"/>
      <w:r>
        <w:t>§ 154 Aussetzung bei Ehe- oder Kindschaftsstreit</w:t>
      </w:r>
      <w:r>
        <w:t xml:space="preserve"> </w:t>
      </w:r>
      <w:r>
        <w:rPr>
          <w:rStyle w:val="Suchmarke"/>
        </w:rPr>
        <w:t>#154#</w:t>
      </w:r>
      <w:bookmarkEnd w:id="192"/>
    </w:p>
    <w:p>
      <w:r>
        <w:t>(1) Wird im Laufe eines Rechtsstreits streitig, ob zwischen den Parteien eine Ehe oder eine Lebenspartnerschaft bestehe oder nicht bestehe, und hängt von der Entscheidung dieser Frage die Entscheidung des Rechtsstreits ab, so hat das Gericht auf Antrag das Verfahren auszusetzen, bis der Streit über das Bestehen oder Nichtbestehen der Ehe oder der Lebenspartnerschaft im Wege der Feststellungsklage erledigt ist.</w:t>
      </w:r>
    </w:p>
    <w:p>
      <w:r>
        <w:t>(2) Diese Vorschrift gilt entsprechend, wenn im Laufe eines Rechtsstreits streitig wird, ob zwischen den Parteien ein Eltern- und Kindesverhältnis bestehe oder nicht bestehe oder ob der einen Partei die elterliche Sorge für die andere zustehe oder nicht zustehe, und von der Entscheidung dieser Fragen die Entscheidung des Rechtsstreits abhängt.</w:t>
      </w:r>
    </w:p>
    <w:p>
      <w:pPr>
        <w:pStyle w:val="Heading4"/>
      </w:pPr>
      <w:bookmarkStart w:id="193" w:name="b192"/>
      <w:r>
        <w:t>§ 155 Aufhebung der Aussetzung bei Verzögerung</w:t>
      </w:r>
      <w:r>
        <w:t xml:space="preserve"> </w:t>
      </w:r>
      <w:r>
        <w:rPr>
          <w:rStyle w:val="Suchmarke"/>
        </w:rPr>
        <w:t>#155#</w:t>
      </w:r>
      <w:bookmarkEnd w:id="193"/>
    </w:p>
    <w:p>
      <w:r>
        <w:t xml:space="preserve">In den Fällen der </w:t>
      </w:r>
      <w:hyperlink w:anchor="b189" w:history="1">
        <w:r>
          <w:rPr>
            <w:color w:val="0A3A8C"/>
            <w:u w:val="single"/>
          </w:rPr>
          <w:t xml:space="preserve">§§ 152</w:t>
        </w:r>
      </w:hyperlink>
      <w:r>
        <w:t xml:space="preserve">, </w:t>
      </w:r>
      <w:hyperlink w:anchor="b190" w:history="1">
        <w:r>
          <w:rPr>
            <w:color w:val="0A3A8C"/>
            <w:u w:val="single"/>
          </w:rPr>
          <w:t xml:space="preserve">153</w:t>
        </w:r>
      </w:hyperlink>
      <w:r>
        <w:t xml:space="preserve"> kann das Gericht auf Antrag die Anordnung, durch die das Verfahren ausgesetzt ist, aufheben, wenn die Betreibung des Rechtsstreits, der zu der Aussetzung Anlass gegeben hat, verzögert wird.</w:t>
      </w:r>
    </w:p>
    <w:p>
      <w:pPr>
        <w:pStyle w:val="Heading4"/>
      </w:pPr>
      <w:bookmarkStart w:id="194" w:name="b193"/>
      <w:r>
        <w:t>§ 156 Wiedereröffnung der Verhandlung</w:t>
      </w:r>
      <w:r>
        <w:t xml:space="preserve"> </w:t>
      </w:r>
      <w:r>
        <w:rPr>
          <w:rStyle w:val="Suchmarke"/>
        </w:rPr>
        <w:t>#156#</w:t>
      </w:r>
      <w:bookmarkEnd w:id="194"/>
    </w:p>
    <w:p>
      <w:r>
        <w:t>(1) Das Gericht kann die Wiedereröffnung einer Verhandlung, die geschlossen war, anordnen.</w:t>
      </w:r>
    </w:p>
    <w:p>
      <w:r>
        <w:t>(2) Das Gericht hat die Wiedereröffnung insbesondere anzuordnen, wenn</w:t>
      </w:r>
    </w:p>
    <w:p>
      <w:pPr>
        <w:tabs>
          <w:tab w:pos="567" w:val="left"/>
        </w:tabs>
        <w:ind w:left="567" w:hanging="567"/>
      </w:pPr>
      <w:r>
        <w:t>1.</w:t>
      </w:r>
      <w:r>
        <w:tab/>
      </w:r>
      <w:r>
        <w:t>das Gericht einen entscheidungserheblichen und rügbaren Verfahrensfehler (</w:t>
      </w:r>
      <w:hyperlink w:anchor="b332" w:history="1">
        <w:r>
          <w:rPr>
            <w:color w:val="0A3A8C"/>
            <w:u w:val="single"/>
          </w:rPr>
          <w:t xml:space="preserve">§ 295</w:t>
        </w:r>
      </w:hyperlink>
      <w:r>
        <w:t>), insbesondere eine Verletzung der Hinweis- und Aufklärungspflicht (</w:t>
      </w:r>
      <w:hyperlink w:anchor="b176" w:history="1">
        <w:r>
          <w:rPr>
            <w:color w:val="0A3A8C"/>
            <w:u w:val="single"/>
          </w:rPr>
          <w:t xml:space="preserve">§ 139</w:t>
        </w:r>
      </w:hyperlink>
      <w:r>
        <w:t>) oder eine Verletzung des Anspruchs auf rechtliches Gehör, feststellt,</w:t>
      </w:r>
    </w:p>
    <w:p>
      <w:pPr>
        <w:tabs>
          <w:tab w:pos="567" w:val="left"/>
        </w:tabs>
        <w:ind w:left="567" w:hanging="567"/>
      </w:pPr>
      <w:r>
        <w:t>2.</w:t>
      </w:r>
      <w:r>
        <w:tab/>
      </w:r>
      <w:r>
        <w:t>nachträglich Tatsachen vorgetragen und glaubhaft gemacht werden, die einen Wiederaufnahmegrund (</w:t>
      </w:r>
      <w:hyperlink w:anchor="b637" w:history="1">
        <w:r>
          <w:rPr>
            <w:color w:val="0A3A8C"/>
            <w:u w:val="single"/>
          </w:rPr>
          <w:t xml:space="preserve">§§ 579</w:t>
        </w:r>
      </w:hyperlink>
      <w:r>
        <w:t xml:space="preserve">, </w:t>
      </w:r>
      <w:hyperlink w:anchor="b638" w:history="1">
        <w:r>
          <w:rPr>
            <w:color w:val="0A3A8C"/>
            <w:u w:val="single"/>
          </w:rPr>
          <w:t xml:space="preserve">580</w:t>
        </w:r>
      </w:hyperlink>
      <w:r>
        <w:t>) bilden, oder</w:t>
      </w:r>
    </w:p>
    <w:p>
      <w:pPr>
        <w:tabs>
          <w:tab w:pos="567" w:val="left"/>
        </w:tabs>
        <w:ind w:left="567" w:hanging="567"/>
      </w:pPr>
      <w:r>
        <w:t>3.</w:t>
      </w:r>
      <w:r>
        <w:tab/>
      </w:r>
      <w:r>
        <w:t>zwischen dem Schluss der mündlichen Verhandlung und dem Schluss der Beratung und Abstimmung (§§ 192 bis 197 des Gerichtsverfassungsgesetzes) ein Richter ausgeschieden ist.</w:t>
      </w:r>
    </w:p>
    <w:p>
      <w:pPr>
        <w:pStyle w:val="Heading4"/>
      </w:pPr>
      <w:bookmarkStart w:id="195" w:name="b194"/>
      <w:r>
        <w:t>§ 157 Untervertretung in der Verhandlung</w:t>
      </w:r>
      <w:r>
        <w:t xml:space="preserve"> </w:t>
      </w:r>
      <w:r>
        <w:rPr>
          <w:rStyle w:val="Suchmarke"/>
        </w:rPr>
        <w:t>#157#</w:t>
      </w:r>
      <w:bookmarkEnd w:id="195"/>
    </w:p>
    <w:p>
      <w:r>
        <w:t>Der bevollmächtigte Rechtsanwalt kann in Verfahren, in denen die Parteien den Rechtsstreit selbst führen können, zur Vertretung in der Verhandlung einen Referendar bevollmächtigen, der im Vorbereitungsdienst bei ihm beschäftigt ist.</w:t>
      </w:r>
    </w:p>
    <w:p>
      <w:pPr>
        <w:pStyle w:val="Heading4"/>
      </w:pPr>
      <w:bookmarkStart w:id="196" w:name="b195"/>
      <w:r>
        <w:t>§ 158 Entfernung infolge Prozessleitungsanordnung</w:t>
      </w:r>
      <w:r>
        <w:t xml:space="preserve"> </w:t>
      </w:r>
      <w:r>
        <w:rPr>
          <w:rStyle w:val="Suchmarke"/>
        </w:rPr>
        <w:t>#158#</w:t>
      </w:r>
      <w:bookmarkEnd w:id="196"/>
    </w:p>
    <w:p>
      <w:r>
        <w:t>Ist eine bei der Verhandlung beteiligte Person zur Aufrechterhaltung der Ordnung von dem Ort der Verhandlung entfernt worden, so kann auf Antrag gegen sie in gleicher Weise verfahren werden, als wenn sie freiwillig sich entfernt hätte.</w:t>
      </w:r>
    </w:p>
    <w:p>
      <w:pPr>
        <w:pStyle w:val="Heading4"/>
      </w:pPr>
      <w:bookmarkStart w:id="197" w:name="b196"/>
      <w:r>
        <w:t>§ 159 Protokollaufnahme</w:t>
      </w:r>
      <w:r>
        <w:t xml:space="preserve"> </w:t>
      </w:r>
      <w:r>
        <w:rPr>
          <w:rStyle w:val="Suchmarke"/>
        </w:rPr>
        <w:t>#159#</w:t>
      </w:r>
      <w:bookmarkEnd w:id="197"/>
    </w:p>
    <w:p>
      <w:r>
        <w:t xml:space="preserve">(1) </w:t>
      </w:r>
      <w:r>
        <w:rPr>
          <w:rStyle w:val="Satznummer"/>
        </w:rPr>
        <w:t>1</w:t>
      </w:r>
      <w:r>
        <w:t xml:space="preserve">Über die Verhandlung und jede Beweisaufnahme ist ein Protokoll aufzunehmen. </w:t>
      </w:r>
      <w:r>
        <w:rPr>
          <w:rStyle w:val="Satznummer"/>
        </w:rPr>
        <w:t>2</w:t>
      </w:r>
      <w:r>
        <w:t>Für die Protokollführung kann ein Urkundsbeamter der Geschäftsstelle zugezogen werden, wenn dies auf Grund des zu erwartenden Umfangs des Protokolls, in Anbetracht der besonderen Schwierigkeit der Sache oder aus einem sonstigen wichtigen Grund erforderlich ist.</w:t>
      </w:r>
    </w:p>
    <w:p>
      <w:r>
        <w:t xml:space="preserve">(2) </w:t>
      </w:r>
      <w:r>
        <w:rPr>
          <w:rStyle w:val="Satznummer"/>
        </w:rPr>
        <w:t>1</w:t>
      </w:r>
      <w:r>
        <w:t xml:space="preserve">Absatz 1 gilt entsprechend für Verhandlungen, die außerhalb der Sitzung vor Richtern beim Amtsgericht oder vor beauftragten oder ersuchten Richtern stattfinden. </w:t>
      </w:r>
      <w:r>
        <w:rPr>
          <w:rStyle w:val="Satznummer"/>
        </w:rPr>
        <w:t>2</w:t>
      </w:r>
      <w:r>
        <w:t xml:space="preserve">Ein Protokoll über eine Güteverhandlung oder weitere Güteversuche vor einem Güterichter nach </w:t>
      </w:r>
      <w:hyperlink w:anchor="b312" w:history="1">
        <w:r>
          <w:rPr>
            <w:color w:val="0A3A8C"/>
            <w:u w:val="single"/>
          </w:rPr>
          <w:t xml:space="preserve">§ 278</w:t>
        </w:r>
      </w:hyperlink>
      <w:r>
        <w:t xml:space="preserve"> Absatz 5 wird nur auf übereinstimmenden Antrag der Parteien aufgenommen.</w:t>
      </w:r>
    </w:p>
    <w:p>
      <w:pPr>
        <w:pStyle w:val="Heading4"/>
      </w:pPr>
      <w:bookmarkStart w:id="198" w:name="b197"/>
      <w:r>
        <w:t>§ 160 Inhalt des Protokolls</w:t>
      </w:r>
      <w:r>
        <w:t xml:space="preserve"> </w:t>
      </w:r>
      <w:r>
        <w:rPr>
          <w:rStyle w:val="Suchmarke"/>
        </w:rPr>
        <w:t>#160#</w:t>
      </w:r>
      <w:bookmarkEnd w:id="198"/>
    </w:p>
    <w:p>
      <w:r>
        <w:t>(1) Das Protokoll enthält</w:t>
      </w:r>
    </w:p>
    <w:p>
      <w:pPr>
        <w:tabs>
          <w:tab w:pos="567" w:val="left"/>
        </w:tabs>
        <w:ind w:left="567" w:hanging="567"/>
      </w:pPr>
      <w:r>
        <w:t>1.</w:t>
      </w:r>
      <w:r>
        <w:tab/>
      </w:r>
      <w:r>
        <w:t>den Ort und den Tag der Verhandlung;</w:t>
      </w:r>
    </w:p>
    <w:p>
      <w:pPr>
        <w:tabs>
          <w:tab w:pos="567" w:val="left"/>
        </w:tabs>
        <w:ind w:left="567" w:hanging="567"/>
      </w:pPr>
      <w:r>
        <w:t>2.</w:t>
      </w:r>
      <w:r>
        <w:tab/>
      </w:r>
      <w:r>
        <w:t xml:space="preserve">die Namen der Richter, des Urkundsbeamten der Geschäftsstelle und des etwa zugezogenen Dolmetschers sowie im Fall des </w:t>
      </w:r>
      <w:hyperlink w:anchor="b159" w:history="1">
        <w:r>
          <w:rPr>
            <w:color w:val="0A3A8C"/>
            <w:u w:val="single"/>
          </w:rPr>
          <w:t xml:space="preserve">§ 128a</w:t>
        </w:r>
      </w:hyperlink>
      <w:r>
        <w:t xml:space="preserve"> Absatz 5 Satz 2 dieses Gesetzes und des § 185 Absatz 1a des Gerichtsverfassungsgesetzes die Angabe, wer an der Verhandlung oder der Beweisaufnahme per Bild- und Tonübertragung teilnimmt;</w:t>
      </w:r>
    </w:p>
    <w:p>
      <w:pPr>
        <w:tabs>
          <w:tab w:pos="567" w:val="left"/>
        </w:tabs>
        <w:ind w:left="567" w:hanging="567"/>
      </w:pPr>
      <w:r>
        <w:t>3.</w:t>
      </w:r>
      <w:r>
        <w:tab/>
      </w:r>
      <w:r>
        <w:t>die Bezeichnung des Rechtsstreits;</w:t>
      </w:r>
    </w:p>
    <w:p>
      <w:pPr>
        <w:tabs>
          <w:tab w:pos="567" w:val="left"/>
        </w:tabs>
        <w:ind w:left="567" w:hanging="567"/>
      </w:pPr>
      <w:r>
        <w:t>4.</w:t>
      </w:r>
      <w:r>
        <w:tab/>
      </w:r>
      <w:r>
        <w:t xml:space="preserve">die Namen der erschienenen Parteien, Nebenintervenienten, Vertreter, Bevollmächtigten, Beistände, Zeugen und Sachverständigen sowie im Fall der </w:t>
      </w:r>
      <w:hyperlink w:anchor="b159" w:history="1">
        <w:r>
          <w:rPr>
            <w:color w:val="0A3A8C"/>
            <w:u w:val="single"/>
          </w:rPr>
          <w:t xml:space="preserve">§§ 128a</w:t>
        </w:r>
      </w:hyperlink>
      <w:r>
        <w:t xml:space="preserve"> und </w:t>
      </w:r>
      <w:hyperlink w:anchor="b320" w:history="1">
        <w:r>
          <w:rPr>
            <w:color w:val="0A3A8C"/>
            <w:u w:val="single"/>
          </w:rPr>
          <w:t xml:space="preserve">284</w:t>
        </w:r>
      </w:hyperlink>
      <w:r>
        <w:t xml:space="preserve"> Absatz 2 die Angabe, wer an der Verhandlung oder der Beweisaufnahme per Bild- und Tonübertragung teilnimmt, und im Fall des </w:t>
      </w:r>
      <w:hyperlink w:anchor="b320" w:history="1">
        <w:r>
          <w:rPr>
            <w:color w:val="0A3A8C"/>
            <w:u w:val="single"/>
          </w:rPr>
          <w:t xml:space="preserve">§ 284</w:t>
        </w:r>
      </w:hyperlink>
      <w:r>
        <w:t xml:space="preserve"> Absatz 3 die Gerichtsstelle, von der aus die Parteien, Zeugen und Sachverständigen an der Beweisaufnahme teilnehmen;</w:t>
      </w:r>
    </w:p>
    <w:p>
      <w:pPr>
        <w:tabs>
          <w:tab w:pos="567" w:val="left"/>
        </w:tabs>
        <w:ind w:left="567" w:hanging="567"/>
      </w:pPr>
      <w:r>
        <w:t>5.</w:t>
      </w:r>
      <w:r>
        <w:tab/>
      </w:r>
      <w:r>
        <w:t>die Angabe, dass öffentlich verhandelt oder die Öffentlichkeit ausgeschlossen worden ist.</w:t>
      </w:r>
    </w:p>
    <w:p>
      <w:r>
        <w:t>(2) Die wesentlichen Vorgänge der Verhandlung sind aufzunehmen.</w:t>
      </w:r>
    </w:p>
    <w:p>
      <w:r>
        <w:t>(3) Im Protokoll sind festzustellen</w:t>
      </w:r>
    </w:p>
    <w:p>
      <w:pPr>
        <w:tabs>
          <w:tab w:pos="567" w:val="left"/>
        </w:tabs>
        <w:ind w:left="567" w:hanging="567"/>
      </w:pPr>
      <w:r>
        <w:t>1.</w:t>
      </w:r>
      <w:r>
        <w:tab/>
      </w:r>
      <w:r>
        <w:t>Anerkenntnis, Anspruchsverzicht und Vergleich;</w:t>
      </w:r>
    </w:p>
    <w:p>
      <w:pPr>
        <w:tabs>
          <w:tab w:pos="567" w:val="left"/>
        </w:tabs>
        <w:ind w:left="567" w:hanging="567"/>
      </w:pPr>
      <w:r>
        <w:t>2.</w:t>
      </w:r>
      <w:r>
        <w:tab/>
      </w:r>
      <w:r>
        <w:t>die Anträge;</w:t>
      </w:r>
    </w:p>
    <w:p>
      <w:pPr>
        <w:tabs>
          <w:tab w:pos="567" w:val="left"/>
        </w:tabs>
        <w:ind w:left="567" w:hanging="567"/>
      </w:pPr>
      <w:r>
        <w:t>3.</w:t>
      </w:r>
      <w:r>
        <w:tab/>
      </w:r>
      <w:r>
        <w:t>Geständnis und Erklärung über einen Antrag auf Parteivernehmung sowie sonstige Erklärungen, wenn ihre Feststellung vorgeschrieben ist;</w:t>
      </w:r>
    </w:p>
    <w:p>
      <w:pPr>
        <w:tabs>
          <w:tab w:pos="567" w:val="left"/>
        </w:tabs>
        <w:ind w:left="567" w:hanging="567"/>
      </w:pPr>
      <w:r>
        <w:t>4.</w:t>
      </w:r>
      <w:r>
        <w:tab/>
      </w:r>
      <w:r>
        <w:t>die Aussagen der Zeugen, Sachverständigen und vernommenen Parteien; bei einer wiederholten Vernehmung braucht die Aussage nur insoweit in das Protokoll aufgenommen zu werden, als sie von der früheren abweicht;</w:t>
      </w:r>
    </w:p>
    <w:p>
      <w:pPr>
        <w:tabs>
          <w:tab w:pos="567" w:val="left"/>
        </w:tabs>
        <w:ind w:left="567" w:hanging="567"/>
      </w:pPr>
      <w:r>
        <w:t>5.</w:t>
      </w:r>
      <w:r>
        <w:tab/>
      </w:r>
      <w:r>
        <w:t>das Ergebnis eines Augenscheins;</w:t>
      </w:r>
    </w:p>
    <w:p>
      <w:pPr>
        <w:tabs>
          <w:tab w:pos="567" w:val="left"/>
        </w:tabs>
        <w:ind w:left="567" w:hanging="567"/>
      </w:pPr>
      <w:r>
        <w:t>6.</w:t>
      </w:r>
      <w:r>
        <w:tab/>
      </w:r>
      <w:r>
        <w:t>die Entscheidungen (Urteile, Beschlüsse und Verfügungen) des Gerichts;</w:t>
      </w:r>
    </w:p>
    <w:p>
      <w:pPr>
        <w:tabs>
          <w:tab w:pos="567" w:val="left"/>
        </w:tabs>
        <w:ind w:left="567" w:hanging="567"/>
      </w:pPr>
      <w:r>
        <w:t>7.</w:t>
      </w:r>
      <w:r>
        <w:tab/>
      </w:r>
      <w:r>
        <w:t>die Verkündung der Entscheidungen;</w:t>
      </w:r>
    </w:p>
    <w:p>
      <w:pPr>
        <w:tabs>
          <w:tab w:pos="567" w:val="left"/>
        </w:tabs>
        <w:ind w:left="567" w:hanging="567"/>
      </w:pPr>
      <w:r>
        <w:t>8.</w:t>
      </w:r>
      <w:r>
        <w:tab/>
      </w:r>
      <w:r>
        <w:t>die Zurücknahme der Klage oder eines Rechtsmittels;</w:t>
      </w:r>
    </w:p>
    <w:p>
      <w:pPr>
        <w:tabs>
          <w:tab w:pos="567" w:val="left"/>
        </w:tabs>
        <w:ind w:left="567" w:hanging="567"/>
      </w:pPr>
      <w:r>
        <w:t>9.</w:t>
      </w:r>
      <w:r>
        <w:tab/>
      </w:r>
      <w:r>
        <w:t>der Verzicht auf Rechtsmittel;</w:t>
      </w:r>
    </w:p>
    <w:p>
      <w:pPr>
        <w:tabs>
          <w:tab w:pos="567" w:val="left"/>
        </w:tabs>
        <w:ind w:left="567" w:hanging="567"/>
      </w:pPr>
      <w:r>
        <w:t>10.</w:t>
      </w:r>
      <w:r>
        <w:tab/>
      </w:r>
      <w:r>
        <w:t>das Ergebnis der Güteverhandlung.</w:t>
      </w:r>
    </w:p>
    <w:p>
      <w:r>
        <w:t xml:space="preserve">(4) </w:t>
      </w:r>
      <w:r>
        <w:rPr>
          <w:rStyle w:val="Satznummer"/>
        </w:rPr>
        <w:t>1</w:t>
      </w:r>
      <w:r>
        <w:t xml:space="preserve">Die Beteiligten können beantragen, dass bestimmte Vorgänge oder Äußerungen in das Protokoll aufgenommen werden. </w:t>
      </w:r>
      <w:r>
        <w:rPr>
          <w:rStyle w:val="Satznummer"/>
        </w:rPr>
        <w:t>2</w:t>
      </w:r>
      <w:r>
        <w:t xml:space="preserve">Das Gericht kann von der Aufnahme absehen, wenn es auf die Feststellung des Vorgangs oder der Äußerung nicht ankommt. </w:t>
      </w:r>
      <w:r>
        <w:rPr>
          <w:rStyle w:val="Satznummer"/>
        </w:rPr>
        <w:t>3</w:t>
      </w:r>
      <w:r>
        <w:t>Dieser Beschluss ist unanfechtbar; er ist in das Protokoll aufzunehmen.</w:t>
      </w:r>
    </w:p>
    <w:p>
      <w:r>
        <w:t>(5) Der Aufnahme in das Protokoll steht die Aufnahme in eine Schrift gleich, die dem Protokoll als Anlage beigefügt und in ihm als solche bezeichnet ist.</w:t>
      </w:r>
    </w:p>
    <w:p>
      <w:pPr>
        <w:pStyle w:val="Heading4"/>
      </w:pPr>
      <w:bookmarkStart w:id="199" w:name="b198"/>
      <w:r>
        <w:t>§ 160a Vorläufige Protokollaufzeichnung</w:t>
      </w:r>
      <w:r>
        <w:t xml:space="preserve"> </w:t>
      </w:r>
      <w:r>
        <w:rPr>
          <w:rStyle w:val="Suchmarke"/>
        </w:rPr>
        <w:t>#160a#</w:t>
      </w:r>
      <w:bookmarkEnd w:id="199"/>
    </w:p>
    <w:p>
      <w:r>
        <w:t>(1) Der Inhalt des Protokolls kann vorläufig aufgezeichnet werden.</w:t>
      </w:r>
    </w:p>
    <w:p>
      <w:r>
        <w:t xml:space="preserve">(2) </w:t>
      </w:r>
      <w:r>
        <w:rPr>
          <w:rStyle w:val="Satznummer"/>
        </w:rPr>
        <w:t>1</w:t>
      </w:r>
      <w:r>
        <w:t xml:space="preserve">Das Protokoll ist im Fall des Absatzes 1 unverzüglich nach der Sitzung herzustellen. </w:t>
      </w:r>
      <w:r>
        <w:rPr>
          <w:rStyle w:val="Satznummer"/>
        </w:rPr>
        <w:t>2</w:t>
      </w:r>
      <w:r>
        <w:t xml:space="preserve">Wenn Aussagen nach </w:t>
      </w:r>
      <w:hyperlink w:anchor="b197" w:history="1">
        <w:r>
          <w:rPr>
            <w:color w:val="0A3A8C"/>
            <w:u w:val="single"/>
          </w:rPr>
          <w:t xml:space="preserve">§ 160</w:t>
        </w:r>
      </w:hyperlink>
      <w:r>
        <w:t xml:space="preserve"> Absatz 3 Nummer 4 oder das Ergebnis eines Augenscheins nach § 160 Absatz 3 Nummer 5 in Ton oder in Bild und Ton vorläufig aufgezeichnet worden sind, muss lediglich dies in dem Protokoll vermerkt werden. </w:t>
      </w:r>
      <w:r>
        <w:rPr>
          <w:rStyle w:val="Satznummer"/>
        </w:rPr>
        <w:t>3</w:t>
      </w:r>
      <w:r>
        <w:t xml:space="preserve">Das Protokoll ist um den Inhalt der vorläufigen Aufzeichnungen nach Satz 2 zu ergänzen, wenn eine Partei dies bis zum rechtskräftigen Abschluss des Verfahrens beantragt oder das Rechtsmittelgericht die Ergänzung anfordert. </w:t>
      </w:r>
      <w:r>
        <w:rPr>
          <w:rStyle w:val="Satznummer"/>
        </w:rPr>
        <w:t>4</w:t>
      </w:r>
      <w:r>
        <w:t>Sind Aussagen nach § 160 Absatz 3 Nummer 4 in Ton oder in Bild und Ton unmittelbar aufgenommen und ist zugleich das wesentliche Ergebnis der Aussagen vorläufig aufgezeichnet worden, so kann eine Ergänzung des Protokolls nur um das wesentliche Ergebnis der Aussagen verlangt werden.</w:t>
      </w:r>
    </w:p>
    <w:p>
      <w:r>
        <w:t>(3) Die vorläufigen Aufzeichnungen sind</w:t>
      </w:r>
    </w:p>
    <w:p>
      <w:pPr>
        <w:tabs>
          <w:tab w:pos="567" w:val="left"/>
        </w:tabs>
        <w:ind w:left="567" w:hanging="567"/>
      </w:pPr>
      <w:r>
        <w:t>1.</w:t>
      </w:r>
      <w:r>
        <w:tab/>
      </w:r>
      <w:r>
        <w:t>zu den Prozessakten zu nehmen,</w:t>
      </w:r>
    </w:p>
    <w:p>
      <w:pPr>
        <w:tabs>
          <w:tab w:pos="567" w:val="left"/>
        </w:tabs>
        <w:ind w:left="567" w:hanging="567"/>
      </w:pPr>
      <w:r>
        <w:t>2.</w:t>
      </w:r>
      <w:r>
        <w:tab/>
      </w:r>
      <w:r>
        <w:t>bei der Geschäftsstelle mit den Prozessakten aufzubewahren oder</w:t>
      </w:r>
    </w:p>
    <w:p>
      <w:pPr>
        <w:tabs>
          <w:tab w:pos="567" w:val="left"/>
        </w:tabs>
        <w:ind w:left="567" w:hanging="567"/>
      </w:pPr>
      <w:r>
        <w:t>3.</w:t>
      </w:r>
      <w:r>
        <w:tab/>
      </w:r>
      <w:r>
        <w:t>auf einer zentralen Datenspeicherungseinrichtung der Justiz zu speichern.</w:t>
      </w:r>
    </w:p>
    <w:p>
      <w:r>
        <w:t>(4) Die vorläufigen Aufzeichnungen sind zu löschen,</w:t>
      </w:r>
    </w:p>
    <w:p>
      <w:pPr>
        <w:tabs>
          <w:tab w:pos="567" w:val="left"/>
        </w:tabs>
        <w:ind w:left="567" w:hanging="567"/>
      </w:pPr>
      <w:r>
        <w:t>1.</w:t>
      </w:r>
      <w:r>
        <w:tab/>
      </w:r>
      <w:r>
        <w:t>sobald das Protokoll nach der Sitzung hergestellt oder um den Inhalt der vorläufigen Aufzeichnungen ergänzt ist, wenn die Parteien innerhalb eines Monats nach Mitteilung der Abschrift keine Einwendungen erhoben haben;</w:t>
      </w:r>
    </w:p>
    <w:p>
      <w:pPr>
        <w:tabs>
          <w:tab w:pos="567" w:val="left"/>
        </w:tabs>
        <w:ind w:left="567" w:hanging="567"/>
      </w:pPr>
      <w:r>
        <w:t>2.</w:t>
      </w:r>
      <w:r>
        <w:tab/>
      </w:r>
      <w:r>
        <w:t>in nicht in Nummer 1 genannten Fällen nach rechtskräftigem Abschluss des Verfahrens.</w:t>
      </w:r>
    </w:p>
    <w:p>
      <w:r>
        <w:t xml:space="preserve">(5) Die endgültige Herstellung durch Aufzeichnung auf Datenträger in der Form des </w:t>
      </w:r>
      <w:hyperlink w:anchor="b164" w:history="1">
        <w:r>
          <w:rPr>
            <w:color w:val="0A3A8C"/>
            <w:u w:val="single"/>
          </w:rPr>
          <w:t xml:space="preserve">§ 130b</w:t>
        </w:r>
      </w:hyperlink>
      <w:r>
        <w:t xml:space="preserve"> ist möglich.</w:t>
      </w:r>
    </w:p>
    <w:p>
      <w:r>
        <w:t xml:space="preserve">(6) Einsicht in die vorläufigen Aufzeichnungen in Ton oder in Bild und Ton wird durch den Vorsitzenden in entsprechender Anwendung des </w:t>
      </w:r>
      <w:hyperlink w:anchor="b338" w:history="1">
        <w:r>
          <w:rPr>
            <w:color w:val="0A3A8C"/>
            <w:u w:val="single"/>
          </w:rPr>
          <w:t xml:space="preserve">§ 299</w:t>
        </w:r>
      </w:hyperlink>
      <w:r>
        <w:t xml:space="preserve"> Absatz 3 und 4 gewährt, ohne dass es eines besonderen Antrags nach </w:t>
      </w:r>
      <w:hyperlink w:anchor="b338" w:history="1">
        <w:r>
          <w:rPr>
            <w:color w:val="0A3A8C"/>
            <w:u w:val="single"/>
          </w:rPr>
          <w:t xml:space="preserve">§ 299</w:t>
        </w:r>
      </w:hyperlink>
      <w:r>
        <w:t xml:space="preserve"> Absatz 3 Satz 2 bedarf.</w:t>
      </w:r>
    </w:p>
    <w:p>
      <w:pPr>
        <w:pStyle w:val="Heading4"/>
      </w:pPr>
      <w:bookmarkStart w:id="200" w:name="b199"/>
      <w:r>
        <w:t>§ 161 Entbehrliche Feststellungen</w:t>
      </w:r>
      <w:r>
        <w:t xml:space="preserve"> </w:t>
      </w:r>
      <w:r>
        <w:rPr>
          <w:rStyle w:val="Suchmarke"/>
        </w:rPr>
        <w:t>#161#</w:t>
      </w:r>
      <w:bookmarkEnd w:id="200"/>
    </w:p>
    <w:p>
      <w:r>
        <w:t xml:space="preserve">(1) Feststellungen nach </w:t>
      </w:r>
      <w:hyperlink w:anchor="b197" w:history="1">
        <w:r>
          <w:rPr>
            <w:color w:val="0A3A8C"/>
            <w:u w:val="single"/>
          </w:rPr>
          <w:t xml:space="preserve">§ 160</w:t>
        </w:r>
      </w:hyperlink>
      <w:r>
        <w:t xml:space="preserve"> Abs. 3 Nr. 4 und 5 brauchen nicht in das Protokoll aufgenommen zu werden,</w:t>
      </w:r>
    </w:p>
    <w:p>
      <w:pPr>
        <w:tabs>
          <w:tab w:pos="567" w:val="left"/>
        </w:tabs>
        <w:ind w:left="567" w:hanging="567"/>
      </w:pPr>
      <w:r>
        <w:t>1.</w:t>
      </w:r>
      <w:r>
        <w:tab/>
      </w:r>
      <w:r>
        <w:t>wenn das Prozessgericht die Vernehmung oder den Augenschein durchführt und das Endurteil der Berufung oder der Revision nicht unterliegt;</w:t>
      </w:r>
    </w:p>
    <w:p>
      <w:pPr>
        <w:tabs>
          <w:tab w:pos="567" w:val="left"/>
        </w:tabs>
        <w:ind w:left="567" w:hanging="567"/>
      </w:pPr>
      <w:r>
        <w:t>2.</w:t>
      </w:r>
      <w:r>
        <w:tab/>
      </w:r>
      <w:r>
        <w:t>soweit die Klage zurückgenommen, der geltend gemachte Anspruch anerkannt oder auf ihn verzichtet wird, auf ein Rechtsmittel verzichtet oder der Rechtsstreit durch einen Vergleich beendet wird.</w:t>
      </w:r>
    </w:p>
    <w:p>
      <w:r>
        <w:t xml:space="preserve">(2) </w:t>
      </w:r>
      <w:r>
        <w:rPr>
          <w:rStyle w:val="Satznummer"/>
        </w:rPr>
        <w:t>1</w:t>
      </w:r>
      <w:r>
        <w:t xml:space="preserve">In dem Protokoll ist zu vermerken, dass die Vernehmung oder der Augenschein durchgeführt worden ist. </w:t>
      </w:r>
      <w:r>
        <w:rPr>
          <w:rStyle w:val="Satznummer"/>
        </w:rPr>
        <w:t>2</w:t>
      </w:r>
      <w:hyperlink w:anchor="b198" w:history="1">
        <w:r>
          <w:rPr>
            <w:color w:val="0A3A8C"/>
            <w:u w:val="single"/>
          </w:rPr>
          <w:t xml:space="preserve">§ 160a</w:t>
        </w:r>
      </w:hyperlink>
      <w:r>
        <w:t xml:space="preserve"> Abs. 3 gilt entsprechend.</w:t>
      </w:r>
    </w:p>
    <w:p>
      <w:pPr>
        <w:pStyle w:val="Heading4"/>
      </w:pPr>
      <w:bookmarkStart w:id="201" w:name="b200"/>
      <w:r>
        <w:t>§ 162 Genehmigung des Protokolls</w:t>
      </w:r>
      <w:r>
        <w:t xml:space="preserve"> </w:t>
      </w:r>
      <w:r>
        <w:rPr>
          <w:rStyle w:val="Suchmarke"/>
        </w:rPr>
        <w:t>#162#</w:t>
      </w:r>
      <w:bookmarkEnd w:id="201"/>
    </w:p>
    <w:p>
      <w:r>
        <w:t xml:space="preserve">(1) </w:t>
      </w:r>
      <w:r>
        <w:rPr>
          <w:rStyle w:val="Satznummer"/>
        </w:rPr>
        <w:t>1</w:t>
      </w:r>
      <w:r>
        <w:t xml:space="preserve">Das Protokoll ist insoweit, als es Feststellungen nach </w:t>
      </w:r>
      <w:hyperlink w:anchor="b197" w:history="1">
        <w:r>
          <w:rPr>
            <w:color w:val="0A3A8C"/>
            <w:u w:val="single"/>
          </w:rPr>
          <w:t xml:space="preserve">§ 160</w:t>
        </w:r>
      </w:hyperlink>
      <w:r>
        <w:t xml:space="preserve"> Abs. 3 Nr. 1, 3, 4, 5, 8, 9 oder zu Protokoll erklärte Anträge enthält, den Beteiligten vorzulesen, zur Durchsicht vorzulegen oder zur Durchsicht auf einem Bildschirm anzuzeigen. </w:t>
      </w:r>
      <w:r>
        <w:rPr>
          <w:rStyle w:val="Satznummer"/>
        </w:rPr>
        <w:t>2</w:t>
      </w:r>
      <w:r>
        <w:t xml:space="preserve">Ist der Inhalt des Protokolls nur vorläufig aufgezeichnet worden, so genügt es, wenn die Aufzeichnungen vorgelesen oder abgespielt werden. </w:t>
      </w:r>
      <w:r>
        <w:rPr>
          <w:rStyle w:val="Satznummer"/>
        </w:rPr>
        <w:t>3</w:t>
      </w:r>
      <w:r>
        <w:t>In dem Protokoll ist zu vermerken, dass dies geschehen und die Genehmigung erteilt ist oder welche Einwendungen erhoben worden sind.</w:t>
      </w:r>
    </w:p>
    <w:p>
      <w:r>
        <w:t xml:space="preserve">(2) </w:t>
      </w:r>
      <w:r>
        <w:rPr>
          <w:rStyle w:val="Satznummer"/>
        </w:rPr>
        <w:t>1</w:t>
      </w:r>
      <w:r>
        <w:t xml:space="preserve">Aussagen nach </w:t>
      </w:r>
      <w:hyperlink w:anchor="b197" w:history="1">
        <w:r>
          <w:rPr>
            <w:color w:val="0A3A8C"/>
            <w:u w:val="single"/>
          </w:rPr>
          <w:t xml:space="preserve">§ 160</w:t>
        </w:r>
      </w:hyperlink>
      <w:r>
        <w:t xml:space="preserve"> Absatz 3 Nummer 4 brauchen nicht abgespielt zu werden, wenn sie in Gegenwart der Beteiligten unmittelbar aufgezeichnet worden sind; der Beteiligte, dessen Aussage aufgezeichnet ist, kann das Abspielen verlangen. </w:t>
      </w:r>
      <w:r>
        <w:rPr>
          <w:rStyle w:val="Satznummer"/>
        </w:rPr>
        <w:t>2</w:t>
      </w:r>
      <w:r>
        <w:t xml:space="preserve">Soweit Aussagen nach </w:t>
      </w:r>
      <w:hyperlink w:anchor="b197" w:history="1">
        <w:r>
          <w:rPr>
            <w:color w:val="0A3A8C"/>
            <w:u w:val="single"/>
          </w:rPr>
          <w:t xml:space="preserve">§ 160</w:t>
        </w:r>
      </w:hyperlink>
      <w:r>
        <w:t xml:space="preserve"> Absatz 3 Nummer 4 oder das Ergebnis eines Augenscheins nach § 160 Absatz 3 Nummer 5 in Gegenwart der Beteiligten und in Form einer Zusammenfassung der wesentlichen Ergebnisse aufgezeichnet worden sind, kann das Abspielen, das Vorlesen, die Vorlage zur Durchsicht oder die Anzeige auf einem Bildschirm unterbleiben, wenn die Beteiligten nach der Aufzeichnung darauf verzichten; in dem Protokoll ist zu vermerken, dass der Verzicht ausgesprochen worden ist.</w:t>
      </w:r>
    </w:p>
    <w:p>
      <w:pPr>
        <w:pStyle w:val="Heading4"/>
      </w:pPr>
      <w:bookmarkStart w:id="202" w:name="b201"/>
      <w:r>
        <w:t>§ 163 Unterschreiben des Protokolls</w:t>
      </w:r>
      <w:r>
        <w:t xml:space="preserve"> </w:t>
      </w:r>
      <w:r>
        <w:rPr>
          <w:rStyle w:val="Suchmarke"/>
        </w:rPr>
        <w:t>#163#</w:t>
      </w:r>
      <w:bookmarkEnd w:id="202"/>
    </w:p>
    <w:p>
      <w:r>
        <w:t xml:space="preserve">(1) </w:t>
      </w:r>
      <w:r>
        <w:rPr>
          <w:rStyle w:val="Satznummer"/>
        </w:rPr>
        <w:t>1</w:t>
      </w:r>
      <w:r>
        <w:t xml:space="preserve">Das Protokoll ist von dem Vorsitzenden und von dem Urkundsbeamten der Geschäftsstelle zu unterschreiben. </w:t>
      </w:r>
      <w:r>
        <w:rPr>
          <w:rStyle w:val="Satznummer"/>
        </w:rPr>
        <w:t>2</w:t>
      </w:r>
      <w:r>
        <w:t>Ist der Inhalt des Protokolls ganz oder teilweise in Ton oder in Bild und Ton vorläufig aufgezeichnet worden, so hat der Urkundsbeamte der Geschäftsstelle die Richtigkeit der Übertragung zu prüfen und durch seine Unterschrift zu bestätigen; dies gilt auch dann, wenn der Urkundsbeamte der Geschäftsstelle zur Sitzung nicht zugezogen war.</w:t>
      </w:r>
    </w:p>
    <w:p>
      <w:r>
        <w:t xml:space="preserve">(2) </w:t>
      </w:r>
      <w:r>
        <w:rPr>
          <w:rStyle w:val="Satznummer"/>
        </w:rPr>
        <w:t>1</w:t>
      </w:r>
      <w:r>
        <w:t xml:space="preserve">Ist der Vorsitzende verhindert, so unterschreibt für ihn der älteste beisitzende Richter; war nur ein Richter tätig und ist dieser verhindert, so genügt die Unterschrift des zur Protokollführung zugezogenen Urkundsbeamten der Geschäftsstelle. </w:t>
      </w:r>
      <w:r>
        <w:rPr>
          <w:rStyle w:val="Satznummer"/>
        </w:rPr>
        <w:t>2</w:t>
      </w:r>
      <w:r>
        <w:t xml:space="preserve">Ist dieser verhindert, so genügt die Unterschrift des Richters. </w:t>
      </w:r>
      <w:r>
        <w:rPr>
          <w:rStyle w:val="Satznummer"/>
        </w:rPr>
        <w:t>3</w:t>
      </w:r>
      <w:r>
        <w:t>Der Grund der Verhinderung soll im Protokoll vermerkt werden.</w:t>
      </w:r>
    </w:p>
    <w:p>
      <w:pPr>
        <w:pStyle w:val="Heading4"/>
      </w:pPr>
      <w:bookmarkStart w:id="203" w:name="b202"/>
      <w:r>
        <w:t>§ 164 Protokollberichtigung</w:t>
      </w:r>
      <w:r>
        <w:t xml:space="preserve"> </w:t>
      </w:r>
      <w:r>
        <w:rPr>
          <w:rStyle w:val="Suchmarke"/>
        </w:rPr>
        <w:t>#164#</w:t>
      </w:r>
      <w:bookmarkEnd w:id="203"/>
    </w:p>
    <w:p>
      <w:r>
        <w:t>(1) Unrichtigkeiten des Protokolls können jederzeit berichtigt werden.</w:t>
      </w:r>
    </w:p>
    <w:p>
      <w:r>
        <w:t xml:space="preserve">(2) Vor der Berichtigung sind die Parteien und, soweit es die in </w:t>
      </w:r>
      <w:hyperlink w:anchor="b197" w:history="1">
        <w:r>
          <w:rPr>
            <w:color w:val="0A3A8C"/>
            <w:u w:val="single"/>
          </w:rPr>
          <w:t xml:space="preserve">§ 160</w:t>
        </w:r>
      </w:hyperlink>
      <w:r>
        <w:t xml:space="preserve"> Abs. 3 Nr. 4 genannten Feststellungen betrifft, auch die anderen Beteiligten zu hören.</w:t>
      </w:r>
    </w:p>
    <w:p>
      <w:r>
        <w:t xml:space="preserve">(3) </w:t>
      </w:r>
      <w:r>
        <w:rPr>
          <w:rStyle w:val="Satznummer"/>
        </w:rPr>
        <w:t>1</w:t>
      </w:r>
      <w:r>
        <w:t xml:space="preserve">Die Berichtigung wird auf dem Protokoll vermerkt; dabei kann auf eine mit dem Protokoll zu verbindende Anlage verwiesen werden. </w:t>
      </w:r>
      <w:r>
        <w:rPr>
          <w:rStyle w:val="Satznummer"/>
        </w:rPr>
        <w:t>2</w:t>
      </w:r>
      <w:r>
        <w:t>Der Vermerk ist von dem Richter, der das Protokoll unterschrieben hat, oder von dem allein tätig gewesenen Richter, selbst wenn dieser an der Unterschrift verhindert war, und von dem Urkundsbeamten der Geschäftsstelle, soweit er zur Protokollführung zugezogen war, zu unterschreiben.</w:t>
      </w:r>
    </w:p>
    <w:p>
      <w:r>
        <w:t xml:space="preserve">(4) </w:t>
      </w:r>
      <w:r>
        <w:rPr>
          <w:rStyle w:val="Satznummer"/>
        </w:rPr>
        <w:t>1</w:t>
      </w:r>
      <w:r>
        <w:t xml:space="preserve">Erfolgt der Berichtigungsvermerk in der Form des </w:t>
      </w:r>
      <w:hyperlink w:anchor="b164" w:history="1">
        <w:r>
          <w:rPr>
            <w:color w:val="0A3A8C"/>
            <w:u w:val="single"/>
          </w:rPr>
          <w:t xml:space="preserve">§ 130b</w:t>
        </w:r>
      </w:hyperlink>
      <w:r>
        <w:t xml:space="preserve">, ist er in einem gesonderten elektronischen Dokument festzuhalten. </w:t>
      </w:r>
      <w:r>
        <w:rPr>
          <w:rStyle w:val="Satznummer"/>
        </w:rPr>
        <w:t>2</w:t>
      </w:r>
      <w:r>
        <w:t>Das Dokument ist mit dem Protokoll untrennbar zu verbinden.</w:t>
      </w:r>
    </w:p>
    <w:p>
      <w:pPr>
        <w:pStyle w:val="Heading4"/>
      </w:pPr>
      <w:bookmarkStart w:id="204" w:name="b203"/>
      <w:r>
        <w:t>§ 165 Beweiskraft des Protokolls</w:t>
      </w:r>
      <w:r>
        <w:t xml:space="preserve"> </w:t>
      </w:r>
      <w:r>
        <w:rPr>
          <w:rStyle w:val="Suchmarke"/>
        </w:rPr>
        <w:t>#165#</w:t>
      </w:r>
      <w:bookmarkEnd w:id="204"/>
    </w:p>
    <w:p>
      <w:r>
        <w:rPr>
          <w:rStyle w:val="Satznummer"/>
        </w:rPr>
        <w:t>1</w:t>
      </w:r>
      <w:r>
        <w:t xml:space="preserve">Die Beachtung der für die Verhandlung vorgeschriebenen Förmlichkeiten kann nur durch das Protokoll bewiesen werden. </w:t>
      </w:r>
      <w:r>
        <w:rPr>
          <w:rStyle w:val="Satznummer"/>
        </w:rPr>
        <w:t>2</w:t>
      </w:r>
      <w:r>
        <w:t>Gegen seinen diese Förmlichkeiten betreffenden Inhalt ist nur der Nachweis der Fälschung zulässig.</w:t>
      </w:r>
    </w:p>
    <w:p>
      <w:pPr>
        <w:pStyle w:val="Heading3"/>
      </w:pPr>
      <w:bookmarkStart w:id="205" w:name="b204"/>
      <w:r>
        <w:t>Titel 2 Verfahren bei Zustellungen</w:t>
      </w:r>
      <w:bookmarkEnd w:id="205"/>
    </w:p>
    <w:p>
      <w:pPr>
        <w:pStyle w:val="Heading4"/>
      </w:pPr>
      <w:bookmarkStart w:id="206" w:name="b205"/>
      <w:r>
        <w:t>Untertitel 1 Zustellungen von Amts wegen</w:t>
      </w:r>
      <w:bookmarkEnd w:id="206"/>
    </w:p>
    <w:p>
      <w:pPr>
        <w:pStyle w:val="Heading5"/>
      </w:pPr>
      <w:bookmarkStart w:id="207" w:name="b206"/>
      <w:r>
        <w:t>§ 166 Zustellung</w:t>
      </w:r>
      <w:r>
        <w:t xml:space="preserve"> </w:t>
      </w:r>
      <w:r>
        <w:rPr>
          <w:rStyle w:val="Suchmarke"/>
        </w:rPr>
        <w:t>#166#</w:t>
      </w:r>
      <w:bookmarkEnd w:id="207"/>
    </w:p>
    <w:p>
      <w:r>
        <w:t>(1) Zustellung ist die Bekanntgabe eines Dokuments an eine Person in der in diesem Titel bestimmten Form.</w:t>
      </w:r>
    </w:p>
    <w:p>
      <w:r>
        <w:t>(2) Dokumente, deren Zustellung vorgeschrieben oder vom Gericht angeordnet ist, sind von Amts wegen zuzustellen, soweit nicht anderes bestimmt ist.</w:t>
      </w:r>
    </w:p>
    <w:p>
      <w:pPr>
        <w:pStyle w:val="Heading5"/>
      </w:pPr>
      <w:bookmarkStart w:id="208" w:name="b207"/>
      <w:r>
        <w:t>§ 167 Rückwirkung der Zustellung</w:t>
      </w:r>
      <w:r>
        <w:t xml:space="preserve"> </w:t>
      </w:r>
      <w:r>
        <w:rPr>
          <w:rStyle w:val="Suchmarke"/>
        </w:rPr>
        <w:t>#167#</w:t>
      </w:r>
      <w:bookmarkEnd w:id="208"/>
    </w:p>
    <w:p>
      <w:r>
        <w:t>Soll durch die Zustellung eine Frist gewahrt werden oder die Verjährung neu beginnen oder nach § 204 oder § 204a des Bürgerlichen Gesetzbuchs gehemmt werden, tritt diese Wirkung bereits mit Eingang des Antrags oder der Erklärung ein, wenn die Zustellung demnächst erfolgt.</w:t>
      </w:r>
    </w:p>
    <w:p>
      <w:pPr>
        <w:pStyle w:val="Heading5"/>
      </w:pPr>
      <w:bookmarkStart w:id="209" w:name="b208"/>
      <w:r>
        <w:t>§ 168 Aufgaben der Geschäftsstelle</w:t>
      </w:r>
      <w:r>
        <w:t xml:space="preserve"> </w:t>
      </w:r>
      <w:r>
        <w:rPr>
          <w:rStyle w:val="Suchmarke"/>
        </w:rPr>
        <w:t>#168#</w:t>
      </w:r>
      <w:bookmarkEnd w:id="209"/>
    </w:p>
    <w:p>
      <w:r>
        <w:t xml:space="preserve">(1) </w:t>
      </w:r>
      <w:r>
        <w:rPr>
          <w:rStyle w:val="Satznummer"/>
        </w:rPr>
        <w:t>1</w:t>
      </w:r>
      <w:r>
        <w:t xml:space="preserve">Die Geschäftsstelle führt die Zustellung nach §§ 173 bis 176 Absatz 1 aus. </w:t>
      </w:r>
      <w:r>
        <w:rPr>
          <w:rStyle w:val="Satznummer"/>
        </w:rPr>
        <w:t>2</w:t>
      </w:r>
      <w:r>
        <w:t xml:space="preserve">Sie kann einen nach § 61 des Postgesetzes beliehenen Unternehmer (Post) oder einen Justizbediensteten mit der Ausführung der Zustellung beauftragen. </w:t>
      </w:r>
      <w:r>
        <w:rPr>
          <w:rStyle w:val="Satznummer"/>
        </w:rPr>
        <w:t>3</w:t>
      </w:r>
      <w:r>
        <w:t>Den Auftrag an die Post erteilt die Geschäftsstelle auf dem dafür vorgesehenen Vordruck.</w:t>
      </w:r>
    </w:p>
    <w:p>
      <w:r>
        <w:t>(2) Der Vorsitzende des Prozessgerichts oder ein von ihm bestimmtes Mitglied können einen Gerichtsvollzieher oder eine andere Behörde mit der Ausführung der Zustellung beauftragen, wenn eine Zustellung nach Absatz 1 keinen Erfolg verspricht.</w:t>
      </w:r>
    </w:p>
    <w:p>
      <w:pPr>
        <w:pStyle w:val="Heading5"/>
      </w:pPr>
      <w:bookmarkStart w:id="210" w:name="b209"/>
      <w:r>
        <w:t>§ 169 Bescheinigung des Zeitpunktes der Zustellung; Beglaubigung</w:t>
      </w:r>
      <w:r>
        <w:t xml:space="preserve"> </w:t>
      </w:r>
      <w:r>
        <w:rPr>
          <w:rStyle w:val="Suchmarke"/>
        </w:rPr>
        <w:t>#169#</w:t>
      </w:r>
      <w:bookmarkEnd w:id="210"/>
    </w:p>
    <w:p>
      <w:r>
        <w:t>(1) Die Geschäftsstelle bescheinigt auf Antrag den Zeitpunkt der Zustellung.</w:t>
      </w:r>
    </w:p>
    <w:p>
      <w:r>
        <w:t xml:space="preserve">(2) </w:t>
      </w:r>
      <w:r>
        <w:rPr>
          <w:rStyle w:val="Satznummer"/>
        </w:rPr>
        <w:t>1</w:t>
      </w:r>
      <w:r>
        <w:t xml:space="preserve">Die Beglaubigung der zuzustellenden Schriftstücke wird von der Geschäftsstelle vorgenommen. </w:t>
      </w:r>
      <w:r>
        <w:rPr>
          <w:rStyle w:val="Satznummer"/>
        </w:rPr>
        <w:t>2</w:t>
      </w:r>
      <w:r>
        <w:t>Dies gilt auch, soweit von einem Anwalt eingereichte Schriftstücke nicht bereits von diesem beglaubigt wurden.</w:t>
      </w:r>
    </w:p>
    <w:p>
      <w:r>
        <w:t xml:space="preserve">(3) </w:t>
      </w:r>
      <w:r>
        <w:rPr>
          <w:rStyle w:val="Satznummer"/>
        </w:rPr>
        <w:t>1</w:t>
      </w:r>
      <w:r>
        <w:t xml:space="preserve">Eine in Papierform zuzustellende Abschrift kann auch durch maschinelle Bearbeitung beglaubigt werden. </w:t>
      </w:r>
      <w:r>
        <w:rPr>
          <w:rStyle w:val="Satznummer"/>
        </w:rPr>
        <w:t>2</w:t>
      </w:r>
      <w:r>
        <w:t xml:space="preserve">Anstelle der handschriftlichen Unterzeichnung ist die Abschrift mit dem Gerichtssiegel zu versehen. </w:t>
      </w:r>
      <w:r>
        <w:rPr>
          <w:rStyle w:val="Satznummer"/>
        </w:rPr>
        <w:t>3</w:t>
      </w:r>
      <w:r>
        <w:t>Dasselbe gilt, wenn eine Abschrift per Telekopie zugestellt wird.</w:t>
      </w:r>
    </w:p>
    <w:p>
      <w:r>
        <w:t xml:space="preserve">(4) </w:t>
      </w:r>
      <w:r>
        <w:rPr>
          <w:rStyle w:val="Satznummer"/>
        </w:rPr>
        <w:t>1</w:t>
      </w:r>
      <w:r>
        <w:t xml:space="preserve">Ein Schriftstück oder ein elektronisches Dokument kann in beglaubigter elektronischer Abschrift zugestellt werden. </w:t>
      </w:r>
      <w:r>
        <w:rPr>
          <w:rStyle w:val="Satznummer"/>
        </w:rPr>
        <w:t>2</w:t>
      </w:r>
      <w:r>
        <w:t>Die Beglaubigung erfolgt mit einer qualifizierten elektronischen Signatur des Urkundsbeamten der Geschäftsstelle.</w:t>
      </w:r>
    </w:p>
    <w:p>
      <w:r>
        <w:t>(5) Ein elektronisches Dokument kann ohne Beglaubigung elektronisch zugestellt werden, wenn es</w:t>
      </w:r>
    </w:p>
    <w:p>
      <w:pPr>
        <w:tabs>
          <w:tab w:pos="567" w:val="left"/>
        </w:tabs>
        <w:ind w:left="567" w:hanging="567"/>
      </w:pPr>
      <w:r>
        <w:t>1.</w:t>
      </w:r>
      <w:r>
        <w:tab/>
      </w:r>
      <w:r>
        <w:t xml:space="preserve">nach </w:t>
      </w:r>
      <w:hyperlink w:anchor="b163" w:history="1">
        <w:r>
          <w:rPr>
            <w:color w:val="0A3A8C"/>
            <w:u w:val="single"/>
          </w:rPr>
          <w:t xml:space="preserve">§ 130a</w:t>
        </w:r>
      </w:hyperlink>
      <w:r>
        <w:t xml:space="preserve"> oder </w:t>
      </w:r>
      <w:hyperlink w:anchor="b164" w:history="1">
        <w:r>
          <w:rPr>
            <w:color w:val="0A3A8C"/>
            <w:u w:val="single"/>
          </w:rPr>
          <w:t xml:space="preserve">§ 130b</w:t>
        </w:r>
      </w:hyperlink>
      <w:r>
        <w:t xml:space="preserve"> Satz 1 mit einer qualifizierten elektronischen Signatur der verantwortenden Personen versehen ist,</w:t>
      </w:r>
    </w:p>
    <w:p>
      <w:pPr>
        <w:tabs>
          <w:tab w:pos="567" w:val="left"/>
        </w:tabs>
        <w:ind w:left="567" w:hanging="567"/>
      </w:pPr>
      <w:r>
        <w:t>2.</w:t>
      </w:r>
      <w:r>
        <w:tab/>
      </w:r>
      <w:r>
        <w:t xml:space="preserve">nach </w:t>
      </w:r>
      <w:hyperlink w:anchor="b163" w:history="1">
        <w:r>
          <w:rPr>
            <w:color w:val="0A3A8C"/>
            <w:u w:val="single"/>
          </w:rPr>
          <w:t xml:space="preserve">§ 130a</w:t>
        </w:r>
      </w:hyperlink>
      <w:r>
        <w:t xml:space="preserve"> auf einem sicheren Übermittlungsweg eingereicht wurde und mit einem Authentizitäts- und Integritätsnachweis versehen ist oder</w:t>
      </w:r>
    </w:p>
    <w:p>
      <w:pPr>
        <w:tabs>
          <w:tab w:pos="567" w:val="left"/>
        </w:tabs>
        <w:ind w:left="567" w:hanging="567"/>
      </w:pPr>
      <w:r>
        <w:t>3.</w:t>
      </w:r>
      <w:r>
        <w:tab/>
      </w:r>
      <w:r>
        <w:t xml:space="preserve">nach Maßgabe des </w:t>
      </w:r>
      <w:hyperlink w:anchor="b337" w:history="1">
        <w:r>
          <w:rPr>
            <w:color w:val="0A3A8C"/>
            <w:u w:val="single"/>
          </w:rPr>
          <w:t xml:space="preserve">§ 298a</w:t>
        </w:r>
      </w:hyperlink>
      <w:r>
        <w:t xml:space="preserve"> errichtet wurde und mit einem Übertragungsnachweis nach </w:t>
      </w:r>
      <w:hyperlink w:anchor="b337" w:history="1">
        <w:r>
          <w:rPr>
            <w:color w:val="0A3A8C"/>
            <w:u w:val="single"/>
          </w:rPr>
          <w:t xml:space="preserve">§ 298a</w:t>
        </w:r>
      </w:hyperlink>
      <w:r>
        <w:t xml:space="preserve"> Absatz 2 Satz 3 oder 4 versehen ist.</w:t>
      </w:r>
    </w:p>
    <w:p>
      <w:pPr>
        <w:pStyle w:val="Heading5"/>
      </w:pPr>
      <w:bookmarkStart w:id="211" w:name="b210"/>
      <w:r>
        <w:t>§ 170 Zustellung an Vertreter</w:t>
      </w:r>
      <w:r>
        <w:t xml:space="preserve"> </w:t>
      </w:r>
      <w:r>
        <w:rPr>
          <w:rStyle w:val="Suchmarke"/>
        </w:rPr>
        <w:t>#170#</w:t>
      </w:r>
      <w:bookmarkEnd w:id="211"/>
    </w:p>
    <w:p>
      <w:r>
        <w:t xml:space="preserve">(1) </w:t>
      </w:r>
      <w:r>
        <w:rPr>
          <w:rStyle w:val="Satznummer"/>
        </w:rPr>
        <w:t>1</w:t>
      </w:r>
      <w:r>
        <w:t xml:space="preserve">Bei nicht prozessfähigen Personen ist an ihren gesetzlichen Vertreter zuzustellen. </w:t>
      </w:r>
      <w:r>
        <w:rPr>
          <w:rStyle w:val="Satznummer"/>
        </w:rPr>
        <w:t>2</w:t>
      </w:r>
      <w:r>
        <w:t>Die Zustellung an die nicht prozessfähige Person ist unwirksam.</w:t>
      </w:r>
    </w:p>
    <w:p>
      <w:r>
        <w:t>(2) Ist der Zustellungsadressat keine natürliche Person, genügt die Zustellung an den Leiter.</w:t>
      </w:r>
    </w:p>
    <w:p>
      <w:r>
        <w:t>(3) Bei mehreren gesetzlichen Vertretern oder Leitern genügt die Zustellung an einen von ihnen.</w:t>
      </w:r>
    </w:p>
    <w:p>
      <w:pPr>
        <w:pStyle w:val="Heading5"/>
      </w:pPr>
      <w:bookmarkStart w:id="212" w:name="b211"/>
      <w:r>
        <w:t>§ 170a Zustellung bei rechtlicher Betreuung</w:t>
      </w:r>
      <w:r>
        <w:t xml:space="preserve"> </w:t>
      </w:r>
      <w:r>
        <w:rPr>
          <w:rStyle w:val="Suchmarke"/>
        </w:rPr>
        <w:t>#170a#</w:t>
      </w:r>
      <w:bookmarkEnd w:id="212"/>
    </w:p>
    <w:p>
      <w:r>
        <w:t>(1) Wird an eine Person zugestellt, für die ein Betreuer bestellt ist, ist diesem eine Abschrift des zugestellten Dokuments mitzuteilen, soweit er bekannt ist und sein Aufgabenkreis betroffen ist.</w:t>
      </w:r>
    </w:p>
    <w:p>
      <w:r>
        <w:t xml:space="preserve">(2) Wird nach </w:t>
      </w:r>
      <w:hyperlink w:anchor="b210" w:history="1">
        <w:r>
          <w:rPr>
            <w:color w:val="0A3A8C"/>
            <w:u w:val="single"/>
          </w:rPr>
          <w:t xml:space="preserve">§ 170</w:t>
        </w:r>
      </w:hyperlink>
      <w:r>
        <w:t xml:space="preserve"> Absatz 1 an den Betreuer zugestellt, ist dem Betreuten eine Abschrift des zugestellten Dokuments mitzuteilen.</w:t>
      </w:r>
    </w:p>
    <w:p>
      <w:pPr>
        <w:pStyle w:val="Heading5"/>
      </w:pPr>
      <w:bookmarkStart w:id="213" w:name="b212"/>
      <w:r>
        <w:t>§ 171 Zustellung an Bevollmächtigte</w:t>
      </w:r>
      <w:r>
        <w:t xml:space="preserve"> </w:t>
      </w:r>
      <w:r>
        <w:rPr>
          <w:rStyle w:val="Suchmarke"/>
        </w:rPr>
        <w:t>#171#</w:t>
      </w:r>
      <w:bookmarkEnd w:id="213"/>
    </w:p>
    <w:p>
      <w:r>
        <w:rPr>
          <w:rStyle w:val="Satznummer"/>
        </w:rPr>
        <w:t>1</w:t>
      </w:r>
      <w:r>
        <w:t xml:space="preserve">An den rechtsgeschäftlich bestellten Vertreter kann mit gleicher Wirkung wie an den Vertretenen zugestellt werden. </w:t>
      </w:r>
      <w:r>
        <w:rPr>
          <w:rStyle w:val="Satznummer"/>
        </w:rPr>
        <w:t>2</w:t>
      </w:r>
      <w:r>
        <w:t>Der Vertreter hat eine schriftliche Vollmacht vorzulegen.</w:t>
      </w:r>
    </w:p>
    <w:p>
      <w:pPr>
        <w:pStyle w:val="Heading5"/>
      </w:pPr>
      <w:bookmarkStart w:id="214" w:name="b213"/>
      <w:r>
        <w:t>§ 172 Zustellung an Prozessbevollmächtigte</w:t>
      </w:r>
      <w:r>
        <w:t xml:space="preserve"> </w:t>
      </w:r>
      <w:r>
        <w:rPr>
          <w:rStyle w:val="Suchmarke"/>
        </w:rPr>
        <w:t>#172#</w:t>
      </w:r>
      <w:bookmarkEnd w:id="214"/>
    </w:p>
    <w:p>
      <w:r>
        <w:t xml:space="preserve">(1) </w:t>
      </w:r>
      <w:r>
        <w:rPr>
          <w:rStyle w:val="Satznummer"/>
        </w:rPr>
        <w:t>1</w:t>
      </w:r>
      <w:r>
        <w:t xml:space="preserve">In einem anhängigen Verfahren hat die Zustellung an den für den Rechtszug bestellten Prozessbevollmächtigten zu erfolgen. </w:t>
      </w:r>
      <w:r>
        <w:rPr>
          <w:rStyle w:val="Satznummer"/>
        </w:rPr>
        <w:t>2</w:t>
      </w:r>
      <w:r>
        <w:t xml:space="preserve">Das gilt auch für die Prozesshandlungen, die das Verfahren vor diesem Gericht infolge eines Einspruchs, einer Aufhebung des Urteils dieses Gerichts, einer Wiederaufnahme des Verfahrens, einer Rüge nach </w:t>
      </w:r>
      <w:hyperlink w:anchor="b368" w:history="1">
        <w:r>
          <w:rPr>
            <w:color w:val="0A3A8C"/>
            <w:u w:val="single"/>
          </w:rPr>
          <w:t xml:space="preserve">§ 321a</w:t>
        </w:r>
      </w:hyperlink>
      <w:r>
        <w:t xml:space="preserve"> oder eines neuen Vorbringens in dem Verfahren der Zwangsvollstreckung betreffen. </w:t>
      </w:r>
      <w:r>
        <w:rPr>
          <w:rStyle w:val="Satznummer"/>
        </w:rPr>
        <w:t>3</w:t>
      </w:r>
      <w:r>
        <w:t>Das Verfahren vor dem Vollstreckungsgericht gehört zum ersten Rechtszug.</w:t>
      </w:r>
    </w:p>
    <w:p>
      <w:r>
        <w:t xml:space="preserve">(2) </w:t>
      </w:r>
      <w:r>
        <w:rPr>
          <w:rStyle w:val="Satznummer"/>
        </w:rPr>
        <w:t>1</w:t>
      </w:r>
      <w:r>
        <w:t xml:space="preserve">Ein Schriftsatz, durch den ein Rechtsmittel eingelegt wird, ist dem Prozessbevollmächtigten des Rechtszuges zuzustellen, dessen Entscheidung angefochten wird. </w:t>
      </w:r>
      <w:r>
        <w:rPr>
          <w:rStyle w:val="Satznummer"/>
        </w:rPr>
        <w:t>2</w:t>
      </w:r>
      <w:r>
        <w:t xml:space="preserve">Wenn bereits ein Prozessbevollmächtigter für den höheren Rechtszug bestellt ist, ist der Schriftsatz diesem zuzustellen. </w:t>
      </w:r>
      <w:r>
        <w:rPr>
          <w:rStyle w:val="Satznummer"/>
        </w:rPr>
        <w:t>3</w:t>
      </w:r>
      <w:r>
        <w:t>Der Partei ist selbst zuzustellen, wenn sie einen Prozessbevollmächtigten nicht bestellt hat.</w:t>
      </w:r>
    </w:p>
    <w:p>
      <w:pPr>
        <w:pStyle w:val="Heading5"/>
      </w:pPr>
      <w:bookmarkStart w:id="215" w:name="b214"/>
      <w:r>
        <w:t>§ 173 Zustellung von elektronischen Dokumenten</w:t>
      </w:r>
      <w:r>
        <w:t xml:space="preserve"> </w:t>
      </w:r>
      <w:r>
        <w:rPr>
          <w:rStyle w:val="Suchmarke"/>
        </w:rPr>
        <w:t>#173#</w:t>
      </w:r>
      <w:bookmarkEnd w:id="215"/>
    </w:p>
    <w:p>
      <w:r>
        <w:t>(1) Ein elektronisches Dokument kann elektronisch nur auf einem sicheren Übermittlungsweg zugestellt werden.</w:t>
      </w:r>
    </w:p>
    <w:p>
      <w:r>
        <w:t>(2) Einen sicheren Übermittlungsweg für die elektronische Zustellung eines elektronischen Dokuments haben zu eröffnen:</w:t>
      </w:r>
    </w:p>
    <w:p>
      <w:pPr>
        <w:tabs>
          <w:tab w:pos="567" w:val="left"/>
        </w:tabs>
        <w:ind w:left="567" w:hanging="567"/>
      </w:pPr>
      <w:r>
        <w:t>1.</w:t>
      </w:r>
      <w:r>
        <w:tab/>
      </w:r>
      <w:r>
        <w:t>Rechtsanwälte, Notare, Gerichtsvollzieher, Steuerberater sowie sonstige in professioneller Eigenschaft am Prozess beteiligte Personen, Vereinigungen und Organisationen, bei denen von einer erhöhten Zuverlässigkeit ausgegangen werden kann, sowie</w:t>
      </w:r>
    </w:p>
    <w:p>
      <w:pPr>
        <w:tabs>
          <w:tab w:pos="567" w:val="left"/>
        </w:tabs>
        <w:ind w:left="567" w:hanging="567"/>
      </w:pPr>
      <w:r>
        <w:t>2.</w:t>
      </w:r>
      <w:r>
        <w:tab/>
      </w:r>
      <w:r>
        <w:t>Behörden, Körperschaften oder Anstalten des öffentlichen Rechts.</w:t>
      </w:r>
    </w:p>
    <w:p>
      <w:r>
        <w:t xml:space="preserve">(3) </w:t>
      </w:r>
      <w:r>
        <w:rPr>
          <w:rStyle w:val="Satznummer"/>
        </w:rPr>
        <w:t>1</w:t>
      </w:r>
      <w:r>
        <w:t xml:space="preserve">Die elektronische Zustellung an die in Absatz 2 Genannten wird durch ein elektronisches Empfangsbekenntnis nachgewiesen, das an das Gericht zu übermitteln ist. </w:t>
      </w:r>
      <w:r>
        <w:rPr>
          <w:rStyle w:val="Satznummer"/>
        </w:rPr>
        <w:t>2</w:t>
      </w:r>
      <w:r>
        <w:t xml:space="preserve">Für die Übermittlung ist der vom Gericht mit der Zustellung zur Verfügung gestellte strukturierte Datensatz zu verwenden. </w:t>
      </w:r>
      <w:r>
        <w:rPr>
          <w:rStyle w:val="Satznummer"/>
        </w:rPr>
        <w:t>3</w:t>
      </w:r>
      <w:r>
        <w:t>Stellt das Gericht keinen strukturierten Datensatz zur Verfügung, so ist dem Gericht das elektronische Empfangsbekenntnis als elektronisches Dokument (</w:t>
      </w:r>
      <w:hyperlink w:anchor="b163" w:history="1">
        <w:r>
          <w:rPr>
            <w:color w:val="0A3A8C"/>
            <w:u w:val="single"/>
          </w:rPr>
          <w:t xml:space="preserve">§ 130a</w:t>
        </w:r>
      </w:hyperlink>
      <w:r>
        <w:t>) zu übermitteln.</w:t>
      </w:r>
    </w:p>
    <w:p>
      <w:r>
        <w:t xml:space="preserve">(4) </w:t>
      </w:r>
      <w:r>
        <w:rPr>
          <w:rStyle w:val="Satznummer"/>
        </w:rPr>
        <w:t>1</w:t>
      </w:r>
      <w:r>
        <w:t xml:space="preserve">An andere als die in Absatz 2 Genannten kann ein elektronisches Dokument elektronisch nur zugestellt werden, wenn sie der Zustellung elektronischer Dokumente für das jeweilige Verfahren zugestimmt haben. </w:t>
      </w:r>
      <w:r>
        <w:rPr>
          <w:rStyle w:val="Satznummer"/>
        </w:rPr>
        <w:t>2</w:t>
      </w:r>
      <w:r>
        <w:t xml:space="preserve">Die Zustimmung gilt mit der Einreichung eines elektronischen Dokuments im jeweiligen Verfahren auf einem sicheren Übermittlungsweg als erteilt. </w:t>
      </w:r>
      <w:r>
        <w:rPr>
          <w:rStyle w:val="Satznummer"/>
        </w:rPr>
        <w:t>3</w:t>
      </w:r>
      <w:r>
        <w:t xml:space="preserve">Andere als natürliche Personen können die Zustimmung auch allgemein erteilen. </w:t>
      </w:r>
      <w:r>
        <w:rPr>
          <w:rStyle w:val="Satznummer"/>
        </w:rPr>
        <w:t>4</w:t>
      </w:r>
      <w:r>
        <w:t xml:space="preserve">Ein elektronisches Dokument gilt am vierten Tag nach dem auf der automatisierten Eingangsbestätigung ausgewiesenen Tag des Eingangs in dem vom Empfänger eröffneten elektronischen Postfach als zugestellt. </w:t>
      </w:r>
      <w:r>
        <w:rPr>
          <w:rStyle w:val="Satznummer"/>
        </w:rPr>
        <w:t>5</w:t>
      </w:r>
      <w:r>
        <w:t>Satz 4 gilt nicht, wenn der Empfänger nachweist, dass das Dokument nicht oder zu einem späteren Zeitpunkt zugegangen ist.</w:t>
      </w:r>
    </w:p>
    <w:p>
      <w:pPr>
        <w:pStyle w:val="Heading5"/>
      </w:pPr>
      <w:bookmarkStart w:id="216" w:name="b215"/>
      <w:r>
        <w:t>§ 174 Zustellung durch Aushändigung an der Amtsstelle</w:t>
      </w:r>
      <w:r>
        <w:t xml:space="preserve"> </w:t>
      </w:r>
      <w:r>
        <w:rPr>
          <w:rStyle w:val="Suchmarke"/>
        </w:rPr>
        <w:t>#174#</w:t>
      </w:r>
      <w:bookmarkEnd w:id="216"/>
    </w:p>
    <w:p>
      <w:r>
        <w:rPr>
          <w:rStyle w:val="Satznummer"/>
        </w:rPr>
        <w:t>1</w:t>
      </w:r>
      <w:r>
        <w:t xml:space="preserve">Ein Schriftstück kann dem Adressaten oder seinem rechtsgeschäftlich bestellten Vertreter durch Aushändigung an der Amtsstelle zugestellt werden. </w:t>
      </w:r>
      <w:r>
        <w:rPr>
          <w:rStyle w:val="Satznummer"/>
        </w:rPr>
        <w:t>2</w:t>
      </w:r>
      <w:r>
        <w:t xml:space="preserve">Zum Nachweis der Zustellung ist auf dem Schriftstück und in den Akten zu vermerken, dass es zum Zwecke der Zustellung ausgehändigt wurde und wann das geschehen ist; bei Aushändigung an den Vertreter ist dies mit dem Zusatz zu vermerken, an wen das Schriftstück ausgehändigt wurde und dass die Vollmacht nach </w:t>
      </w:r>
      <w:hyperlink w:anchor="b212" w:history="1">
        <w:r>
          <w:rPr>
            <w:color w:val="0A3A8C"/>
            <w:u w:val="single"/>
          </w:rPr>
          <w:t xml:space="preserve">§ 171</w:t>
        </w:r>
      </w:hyperlink>
      <w:r>
        <w:t xml:space="preserve"> Satz 2 vorgelegt wurde. </w:t>
      </w:r>
      <w:r>
        <w:rPr>
          <w:rStyle w:val="Satznummer"/>
        </w:rPr>
        <w:t>3</w:t>
      </w:r>
      <w:r>
        <w:t>Der Vermerk ist von dem Bediensteten zu unterschreiben, der die Aushändigung vorgenommen hat.</w:t>
      </w:r>
    </w:p>
    <w:p>
      <w:pPr>
        <w:pStyle w:val="Heading5"/>
      </w:pPr>
      <w:bookmarkStart w:id="217" w:name="b216"/>
      <w:r>
        <w:t>§ 175 Zustellung von Schriftstücken gegen Empfangsbekenntnis</w:t>
      </w:r>
      <w:r>
        <w:t xml:space="preserve"> </w:t>
      </w:r>
      <w:r>
        <w:rPr>
          <w:rStyle w:val="Suchmarke"/>
        </w:rPr>
        <w:t>#175#</w:t>
      </w:r>
      <w:bookmarkEnd w:id="217"/>
    </w:p>
    <w:p>
      <w:r>
        <w:t>(1) Ein Schriftstück kann den in § 173 Absatz 2 Genannten gegen Empfangsbekenntnis zugestellt werden.</w:t>
      </w:r>
    </w:p>
    <w:p>
      <w:r>
        <w:t xml:space="preserve">(2) </w:t>
      </w:r>
      <w:r>
        <w:rPr>
          <w:rStyle w:val="Satznummer"/>
        </w:rPr>
        <w:t>1</w:t>
      </w:r>
      <w:r>
        <w:t xml:space="preserve">Eine Zustellung gegen Empfangsbekenntnis kann auch durch Telekopie erfolgen. </w:t>
      </w:r>
      <w:r>
        <w:rPr>
          <w:rStyle w:val="Satznummer"/>
        </w:rPr>
        <w:t>2</w:t>
      </w:r>
      <w:r>
        <w:t>Die Übermittlung soll mit dem Hinweis „Zustellung gegen Empfangsbekenntnis“ eingeleitet werden und die absendende Stelle, den Namen und die Anschrift des Zustellungsadressaten sowie den Namen des Justizbediensteten erkennen lassen, der das Dokument zur Übermittlung aufgegeben hat.</w:t>
      </w:r>
    </w:p>
    <w:p>
      <w:r>
        <w:t>(3) Die Zustellung nach den Absätzen 1 und 2 wird durch das mit Datum und Unterschrift des Adressaten versehene Empfangsbekenntnis nachgewiesen.</w:t>
      </w:r>
    </w:p>
    <w:p>
      <w:r>
        <w:t>(4) Das Empfangsbekenntnis muss schriftlich, durch Telekopie oder als elektronisches Dokument (</w:t>
      </w:r>
      <w:hyperlink w:anchor="b163" w:history="1">
        <w:r>
          <w:rPr>
            <w:color w:val="0A3A8C"/>
            <w:u w:val="single"/>
          </w:rPr>
          <w:t xml:space="preserve">§ 130a</w:t>
        </w:r>
      </w:hyperlink>
      <w:r>
        <w:t>) an das Gericht gesandt werden.</w:t>
      </w:r>
    </w:p>
    <w:p>
      <w:pPr>
        <w:pStyle w:val="Heading5"/>
      </w:pPr>
      <w:bookmarkStart w:id="218" w:name="b217"/>
      <w:r>
        <w:t>§ 176 Zustellung durch Einschreiben mit Rückschein; Zustellungsauftrag</w:t>
      </w:r>
      <w:r>
        <w:t xml:space="preserve"> </w:t>
      </w:r>
      <w:r>
        <w:rPr>
          <w:rStyle w:val="Suchmarke"/>
        </w:rPr>
        <w:t>#176#</w:t>
      </w:r>
      <w:bookmarkEnd w:id="218"/>
    </w:p>
    <w:p>
      <w:r>
        <w:t xml:space="preserve">(1) </w:t>
      </w:r>
      <w:r>
        <w:rPr>
          <w:rStyle w:val="Satznummer"/>
        </w:rPr>
        <w:t>1</w:t>
      </w:r>
      <w:r>
        <w:t xml:space="preserve">Ein Schriftstück kann durch Einschreiben mit Rückschein zugestellt werden. </w:t>
      </w:r>
      <w:r>
        <w:rPr>
          <w:rStyle w:val="Satznummer"/>
        </w:rPr>
        <w:t>2</w:t>
      </w:r>
      <w:r>
        <w:t>Zum Nachweis der Zustellung genügt der Rückschein.</w:t>
      </w:r>
    </w:p>
    <w:p>
      <w:r>
        <w:t xml:space="preserve">(2) </w:t>
      </w:r>
      <w:r>
        <w:rPr>
          <w:rStyle w:val="Satznummer"/>
        </w:rPr>
        <w:t>1</w:t>
      </w:r>
      <w:r>
        <w:t xml:space="preserve">Wird die Post, ein Justizbediensteter oder ein Gerichtsvollzieher mit der Zustellung eines Schriftstücks beauftragt oder wird eine andere Behörde um die Zustellung ersucht, so übergibt die Geschäftsstelle das zuzustellende Schriftstück in einem verschlossenen Umschlag und ein vorbereitetes Formular einer Zustellungsurkunde. </w:t>
      </w:r>
      <w:r>
        <w:rPr>
          <w:rStyle w:val="Satznummer"/>
        </w:rPr>
        <w:t>2</w:t>
      </w:r>
      <w:r>
        <w:t xml:space="preserve">Die Zustellung erfolgt nach den </w:t>
      </w:r>
      <w:hyperlink w:anchor="b218" w:history="1">
        <w:r>
          <w:rPr>
            <w:color w:val="0A3A8C"/>
            <w:u w:val="single"/>
          </w:rPr>
          <w:t xml:space="preserve">§§ 177</w:t>
        </w:r>
      </w:hyperlink>
      <w:r>
        <w:t xml:space="preserve"> bis </w:t>
      </w:r>
      <w:hyperlink w:anchor="b222" w:history="1">
        <w:r>
          <w:rPr>
            <w:color w:val="0A3A8C"/>
            <w:u w:val="single"/>
          </w:rPr>
          <w:t xml:space="preserve">181</w:t>
        </w:r>
      </w:hyperlink>
      <w:r>
        <w:t>.</w:t>
      </w:r>
    </w:p>
    <w:p>
      <w:pPr>
        <w:pStyle w:val="Heading5"/>
      </w:pPr>
      <w:bookmarkStart w:id="219" w:name="b218"/>
      <w:r>
        <w:t>§ 177 Ort der Zustellung</w:t>
      </w:r>
      <w:r>
        <w:t xml:space="preserve"> </w:t>
      </w:r>
      <w:r>
        <w:rPr>
          <w:rStyle w:val="Suchmarke"/>
        </w:rPr>
        <w:t>#177#</w:t>
      </w:r>
      <w:bookmarkEnd w:id="219"/>
    </w:p>
    <w:p>
      <w:r>
        <w:t>Das Schriftstück kann der Person, der zugestellt werden soll, an jedem Ort übergeben werden, an dem sie angetroffen wird.</w:t>
      </w:r>
    </w:p>
    <w:p>
      <w:pPr>
        <w:pStyle w:val="Heading5"/>
      </w:pPr>
      <w:bookmarkStart w:id="220" w:name="b219"/>
      <w:r>
        <w:t>§ 178 Ersatzzustellung in der Wohnung, in Geschäftsräumen und Einrichtungen</w:t>
      </w:r>
      <w:r>
        <w:t xml:space="preserve"> </w:t>
      </w:r>
      <w:r>
        <w:rPr>
          <w:rStyle w:val="Suchmarke"/>
        </w:rPr>
        <w:t>#178#</w:t>
      </w:r>
      <w:bookmarkEnd w:id="220"/>
    </w:p>
    <w:p>
      <w:r>
        <w:t>(1) Wird die Person, der zugestellt werden soll, in ihrer Wohnung, in dem Geschäftsraum oder in einer Gemeinschaftseinrichtung, in der sie wohnt, nicht angetroffen, kann das Schriftstück zugestellt werden</w:t>
      </w:r>
    </w:p>
    <w:p>
      <w:pPr>
        <w:tabs>
          <w:tab w:pos="567" w:val="left"/>
        </w:tabs>
        <w:ind w:left="567" w:hanging="567"/>
      </w:pPr>
      <w:r>
        <w:t>1.</w:t>
      </w:r>
      <w:r>
        <w:tab/>
      </w:r>
      <w:r>
        <w:t>in der Wohnung einem erwachsenen Familienangehörigen, einer in der Familie beschäftigten Person oder einem erwachsenen ständigen Mitbewohner,</w:t>
      </w:r>
    </w:p>
    <w:p>
      <w:pPr>
        <w:tabs>
          <w:tab w:pos="567" w:val="left"/>
        </w:tabs>
        <w:ind w:left="567" w:hanging="567"/>
      </w:pPr>
      <w:r>
        <w:t>2.</w:t>
      </w:r>
      <w:r>
        <w:tab/>
      </w:r>
      <w:r>
        <w:t>in Geschäftsräumen einer dort beschäftigten Person,</w:t>
      </w:r>
    </w:p>
    <w:p>
      <w:pPr>
        <w:tabs>
          <w:tab w:pos="567" w:val="left"/>
        </w:tabs>
        <w:ind w:left="567" w:hanging="567"/>
      </w:pPr>
      <w:r>
        <w:t>3.</w:t>
      </w:r>
      <w:r>
        <w:tab/>
      </w:r>
      <w:r>
        <w:t>in Gemeinschaftseinrichtungen dem Leiter der Einrichtung oder einem dazu ermächtigten Vertreter.</w:t>
      </w:r>
    </w:p>
    <w:p>
      <w:r>
        <w:t>(2) Die Zustellung an eine der in Absatz 1 bezeichneten Personen ist unwirksam, wenn diese an dem Rechtsstreit als Gegner der Person, der zugestellt werden soll, beteiligt ist.</w:t>
      </w:r>
    </w:p>
    <w:p>
      <w:pPr>
        <w:pStyle w:val="Heading5"/>
      </w:pPr>
      <w:bookmarkStart w:id="221" w:name="b220"/>
      <w:r>
        <w:t>§ 179 Zustellung bei verweigerter Annahme</w:t>
      </w:r>
      <w:r>
        <w:t xml:space="preserve"> </w:t>
      </w:r>
      <w:r>
        <w:rPr>
          <w:rStyle w:val="Suchmarke"/>
        </w:rPr>
        <w:t>#179#</w:t>
      </w:r>
      <w:bookmarkEnd w:id="221"/>
    </w:p>
    <w:p>
      <w:r>
        <w:rPr>
          <w:rStyle w:val="Satznummer"/>
        </w:rPr>
        <w:t>1</w:t>
      </w:r>
      <w:r>
        <w:t xml:space="preserve">Wird die Annahme des zuzustellenden Schriftstücks unberechtigt verweigert, so ist das Schriftstück in der Wohnung oder in dem Geschäftsraum zurückzulassen. </w:t>
      </w:r>
      <w:r>
        <w:rPr>
          <w:rStyle w:val="Satznummer"/>
        </w:rPr>
        <w:t>2</w:t>
      </w:r>
      <w:r>
        <w:t xml:space="preserve">Hat der Zustellungsadressat keine Wohnung oder ist kein Geschäftsraum vorhanden, ist das zuzustellende Schriftstück zurückzusenden. </w:t>
      </w:r>
      <w:r>
        <w:rPr>
          <w:rStyle w:val="Satznummer"/>
        </w:rPr>
        <w:t>3</w:t>
      </w:r>
      <w:r>
        <w:t>Mit der Annahmeverweigerung gilt das Schriftstück als zugestellt.</w:t>
      </w:r>
    </w:p>
    <w:p>
      <w:pPr>
        <w:pStyle w:val="Heading5"/>
      </w:pPr>
      <w:bookmarkStart w:id="222" w:name="b221"/>
      <w:r>
        <w:t>§ 180 Ersatzzustellung durch Einlegen in den Briefkasten</w:t>
      </w:r>
      <w:r>
        <w:t xml:space="preserve"> </w:t>
      </w:r>
      <w:r>
        <w:rPr>
          <w:rStyle w:val="Suchmarke"/>
        </w:rPr>
        <w:t>#180#</w:t>
      </w:r>
      <w:bookmarkEnd w:id="222"/>
    </w:p>
    <w:p>
      <w:r>
        <w:rPr>
          <w:rStyle w:val="Satznummer"/>
        </w:rPr>
        <w:t>1</w:t>
      </w:r>
      <w:r>
        <w:t xml:space="preserve">Ist die Zustellung nach </w:t>
      </w:r>
      <w:hyperlink w:anchor="b219" w:history="1">
        <w:r>
          <w:rPr>
            <w:color w:val="0A3A8C"/>
            <w:u w:val="single"/>
          </w:rPr>
          <w:t xml:space="preserve">§ 178</w:t>
        </w:r>
      </w:hyperlink>
      <w:r>
        <w:t xml:space="preserve"> Abs. 1 Nr. 1 oder 2 nicht ausführbar, kann das Schriftstück in einen zu der Wohnung oder dem Geschäftsraum gehörenden Briefkasten oder in eine ähnliche Vorrichtung eingelegt werden, die der Adressat für den Postempfang eingerichtet hat und die in der allgemein üblichen Art für eine sichere Aufbewahrung geeignet ist. </w:t>
      </w:r>
      <w:r>
        <w:rPr>
          <w:rStyle w:val="Satznummer"/>
        </w:rPr>
        <w:t>2</w:t>
      </w:r>
      <w:r>
        <w:t xml:space="preserve">Mit der Einlegung gilt das Schriftstück als zugestellt. </w:t>
      </w:r>
      <w:r>
        <w:rPr>
          <w:rStyle w:val="Satznummer"/>
        </w:rPr>
        <w:t>3</w:t>
      </w:r>
      <w:r>
        <w:t>Der Zusteller vermerkt auf dem Umschlag des zuzustellenden Schriftstücks das Datum der Zustellung.</w:t>
      </w:r>
    </w:p>
    <w:p>
      <w:pPr>
        <w:pStyle w:val="Heading5"/>
      </w:pPr>
      <w:bookmarkStart w:id="223" w:name="b222"/>
      <w:r>
        <w:t>§ 181 Ersatzzustellung durch Niederlegung</w:t>
      </w:r>
      <w:r>
        <w:t xml:space="preserve"> </w:t>
      </w:r>
      <w:r>
        <w:rPr>
          <w:rStyle w:val="Suchmarke"/>
        </w:rPr>
        <w:t>#181#</w:t>
      </w:r>
      <w:bookmarkEnd w:id="223"/>
    </w:p>
    <w:p>
      <w:r>
        <w:t xml:space="preserve">(1) </w:t>
      </w:r>
      <w:r>
        <w:rPr>
          <w:rStyle w:val="Satznummer"/>
        </w:rPr>
        <w:t>1</w:t>
      </w:r>
      <w:r>
        <w:t xml:space="preserve">Ist die Zustellung nach </w:t>
      </w:r>
      <w:hyperlink w:anchor="b219" w:history="1">
        <w:r>
          <w:rPr>
            <w:color w:val="0A3A8C"/>
            <w:u w:val="single"/>
          </w:rPr>
          <w:t xml:space="preserve">§ 178</w:t>
        </w:r>
      </w:hyperlink>
      <w:r>
        <w:t xml:space="preserve"> Abs. 1 Nr. 3 oder </w:t>
      </w:r>
      <w:hyperlink w:anchor="b221" w:history="1">
        <w:r>
          <w:rPr>
            <w:color w:val="0A3A8C"/>
            <w:u w:val="single"/>
          </w:rPr>
          <w:t xml:space="preserve">§ 180</w:t>
        </w:r>
      </w:hyperlink>
      <w:r>
        <w:t xml:space="preserve"> nicht ausführbar, kann das zuzustellende Schriftstück auf der Geschäftsstelle des Amtsgerichts, in dessen Bezirk der Ort der Zustellung liegt, niedergelegt werden. </w:t>
      </w:r>
      <w:r>
        <w:rPr>
          <w:rStyle w:val="Satznummer"/>
        </w:rPr>
        <w:t>2</w:t>
      </w:r>
      <w:r>
        <w:t xml:space="preserve">Wird die Post mit der Ausführung der Zustellung beauftragt, ist das zuzustellende Schriftstück am Ort der Zustellung oder am Ort des Amtsgerichts bei einer von der Post dafür bestimmten Stelle niederzulegen. </w:t>
      </w:r>
      <w:r>
        <w:rPr>
          <w:rStyle w:val="Satznummer"/>
        </w:rPr>
        <w:t>3</w:t>
      </w:r>
      <w:r>
        <w:t xml:space="preserve">Über die Niederlegung ist eine schriftliche Mitteilung auf dem vorgesehenen Formular unter der Anschrift der Person, der zugestellt werden soll, in der bei gewöhnlichen Briefen üblichen Weise abzugeben oder, wenn das nicht möglich ist, an der Tür der Wohnung, des Geschäftsraums oder der Gemeinschaftseinrichtung anzuheften. </w:t>
      </w:r>
      <w:r>
        <w:rPr>
          <w:rStyle w:val="Satznummer"/>
        </w:rPr>
        <w:t>4</w:t>
      </w:r>
      <w:r>
        <w:t xml:space="preserve">Das Schriftstück gilt mit der Abgabe der schriftlichen Mitteilung als zugestellt. </w:t>
      </w:r>
      <w:r>
        <w:rPr>
          <w:rStyle w:val="Satznummer"/>
        </w:rPr>
        <w:t>5</w:t>
      </w:r>
      <w:r>
        <w:t>Der Zusteller vermerkt auf dem Umschlag des zuzustellenden Schriftstücks das Datum der Zustellung.</w:t>
      </w:r>
    </w:p>
    <w:p>
      <w:r>
        <w:t xml:space="preserve">(2) </w:t>
      </w:r>
      <w:r>
        <w:rPr>
          <w:rStyle w:val="Satznummer"/>
        </w:rPr>
        <w:t>1</w:t>
      </w:r>
      <w:r>
        <w:t xml:space="preserve">Das niedergelegte Schriftstück ist drei Monate zur Abholung bereitzuhalten. </w:t>
      </w:r>
      <w:r>
        <w:rPr>
          <w:rStyle w:val="Satznummer"/>
        </w:rPr>
        <w:t>2</w:t>
      </w:r>
      <w:r>
        <w:t>Nicht abgeholte Schriftstücke sind danach an den Absender zurückzusenden.</w:t>
      </w:r>
    </w:p>
    <w:p>
      <w:pPr>
        <w:pStyle w:val="Heading5"/>
      </w:pPr>
      <w:bookmarkStart w:id="224" w:name="b223"/>
      <w:r>
        <w:t>§ 182 Zustellungsurkunde</w:t>
      </w:r>
      <w:r>
        <w:t xml:space="preserve"> </w:t>
      </w:r>
      <w:r>
        <w:rPr>
          <w:rStyle w:val="Suchmarke"/>
        </w:rPr>
        <w:t>#182#</w:t>
      </w:r>
      <w:bookmarkEnd w:id="224"/>
    </w:p>
    <w:p>
      <w:r>
        <w:t xml:space="preserve">(1) </w:t>
      </w:r>
      <w:r>
        <w:rPr>
          <w:rStyle w:val="Satznummer"/>
        </w:rPr>
        <w:t>1</w:t>
      </w:r>
      <w:r>
        <w:t xml:space="preserve">Zum Nachweis der Zustellung nach den </w:t>
      </w:r>
      <w:hyperlink w:anchor="b212" w:history="1">
        <w:r>
          <w:rPr>
            <w:color w:val="0A3A8C"/>
            <w:u w:val="single"/>
          </w:rPr>
          <w:t xml:space="preserve">§§ 171</w:t>
        </w:r>
      </w:hyperlink>
      <w:r>
        <w:t xml:space="preserve">, </w:t>
      </w:r>
      <w:hyperlink w:anchor="b218" w:history="1">
        <w:r>
          <w:rPr>
            <w:color w:val="0A3A8C"/>
            <w:u w:val="single"/>
          </w:rPr>
          <w:t xml:space="preserve">177</w:t>
        </w:r>
      </w:hyperlink>
      <w:r>
        <w:t xml:space="preserve"> bis </w:t>
      </w:r>
      <w:hyperlink w:anchor="b222" w:history="1">
        <w:r>
          <w:rPr>
            <w:color w:val="0A3A8C"/>
            <w:u w:val="single"/>
          </w:rPr>
          <w:t xml:space="preserve">181</w:t>
        </w:r>
      </w:hyperlink>
      <w:r>
        <w:t xml:space="preserve"> ist eine Urkunde auf dem hierfür vorgesehenen Formular anzufertigen. </w:t>
      </w:r>
      <w:r>
        <w:rPr>
          <w:rStyle w:val="Satznummer"/>
        </w:rPr>
        <w:t>2</w:t>
      </w:r>
      <w:r>
        <w:t xml:space="preserve">Für diese Zustellungsurkunde gilt </w:t>
      </w:r>
      <w:hyperlink w:anchor="b485" w:history="1">
        <w:r>
          <w:rPr>
            <w:color w:val="0A3A8C"/>
            <w:u w:val="single"/>
          </w:rPr>
          <w:t xml:space="preserve">§ 418</w:t>
        </w:r>
      </w:hyperlink>
      <w:r>
        <w:t>.</w:t>
      </w:r>
    </w:p>
    <w:p>
      <w:r>
        <w:t>(2) Die Zustellungsurkunde muss enthalten:</w:t>
      </w:r>
    </w:p>
    <w:p>
      <w:pPr>
        <w:tabs>
          <w:tab w:pos="567" w:val="left"/>
        </w:tabs>
        <w:ind w:left="567" w:hanging="567"/>
      </w:pPr>
      <w:r>
        <w:t>1.</w:t>
      </w:r>
      <w:r>
        <w:tab/>
      </w:r>
      <w:r>
        <w:t>die Bezeichnung der Person, der zugestellt werden soll,</w:t>
      </w:r>
    </w:p>
    <w:p>
      <w:pPr>
        <w:tabs>
          <w:tab w:pos="567" w:val="left"/>
        </w:tabs>
        <w:ind w:left="567" w:hanging="567"/>
      </w:pPr>
      <w:r>
        <w:t>2.</w:t>
      </w:r>
      <w:r>
        <w:tab/>
      </w:r>
      <w:r>
        <w:t>die Bezeichnung der Person, an die der Brief oder das Schriftstück übergeben wurde,</w:t>
      </w:r>
    </w:p>
    <w:p>
      <w:pPr>
        <w:tabs>
          <w:tab w:pos="567" w:val="left"/>
        </w:tabs>
        <w:ind w:left="567" w:hanging="567"/>
      </w:pPr>
      <w:r>
        <w:t>3.</w:t>
      </w:r>
      <w:r>
        <w:tab/>
      </w:r>
      <w:r>
        <w:t xml:space="preserve">im Falle des </w:t>
      </w:r>
      <w:hyperlink w:anchor="b212" w:history="1">
        <w:r>
          <w:rPr>
            <w:color w:val="0A3A8C"/>
            <w:u w:val="single"/>
          </w:rPr>
          <w:t xml:space="preserve">§ 171</w:t>
        </w:r>
      </w:hyperlink>
      <w:r>
        <w:t xml:space="preserve"> die Angabe, dass die Vollmachtsurkunde vorgelegen hat,</w:t>
      </w:r>
    </w:p>
    <w:p>
      <w:pPr>
        <w:tabs>
          <w:tab w:pos="567" w:val="left"/>
        </w:tabs>
        <w:ind w:left="567" w:hanging="567"/>
      </w:pPr>
      <w:r>
        <w:t>4.</w:t>
      </w:r>
      <w:r>
        <w:tab/>
      </w:r>
      <w:r>
        <w:t xml:space="preserve">im Falle der </w:t>
      </w:r>
      <w:hyperlink w:anchor="b219" w:history="1">
        <w:r>
          <w:rPr>
            <w:color w:val="0A3A8C"/>
            <w:u w:val="single"/>
          </w:rPr>
          <w:t xml:space="preserve">§§ 178</w:t>
        </w:r>
      </w:hyperlink>
      <w:r>
        <w:t xml:space="preserve">, </w:t>
      </w:r>
      <w:hyperlink w:anchor="b221" w:history="1">
        <w:r>
          <w:rPr>
            <w:color w:val="0A3A8C"/>
            <w:u w:val="single"/>
          </w:rPr>
          <w:t xml:space="preserve">180</w:t>
        </w:r>
      </w:hyperlink>
      <w:r>
        <w:t xml:space="preserve"> die Angabe des Grundes, der diese Zustellung rechtfertigt und wenn nach </w:t>
      </w:r>
      <w:hyperlink w:anchor="b222" w:history="1">
        <w:r>
          <w:rPr>
            <w:color w:val="0A3A8C"/>
            <w:u w:val="single"/>
          </w:rPr>
          <w:t xml:space="preserve">§ 181</w:t>
        </w:r>
      </w:hyperlink>
      <w:r>
        <w:t xml:space="preserve"> verfahren wurde, die Bemerkung, wie die schriftliche Mitteilung abgegeben wurde,</w:t>
      </w:r>
    </w:p>
    <w:p>
      <w:pPr>
        <w:tabs>
          <w:tab w:pos="567" w:val="left"/>
        </w:tabs>
        <w:ind w:left="567" w:hanging="567"/>
      </w:pPr>
      <w:r>
        <w:t>5.</w:t>
      </w:r>
      <w:r>
        <w:tab/>
      </w:r>
      <w:r>
        <w:t xml:space="preserve">im Falle des </w:t>
      </w:r>
      <w:hyperlink w:anchor="b220" w:history="1">
        <w:r>
          <w:rPr>
            <w:color w:val="0A3A8C"/>
            <w:u w:val="single"/>
          </w:rPr>
          <w:t xml:space="preserve">§ 179</w:t>
        </w:r>
      </w:hyperlink>
      <w:r>
        <w:t xml:space="preserve"> die Erwähnung, wer die Annahme verweigert hat und dass der Brief am Ort der Zustellung zurückgelassen oder an den Absender zurückgesandt wurde,</w:t>
      </w:r>
    </w:p>
    <w:p>
      <w:pPr>
        <w:tabs>
          <w:tab w:pos="567" w:val="left"/>
        </w:tabs>
        <w:ind w:left="567" w:hanging="567"/>
      </w:pPr>
      <w:r>
        <w:t>6.</w:t>
      </w:r>
      <w:r>
        <w:tab/>
      </w:r>
      <w:r>
        <w:t>die Bemerkung, dass der Tag der Zustellung auf dem Umschlag, der das zuzustellende Schriftstück enthält, vermerkt ist,</w:t>
      </w:r>
    </w:p>
    <w:p>
      <w:pPr>
        <w:tabs>
          <w:tab w:pos="567" w:val="left"/>
        </w:tabs>
        <w:ind w:left="567" w:hanging="567"/>
      </w:pPr>
      <w:r>
        <w:t>7.</w:t>
      </w:r>
      <w:r>
        <w:tab/>
      </w:r>
      <w:r>
        <w:t>den Ort, das Datum und auf Anordnung der Geschäftsstelle auch die Uhrzeit der Zustellung,</w:t>
      </w:r>
    </w:p>
    <w:p>
      <w:pPr>
        <w:tabs>
          <w:tab w:pos="567" w:val="left"/>
        </w:tabs>
        <w:ind w:left="567" w:hanging="567"/>
      </w:pPr>
      <w:r>
        <w:t>8.</w:t>
      </w:r>
      <w:r>
        <w:tab/>
      </w:r>
      <w:r>
        <w:t>Name, Vorname und Unterschrift des Zustellers sowie die Angabe des beauftragten Unternehmens oder der ersuchten Behörde.</w:t>
      </w:r>
    </w:p>
    <w:p>
      <w:r>
        <w:t>(3) Die Zustellungsurkunde ist der Geschäftsstelle in Urschrift oder als elektronisches Dokument unverzüglich zurückzuleiten.</w:t>
      </w:r>
    </w:p>
    <w:p>
      <w:pPr>
        <w:pStyle w:val="Heading5"/>
      </w:pPr>
      <w:bookmarkStart w:id="225" w:name="b224"/>
      <w:r>
        <w:t>§ 183 Zustellung im Ausland</w:t>
      </w:r>
      <w:r>
        <w:t xml:space="preserve"> </w:t>
      </w:r>
      <w:r>
        <w:rPr>
          <w:rStyle w:val="Suchmarke"/>
        </w:rPr>
        <w:t>#183#</w:t>
      </w:r>
      <w:bookmarkEnd w:id="225"/>
    </w:p>
    <w:p>
      <w:r>
        <w:t xml:space="preserve">(1) </w:t>
      </w:r>
      <w:r>
        <w:rPr>
          <w:rStyle w:val="Satznummer"/>
        </w:rPr>
        <w:t>1</w:t>
      </w:r>
      <w:r>
        <w:t>Für die Durchführung</w:t>
      </w:r>
    </w:p>
    <w:p>
      <w:pPr>
        <w:tabs>
          <w:tab w:pos="567" w:val="left"/>
        </w:tabs>
        <w:ind w:left="567" w:hanging="567"/>
      </w:pPr>
      <w:r>
        <w:t>1.</w:t>
      </w:r>
      <w:r>
        <w:tab/>
      </w:r>
      <w:r>
        <w:t>der Verordnung (EU) 2020/1784 des Europäischen Parlaments und des Rates vom 25. November 2020 über die Zustellung gerichtlicher und außergerichtlicher Schriftstücke in Zivil- oder Handelssachen in den Mitgliedstaaten (Zustellung von Schriftstücken) (ABl. L 405 vom 2.12.2020, S. 40; L 173 vom 30.6.2022, S. 133) in ihrer jeweils geltenden Fassung sowie</w:t>
      </w:r>
    </w:p>
    <w:p>
      <w:pPr>
        <w:tabs>
          <w:tab w:pos="567" w:val="left"/>
        </w:tabs>
        <w:ind w:left="567" w:hanging="567"/>
      </w:pPr>
      <w:r>
        <w:t>2.</w:t>
      </w:r>
      <w:r>
        <w:tab/>
      </w:r>
      <w:r>
        <w:t>des Abkommens zwischen der Europäischen Gemeinschaft und dem Königreich Dänemark vom 19. Oktober 2005 über die Zustellung gerichtlicher und außergerichtlicher Schriftstücke in Zivil- oder Handelssachen (ABl. L 300 vom 17.11.2005, S. 55; L 120 vom 5.5.2006, S. 23), das durch die Mitteilung Dänemarks vom 22. Dezember 2020 (ABl. L 19 vom 21.1.2021, S. 1) geändert worden ist,</w:t>
      </w:r>
    </w:p>
    <w:p>
      <w:r>
        <w:t xml:space="preserve">gelten </w:t>
      </w:r>
      <w:hyperlink w:anchor="b1103" w:history="1">
        <w:r>
          <w:rPr>
            <w:color w:val="0A3A8C"/>
            <w:u w:val="single"/>
          </w:rPr>
          <w:t xml:space="preserve">§ 1067</w:t>
        </w:r>
      </w:hyperlink>
      <w:r>
        <w:t xml:space="preserve"> Absatz 1, </w:t>
      </w:r>
      <w:hyperlink w:anchor="b1105" w:history="1">
        <w:r>
          <w:rPr>
            <w:color w:val="0A3A8C"/>
            <w:u w:val="single"/>
          </w:rPr>
          <w:t xml:space="preserve">§ 1069</w:t>
        </w:r>
      </w:hyperlink>
      <w:r>
        <w:t xml:space="preserve"> Absatz 1 sowie die </w:t>
      </w:r>
      <w:hyperlink w:anchor="b1106" w:history="1">
        <w:r>
          <w:rPr>
            <w:color w:val="0A3A8C"/>
            <w:u w:val="single"/>
          </w:rPr>
          <w:t xml:space="preserve">§§ 1070</w:t>
        </w:r>
      </w:hyperlink>
      <w:r>
        <w:t xml:space="preserve"> und </w:t>
      </w:r>
      <w:hyperlink w:anchor="b1107" w:history="1">
        <w:r>
          <w:rPr>
            <w:color w:val="0A3A8C"/>
            <w:u w:val="single"/>
          </w:rPr>
          <w:t xml:space="preserve">1071</w:t>
        </w:r>
      </w:hyperlink>
      <w:r>
        <w:t xml:space="preserve">. </w:t>
      </w:r>
      <w:r>
        <w:rPr>
          <w:rStyle w:val="Satznummer"/>
        </w:rPr>
        <w:t>2</w:t>
      </w:r>
      <w:r>
        <w:t>Soweit nicht für die Zustellung im Ausland die vorgenannten Regelungen maßgeblich sind, gelten für die Zustellung im Ausland die Absätze 2 bis 6.</w:t>
      </w:r>
    </w:p>
    <w:p>
      <w:r>
        <w:t xml:space="preserve">(2) </w:t>
      </w:r>
      <w:r>
        <w:rPr>
          <w:rStyle w:val="Satznummer"/>
        </w:rPr>
        <w:t>1</w:t>
      </w:r>
      <w:r>
        <w:t xml:space="preserve">Eine Zustellung im Ausland ist nach den völkerrechtlichen Vereinbarungen vorzunehmen, die im Verhältnis zu dem jeweiligen Staat gelten. </w:t>
      </w:r>
      <w:r>
        <w:rPr>
          <w:rStyle w:val="Satznummer"/>
        </w:rPr>
        <w:t>2</w:t>
      </w:r>
      <w:r>
        <w:t xml:space="preserve">Wenn Schriftstücke aufgrund solcher Vereinbarungen unmittelbar durch die Post zugestellt werden dürfen, dann soll dies durch Einschreiben mit Rückschein oder mittels eines gleichwertigen Nachweises bewirkt werden, anderenfalls soll die Zustellung auf Ersuchen des Vorsitzenden des Prozessgerichts unmittelbar durch die Behörden des ausländischen Staates erfolgen. </w:t>
      </w:r>
      <w:r>
        <w:rPr>
          <w:rStyle w:val="Satznummer"/>
        </w:rPr>
        <w:t>3</w:t>
      </w:r>
      <w:r>
        <w:t>Eine Zustellung durch die zuständige deutsche Auslandsvertretung soll nur in den Fällen des Absatzes 4 erfolgen.</w:t>
      </w:r>
    </w:p>
    <w:p>
      <w:r>
        <w:t>(3) Bestehen keine völkerrechtlichen Vereinbarungen zur Zustellung, so erfolgt die Zustellung vorbehaltlich des Absatzes 4 auf Ersuchen des Vorsitzenden des Prozessgerichts durch die Behörden des ausländischen Staates.</w:t>
      </w:r>
    </w:p>
    <w:p>
      <w:r>
        <w:t>(4) Folgende Zustellungen in den Fällen der Absätze 2 und 3 erfolgen auf Ersuchen des Vorsitzenden des Prozessgerichts durch die zuständige deutsche Auslandsvertretung:</w:t>
      </w:r>
    </w:p>
    <w:p>
      <w:pPr>
        <w:tabs>
          <w:tab w:pos="567" w:val="left"/>
        </w:tabs>
        <w:ind w:left="567" w:hanging="567"/>
      </w:pPr>
      <w:r>
        <w:t>1.</w:t>
      </w:r>
      <w:r>
        <w:tab/>
      </w:r>
      <w:r>
        <w:t>Zustellungen, deren Erledigung durch die Behörden des ausländischen Staates nicht oder nicht innerhalb einer angemessenen Zeit zu erwarten ist oder für die ein sonstiger begründeter Ausnahmefall vorliegt,</w:t>
      </w:r>
    </w:p>
    <w:p>
      <w:pPr>
        <w:tabs>
          <w:tab w:pos="567" w:val="left"/>
        </w:tabs>
        <w:ind w:left="567" w:hanging="567"/>
      </w:pPr>
      <w:r>
        <w:t>2.</w:t>
      </w:r>
      <w:r>
        <w:tab/>
      </w:r>
      <w:r>
        <w:t>Zustellungen an ausländische Staaten sowie</w:t>
      </w:r>
    </w:p>
    <w:p>
      <w:pPr>
        <w:tabs>
          <w:tab w:pos="567" w:val="left"/>
        </w:tabs>
        <w:ind w:left="567" w:hanging="567"/>
      </w:pPr>
      <w:r>
        <w:t>3.</w:t>
      </w:r>
      <w:r>
        <w:tab/>
      </w:r>
      <w:r>
        <w:t>Zustellungen an entsandte Beschäftigte einer deutschen Auslandsvertretung und die in ihrer Privatwohnung lebenden Personen.</w:t>
      </w:r>
    </w:p>
    <w:p>
      <w:r>
        <w:t xml:space="preserve">(5) </w:t>
      </w:r>
      <w:r>
        <w:rPr>
          <w:rStyle w:val="Satznummer"/>
        </w:rPr>
        <w:t>1</w:t>
      </w:r>
      <w:r>
        <w:t xml:space="preserve">Zum Nachweis der Zustellung nach Absatz 2 Satz 2 erster Halbsatz genügt der Rückschein oder ein gleichwertiger Nachweis. </w:t>
      </w:r>
      <w:r>
        <w:rPr>
          <w:rStyle w:val="Satznummer"/>
        </w:rPr>
        <w:t>2</w:t>
      </w:r>
      <w:r>
        <w:t>Im Übrigen wird die Zustellung durch das Zeugnis der ersuchten Behörde nachgewiesen.</w:t>
      </w:r>
    </w:p>
    <w:p>
      <w:r>
        <w:t xml:space="preserve">(6) </w:t>
      </w:r>
      <w:r>
        <w:rPr>
          <w:rStyle w:val="Satznummer"/>
        </w:rPr>
        <w:t>1</w:t>
      </w:r>
      <w:r>
        <w:t xml:space="preserve">Soweit völkerrechtliche Vereinbarungen eine Zustellung außergerichtlicher Schriftstücke ermöglichen, ist für die Übermittlung solcher Schriftstücke in das Ausland das Amtsgericht zuständig, in dessen Bezirk die Person, die die Zustellung betreibt, ihren Wohnsitz oder gewöhnlichen Aufenthalt hat. </w:t>
      </w:r>
      <w:r>
        <w:rPr>
          <w:rStyle w:val="Satznummer"/>
        </w:rPr>
        <w:t>2</w:t>
      </w:r>
      <w:r>
        <w:t xml:space="preserve">Bei notariellen Urkunden ist auch das Amtsgericht zuständig, in dessen Bezirk der beurkundende Notar seinen Amtssitz hat. </w:t>
      </w:r>
      <w:r>
        <w:rPr>
          <w:rStyle w:val="Satznummer"/>
        </w:rPr>
        <w:t>3</w:t>
      </w:r>
      <w:r>
        <w:t>Bei juristischen Personen tritt an die Stelle des Wohnsitzes oder des gewöhnlichen Aufenthalts der Sitz der juristischen Person.</w:t>
      </w:r>
    </w:p>
    <w:p>
      <w:pPr>
        <w:pStyle w:val="Heading5"/>
      </w:pPr>
      <w:bookmarkStart w:id="226" w:name="b225"/>
      <w:r>
        <w:t>§ 184 Zustellungsbevollmächtigter; Zustellung durch Aufgabe zur Post</w:t>
      </w:r>
      <w:r>
        <w:t xml:space="preserve"> </w:t>
      </w:r>
      <w:r>
        <w:rPr>
          <w:rStyle w:val="Suchmarke"/>
        </w:rPr>
        <w:t>#184#</w:t>
      </w:r>
      <w:bookmarkEnd w:id="226"/>
    </w:p>
    <w:p>
      <w:r>
        <w:t xml:space="preserve">(1) </w:t>
      </w:r>
      <w:r>
        <w:rPr>
          <w:rStyle w:val="Satznummer"/>
        </w:rPr>
        <w:t>1</w:t>
      </w:r>
      <w:r>
        <w:t xml:space="preserve">Das Gericht kann bei der Zustellung nach </w:t>
      </w:r>
      <w:hyperlink w:anchor="b224" w:history="1">
        <w:r>
          <w:rPr>
            <w:color w:val="0A3A8C"/>
            <w:u w:val="single"/>
          </w:rPr>
          <w:t xml:space="preserve">§ 183</w:t>
        </w:r>
      </w:hyperlink>
      <w:r>
        <w:t xml:space="preserve"> Absatz 2 bis 5 anordnen, dass die Partei innerhalb einer angemessenen Frist einen Zustellungsbevollmächtigten benennt, der im Inland wohnt oder dort einen Geschäftsraum hat, falls sie nicht einen Prozessbevollmächtigten bestellt hat. </w:t>
      </w:r>
      <w:r>
        <w:rPr>
          <w:rStyle w:val="Satznummer"/>
        </w:rPr>
        <w:t>2</w:t>
      </w:r>
      <w:r>
        <w:t>Wird kein Zustellungsbevollmächtigter benannt, so können spätere Zustellungen bis zur nachträglichen Benennung dadurch bewirkt werden, dass das Schriftstück unter der Anschrift der Partei zur Post gegeben wird.</w:t>
      </w:r>
    </w:p>
    <w:p>
      <w:r>
        <w:t xml:space="preserve">(2) </w:t>
      </w:r>
      <w:r>
        <w:rPr>
          <w:rStyle w:val="Satznummer"/>
        </w:rPr>
        <w:t>1</w:t>
      </w:r>
      <w:r>
        <w:t xml:space="preserve">Das Schriftstück gilt zwei Wochen nach Aufgabe zur Post als zugestellt. </w:t>
      </w:r>
      <w:r>
        <w:rPr>
          <w:rStyle w:val="Satznummer"/>
        </w:rPr>
        <w:t>2</w:t>
      </w:r>
      <w:r>
        <w:t xml:space="preserve">Das Gericht kann eine längere Frist bestimmen. </w:t>
      </w:r>
      <w:r>
        <w:rPr>
          <w:rStyle w:val="Satznummer"/>
        </w:rPr>
        <w:t>3</w:t>
      </w:r>
      <w:r>
        <w:t xml:space="preserve">In der Anordnung nach Absatz 1 ist auf diese Rechtsfolgen hinzuweisen. </w:t>
      </w:r>
      <w:r>
        <w:rPr>
          <w:rStyle w:val="Satznummer"/>
        </w:rPr>
        <w:t>4</w:t>
      </w:r>
      <w:r>
        <w:t>Zum Nachweis der Zustellung ist in den Akten zu vermerken, zu welcher Zeit und unter welcher Anschrift das Schriftstück zur Post gegeben wurde.</w:t>
      </w:r>
    </w:p>
    <w:p>
      <w:pPr>
        <w:pStyle w:val="Heading5"/>
      </w:pPr>
      <w:bookmarkStart w:id="227" w:name="b226"/>
      <w:r>
        <w:t>§ 185 Öffentliche Zustellung</w:t>
      </w:r>
      <w:r>
        <w:t xml:space="preserve"> </w:t>
      </w:r>
      <w:r>
        <w:rPr>
          <w:rStyle w:val="Suchmarke"/>
        </w:rPr>
        <w:t>#185#</w:t>
      </w:r>
      <w:bookmarkEnd w:id="227"/>
    </w:p>
    <w:p>
      <w:r>
        <w:t>Die Zustellung kann durch öffentliche Bekanntmachung (öffentliche Zustellung) erfolgen, wenn</w:t>
      </w:r>
    </w:p>
    <w:p>
      <w:pPr>
        <w:tabs>
          <w:tab w:pos="567" w:val="left"/>
        </w:tabs>
        <w:ind w:left="567" w:hanging="567"/>
      </w:pPr>
      <w:r>
        <w:t>1.</w:t>
      </w:r>
      <w:r>
        <w:tab/>
      </w:r>
      <w:r>
        <w:t>der Aufenthaltsort einer Person unbekannt und eine Zustellung an einen Vertreter oder Zustellungsbevollmächtigten nicht möglich ist,</w:t>
      </w:r>
    </w:p>
    <w:p>
      <w:pPr>
        <w:tabs>
          <w:tab w:pos="567" w:val="left"/>
        </w:tabs>
        <w:ind w:left="567" w:hanging="567"/>
      </w:pPr>
      <w:r>
        <w:t>2.</w:t>
      </w:r>
      <w:r>
        <w:tab/>
      </w:r>
      <w:r>
        <w:t>bei juristischen Personen, die zur Anmeldung einer inländischen Geschäftsanschrift zum Handelsregister verpflichtet sind, eine Zustellung weder unter der eingetragenen Anschrift noch unter einer im Handelsregister eingetragenen Anschrift einer für Zustellungen empfangsberechtigten Person oder einer ohne Ermittlungen bekannten anderen inländischen Anschrift möglich ist,</w:t>
      </w:r>
    </w:p>
    <w:p>
      <w:pPr>
        <w:tabs>
          <w:tab w:pos="567" w:val="left"/>
        </w:tabs>
        <w:ind w:left="567" w:hanging="567"/>
      </w:pPr>
      <w:r>
        <w:t>3.</w:t>
      </w:r>
      <w:r>
        <w:tab/>
      </w:r>
      <w:r>
        <w:t>eine Zustellung im Ausland nicht möglich ist oder keinen Erfolg verspricht oder</w:t>
      </w:r>
    </w:p>
    <w:p>
      <w:pPr>
        <w:tabs>
          <w:tab w:pos="567" w:val="left"/>
        </w:tabs>
        <w:ind w:left="567" w:hanging="567"/>
      </w:pPr>
      <w:r>
        <w:t>4.</w:t>
      </w:r>
      <w:r>
        <w:tab/>
      </w:r>
      <w:r>
        <w:t>die Zustellung nicht erfolgen kann, weil der Ort der Zustellung die Wohnung einer Person ist, die nach den §§ 18 bis 20 des Gerichtsverfassungsgesetzes der Gerichtsbarkeit nicht unterliegt.</w:t>
      </w:r>
    </w:p>
    <w:p>
      <w:pPr>
        <w:pStyle w:val="Heading5"/>
      </w:pPr>
      <w:bookmarkStart w:id="228" w:name="b227"/>
      <w:r>
        <w:t>§ 186 Bewilligung und Ausführung der öffentlichen Zustellung</w:t>
      </w:r>
      <w:r>
        <w:t xml:space="preserve"> </w:t>
      </w:r>
      <w:r>
        <w:rPr>
          <w:rStyle w:val="Suchmarke"/>
        </w:rPr>
        <w:t>#186#</w:t>
      </w:r>
      <w:bookmarkEnd w:id="228"/>
    </w:p>
    <w:p>
      <w:r>
        <w:t xml:space="preserve">(1) </w:t>
      </w:r>
      <w:r>
        <w:rPr>
          <w:rStyle w:val="Satznummer"/>
        </w:rPr>
        <w:t>1</w:t>
      </w:r>
      <w:r>
        <w:t xml:space="preserve">Über die Bewilligung der öffentlichen Zustellung entscheidet das Prozessgericht. </w:t>
      </w:r>
      <w:r>
        <w:rPr>
          <w:rStyle w:val="Satznummer"/>
        </w:rPr>
        <w:t>2</w:t>
      </w:r>
      <w:r>
        <w:t>Die Entscheidung kann ohne mündliche Verhandlung ergehen.</w:t>
      </w:r>
    </w:p>
    <w:p>
      <w:r>
        <w:t xml:space="preserve">(2) </w:t>
      </w:r>
      <w:r>
        <w:rPr>
          <w:rStyle w:val="Satznummer"/>
        </w:rPr>
        <w:t>1</w:t>
      </w:r>
      <w:r>
        <w:t xml:space="preserve">Die öffentliche Zustellung erfolgt durch Aushang einer Benachrichtigung an der Gerichtstafel oder durch Veröffentlichung der Benachrichtigung in einem elektronischen Informations- und Kommunikationssystem, das im Gericht öffentlich zugänglich ist. </w:t>
      </w:r>
      <w:r>
        <w:rPr>
          <w:rStyle w:val="Satznummer"/>
        </w:rPr>
        <w:t>2</w:t>
      </w:r>
      <w:r>
        <w:t>Die Benachrichtigung muss erkennen lassen</w:t>
      </w:r>
    </w:p>
    <w:p>
      <w:pPr>
        <w:tabs>
          <w:tab w:pos="567" w:val="left"/>
        </w:tabs>
        <w:ind w:left="567" w:hanging="567"/>
      </w:pPr>
      <w:r>
        <w:t>1.</w:t>
      </w:r>
      <w:r>
        <w:tab/>
      </w:r>
      <w:r>
        <w:t>die Person, für die zugestellt wird,</w:t>
      </w:r>
    </w:p>
    <w:p>
      <w:pPr>
        <w:tabs>
          <w:tab w:pos="567" w:val="left"/>
        </w:tabs>
        <w:ind w:left="567" w:hanging="567"/>
      </w:pPr>
      <w:r>
        <w:t>2.</w:t>
      </w:r>
      <w:r>
        <w:tab/>
      </w:r>
      <w:r>
        <w:t>den Namen und die letzte bekannte Anschrift des Zustellungsadressaten,</w:t>
      </w:r>
    </w:p>
    <w:p>
      <w:pPr>
        <w:tabs>
          <w:tab w:pos="567" w:val="left"/>
        </w:tabs>
        <w:ind w:left="567" w:hanging="567"/>
      </w:pPr>
      <w:r>
        <w:t>3.</w:t>
      </w:r>
      <w:r>
        <w:tab/>
      </w:r>
      <w:r>
        <w:t>das Datum, das Aktenzeichen des Schriftstücks und die Bezeichnung des Prozessgegenstandes sowie</w:t>
      </w:r>
    </w:p>
    <w:p>
      <w:pPr>
        <w:tabs>
          <w:tab w:pos="567" w:val="left"/>
        </w:tabs>
        <w:ind w:left="567" w:hanging="567"/>
      </w:pPr>
      <w:r>
        <w:t>4.</w:t>
      </w:r>
      <w:r>
        <w:tab/>
      </w:r>
      <w:r>
        <w:t>die Stelle, wo das Schriftstück eingesehen werden kann.</w:t>
      </w:r>
    </w:p>
    <w:p>
      <w:r>
        <w:rPr>
          <w:rStyle w:val="Satznummer"/>
        </w:rPr>
        <w:t>3</w:t>
      </w:r>
      <w:r>
        <w:t xml:space="preserve">Die Benachrichtigung muss den Hinweis enthalten, dass ein Schriftstück öffentlich zugestellt wird und Fristen in Gang gesetzt werden können, nach deren Ablauf Rechtsverluste drohen können. </w:t>
      </w:r>
      <w:r>
        <w:rPr>
          <w:rStyle w:val="Satznummer"/>
        </w:rPr>
        <w:t>4</w:t>
      </w:r>
      <w:r>
        <w:t>Bei der Zustellung einer Ladung muss die Benachrichtigung den Hinweis enthalten, dass das Schriftstück eine Ladung zu einem Termin enthält, dessen Versäumung Rechtsnachteile zur Folge haben kann.</w:t>
      </w:r>
    </w:p>
    <w:p>
      <w:r>
        <w:t>(3) In den Akten ist zu vermerken, wann die Benachrichtigung ausgehängt und wann sie abgenommen wurde.</w:t>
      </w:r>
    </w:p>
    <w:p>
      <w:pPr>
        <w:pStyle w:val="Heading5"/>
      </w:pPr>
      <w:bookmarkStart w:id="229" w:name="b228"/>
      <w:r>
        <w:t>§ 187 Veröffentlichung der Benachrichtigung</w:t>
      </w:r>
      <w:r>
        <w:t xml:space="preserve"> </w:t>
      </w:r>
      <w:r>
        <w:rPr>
          <w:rStyle w:val="Suchmarke"/>
        </w:rPr>
        <w:t>#187#</w:t>
      </w:r>
      <w:bookmarkEnd w:id="229"/>
    </w:p>
    <w:p>
      <w:r>
        <w:t>Das Prozessgericht kann zusätzlich anordnen, dass die Benachrichtigung einmal oder mehrfach im Bundesanzeiger oder in anderen Blättern zu veröffentlichen ist.</w:t>
      </w:r>
    </w:p>
    <w:p>
      <w:pPr>
        <w:pStyle w:val="Heading5"/>
      </w:pPr>
      <w:bookmarkStart w:id="230" w:name="b229"/>
      <w:r>
        <w:t>§ 188 Zeitpunkt der öffentlichen Zustellung</w:t>
      </w:r>
      <w:r>
        <w:t xml:space="preserve"> </w:t>
      </w:r>
      <w:r>
        <w:rPr>
          <w:rStyle w:val="Suchmarke"/>
        </w:rPr>
        <w:t>#188#</w:t>
      </w:r>
      <w:bookmarkEnd w:id="230"/>
    </w:p>
    <w:p>
      <w:r>
        <w:rPr>
          <w:rStyle w:val="Satznummer"/>
        </w:rPr>
        <w:t>1</w:t>
      </w:r>
      <w:r>
        <w:t xml:space="preserve">Das Schriftstück gilt als zugestellt, wenn seit dem Aushang der Benachrichtigung ein Monat vergangen ist. </w:t>
      </w:r>
      <w:r>
        <w:rPr>
          <w:rStyle w:val="Satznummer"/>
        </w:rPr>
        <w:t>2</w:t>
      </w:r>
      <w:r>
        <w:t>Das Prozessgericht kann eine längere Frist bestimmen.</w:t>
      </w:r>
    </w:p>
    <w:p>
      <w:pPr>
        <w:pStyle w:val="Heading5"/>
      </w:pPr>
      <w:bookmarkStart w:id="231" w:name="b230"/>
      <w:r>
        <w:t>§ 189 Heilung von Zustellungsmängeln</w:t>
      </w:r>
      <w:r>
        <w:t xml:space="preserve"> </w:t>
      </w:r>
      <w:r>
        <w:rPr>
          <w:rStyle w:val="Suchmarke"/>
        </w:rPr>
        <w:t>#189#</w:t>
      </w:r>
      <w:bookmarkEnd w:id="231"/>
    </w:p>
    <w:p>
      <w:r>
        <w:t>Lässt sich die formgerechte Zustellung eines Dokuments nicht nachweisen oder ist das Dokument unter Verletzung zwingender Zustellungsvorschriften zugegangen, so gilt es in dem Zeitpunkt als zugestellt, in dem das Dokument der Person, an die die Zustellung dem Gesetz gemäß gerichtet war oder gerichtet werden konnte, tatsächlich zugegangen ist.</w:t>
      </w:r>
    </w:p>
    <w:p>
      <w:pPr>
        <w:pStyle w:val="Heading5"/>
      </w:pPr>
      <w:bookmarkStart w:id="232" w:name="b231"/>
      <w:r>
        <w:t>§ 190 Einheitliche Zustellungsformulare</w:t>
      </w:r>
      <w:r>
        <w:t xml:space="preserve"> </w:t>
      </w:r>
      <w:r>
        <w:rPr>
          <w:rStyle w:val="Suchmarke"/>
        </w:rPr>
        <w:t>#190#</w:t>
      </w:r>
      <w:bookmarkEnd w:id="232"/>
    </w:p>
    <w:p>
      <w:r>
        <w:t>Das Bundesministerium der Justiz und für Verbraucherschutz wird ermächtigt, durch Rechtsverordnung mit Zustimmung des Bundesrates zur Vereinfachung und Vereinheitlichung der Zustellung Formulare einzuführen.</w:t>
      </w:r>
    </w:p>
    <w:p>
      <w:pPr>
        <w:pStyle w:val="Heading4"/>
      </w:pPr>
      <w:bookmarkStart w:id="233" w:name="b232"/>
      <w:r>
        <w:t>Untertitel 2 Zustellungen auf Betreiben der Parteien</w:t>
      </w:r>
      <w:bookmarkEnd w:id="233"/>
    </w:p>
    <w:p>
      <w:pPr>
        <w:pStyle w:val="Heading5"/>
      </w:pPr>
      <w:bookmarkStart w:id="234" w:name="b233"/>
      <w:r>
        <w:t>§ 191 Zustellung</w:t>
      </w:r>
      <w:r>
        <w:t xml:space="preserve"> </w:t>
      </w:r>
      <w:r>
        <w:rPr>
          <w:rStyle w:val="Suchmarke"/>
        </w:rPr>
        <w:t>#191#</w:t>
      </w:r>
      <w:bookmarkEnd w:id="234"/>
    </w:p>
    <w:p>
      <w:r>
        <w:t>Ist eine Zustellung auf Betreiben der Parteien zugelassen oder vorgeschrieben, finden die Vorschriften über die Zustellung von Amts wegen entsprechende Anwendung, soweit sich nicht aus den nachfolgenden Vorschriften Abweichungen ergeben.</w:t>
      </w:r>
    </w:p>
    <w:p>
      <w:pPr>
        <w:pStyle w:val="Heading5"/>
      </w:pPr>
      <w:bookmarkStart w:id="235" w:name="b234"/>
      <w:r>
        <w:t>§ 192 Zustellung durch Gerichtsvollzieher</w:t>
      </w:r>
      <w:r>
        <w:t xml:space="preserve"> </w:t>
      </w:r>
      <w:r>
        <w:rPr>
          <w:rStyle w:val="Suchmarke"/>
        </w:rPr>
        <w:t>#192#</w:t>
      </w:r>
      <w:bookmarkEnd w:id="235"/>
    </w:p>
    <w:p>
      <w:r>
        <w:rPr>
          <w:rStyle w:val="Satznummer"/>
        </w:rPr>
        <w:t>1</w:t>
      </w:r>
      <w:r>
        <w:t>Die von den Parteien zu betreibenden Zustellungen erfolgen unbeschadet der Zustellung im Ausland (</w:t>
      </w:r>
      <w:hyperlink w:anchor="b224" w:history="1">
        <w:r>
          <w:rPr>
            <w:color w:val="0A3A8C"/>
            <w:u w:val="single"/>
          </w:rPr>
          <w:t xml:space="preserve">§ 183</w:t>
        </w:r>
      </w:hyperlink>
      <w:r>
        <w:t xml:space="preserve">) durch den Gerichtsvollzieher. </w:t>
      </w:r>
      <w:r>
        <w:rPr>
          <w:rStyle w:val="Satznummer"/>
        </w:rPr>
        <w:t>2</w:t>
      </w:r>
      <w:r>
        <w:t xml:space="preserve">Im Verfahren vor dem Amtsgericht kann die Partei den Gerichtsvollzieher durch Vermittlung durch die Geschäftsstelle des Prozessgerichts mit der Zustellung beauftragen. </w:t>
      </w:r>
      <w:r>
        <w:rPr>
          <w:rStyle w:val="Satznummer"/>
        </w:rPr>
        <w:t>3</w:t>
      </w:r>
      <w:r>
        <w:t>Insoweit hat diese den Gerichtsvollzieher mit der Zustellung zu beauftragen.</w:t>
      </w:r>
    </w:p>
    <w:p>
      <w:pPr>
        <w:pStyle w:val="Heading5"/>
      </w:pPr>
      <w:bookmarkStart w:id="236" w:name="b235"/>
      <w:r>
        <w:t>§ 193 Zustellung von Schriftstücken</w:t>
      </w:r>
      <w:r>
        <w:t xml:space="preserve"> </w:t>
      </w:r>
      <w:r>
        <w:rPr>
          <w:rStyle w:val="Suchmarke"/>
        </w:rPr>
        <w:t>#193#</w:t>
      </w:r>
      <w:bookmarkEnd w:id="236"/>
    </w:p>
    <w:p>
      <w:r>
        <w:t xml:space="preserve">(1) </w:t>
      </w:r>
      <w:r>
        <w:rPr>
          <w:rStyle w:val="Satznummer"/>
        </w:rPr>
        <w:t>1</w:t>
      </w:r>
      <w:r>
        <w:t>Soll ein Dokument als Schriftstück zugestellt werden, so übermittelt die Partei dem Gerichtsvollzieher das zuzustellende Dokument</w:t>
      </w:r>
    </w:p>
    <w:p>
      <w:pPr>
        <w:tabs>
          <w:tab w:pos="567" w:val="left"/>
        </w:tabs>
        <w:ind w:left="567" w:hanging="567"/>
      </w:pPr>
      <w:r>
        <w:t>1.</w:t>
      </w:r>
      <w:r>
        <w:tab/>
      </w:r>
      <w:r>
        <w:t>in Papierform zusammen mit den erforderlichen Abschriften oder</w:t>
      </w:r>
    </w:p>
    <w:p>
      <w:pPr>
        <w:tabs>
          <w:tab w:pos="567" w:val="left"/>
        </w:tabs>
        <w:ind w:left="567" w:hanging="567"/>
      </w:pPr>
      <w:r>
        <w:t>2.</w:t>
      </w:r>
      <w:r>
        <w:tab/>
      </w:r>
      <w:r>
        <w:t>als elektronisches Dokument auf einem sicheren Übermittlungsweg.</w:t>
      </w:r>
    </w:p>
    <w:p>
      <w:r>
        <w:rPr>
          <w:rStyle w:val="Satznummer"/>
        </w:rPr>
        <w:t>2</w:t>
      </w:r>
      <w:r>
        <w:t xml:space="preserve">Im Falle des Satzes 1 Nummer 1 beglaubigt der Gerichtsvollzieher die Abschriften; er kann fehlende Abschriften selbst herstellen. </w:t>
      </w:r>
      <w:r>
        <w:rPr>
          <w:rStyle w:val="Satznummer"/>
        </w:rPr>
        <w:t>3</w:t>
      </w:r>
      <w:r>
        <w:t>Im Falle des Satzes 1 Nummer 2 fertigt der Gerichtsvollzieher die erforderlichen Abschriften als Ausdrucke selbst und beglaubigt diese.</w:t>
      </w:r>
    </w:p>
    <w:p>
      <w:r>
        <w:t xml:space="preserve">(2) </w:t>
      </w:r>
      <w:r>
        <w:rPr>
          <w:rStyle w:val="Satznummer"/>
        </w:rPr>
        <w:t>1</w:t>
      </w:r>
      <w:r>
        <w:t xml:space="preserve">Der Gerichtsvollzieher beurkundet im Falle des Absatzes 1 Satz 1 Nummer 1 auf der Urschrift des zuzustellenden Schriftstücks oder auf dem mit der Urschrift zu verbindenden hierfür vorgesehenen Formular die Ausführung der Zustellung nach </w:t>
      </w:r>
      <w:hyperlink w:anchor="b223" w:history="1">
        <w:r>
          <w:rPr>
            <w:color w:val="0A3A8C"/>
            <w:u w:val="single"/>
          </w:rPr>
          <w:t xml:space="preserve">§ 182</w:t>
        </w:r>
      </w:hyperlink>
      <w:r>
        <w:t xml:space="preserve"> Abs. 2 und vermerkt die Person, in deren Auftrag er zugestellt hat. </w:t>
      </w:r>
      <w:r>
        <w:rPr>
          <w:rStyle w:val="Satznummer"/>
        </w:rPr>
        <w:t>2</w:t>
      </w:r>
      <w:r>
        <w:t xml:space="preserve">Im Falle des Absatzes 1 Satz 1 Nummer 2 gilt Satz 1 mit der Maßgabe, dass der Gerichtsvollzieher die Beurkundung auf einem Ausdruck des zuzustellenden elektronischen Dokuments oder auf dem mit dem Ausdruck zu verbindenden hierfür vorgesehenen Formular vornimmt. </w:t>
      </w:r>
      <w:r>
        <w:rPr>
          <w:rStyle w:val="Satznummer"/>
        </w:rPr>
        <w:t>3</w:t>
      </w:r>
      <w:r>
        <w:t>Bei Zustellung durch Aufgabe zur Post ist das Datum und die Anschrift, unter der die Aufgabe erfolgte, zu vermerken.</w:t>
      </w:r>
    </w:p>
    <w:p>
      <w:r>
        <w:t>(3) Der Gerichtsvollzieher vermerkt auf dem zu übergebenden Schriftstück den Tag der Zustellung, sofern er nicht eine beglaubigte Abschrift der Zustellungsurkunde übergibt.</w:t>
      </w:r>
    </w:p>
    <w:p>
      <w:r>
        <w:t>(4) Die Zustellungsurkunde ist der Partei zu übermitteln, für die zugestellt wurde.</w:t>
      </w:r>
    </w:p>
    <w:p>
      <w:pPr>
        <w:pStyle w:val="Heading5"/>
      </w:pPr>
      <w:bookmarkStart w:id="237" w:name="b236"/>
      <w:r>
        <w:t>§ 193a Zustellung von elektronischen Dokumenten</w:t>
      </w:r>
      <w:r>
        <w:t xml:space="preserve"> </w:t>
      </w:r>
      <w:r>
        <w:rPr>
          <w:rStyle w:val="Suchmarke"/>
        </w:rPr>
        <w:t>#193a#</w:t>
      </w:r>
      <w:bookmarkEnd w:id="237"/>
    </w:p>
    <w:p>
      <w:r>
        <w:t xml:space="preserve">(1) </w:t>
      </w:r>
      <w:r>
        <w:rPr>
          <w:rStyle w:val="Satznummer"/>
        </w:rPr>
        <w:t>1</w:t>
      </w:r>
      <w:r>
        <w:t>Soll ein Dokument als elektronisches Dokument zugestellt werden, so übermittelt die Partei dem Gerichtsvollzieher das zuzustellende Dokument</w:t>
      </w:r>
    </w:p>
    <w:p>
      <w:pPr>
        <w:tabs>
          <w:tab w:pos="567" w:val="left"/>
        </w:tabs>
        <w:ind w:left="567" w:hanging="567"/>
      </w:pPr>
      <w:r>
        <w:t>1.</w:t>
      </w:r>
      <w:r>
        <w:tab/>
      </w:r>
      <w:r>
        <w:t>elektronisch auf einem sicheren Übermittlungsweg oder</w:t>
      </w:r>
    </w:p>
    <w:p>
      <w:pPr>
        <w:tabs>
          <w:tab w:pos="567" w:val="left"/>
        </w:tabs>
        <w:ind w:left="567" w:hanging="567"/>
      </w:pPr>
      <w:r>
        <w:t>2.</w:t>
      </w:r>
      <w:r>
        <w:tab/>
      </w:r>
      <w:r>
        <w:t>als Schriftstück.</w:t>
      </w:r>
    </w:p>
    <w:p>
      <w:r>
        <w:rPr>
          <w:rStyle w:val="Satznummer"/>
        </w:rPr>
        <w:t>2</w:t>
      </w:r>
      <w:r>
        <w:t>Im Falle des Satzes 1 Nummer 2 überträgt der Gerichtsvollzieher das Schriftstück in ein elektronisches Dokument.</w:t>
      </w:r>
    </w:p>
    <w:p>
      <w:r>
        <w:t xml:space="preserve">(2) </w:t>
      </w:r>
      <w:r>
        <w:rPr>
          <w:rStyle w:val="Satznummer"/>
        </w:rPr>
        <w:t>1</w:t>
      </w:r>
      <w:r>
        <w:t xml:space="preserve">Als Nachweis der Zustellung dient die automatisierte Eingangsbestätigung. </w:t>
      </w:r>
      <w:r>
        <w:rPr>
          <w:rStyle w:val="Satznummer"/>
        </w:rPr>
        <w:t>2</w:t>
      </w:r>
      <w:r>
        <w:t xml:space="preserve">Der Zeitpunkt der Zustellung ist der in der automatisierten Eingangsbestätigung ausgewiesene Zeitpunkt des Eingangs in dem vom Empfänger eröffneten elektronischen Postfach. </w:t>
      </w:r>
      <w:r>
        <w:rPr>
          <w:rStyle w:val="Satznummer"/>
        </w:rPr>
        <w:t>3</w:t>
      </w:r>
      <w:r>
        <w:t xml:space="preserve">Im Falle des Absatzes 1 Satz 1 Nummer 1 ist die automatisierte Eingangsbestätigung mit dem zuzustellenden elektronischen Dokument zu verbinden und der Partei zu übermitteln, für die zugestellt wurde. </w:t>
      </w:r>
      <w:r>
        <w:rPr>
          <w:rStyle w:val="Satznummer"/>
        </w:rPr>
        <w:t>4</w:t>
      </w:r>
      <w:r>
        <w:t>Im Falle des Absatzes 1 Satz 1 Nummer 2 fertigt der Gerichtsvollzieher einen Ausdruck der automatisierten Eingangsbestätigung, verbindet den Ausdruck mit dem zuzustellenden Schriftstück und übermittelt dieses der Partei, für die zugestellt wurde.</w:t>
      </w:r>
    </w:p>
    <w:p>
      <w:pPr>
        <w:pStyle w:val="Heading5"/>
      </w:pPr>
      <w:bookmarkStart w:id="238" w:name="b237"/>
      <w:r>
        <w:t>§ 194 Zustellungsauftrag</w:t>
      </w:r>
      <w:r>
        <w:t xml:space="preserve"> </w:t>
      </w:r>
      <w:r>
        <w:rPr>
          <w:rStyle w:val="Suchmarke"/>
        </w:rPr>
        <w:t>#194#</w:t>
      </w:r>
      <w:bookmarkEnd w:id="238"/>
    </w:p>
    <w:p>
      <w:r>
        <w:t xml:space="preserve">(1) </w:t>
      </w:r>
      <w:r>
        <w:rPr>
          <w:rStyle w:val="Satznummer"/>
        </w:rPr>
        <w:t>1</w:t>
      </w:r>
      <w:r>
        <w:t xml:space="preserve">Beauftragt der Gerichtsvollzieher die Post mit der Ausführung der Zustellung, vermerkt er auf dem zuzustellenden Schriftstück, im Auftrag welcher Person er es der Post übergibt. </w:t>
      </w:r>
      <w:r>
        <w:rPr>
          <w:rStyle w:val="Satznummer"/>
        </w:rPr>
        <w:t>2</w:t>
      </w:r>
      <w:r>
        <w:t>Auf der Urschrift des zuzustellenden Schriftstücks oder auf einem mit ihr zu verbindenden Übergabebogen bezeugt er, dass die mit der Anschrift des Zustellungsadressaten, der Bezeichnung des absendenden Gerichtsvollziehers und einem Aktenzeichen versehene Sendung der Post übergeben wurde.</w:t>
      </w:r>
    </w:p>
    <w:p>
      <w:r>
        <w:t>(2) Die Post leitet die Zustellungsurkunde unverzüglich an den Gerichtsvollzieher zurück.</w:t>
      </w:r>
    </w:p>
    <w:p>
      <w:pPr>
        <w:pStyle w:val="Heading5"/>
      </w:pPr>
      <w:bookmarkStart w:id="239" w:name="b238"/>
      <w:r>
        <w:t>§ 195 Zustellung von Anwalt zu Anwalt</w:t>
      </w:r>
      <w:r>
        <w:t xml:space="preserve"> </w:t>
      </w:r>
      <w:r>
        <w:rPr>
          <w:rStyle w:val="Suchmarke"/>
        </w:rPr>
        <w:t>#195#</w:t>
      </w:r>
      <w:bookmarkEnd w:id="239"/>
    </w:p>
    <w:p>
      <w:r>
        <w:t xml:space="preserve">(1) </w:t>
      </w:r>
      <w:r>
        <w:rPr>
          <w:rStyle w:val="Satznummer"/>
        </w:rPr>
        <w:t>1</w:t>
      </w:r>
      <w:r>
        <w:t xml:space="preserve">Sind die Parteien durch Anwälte vertreten, so kann ein Dokument auch dadurch zugestellt werden, dass der zustellende Anwalt das Dokument dem anderen Anwalt übermittelt (Zustellung von Anwalt zu Anwalt). </w:t>
      </w:r>
      <w:r>
        <w:rPr>
          <w:rStyle w:val="Satznummer"/>
        </w:rPr>
        <w:t>2</w:t>
      </w:r>
      <w:r>
        <w:t xml:space="preserve">Auch Schriftsätze, die nach den Vorschriften dieses Gesetzes vom Amts wegen zugestellt werden, können stattdessen von Anwalt zu Anwalt zugestellt werden, wenn nicht gleichzeitig dem Gegner eine gerichtliche Anordnung mitzuteilen ist. </w:t>
      </w:r>
      <w:r>
        <w:rPr>
          <w:rStyle w:val="Satznummer"/>
        </w:rPr>
        <w:t>3</w:t>
      </w:r>
      <w:r>
        <w:t xml:space="preserve">In dem Schriftsatz soll die Erklärung enthalten sein, dass von Anwalt zu Anwalt zugestellt werde. </w:t>
      </w:r>
      <w:r>
        <w:rPr>
          <w:rStyle w:val="Satznummer"/>
        </w:rPr>
        <w:t>4</w:t>
      </w:r>
      <w:r>
        <w:t xml:space="preserve">Die Zustellung ist dem Gericht, sofern dies für die zu treffende Entscheidung erforderlich ist, nachzuweisen. </w:t>
      </w:r>
      <w:r>
        <w:rPr>
          <w:rStyle w:val="Satznummer"/>
        </w:rPr>
        <w:t>5</w:t>
      </w:r>
      <w:r>
        <w:t xml:space="preserve">Für die Zustellung von Anwalt zu Anwalt gelten </w:t>
      </w:r>
      <w:hyperlink w:anchor="b214" w:history="1">
        <w:r>
          <w:rPr>
            <w:color w:val="0A3A8C"/>
            <w:u w:val="single"/>
          </w:rPr>
          <w:t xml:space="preserve">§ 173</w:t>
        </w:r>
      </w:hyperlink>
      <w:r>
        <w:t xml:space="preserve"> Absatz 1 und </w:t>
      </w:r>
      <w:hyperlink w:anchor="b216" w:history="1">
        <w:r>
          <w:rPr>
            <w:color w:val="0A3A8C"/>
            <w:u w:val="single"/>
          </w:rPr>
          <w:t xml:space="preserve">§ 175</w:t>
        </w:r>
      </w:hyperlink>
      <w:r>
        <w:t xml:space="preserve"> Absatz 2 Satz 1 entsprechend.</w:t>
      </w:r>
    </w:p>
    <w:p>
      <w:r>
        <w:t xml:space="preserve">(2) </w:t>
      </w:r>
      <w:r>
        <w:rPr>
          <w:rStyle w:val="Satznummer"/>
        </w:rPr>
        <w:t>1</w:t>
      </w:r>
      <w:r>
        <w:t xml:space="preserve">Zum Nachweis der Zustellung eines Schriftstücks genügt das mit Datum und Unterschrift versehene Empfangsbekenntnis desjenigen Anwalts, dem zugestellt worden ist. </w:t>
      </w:r>
      <w:r>
        <w:rPr>
          <w:rStyle w:val="Satznummer"/>
        </w:rPr>
        <w:t>2</w:t>
      </w:r>
      <w:hyperlink w:anchor="b216" w:history="1">
        <w:r>
          <w:rPr>
            <w:color w:val="0A3A8C"/>
            <w:u w:val="single"/>
          </w:rPr>
          <w:t xml:space="preserve">§ 175</w:t>
        </w:r>
      </w:hyperlink>
      <w:r>
        <w:t xml:space="preserve"> Absatz 4 gilt entsprechend. </w:t>
      </w:r>
      <w:r>
        <w:rPr>
          <w:rStyle w:val="Satznummer"/>
        </w:rPr>
        <w:t>3</w:t>
      </w:r>
      <w:r>
        <w:t xml:space="preserve">Die Zustellung eines elektronischen Dokuments ist durch ein elektronisches Empfangsbekenntnis in Form eines strukturierten Datensatzes nachzuweisen. </w:t>
      </w:r>
      <w:r>
        <w:rPr>
          <w:rStyle w:val="Satznummer"/>
        </w:rPr>
        <w:t>4</w:t>
      </w:r>
      <w:r>
        <w:t>Der Anwalt, der zustellt, hat dem anderen Anwalt auf Verlangen eine Bescheinigung über die Zustellung zu erteilen.</w:t>
      </w:r>
    </w:p>
    <w:p>
      <w:pPr>
        <w:pStyle w:val="Heading5"/>
      </w:pPr>
      <w:bookmarkStart w:id="240" w:name="b239"/>
      <w:r>
        <w:t>§§ 195a bis 213a (weggefallen)</w:t>
      </w:r>
      <w:bookmarkEnd w:id="240"/>
    </w:p>
    <w:p>
      <w:pPr>
        <w:pStyle w:val="Heading3"/>
      </w:pPr>
      <w:bookmarkStart w:id="241" w:name="b240"/>
      <w:r>
        <w:t>Titel 3 Ladungen, Termine und Fristen</w:t>
      </w:r>
      <w:bookmarkEnd w:id="241"/>
    </w:p>
    <w:p>
      <w:pPr>
        <w:pStyle w:val="Heading4"/>
      </w:pPr>
      <w:bookmarkStart w:id="242" w:name="b241"/>
      <w:r>
        <w:t>§ 214 Ladung zum Termin</w:t>
      </w:r>
      <w:r>
        <w:t xml:space="preserve"> </w:t>
      </w:r>
      <w:r>
        <w:rPr>
          <w:rStyle w:val="Suchmarke"/>
        </w:rPr>
        <w:t>#214#</w:t>
      </w:r>
      <w:bookmarkEnd w:id="242"/>
    </w:p>
    <w:p>
      <w:r>
        <w:t>Die Ladung zu einem Termin wird von Amts wegen veranlasst.</w:t>
      </w:r>
    </w:p>
    <w:p>
      <w:pPr>
        <w:pStyle w:val="Heading4"/>
      </w:pPr>
      <w:bookmarkStart w:id="243" w:name="b242"/>
      <w:r>
        <w:t>§ 215 Notwendiger Inhalt der Ladung zur mündlichen Verhandlung</w:t>
      </w:r>
      <w:r>
        <w:t xml:space="preserve"> </w:t>
      </w:r>
      <w:r>
        <w:rPr>
          <w:rStyle w:val="Suchmarke"/>
        </w:rPr>
        <w:t>#215#</w:t>
      </w:r>
      <w:bookmarkEnd w:id="243"/>
    </w:p>
    <w:p>
      <w:r>
        <w:t xml:space="preserve">(1) </w:t>
      </w:r>
      <w:r>
        <w:rPr>
          <w:rStyle w:val="Satznummer"/>
        </w:rPr>
        <w:t>1</w:t>
      </w:r>
      <w:r>
        <w:t>In der Ladung zur mündlichen Verhandlung ist über die Folgen einer Versäumung des Termins zu belehren (</w:t>
      </w:r>
      <w:hyperlink w:anchor="b381" w:history="1">
        <w:r>
          <w:rPr>
            <w:color w:val="0A3A8C"/>
            <w:u w:val="single"/>
          </w:rPr>
          <w:t xml:space="preserve">§§ 330</w:t>
        </w:r>
      </w:hyperlink>
      <w:r>
        <w:t xml:space="preserve"> bis </w:t>
      </w:r>
      <w:hyperlink w:anchor="b383" w:history="1">
        <w:r>
          <w:rPr>
            <w:color w:val="0A3A8C"/>
            <w:u w:val="single"/>
          </w:rPr>
          <w:t xml:space="preserve">331a</w:t>
        </w:r>
      </w:hyperlink>
      <w:r>
        <w:t xml:space="preserve">). </w:t>
      </w:r>
      <w:r>
        <w:rPr>
          <w:rStyle w:val="Satznummer"/>
        </w:rPr>
        <w:t>2</w:t>
      </w:r>
      <w:r>
        <w:t xml:space="preserve">Die Belehrung hat die Rechtsfolgen aus den </w:t>
      </w:r>
      <w:hyperlink w:anchor="b113" w:history="1">
        <w:r>
          <w:rPr>
            <w:color w:val="0A3A8C"/>
            <w:u w:val="single"/>
          </w:rPr>
          <w:t xml:space="preserve">§§ 91</w:t>
        </w:r>
      </w:hyperlink>
      <w:r>
        <w:t xml:space="preserve"> und </w:t>
      </w:r>
      <w:hyperlink w:anchor="b706" w:history="1">
        <w:r>
          <w:rPr>
            <w:color w:val="0A3A8C"/>
            <w:u w:val="single"/>
          </w:rPr>
          <w:t xml:space="preserve">708</w:t>
        </w:r>
      </w:hyperlink>
      <w:r>
        <w:t xml:space="preserve"> Nr. 2 zu umfassen.</w:t>
      </w:r>
    </w:p>
    <w:p>
      <w:r>
        <w:t>(2) In Anwaltsprozessen muss die Ladung zur mündlichen Verhandlung, sofern die Zustellung nicht an einen Rechtsanwalt erfolgt, die Aufforderung enthalten, einen Anwalt zu bestellen.</w:t>
      </w:r>
    </w:p>
    <w:p>
      <w:pPr>
        <w:pStyle w:val="Heading4"/>
      </w:pPr>
      <w:bookmarkStart w:id="244" w:name="b243"/>
      <w:r>
        <w:t>§ 216 Terminsbestimmung</w:t>
      </w:r>
      <w:r>
        <w:t xml:space="preserve"> </w:t>
      </w:r>
      <w:r>
        <w:rPr>
          <w:rStyle w:val="Suchmarke"/>
        </w:rPr>
        <w:t>#216#</w:t>
      </w:r>
      <w:bookmarkEnd w:id="244"/>
    </w:p>
    <w:p>
      <w:r>
        <w:t>(1) Die Termine werden von Amts wegen bestimmt, wenn Anträge oder Erklärungen eingereicht werden, über die nur nach mündlicher Verhandlung entschieden werden kann oder über die mündliche Verhandlung vom Gericht angeordnet ist.</w:t>
      </w:r>
    </w:p>
    <w:p>
      <w:r>
        <w:t>(2) Der Vorsitzende hat die Termine unverzüglich zu bestimmen.</w:t>
      </w:r>
    </w:p>
    <w:p>
      <w:r>
        <w:t>(3) Auf Sonntage, allgemeine Feiertage oder Sonnabende sind Termine nur in Notfällen anzuberaumen.</w:t>
      </w:r>
    </w:p>
    <w:p>
      <w:pPr>
        <w:pStyle w:val="Heading4"/>
      </w:pPr>
      <w:bookmarkStart w:id="245" w:name="b244"/>
      <w:r>
        <w:t>§ 217 Ladungsfrist</w:t>
      </w:r>
      <w:r>
        <w:t xml:space="preserve"> </w:t>
      </w:r>
      <w:r>
        <w:rPr>
          <w:rStyle w:val="Suchmarke"/>
        </w:rPr>
        <w:t>#217#</w:t>
      </w:r>
      <w:bookmarkEnd w:id="245"/>
    </w:p>
    <w:p>
      <w:r>
        <w:t>Die Frist, die in einer anhängigen Sache zwischen der Zustellung der Ladung und dem Terminstag liegen soll (Ladungsfrist), beträgt in Anwaltsprozessen mindestens eine Woche, in anderen Prozessen mindestens drei Tage.</w:t>
      </w:r>
    </w:p>
    <w:p>
      <w:pPr>
        <w:pStyle w:val="Heading4"/>
      </w:pPr>
      <w:bookmarkStart w:id="246" w:name="b245"/>
      <w:r>
        <w:t>§ 218 Entbehrlichkeit der Ladung</w:t>
      </w:r>
      <w:r>
        <w:t xml:space="preserve"> </w:t>
      </w:r>
      <w:r>
        <w:rPr>
          <w:rStyle w:val="Suchmarke"/>
        </w:rPr>
        <w:t>#218#</w:t>
      </w:r>
      <w:bookmarkEnd w:id="246"/>
    </w:p>
    <w:p>
      <w:r>
        <w:t xml:space="preserve">Zu Terminen, die in verkündeten Entscheidungen bestimmt sind, ist eine Ladung der Parteien unbeschadet der Vorschriften des </w:t>
      </w:r>
      <w:hyperlink w:anchor="b178" w:history="1">
        <w:r>
          <w:rPr>
            <w:color w:val="0A3A8C"/>
            <w:u w:val="single"/>
          </w:rPr>
          <w:t xml:space="preserve">§ 141</w:t>
        </w:r>
      </w:hyperlink>
      <w:r>
        <w:t xml:space="preserve"> Abs. 2 nicht erforderlich.</w:t>
      </w:r>
    </w:p>
    <w:p>
      <w:pPr>
        <w:pStyle w:val="Heading4"/>
      </w:pPr>
      <w:bookmarkStart w:id="247" w:name="b246"/>
      <w:r>
        <w:t>§ 219 Terminsort</w:t>
      </w:r>
      <w:r>
        <w:t xml:space="preserve"> </w:t>
      </w:r>
      <w:r>
        <w:rPr>
          <w:rStyle w:val="Suchmarke"/>
        </w:rPr>
        <w:t>#219#</w:t>
      </w:r>
      <w:bookmarkEnd w:id="247"/>
    </w:p>
    <w:p>
      <w:r>
        <w:t>(1) Die Termine werden an der Gerichtsstelle abgehalten, sofern nicht die Einnahme eines Augenscheins an Ort und Stelle, die Verhandlung mit einer am Erscheinen vor Gericht verhinderten Person oder eine sonstige Handlung erforderlich ist, die an der Gerichtsstelle nicht vorgenommen werden kann.</w:t>
      </w:r>
    </w:p>
    <w:p>
      <w:r>
        <w:t>(2) Der Bundespräsident ist nicht verpflichtet, persönlich an der Gerichtsstelle zu erscheinen.</w:t>
      </w:r>
    </w:p>
    <w:p>
      <w:pPr>
        <w:pStyle w:val="Heading4"/>
      </w:pPr>
      <w:bookmarkStart w:id="248" w:name="b247"/>
      <w:r>
        <w:t>§ 220 Aufruf der Sache; versäumter Termin</w:t>
      </w:r>
      <w:r>
        <w:t xml:space="preserve"> </w:t>
      </w:r>
      <w:r>
        <w:rPr>
          <w:rStyle w:val="Suchmarke"/>
        </w:rPr>
        <w:t>#220#</w:t>
      </w:r>
      <w:bookmarkEnd w:id="248"/>
    </w:p>
    <w:p>
      <w:r>
        <w:t>(1) Der Termin beginnt mit dem Aufruf der Sache.</w:t>
      </w:r>
    </w:p>
    <w:p>
      <w:r>
        <w:t>(2) Der Termin ist von einer Partei versäumt, wenn sie bis zum Schluss nicht verhandelt.</w:t>
      </w:r>
    </w:p>
    <w:p>
      <w:pPr>
        <w:pStyle w:val="Heading4"/>
      </w:pPr>
      <w:bookmarkStart w:id="249" w:name="b248"/>
      <w:r>
        <w:t>§ 221 Fristbeginn</w:t>
      </w:r>
      <w:r>
        <w:t xml:space="preserve"> </w:t>
      </w:r>
      <w:r>
        <w:rPr>
          <w:rStyle w:val="Suchmarke"/>
        </w:rPr>
        <w:t>#221#</w:t>
      </w:r>
      <w:bookmarkEnd w:id="249"/>
    </w:p>
    <w:p>
      <w:r>
        <w:t>(1) Der Lauf einer richterlichen Frist beginnt, sofern nicht bei ihrer Festsetzung ein anderes bestimmt wird, mit der Zustellung des Dokuments, in dem die Frist festgesetzt ist, und, wenn es einer solchen Zustellung nicht bedarf, mit der Verkündung der Frist.</w:t>
      </w:r>
    </w:p>
    <w:p>
      <w:pPr>
        <w:pStyle w:val="Heading4"/>
      </w:pPr>
      <w:bookmarkStart w:id="250" w:name="b249"/>
      <w:r>
        <w:t>§ 222 Fristberechnung</w:t>
      </w:r>
      <w:r>
        <w:t xml:space="preserve"> </w:t>
      </w:r>
      <w:r>
        <w:rPr>
          <w:rStyle w:val="Suchmarke"/>
        </w:rPr>
        <w:t>#222#</w:t>
      </w:r>
      <w:bookmarkEnd w:id="250"/>
    </w:p>
    <w:p>
      <w:r>
        <w:t>(1) Für die Berechnung der Fristen gelten die Vorschriften des Bürgerlichen Gesetzbuchs.</w:t>
      </w:r>
    </w:p>
    <w:p>
      <w:r>
        <w:t>(2) Fällt das Ende einer Frist auf einen Sonntag, einen allgemeinen Feiertag oder einen Sonnabend, so endet die Frist mit Ablauf des nächsten Werktages.</w:t>
      </w:r>
    </w:p>
    <w:p>
      <w:r>
        <w:t>(3) Bei der Berechnung einer Frist, die nach Stunden bestimmt ist, werden Sonntage, allgemeine Feiertage und Sonnabende nicht mitgerechnet.</w:t>
      </w:r>
    </w:p>
    <w:p>
      <w:pPr>
        <w:pStyle w:val="Heading4"/>
      </w:pPr>
      <w:bookmarkStart w:id="251" w:name="b250"/>
      <w:r>
        <w:t>§ 223</w:t>
      </w:r>
      <w:r>
        <w:t xml:space="preserve"> </w:t>
      </w:r>
      <w:r>
        <w:rPr>
          <w:rStyle w:val="Suchmarke"/>
        </w:rPr>
        <w:t>#223#</w:t>
      </w:r>
      <w:bookmarkEnd w:id="251"/>
    </w:p>
    <w:p>
      <w:r>
        <w:t>(weggefallen)</w:t>
      </w:r>
    </w:p>
    <w:p>
      <w:pPr>
        <w:pStyle w:val="Heading4"/>
      </w:pPr>
      <w:bookmarkStart w:id="252" w:name="b251"/>
      <w:r>
        <w:t>§ 224 Fristkürzung; Fristverlängerung</w:t>
      </w:r>
      <w:r>
        <w:t xml:space="preserve"> </w:t>
      </w:r>
      <w:r>
        <w:rPr>
          <w:rStyle w:val="Suchmarke"/>
        </w:rPr>
        <w:t>#224#</w:t>
      </w:r>
      <w:bookmarkEnd w:id="252"/>
    </w:p>
    <w:p>
      <w:r>
        <w:t xml:space="preserve">(1) </w:t>
      </w:r>
      <w:r>
        <w:rPr>
          <w:rStyle w:val="Satznummer"/>
        </w:rPr>
        <w:t>1</w:t>
      </w:r>
      <w:r>
        <w:t xml:space="preserve">Durch Vereinbarung der Parteien können Fristen, mit Ausnahme der Notfristen, abgekürzt werden. </w:t>
      </w:r>
      <w:r>
        <w:rPr>
          <w:rStyle w:val="Satznummer"/>
        </w:rPr>
        <w:t>2</w:t>
      </w:r>
      <w:r>
        <w:t>Notfristen sind nur diejenigen Fristen, die in diesem Gesetz als solche bezeichnet sind.</w:t>
      </w:r>
    </w:p>
    <w:p>
      <w:r>
        <w:t>(2) Auf Antrag können richterliche und gesetzliche Fristen abgekürzt oder verlängert werden, wenn erhebliche Gründe glaubhaft gemacht sind, gesetzliche Fristen jedoch nur in den besonders bestimmten Fällen.</w:t>
      </w:r>
    </w:p>
    <w:p>
      <w:r>
        <w:t>(3) Im Falle der Verlängerung wird die neue Frist von dem Ablauf der vorigen Frist an berechnet, wenn nicht im einzelnen Fall ein anderes bestimmt ist.</w:t>
      </w:r>
    </w:p>
    <w:p>
      <w:pPr>
        <w:pStyle w:val="Heading4"/>
      </w:pPr>
      <w:bookmarkStart w:id="253" w:name="b252"/>
      <w:r>
        <w:t>§ 225 Verfahren bei Friständerung</w:t>
      </w:r>
      <w:r>
        <w:t xml:space="preserve"> </w:t>
      </w:r>
      <w:r>
        <w:rPr>
          <w:rStyle w:val="Suchmarke"/>
        </w:rPr>
        <w:t>#225#</w:t>
      </w:r>
      <w:bookmarkEnd w:id="253"/>
    </w:p>
    <w:p>
      <w:r>
        <w:t>(1) Über das Gesuch um Abkürzung oder Verlängerung einer Frist kann ohne mündliche Verhandlung entschieden werden.</w:t>
      </w:r>
    </w:p>
    <w:p>
      <w:r>
        <w:t>(2) Die Abkürzung oder wiederholte Verlängerung darf nur nach Anhörung des Gegners bewilligt werden.</w:t>
      </w:r>
    </w:p>
    <w:p>
      <w:r>
        <w:t>(3) Eine Anfechtung des Beschlusses, durch den das Gesuch um Verlängerung einer Frist zurückgewiesen ist, findet nicht statt.</w:t>
      </w:r>
    </w:p>
    <w:p>
      <w:pPr>
        <w:pStyle w:val="Heading4"/>
      </w:pPr>
      <w:bookmarkStart w:id="254" w:name="b253"/>
      <w:r>
        <w:t>§ 226 Abkürzung von Zwischenfristen</w:t>
      </w:r>
      <w:r>
        <w:t xml:space="preserve"> </w:t>
      </w:r>
      <w:r>
        <w:rPr>
          <w:rStyle w:val="Suchmarke"/>
        </w:rPr>
        <w:t>#226#</w:t>
      </w:r>
      <w:bookmarkEnd w:id="254"/>
    </w:p>
    <w:p>
      <w:r>
        <w:t>(1) Einlassungsfristen, Ladungsfristen sowie diejenigen Fristen, die für die Zustellung vorbereitender Schriftsätze bestimmt sind, können auf Antrag abgekürzt werden.</w:t>
      </w:r>
    </w:p>
    <w:p>
      <w:r>
        <w:t>(2) Die Abkürzung der Einlassungs- und der Ladungsfristen wird dadurch nicht ausgeschlossen, dass infolge der Abkürzung die mündliche Verhandlung durch Schriftsätze nicht vorbereitet werden kann.</w:t>
      </w:r>
    </w:p>
    <w:p>
      <w:r>
        <w:t>(3) Der Vorsitzende kann bei Bestimmung des Termins die Abkürzung ohne Anhörung des Gegners und des sonst Beteiligten verfügen; diese Verfügung ist dem Beteiligten abschriftlich mitzuteilen.</w:t>
      </w:r>
    </w:p>
    <w:p>
      <w:pPr>
        <w:pStyle w:val="Heading4"/>
      </w:pPr>
      <w:bookmarkStart w:id="255" w:name="b254"/>
      <w:r>
        <w:t>§ 227 Terminsänderung</w:t>
      </w:r>
      <w:r>
        <w:t xml:space="preserve"> </w:t>
      </w:r>
      <w:r>
        <w:rPr>
          <w:rStyle w:val="Suchmarke"/>
        </w:rPr>
        <w:t>#227#</w:t>
      </w:r>
      <w:bookmarkEnd w:id="255"/>
    </w:p>
    <w:p>
      <w:r>
        <w:t xml:space="preserve">(1) </w:t>
      </w:r>
      <w:r>
        <w:rPr>
          <w:rStyle w:val="Satznummer"/>
        </w:rPr>
        <w:t>1</w:t>
      </w:r>
      <w:r>
        <w:t xml:space="preserve">Aus erheblichen Gründen kann ein Termin aufgehoben oder verlegt sowie eine Verhandlung vertagt werden. </w:t>
      </w:r>
      <w:r>
        <w:rPr>
          <w:rStyle w:val="Satznummer"/>
        </w:rPr>
        <w:t>2</w:t>
      </w:r>
      <w:r>
        <w:t>Erhebliche Gründe sind insbesondere nicht</w:t>
      </w:r>
    </w:p>
    <w:p>
      <w:pPr>
        <w:tabs>
          <w:tab w:pos="567" w:val="left"/>
        </w:tabs>
        <w:ind w:left="567" w:hanging="567"/>
      </w:pPr>
      <w:r>
        <w:t>1.</w:t>
      </w:r>
      <w:r>
        <w:tab/>
      </w:r>
      <w:r>
        <w:t>das Ausbleiben einer Partei oder die Ankündigung, nicht zu erscheinen, wenn nicht das Gericht dafür hält, dass die Partei ohne ihr Verschulden am Erscheinen verhindert ist;</w:t>
      </w:r>
    </w:p>
    <w:p>
      <w:pPr>
        <w:tabs>
          <w:tab w:pos="567" w:val="left"/>
        </w:tabs>
        <w:ind w:left="567" w:hanging="567"/>
      </w:pPr>
      <w:r>
        <w:t>2.</w:t>
      </w:r>
      <w:r>
        <w:tab/>
      </w:r>
      <w:r>
        <w:t>die mangelnde Vorbereitung einer Partei, wenn nicht die Partei dies genügend entschuldigt;</w:t>
      </w:r>
    </w:p>
    <w:p>
      <w:pPr>
        <w:tabs>
          <w:tab w:pos="567" w:val="left"/>
        </w:tabs>
        <w:ind w:left="567" w:hanging="567"/>
      </w:pPr>
      <w:r>
        <w:t>3.</w:t>
      </w:r>
      <w:r>
        <w:tab/>
      </w:r>
      <w:r>
        <w:t>das Einvernehmen der Parteien allein.</w:t>
      </w:r>
    </w:p>
    <w:p>
      <w:r>
        <w:rPr>
          <w:rStyle w:val="Satznummer"/>
        </w:rPr>
        <w:t>3</w:t>
      </w:r>
      <w:r>
        <w:t xml:space="preserve">Von einer Terminsänderung soll abgesehen werden, wenn sich der Termin für eine Durchführung als Videoverhandlung nach </w:t>
      </w:r>
      <w:hyperlink w:anchor="b159" w:history="1">
        <w:r>
          <w:rPr>
            <w:color w:val="0A3A8C"/>
            <w:u w:val="single"/>
          </w:rPr>
          <w:t xml:space="preserve">§ 128a</w:t>
        </w:r>
      </w:hyperlink>
      <w:r>
        <w:t xml:space="preserve"> oder als Beweisaufnahme nach </w:t>
      </w:r>
      <w:hyperlink w:anchor="b320" w:history="1">
        <w:r>
          <w:rPr>
            <w:color w:val="0A3A8C"/>
            <w:u w:val="single"/>
          </w:rPr>
          <w:t xml:space="preserve">§ 284</w:t>
        </w:r>
      </w:hyperlink>
      <w:r>
        <w:t xml:space="preserve"> Absatz 2 eignet und die erheblichen Gründe nach Satz 1 dadurch entfallen.</w:t>
      </w:r>
    </w:p>
    <w:p>
      <w:r>
        <w:t>(2) Die erheblichen Gründe sind auf Verlangen des Vorsitzenden, für eine Vertagung auf Verlangen des Gerichts glaubhaft zu machen.</w:t>
      </w:r>
    </w:p>
    <w:p>
      <w:r>
        <w:t xml:space="preserve">(3) </w:t>
      </w:r>
      <w:r>
        <w:rPr>
          <w:rStyle w:val="Satznummer"/>
        </w:rPr>
        <w:t>1</w:t>
      </w:r>
      <w:r>
        <w:t xml:space="preserve">Ein für die Zeit vom 1. Juli bis 31. August bestimmter Termin, mit Ausnahme eines Termins zur Verkündung einer Entscheidung, ist auf Antrag innerhalb einer Woche nach Zugang der Ladung oder Terminsbestimmung zu verlegen. </w:t>
      </w:r>
      <w:r>
        <w:rPr>
          <w:rStyle w:val="Satznummer"/>
        </w:rPr>
        <w:t>2</w:t>
      </w:r>
      <w:r>
        <w:t>Dies gilt nicht für</w:t>
      </w:r>
    </w:p>
    <w:p>
      <w:pPr>
        <w:tabs>
          <w:tab w:pos="567" w:val="left"/>
        </w:tabs>
        <w:ind w:left="567" w:hanging="567"/>
      </w:pPr>
      <w:r>
        <w:t>1.</w:t>
      </w:r>
      <w:r>
        <w:tab/>
      </w:r>
      <w:r>
        <w:t>Arrestsachen oder die eine einstweilige Verfügung oder einstweilige Anordnung betreffenden Sachen,</w:t>
      </w:r>
    </w:p>
    <w:p>
      <w:pPr>
        <w:tabs>
          <w:tab w:pos="567" w:val="left"/>
        </w:tabs>
        <w:ind w:left="567" w:hanging="567"/>
      </w:pPr>
      <w:r>
        <w:t>2.</w:t>
      </w:r>
      <w:r>
        <w:tab/>
      </w:r>
      <w:r>
        <w:t>Streitigkeiten wegen Überlassung, Benutzung, Räumung oder Herausgabe von Räumen oder wegen Fortsetzung des Mietverhältnisses über Wohnraum auf Grund der §§ 574 bis 574b des Bürgerlichen Gesetzbuchs,</w:t>
      </w:r>
    </w:p>
    <w:p>
      <w:pPr>
        <w:tabs>
          <w:tab w:pos="567" w:val="left"/>
        </w:tabs>
        <w:ind w:left="567" w:hanging="567"/>
      </w:pPr>
      <w:r>
        <w:t>3.</w:t>
      </w:r>
      <w:r>
        <w:tab/>
      </w:r>
      <w:r>
        <w:t>(weggefallen)</w:t>
      </w:r>
    </w:p>
    <w:p>
      <w:pPr>
        <w:tabs>
          <w:tab w:pos="567" w:val="left"/>
        </w:tabs>
        <w:ind w:left="567" w:hanging="567"/>
      </w:pPr>
      <w:r>
        <w:t>4.</w:t>
      </w:r>
      <w:r>
        <w:tab/>
      </w:r>
      <w:r>
        <w:t>Wechsel- oder Scheckprozesse,</w:t>
      </w:r>
    </w:p>
    <w:p>
      <w:pPr>
        <w:tabs>
          <w:tab w:pos="567" w:val="left"/>
        </w:tabs>
        <w:ind w:left="567" w:hanging="567"/>
      </w:pPr>
      <w:r>
        <w:t>5.</w:t>
      </w:r>
      <w:r>
        <w:tab/>
      </w:r>
      <w:r>
        <w:t>Bausachen, wenn über die Fortsetzung eines angefangenen Baues gestritten wird,</w:t>
      </w:r>
    </w:p>
    <w:p>
      <w:pPr>
        <w:tabs>
          <w:tab w:pos="567" w:val="left"/>
        </w:tabs>
        <w:ind w:left="567" w:hanging="567"/>
      </w:pPr>
      <w:r>
        <w:t>6.</w:t>
      </w:r>
      <w:r>
        <w:tab/>
      </w:r>
      <w:r>
        <w:t>Streitigkeiten wegen Überlassung oder Herausgabe einer Sache an eine Person, bei der die Sache nicht der Pfändung unterworfen ist,</w:t>
      </w:r>
    </w:p>
    <w:p>
      <w:pPr>
        <w:tabs>
          <w:tab w:pos="567" w:val="left"/>
        </w:tabs>
        <w:ind w:left="567" w:hanging="567"/>
      </w:pPr>
      <w:r>
        <w:t>7.</w:t>
      </w:r>
      <w:r>
        <w:tab/>
      </w:r>
      <w:r>
        <w:t>Zwangsvollstreckungsverfahren oder</w:t>
      </w:r>
    </w:p>
    <w:p>
      <w:pPr>
        <w:tabs>
          <w:tab w:pos="567" w:val="left"/>
        </w:tabs>
        <w:ind w:left="567" w:hanging="567"/>
      </w:pPr>
      <w:r>
        <w:t>8.</w:t>
      </w:r>
      <w:r>
        <w:tab/>
      </w:r>
      <w:r>
        <w:t>Verfahren der Vollstreckbarerklärung oder zur Vornahme richterlicher Handlungen im Schiedsverfahren;</w:t>
      </w:r>
    </w:p>
    <w:p>
      <w:r>
        <w:t xml:space="preserve">dabei genügt es, wenn nur einer von mehreren Ansprüchen die Voraussetzungen erfüllt. </w:t>
      </w:r>
      <w:r>
        <w:rPr>
          <w:rStyle w:val="Satznummer"/>
        </w:rPr>
        <w:t>3</w:t>
      </w:r>
      <w:r>
        <w:t>Wenn das Verfahren besonderer Beschleunigung bedarf, ist dem Verlegungsantrag nicht zu entsprechen.</w:t>
      </w:r>
    </w:p>
    <w:p>
      <w:r>
        <w:t>(4) Ein Antrag auf Terminsverlegung soll eine Äußerung dazu enthalten, ob gegen die Durchführung einer Videoverhandlung (</w:t>
      </w:r>
      <w:hyperlink w:anchor="b159" w:history="1">
        <w:r>
          <w:rPr>
            <w:color w:val="0A3A8C"/>
            <w:u w:val="single"/>
          </w:rPr>
          <w:t xml:space="preserve">§ 128a</w:t>
        </w:r>
      </w:hyperlink>
      <w:r>
        <w:t>) Bedenken bestehen.</w:t>
      </w:r>
    </w:p>
    <w:p>
      <w:r>
        <w:t xml:space="preserve">(5) </w:t>
      </w:r>
      <w:r>
        <w:rPr>
          <w:rStyle w:val="Satznummer"/>
        </w:rPr>
        <w:t>1</w:t>
      </w:r>
      <w:r>
        <w:t xml:space="preserve">Über die Aufhebung sowie Verlegung eines Termins entscheidet der Vorsitzende ohne mündliche Verhandlung; über die Vertagung einer Verhandlung entscheidet das Gericht. </w:t>
      </w:r>
      <w:r>
        <w:rPr>
          <w:rStyle w:val="Satznummer"/>
        </w:rPr>
        <w:t>2</w:t>
      </w:r>
      <w:r>
        <w:t xml:space="preserve">Die Entscheidung ist kurz zu begründen. </w:t>
      </w:r>
      <w:r>
        <w:rPr>
          <w:rStyle w:val="Satznummer"/>
        </w:rPr>
        <w:t>3</w:t>
      </w:r>
      <w:r>
        <w:t>Sie ist unanfechtbar.</w:t>
      </w:r>
    </w:p>
    <w:p>
      <w:pPr>
        <w:pStyle w:val="Heading4"/>
      </w:pPr>
      <w:bookmarkStart w:id="256" w:name="b255"/>
      <w:r>
        <w:t>§ 228</w:t>
      </w:r>
      <w:r>
        <w:t xml:space="preserve"> </w:t>
      </w:r>
      <w:r>
        <w:rPr>
          <w:rStyle w:val="Suchmarke"/>
        </w:rPr>
        <w:t>#228#</w:t>
      </w:r>
      <w:bookmarkEnd w:id="256"/>
    </w:p>
    <w:p>
      <w:r>
        <w:t>(weggefallen)</w:t>
      </w:r>
    </w:p>
    <w:p>
      <w:pPr>
        <w:pStyle w:val="Heading4"/>
      </w:pPr>
      <w:bookmarkStart w:id="257" w:name="b256"/>
      <w:r>
        <w:t>§ 229 Beauftragter oder ersuchter Richter</w:t>
      </w:r>
      <w:r>
        <w:t xml:space="preserve"> </w:t>
      </w:r>
      <w:r>
        <w:rPr>
          <w:rStyle w:val="Suchmarke"/>
        </w:rPr>
        <w:t>#229#</w:t>
      </w:r>
      <w:bookmarkEnd w:id="257"/>
    </w:p>
    <w:p>
      <w:r>
        <w:t>Die in diesem Titel dem Gericht und dem Vorsitzenden beigelegten Befugnisse stehen dem beauftragten oder ersuchten Richter in Bezug auf die von diesen zu bestimmenden Termine und Fristen zu.</w:t>
      </w:r>
    </w:p>
    <w:p>
      <w:pPr>
        <w:pStyle w:val="Heading3"/>
      </w:pPr>
      <w:bookmarkStart w:id="258" w:name="b257"/>
      <w:r>
        <w:t>Titel 4 Folgen der Versäumung; Rechtsbehelfsbelehrung; Wiedereinsetzung in den vorigen Stand</w:t>
      </w:r>
      <w:bookmarkEnd w:id="258"/>
    </w:p>
    <w:p>
      <w:pPr>
        <w:pStyle w:val="Heading4"/>
      </w:pPr>
      <w:bookmarkStart w:id="259" w:name="b258"/>
      <w:r>
        <w:t>§ 230 Allgemeine Versäumungsfolge</w:t>
      </w:r>
      <w:r>
        <w:t xml:space="preserve"> </w:t>
      </w:r>
      <w:r>
        <w:rPr>
          <w:rStyle w:val="Suchmarke"/>
        </w:rPr>
        <w:t>#230#</w:t>
      </w:r>
      <w:bookmarkEnd w:id="259"/>
    </w:p>
    <w:p>
      <w:r>
        <w:t>Die Versäumung einer Prozesshandlung hat zur allgemeinen Folge, dass die Partei mit der vorzunehmenden Prozesshandlung ausgeschlossen wird.</w:t>
      </w:r>
    </w:p>
    <w:p>
      <w:pPr>
        <w:pStyle w:val="Heading4"/>
      </w:pPr>
      <w:bookmarkStart w:id="260" w:name="b259"/>
      <w:r>
        <w:t>§ 231 Keine Androhung; Nachholung der Prozesshandlung</w:t>
      </w:r>
      <w:r>
        <w:t xml:space="preserve"> </w:t>
      </w:r>
      <w:r>
        <w:rPr>
          <w:rStyle w:val="Suchmarke"/>
        </w:rPr>
        <w:t>#231#</w:t>
      </w:r>
      <w:bookmarkEnd w:id="260"/>
    </w:p>
    <w:p>
      <w:r>
        <w:t>(1) Einer Androhung der gesetzlichen Folgen der Versäumung bedarf es nicht; sie treten von selbst ein, sofern nicht dieses Gesetz einen auf Verwirklichung des Rechtsnachteils gerichteten Antrag erfordert.</w:t>
      </w:r>
    </w:p>
    <w:p>
      <w:r>
        <w:t>(2) Im letzteren Fall kann, solange nicht der Antrag gestellt und die mündliche Verhandlung über ihn geschlossen ist, die versäumte Prozesshandlung nachgeholt werden.</w:t>
      </w:r>
    </w:p>
    <w:p>
      <w:pPr>
        <w:pStyle w:val="Heading4"/>
      </w:pPr>
      <w:bookmarkStart w:id="261" w:name="b260"/>
      <w:r>
        <w:t>§ 232 Rechtsbehelfsbelehrung</w:t>
      </w:r>
      <w:r>
        <w:t xml:space="preserve"> </w:t>
      </w:r>
      <w:r>
        <w:rPr>
          <w:rStyle w:val="Suchmarke"/>
        </w:rPr>
        <w:t>#232#</w:t>
      </w:r>
      <w:bookmarkEnd w:id="261"/>
    </w:p>
    <w:p>
      <w:r>
        <w:rPr>
          <w:rStyle w:val="Satznummer"/>
        </w:rPr>
        <w:t>1</w:t>
      </w:r>
      <w:r>
        <w:t xml:space="preserve">Jede anfechtbare gerichtliche Entscheidung hat eine Belehrung über das statthafte Rechtsmittel, den Einspruch, den Widerspruch oder die Erinnerung sowie über das Gericht, bei dem der Rechtsbehelf einzulegen ist, über den Sitz des Gerichts und über die einzuhaltende Form und Frist zu enthalten. </w:t>
      </w:r>
      <w:r>
        <w:rPr>
          <w:rStyle w:val="Satznummer"/>
        </w:rPr>
        <w:t>2</w:t>
      </w:r>
      <w:r>
        <w:t xml:space="preserve">Dies gilt nicht in Verfahren, in denen sich die Parteien durch einen Rechtsanwalt vertreten lassen müssen, es sei denn, es ist über einen Einspruch oder Widerspruch zu belehren oder die Belehrung ist an einen Zeugen oder Sachverständigen zu richten. </w:t>
      </w:r>
      <w:r>
        <w:rPr>
          <w:rStyle w:val="Satznummer"/>
        </w:rPr>
        <w:t>3</w:t>
      </w:r>
      <w:r>
        <w:t>Über die Möglichkeit der Sprungrevision muss nicht belehrt werden.</w:t>
      </w:r>
    </w:p>
    <w:p>
      <w:pPr>
        <w:pStyle w:val="Heading4"/>
      </w:pPr>
      <w:bookmarkStart w:id="262" w:name="b261"/>
      <w:r>
        <w:t>§ 233 Wiedereinsetzung in den vorigen Stand</w:t>
      </w:r>
      <w:r>
        <w:t xml:space="preserve"> </w:t>
      </w:r>
      <w:r>
        <w:rPr>
          <w:rStyle w:val="Suchmarke"/>
        </w:rPr>
        <w:t>#233#</w:t>
      </w:r>
      <w:bookmarkEnd w:id="262"/>
    </w:p>
    <w:p>
      <w:r>
        <w:rPr>
          <w:rStyle w:val="Satznummer"/>
        </w:rPr>
        <w:t>1</w:t>
      </w:r>
      <w:r>
        <w:t xml:space="preserve">War eine Partei ohne ihr Verschulden verhindert, eine Notfrist oder die Frist zur Begründung der Berufung, der Revision, der Nichtzulassungsbeschwerde oder der Rechtsbeschwerde oder die Frist des </w:t>
      </w:r>
      <w:hyperlink w:anchor="b262" w:history="1">
        <w:r>
          <w:rPr>
            <w:color w:val="0A3A8C"/>
            <w:u w:val="single"/>
          </w:rPr>
          <w:t xml:space="preserve">§ 234</w:t>
        </w:r>
      </w:hyperlink>
      <w:r>
        <w:t xml:space="preserve"> Abs. 1 einzuhalten, so ist ihr auf Antrag Wiedereinsetzung in den vorigen Stand zu gewähren. </w:t>
      </w:r>
      <w:r>
        <w:rPr>
          <w:rStyle w:val="Satznummer"/>
        </w:rPr>
        <w:t>2</w:t>
      </w:r>
      <w:r>
        <w:t>Ein Fehlen des Verschuldens wird vermutet, wenn eine Rechtsbehelfsbelehrung unterblieben oder fehlerhaft ist.</w:t>
      </w:r>
    </w:p>
    <w:p>
      <w:pPr>
        <w:pStyle w:val="Heading4"/>
      </w:pPr>
      <w:bookmarkStart w:id="263" w:name="b262"/>
      <w:r>
        <w:t>§ 234 Wiedereinsetzungsfrist</w:t>
      </w:r>
      <w:r>
        <w:t xml:space="preserve"> </w:t>
      </w:r>
      <w:r>
        <w:rPr>
          <w:rStyle w:val="Suchmarke"/>
        </w:rPr>
        <w:t>#234#</w:t>
      </w:r>
      <w:bookmarkEnd w:id="263"/>
    </w:p>
    <w:p>
      <w:r>
        <w:t xml:space="preserve">(1) </w:t>
      </w:r>
      <w:r>
        <w:rPr>
          <w:rStyle w:val="Satznummer"/>
        </w:rPr>
        <w:t>1</w:t>
      </w:r>
      <w:r>
        <w:t xml:space="preserve">Die Wiedereinsetzung muss innerhalb einer zweiwöchigen Frist beantragt werden. </w:t>
      </w:r>
      <w:r>
        <w:rPr>
          <w:rStyle w:val="Satznummer"/>
        </w:rPr>
        <w:t>2</w:t>
      </w:r>
      <w:r>
        <w:t>Die Frist beträgt einen Monat, wenn die Partei verhindert ist, die Frist zur Begründung der Berufung, der Revision, der Nichtzulassungsbeschwerde oder der Rechtsbeschwerde einzuhalten.</w:t>
      </w:r>
    </w:p>
    <w:p>
      <w:r>
        <w:t>(2) Die Frist beginnt mit dem Tag, an dem das Hindernis behoben ist.</w:t>
      </w:r>
    </w:p>
    <w:p>
      <w:r>
        <w:t>(3) Nach Ablauf eines Jahres, von dem Ende der versäumten Frist an gerechnet, kann die Wiedereinsetzung nicht mehr beantragt werden.</w:t>
      </w:r>
    </w:p>
    <w:p>
      <w:pPr>
        <w:pStyle w:val="Heading4"/>
      </w:pPr>
      <w:bookmarkStart w:id="264" w:name="b263"/>
      <w:r>
        <w:t>§ 235</w:t>
      </w:r>
      <w:r>
        <w:t xml:space="preserve"> </w:t>
      </w:r>
      <w:r>
        <w:rPr>
          <w:rStyle w:val="Suchmarke"/>
        </w:rPr>
        <w:t>#235#</w:t>
      </w:r>
      <w:bookmarkEnd w:id="264"/>
    </w:p>
    <w:p>
      <w:r>
        <w:t>(weggefallen)</w:t>
      </w:r>
    </w:p>
    <w:p>
      <w:pPr>
        <w:pStyle w:val="Heading4"/>
      </w:pPr>
      <w:bookmarkStart w:id="265" w:name="b264"/>
      <w:r>
        <w:t>§ 236 Wiedereinsetzungsantrag</w:t>
      </w:r>
      <w:r>
        <w:t xml:space="preserve"> </w:t>
      </w:r>
      <w:r>
        <w:rPr>
          <w:rStyle w:val="Suchmarke"/>
        </w:rPr>
        <w:t>#236#</w:t>
      </w:r>
      <w:bookmarkEnd w:id="265"/>
    </w:p>
    <w:p>
      <w:r>
        <w:t>(1) Die Form des Antrags auf Wiedereinsetzung richtet sich nach den Vorschriften, die für die versäumte Prozesshandlung gelten.</w:t>
      </w:r>
    </w:p>
    <w:p>
      <w:r>
        <w:t xml:space="preserve">(2) </w:t>
      </w:r>
      <w:r>
        <w:rPr>
          <w:rStyle w:val="Satznummer"/>
        </w:rPr>
        <w:t>1</w:t>
      </w:r>
      <w:r>
        <w:t xml:space="preserve">Der Antrag muss die Angabe der die Wiedereinsetzung begründenden Tatsachen enthalten; diese sind bei der Antragstellung oder im Verfahren über den Antrag glaubhaft zu machen. </w:t>
      </w:r>
      <w:r>
        <w:rPr>
          <w:rStyle w:val="Satznummer"/>
        </w:rPr>
        <w:t>2</w:t>
      </w:r>
      <w:r>
        <w:t>Innerhalb der Antragsfrist ist die versäumte Prozesshandlung nachzuholen; ist dies geschehen, so kann Wiedereinsetzung auch ohne Antrag gewährt werden.</w:t>
      </w:r>
    </w:p>
    <w:p>
      <w:pPr>
        <w:pStyle w:val="Heading4"/>
      </w:pPr>
      <w:bookmarkStart w:id="266" w:name="b265"/>
      <w:r>
        <w:t>§ 237 Zuständigkeit für Wiedereinsetzung</w:t>
      </w:r>
      <w:r>
        <w:t xml:space="preserve"> </w:t>
      </w:r>
      <w:r>
        <w:rPr>
          <w:rStyle w:val="Suchmarke"/>
        </w:rPr>
        <w:t>#237#</w:t>
      </w:r>
      <w:bookmarkEnd w:id="266"/>
    </w:p>
    <w:p>
      <w:r>
        <w:t>Über den Antrag auf Wiedereinsetzung entscheidet das Gericht, dem die Entscheidung über die nachgeholte Prozesshandlung zusteht.</w:t>
      </w:r>
    </w:p>
    <w:p>
      <w:pPr>
        <w:pStyle w:val="Heading4"/>
      </w:pPr>
      <w:bookmarkStart w:id="267" w:name="b266"/>
      <w:r>
        <w:t>§ 238 Verfahren bei Wiedereinsetzung</w:t>
      </w:r>
      <w:r>
        <w:t xml:space="preserve"> </w:t>
      </w:r>
      <w:r>
        <w:rPr>
          <w:rStyle w:val="Suchmarke"/>
        </w:rPr>
        <w:t>#238#</w:t>
      </w:r>
      <w:bookmarkEnd w:id="267"/>
    </w:p>
    <w:p>
      <w:r>
        <w:t xml:space="preserve">(1) </w:t>
      </w:r>
      <w:r>
        <w:rPr>
          <w:rStyle w:val="Satznummer"/>
        </w:rPr>
        <w:t>1</w:t>
      </w:r>
      <w:r>
        <w:t xml:space="preserve">Das Verfahren über den Antrag auf Wiedereinsetzung ist mit dem Verfahren über die nachgeholte Prozesshandlung zu verbinden. </w:t>
      </w:r>
      <w:r>
        <w:rPr>
          <w:rStyle w:val="Satznummer"/>
        </w:rPr>
        <w:t>2</w:t>
      </w:r>
      <w:r>
        <w:t>Das Gericht kann jedoch das Verfahren zunächst auf die Verhandlung und Entscheidung über den Antrag beschränken.</w:t>
      </w:r>
    </w:p>
    <w:p>
      <w:r>
        <w:t xml:space="preserve">(2) </w:t>
      </w:r>
      <w:r>
        <w:rPr>
          <w:rStyle w:val="Satznummer"/>
        </w:rPr>
        <w:t>1</w:t>
      </w:r>
      <w:r>
        <w:t xml:space="preserve">Auf die Entscheidung über die Zulässigkeit des Antrags und auf die Anfechtung der Entscheidung sind die Vorschriften anzuwenden, die in diesen Beziehungen für die nachgeholte Prozesshandlung gelten. </w:t>
      </w:r>
      <w:r>
        <w:rPr>
          <w:rStyle w:val="Satznummer"/>
        </w:rPr>
        <w:t>2</w:t>
      </w:r>
      <w:r>
        <w:t>Der Partei, die den Antrag gestellt hat, steht jedoch der Einspruch nicht zu.</w:t>
      </w:r>
    </w:p>
    <w:p>
      <w:r>
        <w:t>(3) Die Wiedereinsetzung ist unanfechtbar.</w:t>
      </w:r>
    </w:p>
    <w:p>
      <w:r>
        <w:t>(4) Die Kosten der Wiedereinsetzung fallen dem Antragsteller zur Last, soweit sie nicht durch einen unbegründeten Widerspruch des Gegners entstanden sind.</w:t>
      </w:r>
    </w:p>
    <w:p>
      <w:pPr>
        <w:pStyle w:val="Heading3"/>
      </w:pPr>
      <w:bookmarkStart w:id="268" w:name="b267"/>
      <w:r>
        <w:t>Titel 5 Unterbrechung und Aussetzung des Verfahrens</w:t>
      </w:r>
      <w:bookmarkEnd w:id="268"/>
    </w:p>
    <w:p>
      <w:pPr>
        <w:pStyle w:val="Heading4"/>
      </w:pPr>
      <w:bookmarkStart w:id="269" w:name="b268"/>
      <w:r>
        <w:t>§ 239 Unterbrechung durch Tod der Partei</w:t>
      </w:r>
      <w:r>
        <w:t xml:space="preserve"> </w:t>
      </w:r>
      <w:r>
        <w:rPr>
          <w:rStyle w:val="Suchmarke"/>
        </w:rPr>
        <w:t>#239#</w:t>
      </w:r>
      <w:bookmarkEnd w:id="269"/>
    </w:p>
    <w:p>
      <w:r>
        <w:t>(1) Im Falle des Todes einer Partei tritt eine Unterbrechung des Verfahrens bis zu dessen Aufnahme durch die Rechtsnachfolger ein.</w:t>
      </w:r>
    </w:p>
    <w:p>
      <w:r>
        <w:t>(2) Wird die Aufnahme verzögert, so sind auf Antrag des Gegners die Rechtsnachfolger zur Aufnahme und zugleich zur Verhandlung der Hauptsache zu laden.</w:t>
      </w:r>
    </w:p>
    <w:p>
      <w:r>
        <w:t xml:space="preserve">(3) </w:t>
      </w:r>
      <w:r>
        <w:rPr>
          <w:rStyle w:val="Satznummer"/>
        </w:rPr>
        <w:t>1</w:t>
      </w:r>
      <w:r>
        <w:t xml:space="preserve">Die Ladung ist mit dem den Antrag enthaltenden Schriftsatz den Rechtsnachfolgern selbst zuzustellen. </w:t>
      </w:r>
      <w:r>
        <w:rPr>
          <w:rStyle w:val="Satznummer"/>
        </w:rPr>
        <w:t>2</w:t>
      </w:r>
      <w:r>
        <w:t>Die Ladungsfrist wird von dem Vorsitzenden bestimmt.</w:t>
      </w:r>
    </w:p>
    <w:p>
      <w:r>
        <w:t>(4) Erscheinen die Rechtsnachfolger in dem Termin nicht, so ist auf Antrag die behauptete Rechtsnachfolge als zugestanden anzunehmen und zur Hauptsache zu verhandeln.</w:t>
      </w:r>
    </w:p>
    <w:p>
      <w:r>
        <w:t>(5) Der Erbe ist vor der Annahme der Erbschaft zur Fortsetzung des Rechtsstreits nicht verpflichtet.</w:t>
      </w:r>
    </w:p>
    <w:p>
      <w:pPr>
        <w:pStyle w:val="Heading4"/>
      </w:pPr>
      <w:bookmarkStart w:id="270" w:name="b269"/>
      <w:r>
        <w:t>§ 240 Unterbrechung durch Insolvenzverfahren</w:t>
      </w:r>
      <w:r>
        <w:t xml:space="preserve"> </w:t>
      </w:r>
      <w:r>
        <w:rPr>
          <w:rStyle w:val="Suchmarke"/>
        </w:rPr>
        <w:t>#240#</w:t>
      </w:r>
      <w:bookmarkEnd w:id="270"/>
    </w:p>
    <w:p>
      <w:r>
        <w:rPr>
          <w:rStyle w:val="Satznummer"/>
        </w:rPr>
        <w:t>1</w:t>
      </w:r>
      <w:r>
        <w:t xml:space="preserve">Im Falle der Eröffnung des Insolvenzverfahrens über das Vermögen einer Partei wird das Verfahren, wenn es die Insolvenzmasse betrifft, unterbrochen, bis es nach den für das Insolvenzverfahren geltenden Vorschriften aufgenommen oder das Insolvenzverfahren beendet wird. </w:t>
      </w:r>
      <w:r>
        <w:rPr>
          <w:rStyle w:val="Satznummer"/>
        </w:rPr>
        <w:t>2</w:t>
      </w:r>
      <w:r>
        <w:t>Entsprechendes gilt, wenn die Verwaltungs- und Verfügungsbefugnis über das Vermögen des Schuldners auf einen vorläufigen Insolvenzverwalter übergeht.</w:t>
      </w:r>
    </w:p>
    <w:p>
      <w:pPr>
        <w:pStyle w:val="Heading4"/>
      </w:pPr>
      <w:bookmarkStart w:id="271" w:name="b270"/>
      <w:r>
        <w:t>§ 241 Unterbrechung durch Prozessunfähigkeit</w:t>
      </w:r>
      <w:r>
        <w:t xml:space="preserve"> </w:t>
      </w:r>
      <w:r>
        <w:rPr>
          <w:rStyle w:val="Suchmarke"/>
        </w:rPr>
        <w:t>#241#</w:t>
      </w:r>
      <w:bookmarkEnd w:id="271"/>
    </w:p>
    <w:p>
      <w:r>
        <w:t>(1) Verliert eine Partei die Prozessfähigkeit oder stirbt der gesetzliche Vertreter einer Partei oder hört seine Vertretungsbefugnis auf, ohne dass die Partei prozessfähig geworden ist, so wird das Verfahren unterbrochen, bis der gesetzliche Vertreter oder der neue gesetzliche Vertreter von seiner Bestellung dem Gericht Anzeige macht oder der Gegner seine Absicht, das Verfahren fortzusetzen, dem Gericht angezeigt und das Gericht diese Anzeige von Amts wegen zugestellt hat.</w:t>
      </w:r>
    </w:p>
    <w:p>
      <w:r>
        <w:t>(2) Die Anzeige des gesetzlichen Vertreters ist dem Gegner der durch ihn vertretenen Partei, die Anzeige des Gegners ist dem Vertreter zuzustellen.</w:t>
      </w:r>
    </w:p>
    <w:p>
      <w:r>
        <w:t>(3) Diese Vorschriften sind entsprechend anzuwenden, wenn eine Nachlassverwaltung angeordnet wird.</w:t>
      </w:r>
    </w:p>
    <w:p>
      <w:pPr>
        <w:pStyle w:val="Heading4"/>
      </w:pPr>
      <w:bookmarkStart w:id="272" w:name="b271"/>
      <w:r>
        <w:t>§ 242 Unterbrechung durch Nacherbfolge</w:t>
      </w:r>
      <w:r>
        <w:t xml:space="preserve"> </w:t>
      </w:r>
      <w:r>
        <w:rPr>
          <w:rStyle w:val="Suchmarke"/>
        </w:rPr>
        <w:t>#242#</w:t>
      </w:r>
      <w:bookmarkEnd w:id="272"/>
    </w:p>
    <w:p>
      <w:r>
        <w:t xml:space="preserve">Tritt während des Rechtsstreits zwischen einem Vorerben und einem Dritten über einen der Nacherbfolge unterliegenden Gegenstand der Fall der Nacherbfolge ein, so gelten, sofern der Vorerbe befugt war, ohne Zustimmung des Nacherben über den Gegenstand zu verfügen, hinsichtlich der Unterbrechung und der Aufnahme des Verfahrens die Vorschriften des </w:t>
      </w:r>
      <w:hyperlink w:anchor="b268" w:history="1">
        <w:r>
          <w:rPr>
            <w:color w:val="0A3A8C"/>
            <w:u w:val="single"/>
          </w:rPr>
          <w:t xml:space="preserve">§ 239</w:t>
        </w:r>
      </w:hyperlink>
      <w:r>
        <w:t xml:space="preserve"> entsprechend.</w:t>
      </w:r>
    </w:p>
    <w:p>
      <w:pPr>
        <w:pStyle w:val="Heading4"/>
      </w:pPr>
      <w:bookmarkStart w:id="273" w:name="b272"/>
      <w:r>
        <w:t>§ 243 Aufnahme bei Nachlasspflegschaft und Testamentsvollstreckung</w:t>
      </w:r>
      <w:r>
        <w:t xml:space="preserve"> </w:t>
      </w:r>
      <w:r>
        <w:rPr>
          <w:rStyle w:val="Suchmarke"/>
        </w:rPr>
        <w:t>#243#</w:t>
      </w:r>
      <w:bookmarkEnd w:id="273"/>
    </w:p>
    <w:p>
      <w:r>
        <w:t xml:space="preserve">Wird im Falle der Unterbrechung des Verfahrens durch den Tod einer Partei ein Nachlasspfleger bestellt oder ist ein zur Führung des Rechtsstreits berechtigter Testamentsvollstrecker vorhanden, so sind die Vorschriften des </w:t>
      </w:r>
      <w:hyperlink w:anchor="b270" w:history="1">
        <w:r>
          <w:rPr>
            <w:color w:val="0A3A8C"/>
            <w:u w:val="single"/>
          </w:rPr>
          <w:t xml:space="preserve">§ 241</w:t>
        </w:r>
      </w:hyperlink>
      <w:r>
        <w:t xml:space="preserve"> und, wenn über den Nachlass das Insolvenzverfahren eröffnet wird, die Vorschriften des </w:t>
      </w:r>
      <w:hyperlink w:anchor="b269" w:history="1">
        <w:r>
          <w:rPr>
            <w:color w:val="0A3A8C"/>
            <w:u w:val="single"/>
          </w:rPr>
          <w:t xml:space="preserve">§ 240</w:t>
        </w:r>
      </w:hyperlink>
      <w:r>
        <w:t xml:space="preserve"> bei der Aufnahme des Verfahrens anzuwenden.</w:t>
      </w:r>
    </w:p>
    <w:p>
      <w:pPr>
        <w:pStyle w:val="Heading4"/>
      </w:pPr>
      <w:bookmarkStart w:id="274" w:name="b273"/>
      <w:r>
        <w:t>§ 244 Unterbrechung durch Anwaltsverlust</w:t>
      </w:r>
      <w:r>
        <w:t xml:space="preserve"> </w:t>
      </w:r>
      <w:r>
        <w:rPr>
          <w:rStyle w:val="Suchmarke"/>
        </w:rPr>
        <w:t>#244#</w:t>
      </w:r>
      <w:bookmarkEnd w:id="274"/>
    </w:p>
    <w:p>
      <w:r>
        <w:t>(1) Stirbt in Anwaltsprozessen der Anwalt einer Partei oder wird er unfähig, die Vertretung der Partei fortzuführen, so tritt eine Unterbrechung des Verfahrens ein, bis der bestellte neue Anwalt seine Bestellung dem Gericht angezeigt und das Gericht die Anzeige dem Gegner von Amts wegen zugestellt hat.</w:t>
      </w:r>
    </w:p>
    <w:p>
      <w:r>
        <w:t xml:space="preserve">(2) </w:t>
      </w:r>
      <w:r>
        <w:rPr>
          <w:rStyle w:val="Satznummer"/>
        </w:rPr>
        <w:t>1</w:t>
      </w:r>
      <w:r>
        <w:t xml:space="preserve">Wird diese Anzeige verzögert, so ist auf Antrag des Gegners die Partei selbst zur Verhandlung der Hauptsache zu laden oder zur Bestellung eines neuen Anwalts binnen einer von dem Vorsitzenden zu bestimmenden Frist aufzufordern. </w:t>
      </w:r>
      <w:r>
        <w:rPr>
          <w:rStyle w:val="Satznummer"/>
        </w:rPr>
        <w:t>2</w:t>
      </w:r>
      <w:r>
        <w:t xml:space="preserve">Wird dieser Aufforderung nicht Folge geleistet, so ist das Verfahren als aufgenommen anzusehen. </w:t>
      </w:r>
      <w:r>
        <w:rPr>
          <w:rStyle w:val="Satznummer"/>
        </w:rPr>
        <w:t>3</w:t>
      </w:r>
      <w:r>
        <w:t>Bis zur nachträglichen Anzeige der Bestellung eines neuen Anwalts erfolgen alle Zustellungen an die zur Anzeige verpflichtete Partei.</w:t>
      </w:r>
    </w:p>
    <w:p>
      <w:pPr>
        <w:pStyle w:val="Heading4"/>
      </w:pPr>
      <w:bookmarkStart w:id="275" w:name="b274"/>
      <w:r>
        <w:t>§ 245 Unterbrechung durch Stillstand der Rechtspflege</w:t>
      </w:r>
      <w:r>
        <w:t xml:space="preserve"> </w:t>
      </w:r>
      <w:r>
        <w:rPr>
          <w:rStyle w:val="Suchmarke"/>
        </w:rPr>
        <w:t>#245#</w:t>
      </w:r>
      <w:bookmarkEnd w:id="275"/>
    </w:p>
    <w:p>
      <w:r>
        <w:t>Hört infolge eines Krieges oder eines anderen Ereignisses die Tätigkeit des Gerichts auf, so wird für die Dauer dieses Zustandes das Verfahren unterbrochen.</w:t>
      </w:r>
    </w:p>
    <w:p>
      <w:pPr>
        <w:pStyle w:val="Heading4"/>
      </w:pPr>
      <w:bookmarkStart w:id="276" w:name="b275"/>
      <w:r>
        <w:t>§ 246 Aussetzung bei Vertretung durch Prozessbevollmächtigten</w:t>
      </w:r>
      <w:r>
        <w:t xml:space="preserve"> </w:t>
      </w:r>
      <w:r>
        <w:rPr>
          <w:rStyle w:val="Suchmarke"/>
        </w:rPr>
        <w:t>#246#</w:t>
      </w:r>
      <w:bookmarkEnd w:id="276"/>
    </w:p>
    <w:p>
      <w:r>
        <w:t>(1) Fand in den Fällen des Todes, des Verlustes der Prozessfähigkeit, des Wegfalls des gesetzlichen Vertreters, der Anordnung einer Nachlassverwaltung oder des Eintritts der Nacherbfolge (</w:t>
      </w:r>
      <w:hyperlink w:anchor="b268" w:history="1">
        <w:r>
          <w:rPr>
            <w:color w:val="0A3A8C"/>
            <w:u w:val="single"/>
          </w:rPr>
          <w:t xml:space="preserve">§§ 239</w:t>
        </w:r>
      </w:hyperlink>
      <w:r>
        <w:t xml:space="preserve">, </w:t>
      </w:r>
      <w:hyperlink w:anchor="b270" w:history="1">
        <w:r>
          <w:rPr>
            <w:color w:val="0A3A8C"/>
            <w:u w:val="single"/>
          </w:rPr>
          <w:t xml:space="preserve">241</w:t>
        </w:r>
      </w:hyperlink>
      <w:r>
        <w:t xml:space="preserve">, </w:t>
      </w:r>
      <w:hyperlink w:anchor="b271" w:history="1">
        <w:r>
          <w:rPr>
            <w:color w:val="0A3A8C"/>
            <w:u w:val="single"/>
          </w:rPr>
          <w:t xml:space="preserve">242</w:t>
        </w:r>
      </w:hyperlink>
      <w:r>
        <w:t>) eine Vertretung durch einen Prozessbevollmächtigten statt, so tritt eine Unterbrechung des Verfahrens nicht ein; das Prozessgericht hat jedoch auf Antrag des Bevollmächtigten, in den Fällen des Todes und der Nacherbfolge auch auf Antrag des Gegners die Aussetzung des Verfahrens anzuordnen.</w:t>
      </w:r>
    </w:p>
    <w:p>
      <w:r>
        <w:t xml:space="preserve">(2) Die Dauer der Aussetzung und die Aufnahme des Verfahrens richten sich nach den Vorschriften der </w:t>
      </w:r>
      <w:hyperlink w:anchor="b268" w:history="1">
        <w:r>
          <w:rPr>
            <w:color w:val="0A3A8C"/>
            <w:u w:val="single"/>
          </w:rPr>
          <w:t xml:space="preserve">§§ 239</w:t>
        </w:r>
      </w:hyperlink>
      <w:r>
        <w:t xml:space="preserve">, </w:t>
      </w:r>
      <w:hyperlink w:anchor="b270" w:history="1">
        <w:r>
          <w:rPr>
            <w:color w:val="0A3A8C"/>
            <w:u w:val="single"/>
          </w:rPr>
          <w:t xml:space="preserve">241</w:t>
        </w:r>
      </w:hyperlink>
      <w:r>
        <w:t xml:space="preserve"> bis </w:t>
      </w:r>
      <w:hyperlink w:anchor="b272" w:history="1">
        <w:r>
          <w:rPr>
            <w:color w:val="0A3A8C"/>
            <w:u w:val="single"/>
          </w:rPr>
          <w:t xml:space="preserve">243</w:t>
        </w:r>
      </w:hyperlink>
      <w:r>
        <w:t>; in den Fällen des Todes und der Nacherbfolge ist die Ladung mit dem Schriftsatz, in dem sie beantragt ist, auch dem Bevollmächtigten zuzustellen.</w:t>
      </w:r>
    </w:p>
    <w:p>
      <w:pPr>
        <w:pStyle w:val="Heading4"/>
      </w:pPr>
      <w:bookmarkStart w:id="277" w:name="b276"/>
      <w:r>
        <w:t>§ 247 Aussetzung bei abgeschnittenem Verkehr</w:t>
      </w:r>
      <w:r>
        <w:t xml:space="preserve"> </w:t>
      </w:r>
      <w:r>
        <w:rPr>
          <w:rStyle w:val="Suchmarke"/>
        </w:rPr>
        <w:t>#247#</w:t>
      </w:r>
      <w:bookmarkEnd w:id="277"/>
    </w:p>
    <w:p>
      <w:r>
        <w:t>Hält sich eine Partei an einem Ort auf, der durch obrigkeitliche Anordnung oder durch Krieg oder durch andere Zufälle von dem Verkehr mit dem Prozessgericht abgeschnitten ist, so kann das Gericht auch von Amts wegen die Aussetzung des Verfahrens bis zur Beseitigung des Hindernisses anordnen.</w:t>
      </w:r>
    </w:p>
    <w:p>
      <w:pPr>
        <w:pStyle w:val="Heading4"/>
      </w:pPr>
      <w:bookmarkStart w:id="278" w:name="b277"/>
      <w:r>
        <w:t>§ 248 Verfahren bei Aussetzung</w:t>
      </w:r>
      <w:r>
        <w:t xml:space="preserve"> </w:t>
      </w:r>
      <w:r>
        <w:rPr>
          <w:rStyle w:val="Suchmarke"/>
        </w:rPr>
        <w:t>#248#</w:t>
      </w:r>
      <w:bookmarkEnd w:id="278"/>
    </w:p>
    <w:p>
      <w:r>
        <w:t>(1) Das Gesuch um Aussetzung des Verfahrens ist bei dem Prozessgericht anzubringen; es kann vor der Geschäftsstelle zu Protokoll erklärt werden.</w:t>
      </w:r>
    </w:p>
    <w:p>
      <w:r>
        <w:t>(2) Die Entscheidung kann ohne mündliche Verhandlung ergehen.</w:t>
      </w:r>
    </w:p>
    <w:p>
      <w:pPr>
        <w:pStyle w:val="Heading4"/>
      </w:pPr>
      <w:bookmarkStart w:id="279" w:name="b278"/>
      <w:r>
        <w:t>§ 249 Wirkung von Unterbrechung und Aussetzung</w:t>
      </w:r>
      <w:r>
        <w:t xml:space="preserve"> </w:t>
      </w:r>
      <w:r>
        <w:rPr>
          <w:rStyle w:val="Suchmarke"/>
        </w:rPr>
        <w:t>#249#</w:t>
      </w:r>
      <w:bookmarkEnd w:id="279"/>
    </w:p>
    <w:p>
      <w:r>
        <w:t>(1) Die Unterbrechung und Aussetzung des Verfahrens hat die Wirkung, dass der Lauf einer jeden Frist aufhört und nach Beendigung der Unterbrechung oder Aussetzung die volle Frist von neuem zu laufen beginnt.</w:t>
      </w:r>
    </w:p>
    <w:p>
      <w:r>
        <w:t>(2) Die während der Unterbrechung oder Aussetzung von einer Partei in Ansehung der Hauptsache vorgenommenen Prozesshandlungen sind der anderen Partei gegenüber ohne rechtliche Wirkung.</w:t>
      </w:r>
    </w:p>
    <w:p>
      <w:r>
        <w:t>(3) Durch die nach dem Schluss einer mündlichen Verhandlung eintretende Unterbrechung wird die Verkündung der auf Grund dieser Verhandlung zu erlassenden Entscheidung nicht gehindert.</w:t>
      </w:r>
    </w:p>
    <w:p>
      <w:pPr>
        <w:pStyle w:val="Heading4"/>
      </w:pPr>
      <w:bookmarkStart w:id="280" w:name="b279"/>
      <w:r>
        <w:t>§ 250 Form von Aufnahme und Anzeige</w:t>
      </w:r>
      <w:r>
        <w:t xml:space="preserve"> </w:t>
      </w:r>
      <w:r>
        <w:rPr>
          <w:rStyle w:val="Suchmarke"/>
        </w:rPr>
        <w:t>#250#</w:t>
      </w:r>
      <w:bookmarkEnd w:id="280"/>
    </w:p>
    <w:p>
      <w:r>
        <w:t>Die Aufnahme eines unterbrochenen oder ausgesetzten Verfahrens und die in diesem Titel erwähnten Anzeigen erfolgen durch Zustellung eines bei Gericht einzureichenden Schriftsatzes.</w:t>
      </w:r>
    </w:p>
    <w:p>
      <w:pPr>
        <w:pStyle w:val="Heading4"/>
      </w:pPr>
      <w:bookmarkStart w:id="281" w:name="b280"/>
      <w:r>
        <w:t>§ 251 Ruhen des Verfahrens</w:t>
      </w:r>
      <w:r>
        <w:t xml:space="preserve"> </w:t>
      </w:r>
      <w:r>
        <w:rPr>
          <w:rStyle w:val="Suchmarke"/>
        </w:rPr>
        <w:t>#251#</w:t>
      </w:r>
      <w:bookmarkEnd w:id="281"/>
    </w:p>
    <w:p>
      <w:r>
        <w:rPr>
          <w:rStyle w:val="Satznummer"/>
        </w:rPr>
        <w:t>1</w:t>
      </w:r>
      <w:r>
        <w:t xml:space="preserve">Das Gericht hat das Ruhen des Verfahrens anzuordnen, wenn beide Parteien dies beantragen und anzunehmen ist, dass wegen Schwebens von Vergleichsverhandlungen oder aus sonstigen wichtigen Gründen diese Anordnung zweckmäßig ist. </w:t>
      </w:r>
      <w:r>
        <w:rPr>
          <w:rStyle w:val="Satznummer"/>
        </w:rPr>
        <w:t>2</w:t>
      </w:r>
      <w:r>
        <w:t xml:space="preserve">Die Anordnung hat auf den Lauf der im </w:t>
      </w:r>
      <w:hyperlink w:anchor="b261" w:history="1">
        <w:r>
          <w:rPr>
            <w:color w:val="0A3A8C"/>
            <w:u w:val="single"/>
          </w:rPr>
          <w:t xml:space="preserve">§ 233</w:t>
        </w:r>
      </w:hyperlink>
      <w:r>
        <w:t xml:space="preserve"> bezeichneten Fristen keinen Einfluss.</w:t>
      </w:r>
    </w:p>
    <w:p>
      <w:pPr>
        <w:pStyle w:val="Heading4"/>
      </w:pPr>
      <w:bookmarkStart w:id="282" w:name="b281"/>
      <w:r>
        <w:t>§ 251a Säumnis beider Parteien; Entscheidung nach Lage der Akten</w:t>
      </w:r>
      <w:r>
        <w:t xml:space="preserve"> </w:t>
      </w:r>
      <w:r>
        <w:rPr>
          <w:rStyle w:val="Suchmarke"/>
        </w:rPr>
        <w:t>#251a#</w:t>
      </w:r>
      <w:bookmarkEnd w:id="282"/>
    </w:p>
    <w:p>
      <w:r>
        <w:t>(1) Erscheinen oder verhandeln in einem Termin beide Parteien nicht, so kann das Gericht nach Lage der Akten entscheiden.</w:t>
      </w:r>
    </w:p>
    <w:p>
      <w:r>
        <w:t xml:space="preserve">(2) </w:t>
      </w:r>
      <w:r>
        <w:rPr>
          <w:rStyle w:val="Satznummer"/>
        </w:rPr>
        <w:t>1</w:t>
      </w:r>
      <w:r>
        <w:t xml:space="preserve">Ein Urteil nach Lage der Akten darf nur ergehen, wenn in einem früheren Termin mündlich verhandelt worden ist. </w:t>
      </w:r>
      <w:r>
        <w:rPr>
          <w:rStyle w:val="Satznummer"/>
        </w:rPr>
        <w:t>2</w:t>
      </w:r>
      <w:r>
        <w:t xml:space="preserve">Es darf frühestens in zwei Wochen verkündet werden. </w:t>
      </w:r>
      <w:r>
        <w:rPr>
          <w:rStyle w:val="Satznummer"/>
        </w:rPr>
        <w:t>3</w:t>
      </w:r>
      <w:r>
        <w:t xml:space="preserve">Das Gericht hat der nicht erschienenen Partei den Verkündungstermin formlos mitzuteilen. </w:t>
      </w:r>
      <w:r>
        <w:rPr>
          <w:rStyle w:val="Satznummer"/>
        </w:rPr>
        <w:t>4</w:t>
      </w:r>
      <w:r>
        <w:t>Es bestimmt neuen Termin zur mündlichen Verhandlung, wenn die Partei dies spätestens am siebenten Tag vor dem zur Verkündung bestimmten Termin beantragt und glaubhaft macht, dass sie ohne ihr Verschulden ausgeblieben ist und die Verlegung des Termins nicht rechtzeitig beantragen konnte.</w:t>
      </w:r>
    </w:p>
    <w:p>
      <w:r>
        <w:t xml:space="preserve">(3) Wenn das Gericht nicht nach Lage der Akten entscheidet und nicht nach </w:t>
      </w:r>
      <w:hyperlink w:anchor="b254" w:history="1">
        <w:r>
          <w:rPr>
            <w:color w:val="0A3A8C"/>
            <w:u w:val="single"/>
          </w:rPr>
          <w:t xml:space="preserve">§ 227</w:t>
        </w:r>
      </w:hyperlink>
      <w:r>
        <w:t xml:space="preserve"> vertagt, ordnet es das Ruhen des Verfahrens an.</w:t>
      </w:r>
    </w:p>
    <w:p>
      <w:pPr>
        <w:pStyle w:val="Heading4"/>
      </w:pPr>
      <w:bookmarkStart w:id="283" w:name="b282"/>
      <w:r>
        <w:t>§ 252 Rechtsmittel bei Aussetzung</w:t>
      </w:r>
      <w:r>
        <w:t xml:space="preserve"> </w:t>
      </w:r>
      <w:r>
        <w:rPr>
          <w:rStyle w:val="Suchmarke"/>
        </w:rPr>
        <w:t>#252#</w:t>
      </w:r>
      <w:bookmarkEnd w:id="283"/>
    </w:p>
    <w:p>
      <w:r>
        <w:t>Gegen die Entscheidung, durch die auf Grund der Vorschriften dieses Titels oder auf Grund anderer gesetzlicher Bestimmungen die Aussetzung des Verfahrens angeordnet oder abgelehnt wird, findet die sofortige Beschwerde statt.</w:t>
      </w:r>
    </w:p>
    <w:p>
      <w:pPr>
        <w:pStyle w:val="Heading1"/>
      </w:pPr>
      <w:bookmarkStart w:id="284" w:name="b283"/>
      <w:r>
        <w:t>Buch 2 Verfahren im ersten Rechtszug</w:t>
      </w:r>
      <w:bookmarkEnd w:id="284"/>
    </w:p>
    <w:p>
      <w:pPr>
        <w:pStyle w:val="Heading2"/>
      </w:pPr>
      <w:bookmarkStart w:id="285" w:name="b284"/>
      <w:r>
        <w:t>Abschnitt 1 Verfahren vor den Landgerichten</w:t>
      </w:r>
      <w:bookmarkEnd w:id="285"/>
    </w:p>
    <w:p>
      <w:pPr>
        <w:pStyle w:val="Heading3"/>
      </w:pPr>
      <w:bookmarkStart w:id="286" w:name="b285"/>
      <w:r>
        <w:t>Titel 1 Verfahren bis zum Urteil</w:t>
      </w:r>
      <w:bookmarkEnd w:id="286"/>
    </w:p>
    <w:p>
      <w:pPr>
        <w:pStyle w:val="Heading4"/>
      </w:pPr>
      <w:bookmarkStart w:id="287" w:name="b286"/>
      <w:r>
        <w:t>§ 253 Klageschrift</w:t>
      </w:r>
      <w:r>
        <w:t xml:space="preserve"> </w:t>
      </w:r>
      <w:r>
        <w:rPr>
          <w:rStyle w:val="Suchmarke"/>
        </w:rPr>
        <w:t>#253#</w:t>
      </w:r>
      <w:bookmarkEnd w:id="287"/>
    </w:p>
    <w:p>
      <w:r>
        <w:t>(1) Die Erhebung der Klage erfolgt durch Zustellung eines Schriftsatzes (Klageschrift).</w:t>
      </w:r>
    </w:p>
    <w:p>
      <w:r>
        <w:t>(2) Die Klageschrift muss enthalten:</w:t>
      </w:r>
    </w:p>
    <w:p>
      <w:pPr>
        <w:tabs>
          <w:tab w:pos="567" w:val="left"/>
        </w:tabs>
        <w:ind w:left="567" w:hanging="567"/>
      </w:pPr>
      <w:r>
        <w:t>1.</w:t>
      </w:r>
      <w:r>
        <w:tab/>
      </w:r>
      <w:r>
        <w:t>die Bezeichnung der Parteien und des Gerichts;</w:t>
      </w:r>
    </w:p>
    <w:p>
      <w:pPr>
        <w:tabs>
          <w:tab w:pos="567" w:val="left"/>
        </w:tabs>
        <w:ind w:left="567" w:hanging="567"/>
      </w:pPr>
      <w:r>
        <w:t>2.</w:t>
      </w:r>
      <w:r>
        <w:tab/>
      </w:r>
      <w:r>
        <w:t>die bestimmte Angabe des Gegenstandes und des Grundes des erhobenen Anspruchs, sowie einen bestimmten Antrag.</w:t>
      </w:r>
    </w:p>
    <w:p>
      <w:r>
        <w:t>(3) Die Klageschrift soll ferner enthalten:</w:t>
      </w:r>
    </w:p>
    <w:p>
      <w:pPr>
        <w:tabs>
          <w:tab w:pos="567" w:val="left"/>
        </w:tabs>
        <w:ind w:left="567" w:hanging="567"/>
      </w:pPr>
      <w:r>
        <w:t>1.</w:t>
      </w:r>
      <w:r>
        <w:tab/>
      </w:r>
      <w:r>
        <w:t>die Angabe, ob der Klageerhebung der Versuch einer Mediation oder eines anderen Verfahrens der außergerichtlichen Konfliktbeilegung vorausgegangen ist, sowie eine Äußerung dazu, ob einem solchen Verfahren Gründe entgegenstehen;</w:t>
      </w:r>
    </w:p>
    <w:p>
      <w:pPr>
        <w:tabs>
          <w:tab w:pos="567" w:val="left"/>
        </w:tabs>
        <w:ind w:left="567" w:hanging="567"/>
      </w:pPr>
      <w:r>
        <w:t>2.</w:t>
      </w:r>
      <w:r>
        <w:tab/>
      </w:r>
      <w:r>
        <w:t>die Angabe des Wertes des Streitgegenstandes, wenn hiervon die Zuständigkeit des Gerichts abhängt und der Streitgegenstand nicht in einer bestimmten Geldsumme besteht;</w:t>
      </w:r>
    </w:p>
    <w:p>
      <w:pPr>
        <w:tabs>
          <w:tab w:pos="567" w:val="left"/>
        </w:tabs>
        <w:ind w:left="567" w:hanging="567"/>
      </w:pPr>
      <w:r>
        <w:t>3.</w:t>
      </w:r>
      <w:r>
        <w:tab/>
      </w:r>
      <w:r>
        <w:t>eine Äußerung dazu, ob einer Entscheidung der Sache durch den Einzelrichter Gründe entgegenstehen;</w:t>
      </w:r>
    </w:p>
    <w:p>
      <w:pPr>
        <w:tabs>
          <w:tab w:pos="567" w:val="left"/>
        </w:tabs>
        <w:ind w:left="567" w:hanging="567"/>
      </w:pPr>
      <w:r>
        <w:t>4.</w:t>
      </w:r>
      <w:r>
        <w:tab/>
      </w:r>
      <w:r>
        <w:t>eine Äußerung dazu, ob gegen die Durchführung einer Videoverhandlung (</w:t>
      </w:r>
      <w:hyperlink w:anchor="b159" w:history="1">
        <w:r>
          <w:rPr>
            <w:color w:val="0A3A8C"/>
            <w:u w:val="single"/>
          </w:rPr>
          <w:t xml:space="preserve">§ 128a</w:t>
        </w:r>
      </w:hyperlink>
      <w:r>
        <w:t>) Bedenken bestehen.</w:t>
      </w:r>
    </w:p>
    <w:p>
      <w:r>
        <w:t>(4) Außerdem sind die allgemeinen Vorschriften über die vorbereitenden Schriftsätze auch auf die Klageschrift anzuwenden.</w:t>
      </w:r>
    </w:p>
    <w:p>
      <w:r>
        <w:t xml:space="preserve">(5) </w:t>
      </w:r>
      <w:r>
        <w:rPr>
          <w:rStyle w:val="Satznummer"/>
        </w:rPr>
        <w:t>1</w:t>
      </w:r>
      <w:r>
        <w:t xml:space="preserve">Die Klageschrift sowie sonstige Anträge und Erklärungen einer Partei, die zugestellt werden sollen, sind bei dem Gericht schriftlich unter Beifügung der für ihre Zustellung oder Mitteilung erforderlichen Zahl von Abschriften einzureichen. </w:t>
      </w:r>
      <w:r>
        <w:rPr>
          <w:rStyle w:val="Satznummer"/>
        </w:rPr>
        <w:t>2</w:t>
      </w:r>
      <w:r>
        <w:t>Einer Beifügung von Abschriften bedarf es nicht, soweit die Klageschrift elektronisch eingereicht wird.</w:t>
      </w:r>
    </w:p>
    <w:p>
      <w:pPr>
        <w:pStyle w:val="Heading4"/>
      </w:pPr>
      <w:bookmarkStart w:id="288" w:name="b287"/>
      <w:r>
        <w:t>§ 254 Stufenklage</w:t>
      </w:r>
      <w:r>
        <w:t xml:space="preserve"> </w:t>
      </w:r>
      <w:r>
        <w:rPr>
          <w:rStyle w:val="Suchmarke"/>
        </w:rPr>
        <w:t>#254#</w:t>
      </w:r>
      <w:bookmarkEnd w:id="288"/>
    </w:p>
    <w:p>
      <w:r>
        <w:t>Wird mit der Klage auf Rechnungslegung oder auf Vorlegung eines Vermögensverzeichnisses oder auf Abgabe einer eidesstattlichen Versicherung die Klage auf Herausgabe desjenigen verbunden, was der Beklagte aus dem zugrunde liegenden Rechtsverhältnis schuldet, so kann die bestimmte Angabe der Leistungen, die der Kläger beansprucht, vorbehalten werden, bis die Rechnung mitgeteilt, das Vermögensverzeichnis vorgelegt oder die eidesstattliche Versicherung abgegeben ist.</w:t>
      </w:r>
    </w:p>
    <w:p>
      <w:pPr>
        <w:pStyle w:val="Heading4"/>
      </w:pPr>
      <w:bookmarkStart w:id="289" w:name="b288"/>
      <w:r>
        <w:t>§ 255 Fristbestimmung im Urteil</w:t>
      </w:r>
      <w:r>
        <w:t xml:space="preserve"> </w:t>
      </w:r>
      <w:r>
        <w:rPr>
          <w:rStyle w:val="Suchmarke"/>
        </w:rPr>
        <w:t>#255#</w:t>
      </w:r>
      <w:bookmarkEnd w:id="289"/>
    </w:p>
    <w:p>
      <w:r>
        <w:t>(1) Hat der Kläger für den Fall, dass der Beklagte nicht vor dem Ablauf einer ihm zu bestimmenden Frist den erhobenen Anspruch befriedigt, das Recht, Schadensersatz wegen Nichterfüllung zu fordern oder die Aufhebung eines Vertrages herbeizuführen, so kann er verlangen, dass die Frist im Urteil bestimmt wird.</w:t>
      </w:r>
    </w:p>
    <w:p>
      <w:r>
        <w:t>(2) Das Gleiche gilt, wenn dem Kläger das Recht, die Anordnung einer Verwaltung zu verlangen, für den Fall zusteht, dass der Beklagte nicht vor dem Ablauf einer ihm zu bestimmenden Frist die beanspruchte Sicherheit leistet, sowie im Falle des § 2193 Abs. 2 des Bürgerlichen Gesetzbuchs für die Bestimmung einer Frist zur Vollziehung der Auflage.</w:t>
      </w:r>
    </w:p>
    <w:p>
      <w:pPr>
        <w:pStyle w:val="Heading4"/>
      </w:pPr>
      <w:bookmarkStart w:id="290" w:name="b289"/>
      <w:r>
        <w:t>§ 256 Feststellungsklage</w:t>
      </w:r>
      <w:r>
        <w:t xml:space="preserve"> </w:t>
      </w:r>
      <w:r>
        <w:rPr>
          <w:rStyle w:val="Suchmarke"/>
        </w:rPr>
        <w:t>#256#</w:t>
      </w:r>
      <w:bookmarkEnd w:id="290"/>
    </w:p>
    <w:p>
      <w:r>
        <w:t>(1) Auf Feststellung des Bestehens oder Nichtbestehens eines Rechtsverhältnisses, auf Anerkennung einer Urkunde oder auf Feststellung ihrer Unechtheit kann Klage erhoben werden, wenn der Kläger ein rechtliches Interesse daran hat, dass das Rechtsverhältnis oder die Echtheit oder Unechtheit der Urkunde durch richterliche Entscheidung alsbald festgestellt werde.</w:t>
      </w:r>
    </w:p>
    <w:p>
      <w:r>
        <w:t>(2) Bis zum Schluss derjenigen mündlichen Verhandlung, auf die das Urteil ergeht, kann der Kläger durch Erweiterung des Klageantrags, der Beklagte durch Erhebung einer Widerklage beantragen, dass ein im Laufe des Prozesses streitig gewordenes Rechtsverhältnis, von dessen Bestehen oder Nichtbestehen die Entscheidung des Rechtsstreits ganz oder zum Teil abhängt, durch richterliche Entscheidung festgestellt werde.</w:t>
      </w:r>
    </w:p>
    <w:p>
      <w:pPr>
        <w:pStyle w:val="Heading4"/>
      </w:pPr>
      <w:bookmarkStart w:id="291" w:name="b290"/>
      <w:r>
        <w:t>§ 257 Klage auf künftige Zahlung oder Räumung</w:t>
      </w:r>
      <w:r>
        <w:t xml:space="preserve"> </w:t>
      </w:r>
      <w:r>
        <w:rPr>
          <w:rStyle w:val="Suchmarke"/>
        </w:rPr>
        <w:t>#257#</w:t>
      </w:r>
      <w:bookmarkEnd w:id="291"/>
    </w:p>
    <w:p>
      <w:r>
        <w:t>Ist die Geltendmachung einer nicht von einer Gegenleistung abhängigen Geldforderung oder die Geltendmachung des Anspruchs auf Räumung eines Grundstücks oder eines Raumes, der anderen als Wohnzwecken dient, an den Eintritt eines Kalendertages geknüpft, so kann Klage auf künftige Zahlung oder Räumung erhoben werden.</w:t>
      </w:r>
    </w:p>
    <w:p>
      <w:pPr>
        <w:pStyle w:val="Heading4"/>
      </w:pPr>
      <w:bookmarkStart w:id="292" w:name="b291"/>
      <w:r>
        <w:t>§ 258 Klage auf wiederkehrende Leistungen</w:t>
      </w:r>
      <w:r>
        <w:t xml:space="preserve"> </w:t>
      </w:r>
      <w:r>
        <w:rPr>
          <w:rStyle w:val="Suchmarke"/>
        </w:rPr>
        <w:t>#258#</w:t>
      </w:r>
      <w:bookmarkEnd w:id="292"/>
    </w:p>
    <w:p>
      <w:r>
        <w:t>Bei wiederkehrenden Leistungen kann auch wegen der erst nach Erlass des Urteils fällig werdenden Leistungen Klage auf künftige Entrichtung erhoben werden.</w:t>
      </w:r>
    </w:p>
    <w:p>
      <w:pPr>
        <w:pStyle w:val="Heading4"/>
      </w:pPr>
      <w:bookmarkStart w:id="293" w:name="b292"/>
      <w:r>
        <w:t>§ 259 Klage wegen Besorgnis nicht rechtzeitiger Leistung</w:t>
      </w:r>
      <w:r>
        <w:t xml:space="preserve"> </w:t>
      </w:r>
      <w:r>
        <w:rPr>
          <w:rStyle w:val="Suchmarke"/>
        </w:rPr>
        <w:t>#259#</w:t>
      </w:r>
      <w:bookmarkEnd w:id="293"/>
    </w:p>
    <w:p>
      <w:r>
        <w:t xml:space="preserve">Klage auf künftige Leistung kann außer den Fällen der </w:t>
      </w:r>
      <w:hyperlink w:anchor="b290" w:history="1">
        <w:r>
          <w:rPr>
            <w:color w:val="0A3A8C"/>
            <w:u w:val="single"/>
          </w:rPr>
          <w:t xml:space="preserve">§§ 257</w:t>
        </w:r>
      </w:hyperlink>
      <w:r>
        <w:t xml:space="preserve">, </w:t>
      </w:r>
      <w:hyperlink w:anchor="b291" w:history="1">
        <w:r>
          <w:rPr>
            <w:color w:val="0A3A8C"/>
            <w:u w:val="single"/>
          </w:rPr>
          <w:t xml:space="preserve">258</w:t>
        </w:r>
      </w:hyperlink>
      <w:r>
        <w:t xml:space="preserve"> erhoben werden, wenn den Umständen nach die Besorgnis gerechtfertigt ist, dass der Schuldner sich der rechtzeitigen Leistung entziehen werde.</w:t>
      </w:r>
    </w:p>
    <w:p>
      <w:pPr>
        <w:pStyle w:val="Heading4"/>
      </w:pPr>
      <w:bookmarkStart w:id="294" w:name="b293"/>
      <w:r>
        <w:t>§ 260 Anspruchshäufung</w:t>
      </w:r>
      <w:r>
        <w:t xml:space="preserve"> </w:t>
      </w:r>
      <w:r>
        <w:rPr>
          <w:rStyle w:val="Suchmarke"/>
        </w:rPr>
        <w:t>#260#</w:t>
      </w:r>
      <w:bookmarkEnd w:id="294"/>
    </w:p>
    <w:p>
      <w:r>
        <w:t>Mehrere Ansprüche des Klägers gegen denselben Beklagten können, auch wenn sie auf verschiedenen Gründen beruhen, in einer Klage verbunden werden, wenn für sämtliche Ansprüche das Prozessgericht zuständig und dieselbe Prozessart zulässig ist.</w:t>
      </w:r>
    </w:p>
    <w:p>
      <w:pPr>
        <w:pStyle w:val="Heading4"/>
      </w:pPr>
      <w:bookmarkStart w:id="295" w:name="b294"/>
      <w:r>
        <w:t>§ 261 Rechtshängigkeit</w:t>
      </w:r>
      <w:r>
        <w:t xml:space="preserve"> </w:t>
      </w:r>
      <w:r>
        <w:rPr>
          <w:rStyle w:val="Suchmarke"/>
        </w:rPr>
        <w:t>#261#</w:t>
      </w:r>
      <w:bookmarkEnd w:id="295"/>
    </w:p>
    <w:p>
      <w:r>
        <w:t>(1) Durch die Erhebung der Klage wird die Rechtshängigkeit der Streitsache begründet.</w:t>
      </w:r>
    </w:p>
    <w:p>
      <w:r>
        <w:t xml:space="preserve">(2) Die Rechtshängigkeit eines erst im Laufe des Prozesses erhobenen Anspruchs tritt mit dem Zeitpunkt ein, in dem der Anspruch in der mündlichen Verhandlung geltend gemacht oder ein den Erfordernissen des </w:t>
      </w:r>
      <w:hyperlink w:anchor="b286" w:history="1">
        <w:r>
          <w:rPr>
            <w:color w:val="0A3A8C"/>
            <w:u w:val="single"/>
          </w:rPr>
          <w:t xml:space="preserve">§ 253</w:t>
        </w:r>
      </w:hyperlink>
      <w:r>
        <w:t xml:space="preserve"> Abs. 2 Nr. 2 entsprechender Schriftsatz zugestellt wird.</w:t>
      </w:r>
    </w:p>
    <w:p>
      <w:r>
        <w:t>(3) Die Rechtshängigkeit hat folgende Wirkungen:</w:t>
      </w:r>
    </w:p>
    <w:p>
      <w:pPr>
        <w:tabs>
          <w:tab w:pos="567" w:val="left"/>
        </w:tabs>
        <w:ind w:left="567" w:hanging="567"/>
      </w:pPr>
      <w:r>
        <w:t>1.</w:t>
      </w:r>
      <w:r>
        <w:tab/>
      </w:r>
      <w:r>
        <w:t>während der Dauer der Rechtshängigkeit kann die Streitsache von keiner Partei anderweitig anhängig gemacht werden;</w:t>
      </w:r>
    </w:p>
    <w:p>
      <w:pPr>
        <w:tabs>
          <w:tab w:pos="567" w:val="left"/>
        </w:tabs>
        <w:ind w:left="567" w:hanging="567"/>
      </w:pPr>
      <w:r>
        <w:t>2.</w:t>
      </w:r>
      <w:r>
        <w:tab/>
      </w:r>
      <w:r>
        <w:t>die Zuständigkeit des Prozessgerichts wird durch eine Veränderung der sie begründenden Umstände nicht berührt.</w:t>
      </w:r>
    </w:p>
    <w:p>
      <w:pPr>
        <w:pStyle w:val="Heading4"/>
      </w:pPr>
      <w:bookmarkStart w:id="296" w:name="b295"/>
      <w:r>
        <w:t>§ 262 Sonstige Wirkungen der Rechtshängigkeit</w:t>
      </w:r>
      <w:r>
        <w:t xml:space="preserve"> </w:t>
      </w:r>
      <w:r>
        <w:rPr>
          <w:rStyle w:val="Suchmarke"/>
        </w:rPr>
        <w:t>#262#</w:t>
      </w:r>
      <w:bookmarkEnd w:id="296"/>
    </w:p>
    <w:p>
      <w:r>
        <w:rPr>
          <w:rStyle w:val="Satznummer"/>
        </w:rPr>
        <w:t>1</w:t>
      </w:r>
      <w:r>
        <w:t xml:space="preserve">Die Vorschriften des bürgerlichen Rechts über die sonstigen Wirkungen der Rechtshängigkeit bleiben unberührt. </w:t>
      </w:r>
      <w:r>
        <w:rPr>
          <w:rStyle w:val="Satznummer"/>
        </w:rPr>
        <w:t>2</w:t>
      </w:r>
      <w:r>
        <w:t xml:space="preserve">Diese Wirkungen sowie alle Wirkungen, die durch die Vorschriften des bürgerlichen Rechts an die Anstellung, Mitteilung oder gerichtliche Anmeldung der Klage, an die Ladung oder Einlassung des Beklagten geknüpft werden, treten unbeschadet der Vorschrift des </w:t>
      </w:r>
      <w:hyperlink w:anchor="b207" w:history="1">
        <w:r>
          <w:rPr>
            <w:color w:val="0A3A8C"/>
            <w:u w:val="single"/>
          </w:rPr>
          <w:t xml:space="preserve">§ 167</w:t>
        </w:r>
      </w:hyperlink>
      <w:r>
        <w:t xml:space="preserve"> mit der Erhebung der Klage ein.</w:t>
      </w:r>
    </w:p>
    <w:p>
      <w:pPr>
        <w:pStyle w:val="Heading4"/>
      </w:pPr>
      <w:bookmarkStart w:id="297" w:name="b296"/>
      <w:r>
        <w:t>§ 263 Klageänderung</w:t>
      </w:r>
      <w:r>
        <w:t xml:space="preserve"> </w:t>
      </w:r>
      <w:r>
        <w:rPr>
          <w:rStyle w:val="Suchmarke"/>
        </w:rPr>
        <w:t>#263#</w:t>
      </w:r>
      <w:bookmarkEnd w:id="297"/>
    </w:p>
    <w:p>
      <w:r>
        <w:t>Nach dem Eintritt der Rechtshängigkeit ist eine Änderung der Klage zulässig, wenn der Beklagte einwilligt oder das Gericht sie für sachdienlich erachtet.</w:t>
      </w:r>
    </w:p>
    <w:p>
      <w:pPr>
        <w:pStyle w:val="Heading4"/>
      </w:pPr>
      <w:bookmarkStart w:id="298" w:name="b297"/>
      <w:r>
        <w:t>§ 264 Keine Klageänderung</w:t>
      </w:r>
      <w:r>
        <w:t xml:space="preserve"> </w:t>
      </w:r>
      <w:r>
        <w:rPr>
          <w:rStyle w:val="Suchmarke"/>
        </w:rPr>
        <w:t>#264#</w:t>
      </w:r>
      <w:bookmarkEnd w:id="298"/>
    </w:p>
    <w:p>
      <w:r>
        <w:t>Als eine Änderung der Klage ist es nicht anzusehen, wenn ohne Änderung des Klagegrundes</w:t>
      </w:r>
    </w:p>
    <w:p>
      <w:pPr>
        <w:tabs>
          <w:tab w:pos="567" w:val="left"/>
        </w:tabs>
        <w:ind w:left="567" w:hanging="567"/>
      </w:pPr>
      <w:r>
        <w:t>1.</w:t>
      </w:r>
      <w:r>
        <w:tab/>
      </w:r>
      <w:r>
        <w:t>die tatsächlichen oder rechtlichen Anführungen ergänzt oder berichtigt werden;</w:t>
      </w:r>
    </w:p>
    <w:p>
      <w:pPr>
        <w:tabs>
          <w:tab w:pos="567" w:val="left"/>
        </w:tabs>
        <w:ind w:left="567" w:hanging="567"/>
      </w:pPr>
      <w:r>
        <w:t>2.</w:t>
      </w:r>
      <w:r>
        <w:tab/>
      </w:r>
      <w:r>
        <w:t>der Klageantrag in der Hauptsache oder in Bezug auf Nebenforderungen erweitert oder beschränkt wird;</w:t>
      </w:r>
    </w:p>
    <w:p>
      <w:pPr>
        <w:tabs>
          <w:tab w:pos="567" w:val="left"/>
        </w:tabs>
        <w:ind w:left="567" w:hanging="567"/>
      </w:pPr>
      <w:r>
        <w:t>3.</w:t>
      </w:r>
      <w:r>
        <w:tab/>
      </w:r>
      <w:r>
        <w:t>statt des ursprünglich geforderten Gegenstandes wegen einer später eingetretenen Veränderung ein anderer Gegenstand oder das Interesse gefordert wird.</w:t>
      </w:r>
    </w:p>
    <w:p>
      <w:pPr>
        <w:pStyle w:val="Heading4"/>
      </w:pPr>
      <w:bookmarkStart w:id="299" w:name="b298"/>
      <w:r>
        <w:t>§ 265 Veräußerung oder Abtretung der Streitsache</w:t>
      </w:r>
      <w:r>
        <w:t xml:space="preserve"> </w:t>
      </w:r>
      <w:r>
        <w:rPr>
          <w:rStyle w:val="Suchmarke"/>
        </w:rPr>
        <w:t>#265#</w:t>
      </w:r>
      <w:bookmarkEnd w:id="299"/>
    </w:p>
    <w:p>
      <w:r>
        <w:t>(1) Die Rechtshängigkeit schließt das Recht der einen oder der anderen Partei nicht aus, die in Streit befangene Sache zu veräußern oder den geltend gemachten Anspruch abzutreten.</w:t>
      </w:r>
    </w:p>
    <w:p>
      <w:r>
        <w:t xml:space="preserve">(2) </w:t>
      </w:r>
      <w:r>
        <w:rPr>
          <w:rStyle w:val="Satznummer"/>
        </w:rPr>
        <w:t>1</w:t>
      </w:r>
      <w:r>
        <w:t xml:space="preserve">Die Veräußerung oder Abtretung hat auf den Prozess keinen Einfluss. </w:t>
      </w:r>
      <w:r>
        <w:rPr>
          <w:rStyle w:val="Satznummer"/>
        </w:rPr>
        <w:t>2</w:t>
      </w:r>
      <w:r>
        <w:t xml:space="preserve">Der Rechtsnachfolger ist nicht berechtigt, ohne Zustimmung des Gegners den Prozess als Hauptpartei an Stelle des Rechtsvorgängers zu übernehmen oder eine Hauptintervention zu erheben. </w:t>
      </w:r>
      <w:r>
        <w:rPr>
          <w:rStyle w:val="Satznummer"/>
        </w:rPr>
        <w:t>3</w:t>
      </w:r>
      <w:r>
        <w:t xml:space="preserve">Tritt der Rechtsnachfolger als Nebenintervenient auf, so ist </w:t>
      </w:r>
      <w:hyperlink w:anchor="b86" w:history="1">
        <w:r>
          <w:rPr>
            <w:color w:val="0A3A8C"/>
            <w:u w:val="single"/>
          </w:rPr>
          <w:t xml:space="preserve">§ 69</w:t>
        </w:r>
      </w:hyperlink>
      <w:r>
        <w:t xml:space="preserve"> nicht anzuwenden.</w:t>
      </w:r>
    </w:p>
    <w:p>
      <w:r>
        <w:t xml:space="preserve">(3) Hat der Kläger veräußert oder abgetreten, so kann ihm, sofern das Urteil nach </w:t>
      </w:r>
      <w:hyperlink w:anchor="b374" w:history="1">
        <w:r>
          <w:rPr>
            <w:color w:val="0A3A8C"/>
            <w:u w:val="single"/>
          </w:rPr>
          <w:t xml:space="preserve">§ 325</w:t>
        </w:r>
      </w:hyperlink>
      <w:r>
        <w:t xml:space="preserve"> gegen den Rechtsnachfolger nicht wirksam sein würde, der Einwand entgegengesetzt werden, dass er zur Geltendmachung des Anspruchs nicht mehr befugt sei.</w:t>
      </w:r>
    </w:p>
    <w:p>
      <w:pPr>
        <w:pStyle w:val="Heading4"/>
      </w:pPr>
      <w:bookmarkStart w:id="300" w:name="b299"/>
      <w:r>
        <w:t>§ 266 Veräußerung eines Grundstücks</w:t>
      </w:r>
      <w:r>
        <w:t xml:space="preserve"> </w:t>
      </w:r>
      <w:r>
        <w:rPr>
          <w:rStyle w:val="Suchmarke"/>
        </w:rPr>
        <w:t>#266#</w:t>
      </w:r>
      <w:bookmarkEnd w:id="300"/>
    </w:p>
    <w:p>
      <w:r>
        <w:t xml:space="preserve">(1) </w:t>
      </w:r>
      <w:r>
        <w:rPr>
          <w:rStyle w:val="Satznummer"/>
        </w:rPr>
        <w:t>1</w:t>
      </w:r>
      <w:r>
        <w:t xml:space="preserve">Ist über das Bestehen oder Nichtbestehen eines Rechts, das für ein Grundstück in Anspruch genommen wird, oder einer Verpflichtung, die auf einem Grundstück ruhen soll, zwischen dem Besitzer und einem Dritten ein Rechtsstreit anhängig, so ist im Falle der Veräußerung des Grundstücks der Rechtsnachfolger berechtigt und auf Antrag des Gegners verpflichtet, den Rechtsstreit in der Lage, in der er sich befindet, als Hauptpartei zu übernehmen. </w:t>
      </w:r>
      <w:r>
        <w:rPr>
          <w:rStyle w:val="Satznummer"/>
        </w:rPr>
        <w:t>2</w:t>
      </w:r>
      <w:r>
        <w:t>Entsprechendes gilt für einen Rechtsstreit über das Bestehen oder Nichtbestehen einer Verpflichtung, die auf einem eingetragenen Schiff oder Schiffsbauwerk ruhen soll.</w:t>
      </w:r>
    </w:p>
    <w:p>
      <w:r>
        <w:t xml:space="preserve">(2) </w:t>
      </w:r>
      <w:r>
        <w:rPr>
          <w:rStyle w:val="Satznummer"/>
        </w:rPr>
        <w:t>1</w:t>
      </w:r>
      <w:r>
        <w:t xml:space="preserve">Diese Bestimmung ist insoweit nicht anzuwenden, als ihr Vorschriften des bürgerlichen Rechts zugunsten derjenigen, die Rechte von einem Nichtberechtigten herleiten, entgegenstehen. </w:t>
      </w:r>
      <w:r>
        <w:rPr>
          <w:rStyle w:val="Satznummer"/>
        </w:rPr>
        <w:t>2</w:t>
      </w:r>
      <w:r>
        <w:t xml:space="preserve">In einem solchen Fall gilt, wenn der Kläger veräußert hat, die Vorschrift des </w:t>
      </w:r>
      <w:hyperlink w:anchor="b298" w:history="1">
        <w:r>
          <w:rPr>
            <w:color w:val="0A3A8C"/>
            <w:u w:val="single"/>
          </w:rPr>
          <w:t xml:space="preserve">§ 265</w:t>
        </w:r>
      </w:hyperlink>
      <w:r>
        <w:t xml:space="preserve"> Abs. 3.</w:t>
      </w:r>
    </w:p>
    <w:p>
      <w:pPr>
        <w:pStyle w:val="Heading4"/>
      </w:pPr>
      <w:bookmarkStart w:id="301" w:name="b300"/>
      <w:r>
        <w:t>§ 267 Vermutete Einwilligung in die Klageänderung</w:t>
      </w:r>
      <w:r>
        <w:t xml:space="preserve"> </w:t>
      </w:r>
      <w:r>
        <w:rPr>
          <w:rStyle w:val="Suchmarke"/>
        </w:rPr>
        <w:t>#267#</w:t>
      </w:r>
      <w:bookmarkEnd w:id="301"/>
    </w:p>
    <w:p>
      <w:r>
        <w:t>Die Einwilligung des Beklagten in die Änderung der Klage ist anzunehmen, wenn er, ohne der Änderung zu widersprechen, sich in einer mündlichen Verhandlung auf die abgeänderte Klage eingelassen hat.</w:t>
      </w:r>
    </w:p>
    <w:p>
      <w:pPr>
        <w:pStyle w:val="Heading4"/>
      </w:pPr>
      <w:bookmarkStart w:id="302" w:name="b301"/>
      <w:r>
        <w:t>§ 268 Unanfechtbarkeit der Entscheidung</w:t>
      </w:r>
      <w:r>
        <w:t xml:space="preserve"> </w:t>
      </w:r>
      <w:r>
        <w:rPr>
          <w:rStyle w:val="Suchmarke"/>
        </w:rPr>
        <w:t>#268#</w:t>
      </w:r>
      <w:bookmarkEnd w:id="302"/>
    </w:p>
    <w:p>
      <w:r>
        <w:t>Eine Anfechtung der Entscheidung, dass eine Änderung der Klage nicht vorliege oder dass die Änderung zuzulassen sei, findet nicht statt.</w:t>
      </w:r>
    </w:p>
    <w:p>
      <w:pPr>
        <w:pStyle w:val="Heading4"/>
      </w:pPr>
      <w:bookmarkStart w:id="303" w:name="b302"/>
      <w:r>
        <w:t>§ 269 Klagerücknahme</w:t>
      </w:r>
      <w:r>
        <w:t xml:space="preserve"> </w:t>
      </w:r>
      <w:r>
        <w:rPr>
          <w:rStyle w:val="Suchmarke"/>
        </w:rPr>
        <w:t>#269#</w:t>
      </w:r>
      <w:bookmarkEnd w:id="303"/>
    </w:p>
    <w:p>
      <w:r>
        <w:t>(1) Die Klage kann ohne Einwilligung des Beklagten nur bis zum Beginn der mündlichen Verhandlung des Beklagten zur Hauptsache zurückgenommen werden.</w:t>
      </w:r>
    </w:p>
    <w:p>
      <w:r>
        <w:t xml:space="preserve">(2) </w:t>
      </w:r>
      <w:r>
        <w:rPr>
          <w:rStyle w:val="Satznummer"/>
        </w:rPr>
        <w:t>1</w:t>
      </w:r>
      <w:r>
        <w:t xml:space="preserve">Die Zurücknahme der Klage und, soweit sie zur Wirksamkeit der Zurücknahme erforderlich ist, auch die Einwilligung des Beklagten sind dem Gericht gegenüber zu erklären. </w:t>
      </w:r>
      <w:r>
        <w:rPr>
          <w:rStyle w:val="Satznummer"/>
        </w:rPr>
        <w:t>2</w:t>
      </w:r>
      <w:r>
        <w:t xml:space="preserve">Die Zurücknahme der Klage erfolgt, wenn sie nicht bei der mündlichen Verhandlung erklärt wird, durch Einreichung eines Schriftsatzes. </w:t>
      </w:r>
      <w:r>
        <w:rPr>
          <w:rStyle w:val="Satznummer"/>
        </w:rPr>
        <w:t>3</w:t>
      </w:r>
      <w:r>
        <w:t xml:space="preserve">Der Schriftsatz ist dem Beklagten zuzustellen, wenn seine Einwilligung zur Wirksamkeit der Zurücknahme der Klage erforderlich ist. </w:t>
      </w:r>
      <w:r>
        <w:rPr>
          <w:rStyle w:val="Satznummer"/>
        </w:rPr>
        <w:t>4</w:t>
      </w:r>
      <w:r>
        <w:t>Widerspricht der Beklagte der Zurücknahme der Klage nicht innerhalb einer Notfrist von zwei Wochen seit der Zustellung des Schriftsatzes, so gilt seine Einwilligung als erteilt, wenn der Beklagte zuvor auf diese Folge hingewiesen worden ist.</w:t>
      </w:r>
    </w:p>
    <w:p>
      <w:r>
        <w:t xml:space="preserve">(3) </w:t>
      </w:r>
      <w:r>
        <w:rPr>
          <w:rStyle w:val="Satznummer"/>
        </w:rPr>
        <w:t>1</w:t>
      </w:r>
      <w:r>
        <w:t xml:space="preserve">Wird die Klage zurückgenommen, so ist der Rechtsstreit als nicht anhängig geworden anzusehen; ein bereits ergangenes, noch nicht rechtskräftiges Urteil wird wirkungslos, ohne dass es seiner ausdrücklichen Aufhebung bedarf. </w:t>
      </w:r>
      <w:r>
        <w:rPr>
          <w:rStyle w:val="Satznummer"/>
        </w:rPr>
        <w:t>2</w:t>
      </w:r>
      <w:r>
        <w:t xml:space="preserve">Der Kläger ist verpflichtet, die Kosten des Rechtsstreits zu tragen, soweit nicht bereits rechtskräftig über sie erkannt ist oder sie dem Beklagten aus einem anderen Grund aufzuerlegen sind. </w:t>
      </w:r>
      <w:r>
        <w:rPr>
          <w:rStyle w:val="Satznummer"/>
        </w:rPr>
        <w:t>3</w:t>
      </w:r>
      <w:r>
        <w:t>Ist der Anlass zur Einreichung der Klage vor Rechtshängigkeit weggefallen und wird die Klage daraufhin zurückgenommen, so bestimmt sich die Kostentragungspflicht unter Berücksichtigung des bisherigen Sach- und Streitstandes nach billigem Ermessen; dies gilt auch, wenn die Klage nicht zugestellt wurde.</w:t>
      </w:r>
    </w:p>
    <w:p>
      <w:r>
        <w:t xml:space="preserve">(4) </w:t>
      </w:r>
      <w:r>
        <w:rPr>
          <w:rStyle w:val="Satznummer"/>
        </w:rPr>
        <w:t>1</w:t>
      </w:r>
      <w:r>
        <w:t xml:space="preserve">Das Gericht entscheidet auf Antrag über die nach Absatz 3 eintretenden Wirkungen durch Beschluss. </w:t>
      </w:r>
      <w:r>
        <w:rPr>
          <w:rStyle w:val="Satznummer"/>
        </w:rPr>
        <w:t>2</w:t>
      </w:r>
      <w:r>
        <w:t>Ist einem Beklagten Prozesskostenhilfe bewilligt worden, hat das Gericht über die Kosten von Amts wegen zu entscheiden.</w:t>
      </w:r>
    </w:p>
    <w:p>
      <w:r>
        <w:t xml:space="preserve">(5) </w:t>
      </w:r>
      <w:r>
        <w:rPr>
          <w:rStyle w:val="Satznummer"/>
        </w:rPr>
        <w:t>1</w:t>
      </w:r>
      <w:r>
        <w:t xml:space="preserve">Gegen den Beschluss findet die sofortige Beschwerde statt, wenn der Streitwert der Hauptsache den in </w:t>
      </w:r>
      <w:hyperlink w:anchor="b562" w:history="1">
        <w:r>
          <w:rPr>
            <w:color w:val="0A3A8C"/>
            <w:u w:val="single"/>
          </w:rPr>
          <w:t xml:space="preserve">§ 511</w:t>
        </w:r>
      </w:hyperlink>
      <w:r>
        <w:t xml:space="preserve"> genannten Betrag übersteigt. </w:t>
      </w:r>
      <w:r>
        <w:rPr>
          <w:rStyle w:val="Satznummer"/>
        </w:rPr>
        <w:t>2</w:t>
      </w:r>
      <w:r>
        <w:t>Die Beschwerde ist unzulässig, wenn gegen die Entscheidung über den Festsetzungsantrag (</w:t>
      </w:r>
      <w:hyperlink w:anchor="b129" w:history="1">
        <w:r>
          <w:rPr>
            <w:color w:val="0A3A8C"/>
            <w:u w:val="single"/>
          </w:rPr>
          <w:t xml:space="preserve">§ 104</w:t>
        </w:r>
      </w:hyperlink>
      <w:r>
        <w:t>) ein Rechtsmittel nicht mehr zulässig ist.</w:t>
      </w:r>
    </w:p>
    <w:p>
      <w:r>
        <w:t>(6) Wird die Klage von neuem angestellt, so kann der Beklagte die Einlassung verweigern, bis die Kosten erstattet sind.</w:t>
      </w:r>
    </w:p>
    <w:p>
      <w:pPr>
        <w:pStyle w:val="Heading4"/>
      </w:pPr>
      <w:bookmarkStart w:id="304" w:name="b303"/>
      <w:r>
        <w:t>§ 270 Zustellung; formlose Mitteilung</w:t>
      </w:r>
      <w:r>
        <w:t xml:space="preserve"> </w:t>
      </w:r>
      <w:r>
        <w:rPr>
          <w:rStyle w:val="Suchmarke"/>
        </w:rPr>
        <w:t>#270#</w:t>
      </w:r>
      <w:bookmarkEnd w:id="304"/>
    </w:p>
    <w:p>
      <w:r>
        <w:rPr>
          <w:rStyle w:val="Satznummer"/>
        </w:rPr>
        <w:t>1</w:t>
      </w:r>
      <w:r>
        <w:t xml:space="preserve">Mit Ausnahme der Klageschrift und solcher Schriftsätze, die Sachanträge enthalten, sind Schriftsätze und sonstige Erklärungen der Parteien, sofern nicht das Gericht die Zustellung anordnet, ohne besondere Form mitzuteilen. </w:t>
      </w:r>
      <w:r>
        <w:rPr>
          <w:rStyle w:val="Satznummer"/>
        </w:rPr>
        <w:t>2</w:t>
      </w:r>
      <w:r>
        <w:t>Bei Übersendung durch die Post gilt die Mitteilung am vierten Tag nach der Aufgabe zur Post als bewirkt, sofern nicht die Partei glaubhaft macht, dass ihr die Mitteilung nicht oder erst in einem späteren Zeitpunkt zugegangen ist.</w:t>
      </w:r>
    </w:p>
    <w:p>
      <w:pPr>
        <w:pStyle w:val="Heading4"/>
      </w:pPr>
      <w:bookmarkStart w:id="305" w:name="b304"/>
      <w:r>
        <w:t>§ 271 Zustellung der Klageschrift</w:t>
      </w:r>
      <w:r>
        <w:t xml:space="preserve"> </w:t>
      </w:r>
      <w:r>
        <w:rPr>
          <w:rStyle w:val="Suchmarke"/>
        </w:rPr>
        <w:t>#271#</w:t>
      </w:r>
      <w:bookmarkEnd w:id="305"/>
    </w:p>
    <w:p>
      <w:r>
        <w:t>(1) Die Klageschrift ist unverzüglich zuzustellen.</w:t>
      </w:r>
    </w:p>
    <w:p>
      <w:r>
        <w:t>(2) Mit der Zustellung ist der Beklagte aufzufordern, einen Rechtsanwalt zu bestellen, wenn er eine Verteidigung gegen die Klage beabsichtigt.</w:t>
      </w:r>
    </w:p>
    <w:p>
      <w:pPr>
        <w:pStyle w:val="Heading4"/>
      </w:pPr>
      <w:bookmarkStart w:id="306" w:name="b305"/>
      <w:r>
        <w:t>§ 272 Bestimmung der Verfahrensweise</w:t>
      </w:r>
      <w:r>
        <w:t xml:space="preserve"> </w:t>
      </w:r>
      <w:r>
        <w:rPr>
          <w:rStyle w:val="Suchmarke"/>
        </w:rPr>
        <w:t>#272#</w:t>
      </w:r>
      <w:bookmarkEnd w:id="306"/>
    </w:p>
    <w:p>
      <w:r>
        <w:t>(1) Der Rechtsstreit ist in der Regel in einem umfassend vorbereiteten Termin zur mündlichen Verhandlung (Haupttermin) zu erledigen.</w:t>
      </w:r>
    </w:p>
    <w:p>
      <w:r>
        <w:t>(2) Der Vorsitzende bestimmt entweder einen frühen ersten Termin zur mündlichen Verhandlung (</w:t>
      </w:r>
      <w:hyperlink w:anchor="b309" w:history="1">
        <w:r>
          <w:rPr>
            <w:color w:val="0A3A8C"/>
            <w:u w:val="single"/>
          </w:rPr>
          <w:t xml:space="preserve">§ 275</w:t>
        </w:r>
      </w:hyperlink>
      <w:r>
        <w:t>) oder veranlasst ein schriftliches Vorverfahren (</w:t>
      </w:r>
      <w:hyperlink w:anchor="b310" w:history="1">
        <w:r>
          <w:rPr>
            <w:color w:val="0A3A8C"/>
            <w:u w:val="single"/>
          </w:rPr>
          <w:t xml:space="preserve">§ 276</w:t>
        </w:r>
      </w:hyperlink>
      <w:r>
        <w:t>).</w:t>
      </w:r>
    </w:p>
    <w:p>
      <w:r>
        <w:t>(3) Die Güteverhandlung und die mündliche Verhandlung sollen so früh wie möglich stattfinden.</w:t>
      </w:r>
    </w:p>
    <w:p>
      <w:r>
        <w:t>(4) Räumungssachen sind vorrangig und beschleunigt durchzuführen.</w:t>
      </w:r>
    </w:p>
    <w:p>
      <w:pPr>
        <w:pStyle w:val="Heading4"/>
      </w:pPr>
      <w:bookmarkStart w:id="307" w:name="b306"/>
      <w:r>
        <w:t>§ 273 Vorbereitung des Termins</w:t>
      </w:r>
      <w:r>
        <w:t xml:space="preserve"> </w:t>
      </w:r>
      <w:r>
        <w:rPr>
          <w:rStyle w:val="Suchmarke"/>
        </w:rPr>
        <w:t>#273#</w:t>
      </w:r>
      <w:bookmarkEnd w:id="307"/>
    </w:p>
    <w:p>
      <w:r>
        <w:t>(1) Das Gericht hat erforderliche vorbereitende Maßnahmen rechtzeitig zu veranlassen.</w:t>
      </w:r>
    </w:p>
    <w:p>
      <w:r>
        <w:t>(2) Zur Vorbereitung jedes Termins kann der Vorsitzende oder ein von ihm bestimmtes Mitglied des Prozessgerichts insbesondere</w:t>
      </w:r>
    </w:p>
    <w:p>
      <w:pPr>
        <w:tabs>
          <w:tab w:pos="567" w:val="left"/>
        </w:tabs>
        <w:ind w:left="567" w:hanging="567"/>
      </w:pPr>
      <w:r>
        <w:t>1.</w:t>
      </w:r>
      <w:r>
        <w:tab/>
      </w:r>
      <w:r>
        <w:t>den Parteien die Ergänzung oder Erläuterung ihrer vorbereitenden Schriftsätze aufgeben, insbesondere eine Frist zur Erklärung über bestimmte klärungsbedürftige Punkte setzen;</w:t>
      </w:r>
    </w:p>
    <w:p>
      <w:pPr>
        <w:tabs>
          <w:tab w:pos="567" w:val="left"/>
        </w:tabs>
        <w:ind w:left="567" w:hanging="567"/>
      </w:pPr>
      <w:r>
        <w:t>2.</w:t>
      </w:r>
      <w:r>
        <w:tab/>
      </w:r>
      <w:r>
        <w:t>Behörden oder Träger eines öffentlichen Amtes um Mitteilung von Urkunden oder um Erteilung amtlicher Auskünfte ersuchen;</w:t>
      </w:r>
    </w:p>
    <w:p>
      <w:pPr>
        <w:tabs>
          <w:tab w:pos="567" w:val="left"/>
        </w:tabs>
        <w:ind w:left="567" w:hanging="567"/>
      </w:pPr>
      <w:r>
        <w:t>3.</w:t>
      </w:r>
      <w:r>
        <w:tab/>
      </w:r>
      <w:r>
        <w:t>das persönliche Erscheinen der Parteien anordnen;</w:t>
      </w:r>
    </w:p>
    <w:p>
      <w:pPr>
        <w:tabs>
          <w:tab w:pos="567" w:val="left"/>
        </w:tabs>
        <w:ind w:left="567" w:hanging="567"/>
      </w:pPr>
      <w:r>
        <w:t>4.</w:t>
      </w:r>
      <w:r>
        <w:tab/>
      </w:r>
      <w:r>
        <w:t xml:space="preserve">Zeugen, auf die sich eine Partei bezogen hat, und Sachverständige zur mündlichen Verhandlung laden sowie eine Anordnung nach </w:t>
      </w:r>
      <w:hyperlink w:anchor="b439" w:history="1">
        <w:r>
          <w:rPr>
            <w:color w:val="0A3A8C"/>
            <w:u w:val="single"/>
          </w:rPr>
          <w:t xml:space="preserve">§ 378</w:t>
        </w:r>
      </w:hyperlink>
      <w:r>
        <w:t xml:space="preserve"> treffen;</w:t>
      </w:r>
    </w:p>
    <w:p>
      <w:pPr>
        <w:tabs>
          <w:tab w:pos="567" w:val="left"/>
        </w:tabs>
        <w:ind w:left="567" w:hanging="567"/>
      </w:pPr>
      <w:r>
        <w:t>5.</w:t>
      </w:r>
      <w:r>
        <w:tab/>
      </w:r>
      <w:r>
        <w:t xml:space="preserve">Anordnungen nach den </w:t>
      </w:r>
      <w:hyperlink w:anchor="b179" w:history="1">
        <w:r>
          <w:rPr>
            <w:color w:val="0A3A8C"/>
            <w:u w:val="single"/>
          </w:rPr>
          <w:t xml:space="preserve">§§ 142</w:t>
        </w:r>
      </w:hyperlink>
      <w:r>
        <w:t xml:space="preserve">, </w:t>
      </w:r>
      <w:hyperlink w:anchor="b181" w:history="1">
        <w:r>
          <w:rPr>
            <w:color w:val="0A3A8C"/>
            <w:u w:val="single"/>
          </w:rPr>
          <w:t xml:space="preserve">144</w:t>
        </w:r>
      </w:hyperlink>
      <w:r>
        <w:t xml:space="preserve"> treffen.</w:t>
      </w:r>
    </w:p>
    <w:p>
      <w:r>
        <w:t xml:space="preserve">(3) </w:t>
      </w:r>
      <w:r>
        <w:rPr>
          <w:rStyle w:val="Satznummer"/>
        </w:rPr>
        <w:t>1</w:t>
      </w:r>
      <w:r>
        <w:t xml:space="preserve">Anordnungen nach Absatz 2 Nr. 4 und, soweit die Anordnungen nicht gegenüber einer Partei zu treffen sind, 5 sollen nur ergehen, wenn der Beklagte dem Klageanspruch bereits widersprochen hat. </w:t>
      </w:r>
      <w:r>
        <w:rPr>
          <w:rStyle w:val="Satznummer"/>
        </w:rPr>
        <w:t>2</w:t>
      </w:r>
      <w:r>
        <w:t xml:space="preserve">Für die Anordnungen nach Absatz 2 Nr. 4 gilt </w:t>
      </w:r>
      <w:hyperlink w:anchor="b440" w:history="1">
        <w:r>
          <w:rPr>
            <w:color w:val="0A3A8C"/>
            <w:u w:val="single"/>
          </w:rPr>
          <w:t xml:space="preserve">§ 379</w:t>
        </w:r>
      </w:hyperlink>
      <w:r>
        <w:t xml:space="preserve"> entsprechend.</w:t>
      </w:r>
    </w:p>
    <w:p>
      <w:r>
        <w:t xml:space="preserve">(4) </w:t>
      </w:r>
      <w:r>
        <w:rPr>
          <w:rStyle w:val="Satznummer"/>
        </w:rPr>
        <w:t>1</w:t>
      </w:r>
      <w:r>
        <w:t xml:space="preserve">Die Parteien sind von jeder Anordnung zu benachrichtigen. </w:t>
      </w:r>
      <w:r>
        <w:rPr>
          <w:rStyle w:val="Satznummer"/>
        </w:rPr>
        <w:t>2</w:t>
      </w:r>
      <w:r>
        <w:t xml:space="preserve">Wird das persönliche Erscheinen der Parteien angeordnet, so gelten die Vorschriften des </w:t>
      </w:r>
      <w:hyperlink w:anchor="b178" w:history="1">
        <w:r>
          <w:rPr>
            <w:color w:val="0A3A8C"/>
            <w:u w:val="single"/>
          </w:rPr>
          <w:t xml:space="preserve">§ 141</w:t>
        </w:r>
      </w:hyperlink>
      <w:r>
        <w:t xml:space="preserve"> Abs. 2, 3.</w:t>
      </w:r>
    </w:p>
    <w:p>
      <w:pPr>
        <w:pStyle w:val="Heading4"/>
      </w:pPr>
      <w:bookmarkStart w:id="308" w:name="b307"/>
      <w:r>
        <w:t>§ 273a Geheimhaltung</w:t>
      </w:r>
      <w:r>
        <w:t xml:space="preserve"> </w:t>
      </w:r>
      <w:r>
        <w:rPr>
          <w:rStyle w:val="Suchmarke"/>
        </w:rPr>
        <w:t>#273a#</w:t>
      </w:r>
      <w:bookmarkEnd w:id="308"/>
    </w:p>
    <w:p>
      <w:r>
        <w:t>Das Gericht kann auf Antrag einer Partei streitgegenständliche Informationen ganz oder teilweise als geheimhaltungsbedürftig einstufen, wenn diese ein Geschäftsgeheimnis nach § 2 Nummer 1 des Gesetzes zum Schutz von Geschäftsgeheimnissen sein können; die §§ 16 bis 20 des Gesetzes zum Schutz von Geschäftsgeheimnissen sind entsprechend anzuwenden.</w:t>
      </w:r>
    </w:p>
    <w:p>
      <w:pPr>
        <w:pStyle w:val="Heading4"/>
      </w:pPr>
      <w:bookmarkStart w:id="309" w:name="b308"/>
      <w:r>
        <w:t>§ 274 Ladung der Parteien; Einlassungsfrist</w:t>
      </w:r>
      <w:r>
        <w:t xml:space="preserve"> </w:t>
      </w:r>
      <w:r>
        <w:rPr>
          <w:rStyle w:val="Suchmarke"/>
        </w:rPr>
        <w:t>#274#</w:t>
      </w:r>
      <w:bookmarkEnd w:id="309"/>
    </w:p>
    <w:p>
      <w:r>
        <w:t>(1) Nach der Bestimmung des Termins zur mündlichen Verhandlung ist die Ladung der Parteien durch die Geschäftsstelle zu veranlassen.</w:t>
      </w:r>
    </w:p>
    <w:p>
      <w:r>
        <w:t>(2) Die Ladung ist dem Beklagten mit der Klageschrift zuzustellen, wenn das Gericht einen frühen ersten Verhandlungstermin bestimmt.</w:t>
      </w:r>
    </w:p>
    <w:p>
      <w:r>
        <w:t xml:space="preserve">(3) </w:t>
      </w:r>
      <w:r>
        <w:rPr>
          <w:rStyle w:val="Satznummer"/>
        </w:rPr>
        <w:t>1</w:t>
      </w:r>
      <w:r>
        <w:t xml:space="preserve">Zwischen der Zustellung der Klageschrift und dem Termin zur mündlichen Verhandlung muss ein Zeitraum von mindestens zwei Wochen liegen (Einlassungsfrist). </w:t>
      </w:r>
      <w:r>
        <w:rPr>
          <w:rStyle w:val="Satznummer"/>
        </w:rPr>
        <w:t>2</w:t>
      </w:r>
      <w:r>
        <w:t xml:space="preserve">Ist die Zustellung im Ausland vorzunehmen, so beträgt die Einlassungsfrist einen Monat. </w:t>
      </w:r>
      <w:r>
        <w:rPr>
          <w:rStyle w:val="Satznummer"/>
        </w:rPr>
        <w:t>3</w:t>
      </w:r>
      <w:r>
        <w:t>Der Vorsitzende kann auch eine längere Frist bestimmen.</w:t>
      </w:r>
    </w:p>
    <w:p>
      <w:pPr>
        <w:pStyle w:val="Heading4"/>
      </w:pPr>
      <w:bookmarkStart w:id="310" w:name="b309"/>
      <w:r>
        <w:t>§ 275 Früher erster Termin</w:t>
      </w:r>
      <w:r>
        <w:t xml:space="preserve"> </w:t>
      </w:r>
      <w:r>
        <w:rPr>
          <w:rStyle w:val="Suchmarke"/>
        </w:rPr>
        <w:t>#275#</w:t>
      </w:r>
      <w:bookmarkEnd w:id="310"/>
    </w:p>
    <w:p>
      <w:r>
        <w:t xml:space="preserve">(1) </w:t>
      </w:r>
      <w:r>
        <w:rPr>
          <w:rStyle w:val="Satznummer"/>
        </w:rPr>
        <w:t>1</w:t>
      </w:r>
      <w:r>
        <w:t xml:space="preserve">Zur Vorbereitung des frühen ersten Termins zur mündlichen Verhandlung kann der Vorsitzende oder ein von ihm bestimmtes Mitglied des Prozessgerichts dem Beklagten eine Frist zur schriftlichen Klageerwiderung setzen. </w:t>
      </w:r>
      <w:r>
        <w:rPr>
          <w:rStyle w:val="Satznummer"/>
        </w:rPr>
        <w:t>2</w:t>
      </w:r>
      <w:r>
        <w:t xml:space="preserve">Andernfalls ist der Beklagte aufzufordern, etwa vorzubringende Verteidigungsmittel unverzüglich durch den zu bestellenden Rechtsanwalt in einem Schriftsatz dem Gericht mitzuteilen; </w:t>
      </w:r>
      <w:hyperlink w:anchor="b311" w:history="1">
        <w:r>
          <w:rPr>
            <w:color w:val="0A3A8C"/>
            <w:u w:val="single"/>
          </w:rPr>
          <w:t xml:space="preserve">§ 277</w:t>
        </w:r>
      </w:hyperlink>
      <w:r>
        <w:t xml:space="preserve"> Abs. 1 Satz 2 gilt entsprechend.</w:t>
      </w:r>
    </w:p>
    <w:p>
      <w:r>
        <w:t>(2) Wird das Verfahren in dem frühen ersten Termin zur mündlichen Verhandlung nicht abgeschlossen, so trifft das Gericht alle Anordnungen, die zur Vorbereitung des Haupttermins noch erforderlich sind.</w:t>
      </w:r>
    </w:p>
    <w:p>
      <w:r>
        <w:t>(3) Das Gericht setzt in dem Termin eine Frist zur schriftlichen Klageerwiderung, wenn der Beklagte noch nicht oder nicht ausreichend auf die Klage erwidert hat und ihm noch keine Frist nach Absatz 1 Satz 1 gesetzt war.</w:t>
      </w:r>
    </w:p>
    <w:p>
      <w:r>
        <w:t xml:space="preserve">(4) </w:t>
      </w:r>
      <w:r>
        <w:rPr>
          <w:rStyle w:val="Satznummer"/>
        </w:rPr>
        <w:t>1</w:t>
      </w:r>
      <w:r>
        <w:t xml:space="preserve">Das Gericht kann dem Kläger in dem Termin oder nach Eingang der Klageerwiderung eine Frist zur schriftlichen Stellungnahme auf die Klageerwiderung setzen. </w:t>
      </w:r>
      <w:r>
        <w:rPr>
          <w:rStyle w:val="Satznummer"/>
        </w:rPr>
        <w:t>2</w:t>
      </w:r>
      <w:r>
        <w:t>Außerhalb der mündlichen Verhandlung kann der Vorsitzende die Frist setzen.</w:t>
      </w:r>
    </w:p>
    <w:p>
      <w:pPr>
        <w:pStyle w:val="Heading4"/>
      </w:pPr>
      <w:bookmarkStart w:id="311" w:name="b310"/>
      <w:r>
        <w:t>§ 276 Schriftliches Vorverfahren</w:t>
      </w:r>
      <w:r>
        <w:t xml:space="preserve"> </w:t>
      </w:r>
      <w:r>
        <w:rPr>
          <w:rStyle w:val="Suchmarke"/>
        </w:rPr>
        <w:t>#276#</w:t>
      </w:r>
      <w:bookmarkEnd w:id="311"/>
    </w:p>
    <w:p>
      <w:r>
        <w:t xml:space="preserve">(1) </w:t>
      </w:r>
      <w:r>
        <w:rPr>
          <w:rStyle w:val="Satznummer"/>
        </w:rPr>
        <w:t>1</w:t>
      </w:r>
      <w:r>
        <w:t xml:space="preserve">Bestimmt der Vorsitzende keinen frühen ersten Termin zur mündlichen Verhandlung, so fordert er den Beklagten mit der Zustellung der Klage auf, wenn er sich gegen die Klage verteidigen wolle, dies binnen einer Notfrist von zwei Wochen nach Zustellung der Klageschrift dem Gericht schriftlich anzuzeigen; der Kläger ist von der Aufforderung zu unterrichten. </w:t>
      </w:r>
      <w:r>
        <w:rPr>
          <w:rStyle w:val="Satznummer"/>
        </w:rPr>
        <w:t>2</w:t>
      </w:r>
      <w:r>
        <w:t xml:space="preserve">Zugleich ist dem Beklagten eine Frist von mindestens zwei weiteren Wochen zur schriftlichen Klageerwiderung zu setzen. </w:t>
      </w:r>
      <w:r>
        <w:rPr>
          <w:rStyle w:val="Satznummer"/>
        </w:rPr>
        <w:t>3</w:t>
      </w:r>
      <w:r>
        <w:t xml:space="preserve">Ist die Zustellung der Klage im Ausland vorzunehmen, so beträgt die Frist nach Satz 1 einen Monat. </w:t>
      </w:r>
      <w:r>
        <w:rPr>
          <w:rStyle w:val="Satznummer"/>
        </w:rPr>
        <w:t>4</w:t>
      </w:r>
      <w:r>
        <w:t>Der Vorsitzende kann in diesem Fall auch eine längere Frist bestimmen.</w:t>
      </w:r>
    </w:p>
    <w:p>
      <w:r>
        <w:t xml:space="preserve">(2) </w:t>
      </w:r>
      <w:r>
        <w:rPr>
          <w:rStyle w:val="Satznummer"/>
        </w:rPr>
        <w:t>1</w:t>
      </w:r>
      <w:r>
        <w:t xml:space="preserve">Mit der Aufforderung ist der Beklagte über die Folgen einer Versäumung der ihm nach Absatz 1 Satz 1 gesetzten Frist sowie darüber zu belehren, dass er die Erklärung, der Klage entgegentreten zu wollen, nur durch den zu bestellenden Rechtsanwalt abgeben kann. </w:t>
      </w:r>
      <w:r>
        <w:rPr>
          <w:rStyle w:val="Satznummer"/>
        </w:rPr>
        <w:t>2</w:t>
      </w:r>
      <w:r>
        <w:t xml:space="preserve">Die Belehrung über die Möglichkeit des Erlasses eines Versäumnisurteils nach </w:t>
      </w:r>
      <w:hyperlink w:anchor="b382" w:history="1">
        <w:r>
          <w:rPr>
            <w:color w:val="0A3A8C"/>
            <w:u w:val="single"/>
          </w:rPr>
          <w:t xml:space="preserve">§ 331</w:t>
        </w:r>
      </w:hyperlink>
      <w:r>
        <w:t xml:space="preserve"> Abs. 3 hat die Rechtsfolgen aus den </w:t>
      </w:r>
      <w:hyperlink w:anchor="b113" w:history="1">
        <w:r>
          <w:rPr>
            <w:color w:val="0A3A8C"/>
            <w:u w:val="single"/>
          </w:rPr>
          <w:t xml:space="preserve">§§ 91</w:t>
        </w:r>
      </w:hyperlink>
      <w:r>
        <w:t xml:space="preserve"> und </w:t>
      </w:r>
      <w:hyperlink w:anchor="b706" w:history="1">
        <w:r>
          <w:rPr>
            <w:color w:val="0A3A8C"/>
            <w:u w:val="single"/>
          </w:rPr>
          <w:t xml:space="preserve">708</w:t>
        </w:r>
      </w:hyperlink>
      <w:r>
        <w:t xml:space="preserve"> Nr. 2 zu umfassen.</w:t>
      </w:r>
    </w:p>
    <w:p>
      <w:r>
        <w:t>(3) Der Vorsitzende kann dem Kläger eine Frist zur schriftlichen Stellungnahme auf die Klageerwiderung setzen.</w:t>
      </w:r>
    </w:p>
    <w:p>
      <w:pPr>
        <w:pStyle w:val="Heading4"/>
      </w:pPr>
      <w:bookmarkStart w:id="312" w:name="b311"/>
      <w:r>
        <w:t>§ 277 Klageerwiderung; Replik</w:t>
      </w:r>
      <w:r>
        <w:t xml:space="preserve"> </w:t>
      </w:r>
      <w:r>
        <w:rPr>
          <w:rStyle w:val="Suchmarke"/>
        </w:rPr>
        <w:t>#277#</w:t>
      </w:r>
      <w:bookmarkEnd w:id="312"/>
    </w:p>
    <w:p>
      <w:r>
        <w:t xml:space="preserve">(1) </w:t>
      </w:r>
      <w:r>
        <w:rPr>
          <w:rStyle w:val="Satznummer"/>
        </w:rPr>
        <w:t>1</w:t>
      </w:r>
      <w:r>
        <w:t xml:space="preserve">In der Klageerwiderung hat der Beklagte seine Verteidigungsmittel vorzubringen, soweit es nach der Prozesslage einer sorgfältigen und auf Förderung des Verfahrens bedachten Prozessführung entspricht. </w:t>
      </w:r>
      <w:r>
        <w:rPr>
          <w:rStyle w:val="Satznummer"/>
        </w:rPr>
        <w:t>2</w:t>
      </w:r>
      <w:r>
        <w:t>Die Klageerwiderung soll ferner eine Äußerung dazu enthalten,</w:t>
      </w:r>
    </w:p>
    <w:p>
      <w:pPr>
        <w:tabs>
          <w:tab w:pos="567" w:val="left"/>
        </w:tabs>
        <w:ind w:left="567" w:hanging="567"/>
      </w:pPr>
      <w:r>
        <w:t>1.</w:t>
      </w:r>
      <w:r>
        <w:tab/>
      </w:r>
      <w:r>
        <w:t>ob einer Entscheidung der Sache durch den Einzelrichter Gründe entgegenstehen;</w:t>
      </w:r>
    </w:p>
    <w:p>
      <w:pPr>
        <w:tabs>
          <w:tab w:pos="567" w:val="left"/>
        </w:tabs>
        <w:ind w:left="567" w:hanging="567"/>
      </w:pPr>
      <w:r>
        <w:t>2.</w:t>
      </w:r>
      <w:r>
        <w:tab/>
      </w:r>
      <w:r>
        <w:t>ob gegen eine Videoverhandlung (</w:t>
      </w:r>
      <w:hyperlink w:anchor="b159" w:history="1">
        <w:r>
          <w:rPr>
            <w:color w:val="0A3A8C"/>
            <w:u w:val="single"/>
          </w:rPr>
          <w:t xml:space="preserve">§ 128a</w:t>
        </w:r>
      </w:hyperlink>
      <w:r>
        <w:t>) Bedenken bestehen.</w:t>
      </w:r>
    </w:p>
    <w:p>
      <w:r>
        <w:t>(2) Der Beklagte ist darüber, dass die Klageerwiderung durch den zu bestellenden Rechtsanwalt bei Gericht einzureichen ist, und über die Folgen einer Fristversäumung zu belehren.</w:t>
      </w:r>
    </w:p>
    <w:p>
      <w:r>
        <w:t xml:space="preserve">(3) Die Frist zur schriftlichen Klageerwiderung nach </w:t>
      </w:r>
      <w:hyperlink w:anchor="b309" w:history="1">
        <w:r>
          <w:rPr>
            <w:color w:val="0A3A8C"/>
            <w:u w:val="single"/>
          </w:rPr>
          <w:t xml:space="preserve">§ 275</w:t>
        </w:r>
      </w:hyperlink>
      <w:r>
        <w:t xml:space="preserve"> Abs. 1 Satz 1, Abs. 3 beträgt mindestens zwei Wochen.</w:t>
      </w:r>
    </w:p>
    <w:p>
      <w:r>
        <w:t>(4) Für die schriftliche Stellungnahme auf die Klageerwiderung gelten Absatz 1 Satz 1 und Absätze 2 und 3 entsprechend.</w:t>
      </w:r>
    </w:p>
    <w:p>
      <w:pPr>
        <w:pStyle w:val="Heading4"/>
      </w:pPr>
      <w:bookmarkStart w:id="313" w:name="b312"/>
      <w:r>
        <w:t>§ 278 Gütliche Streitbeilegung, Güteverhandlung, Vergleich</w:t>
      </w:r>
      <w:r>
        <w:t xml:space="preserve"> </w:t>
      </w:r>
      <w:r>
        <w:rPr>
          <w:rStyle w:val="Suchmarke"/>
        </w:rPr>
        <w:t>#278#</w:t>
      </w:r>
      <w:bookmarkEnd w:id="313"/>
    </w:p>
    <w:p>
      <w:r>
        <w:t>(1) Das Gericht soll in jeder Lage des Verfahrens auf eine gütliche Beilegung des Rechtsstreits oder einzelner Streitpunkte bedacht sein.</w:t>
      </w:r>
    </w:p>
    <w:p>
      <w:r>
        <w:t xml:space="preserve">(2) </w:t>
      </w:r>
      <w:r>
        <w:rPr>
          <w:rStyle w:val="Satznummer"/>
        </w:rPr>
        <w:t>1</w:t>
      </w:r>
      <w:r>
        <w:t xml:space="preserve">Der mündlichen Verhandlung geht zum Zwecke der gütlichen Beilegung des Rechtsstreits eine Güteverhandlung voraus, es sei denn, es hat bereits ein Einigungsversuch vor einer außergerichtlichen Gütestelle stattgefunden oder die Güteverhandlung erscheint erkennbar aussichtslos. </w:t>
      </w:r>
      <w:r>
        <w:rPr>
          <w:rStyle w:val="Satznummer"/>
        </w:rPr>
        <w:t>2</w:t>
      </w:r>
      <w:r>
        <w:t xml:space="preserve">Das Gericht hat in der Güteverhandlung den Sach- und Streitstand mit den Parteien unter freier Würdigung aller Umstände zu erörtern und, soweit erforderlich, Fragen zu stellen. </w:t>
      </w:r>
      <w:r>
        <w:rPr>
          <w:rStyle w:val="Satznummer"/>
        </w:rPr>
        <w:t>3</w:t>
      </w:r>
      <w:r>
        <w:t xml:space="preserve">Die erschienenen Parteien sollen hierzu persönlich gehört werden. </w:t>
      </w:r>
      <w:r>
        <w:rPr>
          <w:rStyle w:val="Satznummer"/>
        </w:rPr>
        <w:t>4</w:t>
      </w:r>
      <w:hyperlink w:anchor="b159" w:history="1">
        <w:r>
          <w:rPr>
            <w:color w:val="0A3A8C"/>
            <w:u w:val="single"/>
          </w:rPr>
          <w:t xml:space="preserve">§ 128a</w:t>
        </w:r>
      </w:hyperlink>
      <w:r>
        <w:t xml:space="preserve"> gilt entsprechend.</w:t>
      </w:r>
    </w:p>
    <w:p>
      <w:r>
        <w:t xml:space="preserve">(3) </w:t>
      </w:r>
      <w:r>
        <w:rPr>
          <w:rStyle w:val="Satznummer"/>
        </w:rPr>
        <w:t>1</w:t>
      </w:r>
      <w:r>
        <w:t xml:space="preserve">Für die Güteverhandlung sowie für weitere Güteversuche soll das persönliche Erscheinen der Parteien angeordnet werden. </w:t>
      </w:r>
      <w:r>
        <w:rPr>
          <w:rStyle w:val="Satznummer"/>
        </w:rPr>
        <w:t>2</w:t>
      </w:r>
      <w:hyperlink w:anchor="b178" w:history="1">
        <w:r>
          <w:rPr>
            <w:color w:val="0A3A8C"/>
            <w:u w:val="single"/>
          </w:rPr>
          <w:t xml:space="preserve">§ 141</w:t>
        </w:r>
      </w:hyperlink>
      <w:r>
        <w:t xml:space="preserve"> Absatz 1 Satz 2 und 3 sowie Absatz 2 und 3 gilt entsprechend.</w:t>
      </w:r>
    </w:p>
    <w:p>
      <w:r>
        <w:t>(4) Erscheinen beide Parteien in der Güteverhandlung nicht, ist das Ruhen des Verfahrens anzuordnen.</w:t>
      </w:r>
    </w:p>
    <w:p>
      <w:r>
        <w:t xml:space="preserve">(5) </w:t>
      </w:r>
      <w:r>
        <w:rPr>
          <w:rStyle w:val="Satznummer"/>
        </w:rPr>
        <w:t>1</w:t>
      </w:r>
      <w:r>
        <w:t xml:space="preserve">Das Gericht kann die Parteien für die Güteverhandlung sowie für weitere Güteversuche vor einen hierfür bestimmten und nicht entscheidungsbefugten Richter (Güterichter) verweisen. </w:t>
      </w:r>
      <w:r>
        <w:rPr>
          <w:rStyle w:val="Satznummer"/>
        </w:rPr>
        <w:t>2</w:t>
      </w:r>
      <w:r>
        <w:t>Der Güterichter kann alle Methoden der Konfliktbeilegung einschließlich der Mediation einsetzen.</w:t>
      </w:r>
    </w:p>
    <w:p>
      <w:r>
        <w:t xml:space="preserve">(6) </w:t>
      </w:r>
      <w:r>
        <w:rPr>
          <w:rStyle w:val="Satznummer"/>
        </w:rPr>
        <w:t>1</w:t>
      </w:r>
      <w:r>
        <w:t xml:space="preserve">Ein gerichtlicher Vergleich kann auch dadurch geschlossen werden, dass die Parteien dem Gericht einen schriftlichen Vergleichsvorschlag unterbreiten oder einen schriftlichen oder zu Protokoll der mündlichen Verhandlung erklärten Vergleichsvorschlag des Gerichts durch Schriftsatz oder durch Erklärung zu Protokoll der mündlichen Verhandlung gegenüber dem Gericht annehmen. </w:t>
      </w:r>
      <w:r>
        <w:rPr>
          <w:rStyle w:val="Satznummer"/>
        </w:rPr>
        <w:t>2</w:t>
      </w:r>
      <w:r>
        <w:t xml:space="preserve">Das Gericht stellt das Zustandekommen und den Inhalt eines nach Satz 1 geschlossenen Vergleichs durch Beschluss fest. </w:t>
      </w:r>
      <w:r>
        <w:rPr>
          <w:rStyle w:val="Satznummer"/>
        </w:rPr>
        <w:t>3</w:t>
      </w:r>
      <w:hyperlink w:anchor="b202" w:history="1">
        <w:r>
          <w:rPr>
            <w:color w:val="0A3A8C"/>
            <w:u w:val="single"/>
          </w:rPr>
          <w:t xml:space="preserve">§ 164</w:t>
        </w:r>
      </w:hyperlink>
      <w:r>
        <w:t xml:space="preserve"> gilt entsprechend.</w:t>
      </w:r>
    </w:p>
    <w:p>
      <w:pPr>
        <w:pStyle w:val="Heading4"/>
      </w:pPr>
      <w:bookmarkStart w:id="314" w:name="b313"/>
      <w:r>
        <w:t>§ 278a Mediation, außergerichtliche Konfliktbeilegung</w:t>
      </w:r>
      <w:r>
        <w:t xml:space="preserve"> </w:t>
      </w:r>
      <w:r>
        <w:rPr>
          <w:rStyle w:val="Suchmarke"/>
        </w:rPr>
        <w:t>#278a#</w:t>
      </w:r>
      <w:bookmarkEnd w:id="314"/>
    </w:p>
    <w:p>
      <w:r>
        <w:t>(1) Das Gericht kann den Parteien eine Mediation oder ein anderes Verfahren der außergerichtlichen Konfliktbeilegung vorschlagen.</w:t>
      </w:r>
    </w:p>
    <w:p>
      <w:r>
        <w:t>(2) Entscheiden sich die Parteien zur Durchführung einer Mediation oder eines anderen Verfahrens der außergerichtlichen Konfliktbeilegung, ordnet das Gericht das Ruhen des Verfahrens an.</w:t>
      </w:r>
    </w:p>
    <w:p>
      <w:pPr>
        <w:pStyle w:val="Heading4"/>
      </w:pPr>
      <w:bookmarkStart w:id="315" w:name="b314"/>
      <w:r>
        <w:t>§ 279 Mündliche Verhandlung</w:t>
      </w:r>
      <w:r>
        <w:t xml:space="preserve"> </w:t>
      </w:r>
      <w:r>
        <w:rPr>
          <w:rStyle w:val="Suchmarke"/>
        </w:rPr>
        <w:t>#279#</w:t>
      </w:r>
      <w:bookmarkEnd w:id="315"/>
    </w:p>
    <w:p>
      <w:r>
        <w:t xml:space="preserve">(1) </w:t>
      </w:r>
      <w:r>
        <w:rPr>
          <w:rStyle w:val="Satznummer"/>
        </w:rPr>
        <w:t>1</w:t>
      </w:r>
      <w:r>
        <w:t xml:space="preserve">Erscheint eine Partei in der Güteverhandlung nicht oder ist die Güteverhandlung erfolglos, soll sich die mündliche Verhandlung (früher erster Termin oder Haupttermin) unmittelbar anschließen. </w:t>
      </w:r>
      <w:r>
        <w:rPr>
          <w:rStyle w:val="Satznummer"/>
        </w:rPr>
        <w:t>2</w:t>
      </w:r>
      <w:r>
        <w:t>Andernfalls ist unverzüglich Termin zur mündlichen Verhandlung zu bestimmen.</w:t>
      </w:r>
    </w:p>
    <w:p>
      <w:r>
        <w:t>(2) Im Haupttermin soll der streitigen Verhandlung die Beweisaufnahme unmittelbar folgen.</w:t>
      </w:r>
    </w:p>
    <w:p>
      <w:r>
        <w:t>(3) Im Anschluss an die Beweisaufnahme hat das Gericht erneut den Sach- und Streitstand und, soweit bereits möglich, das Ergebnis der Beweisaufnahme mit den Parteien zu erörtern.</w:t>
      </w:r>
    </w:p>
    <w:p>
      <w:pPr>
        <w:pStyle w:val="Heading4"/>
      </w:pPr>
      <w:bookmarkStart w:id="316" w:name="b315"/>
      <w:r>
        <w:t>§ 280 Abgesonderte Verhandlung über Zulässigkeit der Klage</w:t>
      </w:r>
      <w:r>
        <w:t xml:space="preserve"> </w:t>
      </w:r>
      <w:r>
        <w:rPr>
          <w:rStyle w:val="Suchmarke"/>
        </w:rPr>
        <w:t>#280#</w:t>
      </w:r>
      <w:bookmarkEnd w:id="316"/>
    </w:p>
    <w:p>
      <w:r>
        <w:t>(1) Das Gericht kann anordnen, dass über die Zulässigkeit der Klage abgesondert verhandelt wird.</w:t>
      </w:r>
    </w:p>
    <w:p>
      <w:r>
        <w:t xml:space="preserve">(2) </w:t>
      </w:r>
      <w:r>
        <w:rPr>
          <w:rStyle w:val="Satznummer"/>
        </w:rPr>
        <w:t>1</w:t>
      </w:r>
      <w:r>
        <w:t xml:space="preserve">Ergeht ein Zwischenurteil, so ist es in Betreff der Rechtsmittel als Endurteil anzusehen. </w:t>
      </w:r>
      <w:r>
        <w:rPr>
          <w:rStyle w:val="Satznummer"/>
        </w:rPr>
        <w:t>2</w:t>
      </w:r>
      <w:r>
        <w:t>Das Gericht kann jedoch auf Antrag anordnen, dass zur Hauptsache zu verhandeln ist.</w:t>
      </w:r>
    </w:p>
    <w:p>
      <w:pPr>
        <w:pStyle w:val="Heading4"/>
      </w:pPr>
      <w:bookmarkStart w:id="317" w:name="b316"/>
      <w:r>
        <w:t>§ 281 Verweisung bei Unzuständigkeit</w:t>
      </w:r>
      <w:r>
        <w:t xml:space="preserve"> </w:t>
      </w:r>
      <w:r>
        <w:rPr>
          <w:rStyle w:val="Suchmarke"/>
        </w:rPr>
        <w:t>#281#</w:t>
      </w:r>
      <w:bookmarkEnd w:id="317"/>
    </w:p>
    <w:p>
      <w:r>
        <w:t xml:space="preserve">(1) </w:t>
      </w:r>
      <w:r>
        <w:rPr>
          <w:rStyle w:val="Satznummer"/>
        </w:rPr>
        <w:t>1</w:t>
      </w:r>
      <w:r>
        <w:t xml:space="preserve">Ist auf Grund der Vorschriften über die örtliche oder sachliche Zuständigkeit der Gerichte die Unzuständigkeit des Gerichts auszusprechen, so hat das angegangene Gericht, sofern das zuständige Gericht bestimmt werden kann, auf Antrag des Klägers durch Beschluss sich für unzuständig zu erklären und den Rechtsstreit an das zuständige Gericht zu verweisen. </w:t>
      </w:r>
      <w:r>
        <w:rPr>
          <w:rStyle w:val="Satznummer"/>
        </w:rPr>
        <w:t>2</w:t>
      </w:r>
      <w:r>
        <w:t>Sind mehrere Gerichte zuständig, so erfolgt die Verweisung an das vom Kläger gewählte Gericht.</w:t>
      </w:r>
    </w:p>
    <w:p>
      <w:r>
        <w:t xml:space="preserve">(2) </w:t>
      </w:r>
      <w:r>
        <w:rPr>
          <w:rStyle w:val="Satznummer"/>
        </w:rPr>
        <w:t>1</w:t>
      </w:r>
      <w:r>
        <w:t xml:space="preserve">Anträge und Erklärungen zur Zuständigkeit des Gerichts können vor dem Urkundsbeamten der Geschäftsstelle abgegeben werden. </w:t>
      </w:r>
      <w:r>
        <w:rPr>
          <w:rStyle w:val="Satznummer"/>
        </w:rPr>
        <w:t>2</w:t>
      </w:r>
      <w:r>
        <w:t xml:space="preserve">Der Beschluss ist unanfechtbar. </w:t>
      </w:r>
      <w:r>
        <w:rPr>
          <w:rStyle w:val="Satznummer"/>
        </w:rPr>
        <w:t>3</w:t>
      </w:r>
      <w:r>
        <w:t xml:space="preserve">Der Rechtsstreit wird bei dem im Beschluss bezeichneten Gericht mit Eingang der Akten anhängig. </w:t>
      </w:r>
      <w:r>
        <w:rPr>
          <w:rStyle w:val="Satznummer"/>
        </w:rPr>
        <w:t>4</w:t>
      </w:r>
      <w:r>
        <w:t>Der Beschluss ist für dieses Gericht bindend.</w:t>
      </w:r>
    </w:p>
    <w:p>
      <w:r>
        <w:t xml:space="preserve">(3) </w:t>
      </w:r>
      <w:r>
        <w:rPr>
          <w:rStyle w:val="Satznummer"/>
        </w:rPr>
        <w:t>1</w:t>
      </w:r>
      <w:r>
        <w:t xml:space="preserve">Die im Verfahren vor dem angegangenen Gericht erwachsenen Kosten werden als Teil der Kosten behandelt, die bei dem im Beschluss bezeichneten Gericht erwachsen. </w:t>
      </w:r>
      <w:r>
        <w:rPr>
          <w:rStyle w:val="Satznummer"/>
        </w:rPr>
        <w:t>2</w:t>
      </w:r>
      <w:r>
        <w:t>Dem Kläger sind die entstandenen Mehrkosten auch dann aufzuerlegen, wenn er in der Hauptsache obsiegt.</w:t>
      </w:r>
    </w:p>
    <w:p>
      <w:pPr>
        <w:pStyle w:val="Heading4"/>
      </w:pPr>
      <w:bookmarkStart w:id="318" w:name="b317"/>
      <w:r>
        <w:t>§ 282 Rechtzeitigkeit des Vorbringens</w:t>
      </w:r>
      <w:r>
        <w:t xml:space="preserve"> </w:t>
      </w:r>
      <w:r>
        <w:rPr>
          <w:rStyle w:val="Suchmarke"/>
        </w:rPr>
        <w:t>#282#</w:t>
      </w:r>
      <w:bookmarkEnd w:id="318"/>
    </w:p>
    <w:p>
      <w:r>
        <w:t>(1) Jede Partei hat in der mündlichen Verhandlung ihre Angriffs- und Verteidigungsmittel, insbesondere Behauptungen, Bestreiten, Einwendungen, Einreden, Beweismittel und Beweiseinreden, so zeitig vorzubringen, wie es nach der Prozesslage einer sorgfältigen und auf Förderung des Verfahrens bedachten Prozessführung entspricht.</w:t>
      </w:r>
    </w:p>
    <w:p>
      <w:r>
        <w:t>(2) Anträge sowie Angriffs- und Verteidigungsmittel, auf die der Gegner voraussichtlich ohne vorhergehende Erkundigung keine Erklärung abgeben kann, sind vor der mündlichen Verhandlung durch vorbereitenden Schriftsatz so zeitig mitzuteilen, dass der Gegner die erforderliche Erkundigung noch einzuziehen vermag.</w:t>
      </w:r>
    </w:p>
    <w:p>
      <w:r>
        <w:t xml:space="preserve">(3) </w:t>
      </w:r>
      <w:r>
        <w:rPr>
          <w:rStyle w:val="Satznummer"/>
        </w:rPr>
        <w:t>1</w:t>
      </w:r>
      <w:r>
        <w:t xml:space="preserve">Rügen, die die Zulässigkeit der Klage betreffen, hat der Beklagte gleichzeitig und vor seiner Verhandlung zur Hauptsache vorzubringen. </w:t>
      </w:r>
      <w:r>
        <w:rPr>
          <w:rStyle w:val="Satznummer"/>
        </w:rPr>
        <w:t>2</w:t>
      </w:r>
      <w:r>
        <w:t>Ist ihm vor der mündlichen Verhandlung eine Frist zur Klageerwiderung gesetzt, so hat er die Rügen schon innerhalb der Frist geltend zu machen.</w:t>
      </w:r>
    </w:p>
    <w:p>
      <w:pPr>
        <w:pStyle w:val="Heading4"/>
      </w:pPr>
      <w:bookmarkStart w:id="319" w:name="b318"/>
      <w:r>
        <w:t>§ 283 Schriftsatzfrist für Erklärungen zum Vorbringen des Gegners</w:t>
      </w:r>
      <w:r>
        <w:t xml:space="preserve"> </w:t>
      </w:r>
      <w:r>
        <w:rPr>
          <w:rStyle w:val="Suchmarke"/>
        </w:rPr>
        <w:t>#283#</w:t>
      </w:r>
      <w:bookmarkEnd w:id="319"/>
    </w:p>
    <w:p>
      <w:r>
        <w:rPr>
          <w:rStyle w:val="Satznummer"/>
        </w:rPr>
        <w:t>1</w:t>
      </w:r>
      <w:r>
        <w:t xml:space="preserve">Kann sich eine Partei in der mündlichen Verhandlung auf ein Vorbringen des Gegners nicht erklären, weil es ihr nicht rechtzeitig vor dem Termin mitgeteilt worden ist, so kann auf ihren Antrag das Gericht eine Frist bestimmen, in der sie die Erklärung in einem Schriftsatz nachbringen kann; gleichzeitig wird ein Termin zur Verkündung einer Entscheidung anberaumt. </w:t>
      </w:r>
      <w:r>
        <w:rPr>
          <w:rStyle w:val="Satznummer"/>
        </w:rPr>
        <w:t>2</w:t>
      </w:r>
      <w:r>
        <w:t>Eine fristgemäß eingereichte Erklärung muss, eine verspätet eingereichte Erklärung kann das Gericht bei der Entscheidung berücksichtigen.</w:t>
      </w:r>
    </w:p>
    <w:p>
      <w:pPr>
        <w:pStyle w:val="Heading4"/>
      </w:pPr>
      <w:bookmarkStart w:id="320" w:name="b319"/>
      <w:r>
        <w:t>§ 283a Sicherungsanordnung</w:t>
      </w:r>
      <w:r>
        <w:t xml:space="preserve"> </w:t>
      </w:r>
      <w:r>
        <w:rPr>
          <w:rStyle w:val="Suchmarke"/>
        </w:rPr>
        <w:t>#283a#</w:t>
      </w:r>
      <w:bookmarkEnd w:id="320"/>
    </w:p>
    <w:p>
      <w:r>
        <w:t xml:space="preserve">(1) </w:t>
      </w:r>
      <w:r>
        <w:rPr>
          <w:rStyle w:val="Satznummer"/>
        </w:rPr>
        <w:t>1</w:t>
      </w:r>
      <w:r>
        <w:t>Wird eine Räumungsklage mit einer Zahlungsklage aus demselben Rechtsverhältnis verbunden, ordnet das Prozessgericht auf Antrag des Klägers an, dass der Beklagte wegen der Geldforderungen, die nach Rechtshängigkeit der Klage fällig geworden sind, Sicherheit zu leisten hat, soweit</w:t>
      </w:r>
    </w:p>
    <w:p>
      <w:pPr>
        <w:tabs>
          <w:tab w:pos="567" w:val="left"/>
        </w:tabs>
        <w:ind w:left="567" w:hanging="567"/>
      </w:pPr>
      <w:r>
        <w:t>1.</w:t>
      </w:r>
      <w:r>
        <w:tab/>
      </w:r>
      <w:r>
        <w:t>die Klage auf diese Forderungen hohe Aussicht auf Erfolg hat und</w:t>
      </w:r>
    </w:p>
    <w:p>
      <w:pPr>
        <w:tabs>
          <w:tab w:pos="567" w:val="left"/>
        </w:tabs>
        <w:ind w:left="567" w:hanging="567"/>
      </w:pPr>
      <w:r>
        <w:t>2.</w:t>
      </w:r>
      <w:r>
        <w:tab/>
      </w:r>
      <w:r>
        <w:t xml:space="preserve">die Anordnung nach Abwägung der beiderseitigen Interessen zur Abwendung besonderer Nachteile für den Kläger gerechtfertigt ist. </w:t>
      </w:r>
      <w:r>
        <w:rPr>
          <w:rStyle w:val="Satznummer"/>
        </w:rPr>
        <w:t>2</w:t>
      </w:r>
      <w:r>
        <w:t>Hinsichtlich der abzuwägenden Interessen genügt deren Glaubhaftmachung.</w:t>
      </w:r>
    </w:p>
    <w:p>
      <w:r>
        <w:rPr>
          <w:rStyle w:val="Satznummer"/>
        </w:rPr>
        <w:t>2</w:t>
      </w:r>
      <w:r>
        <w:t xml:space="preserve">Streiten die Parteien um das Recht des Klägers, die Geldforderung zu erhöhen, erfasst die Sicherungsanordnung den Erhöhungsbetrag nicht. </w:t>
      </w:r>
      <w:r>
        <w:rPr>
          <w:rStyle w:val="Satznummer"/>
        </w:rPr>
        <w:t>3</w:t>
      </w:r>
      <w:r>
        <w:t>Gegen die Entscheidung über die Sicherungsanordnung findet die sofortige Beschwerde statt.</w:t>
      </w:r>
    </w:p>
    <w:p>
      <w:r>
        <w:t>(2) Der Beklagte hat die Sicherheitsleistung binnen einer vom Gericht zu bestimmenden Frist nachzuweisen.</w:t>
      </w:r>
    </w:p>
    <w:p>
      <w:r>
        <w:t>(3) Soweit der Kläger obsiegt, ist in einem Endurteil oder einer anderweitigen den Rechtsstreit beendenden Regelung auszusprechen, dass er berechtigt ist, sich aus der Sicherheit zu befriedigen.</w:t>
      </w:r>
    </w:p>
    <w:p>
      <w:r>
        <w:t xml:space="preserve">(4) </w:t>
      </w:r>
      <w:r>
        <w:rPr>
          <w:rStyle w:val="Satznummer"/>
        </w:rPr>
        <w:t>1</w:t>
      </w:r>
      <w:r>
        <w:t xml:space="preserve">Soweit dem Kläger nach dem Endurteil oder nach der anderweitigen Regelung ein Anspruch in Höhe der Sicherheitsleistung nicht zusteht, hat er den Schaden zu ersetzen, der dem Beklagten durch die Sicherheitsleistung entstanden ist. </w:t>
      </w:r>
      <w:r>
        <w:rPr>
          <w:rStyle w:val="Satznummer"/>
        </w:rPr>
        <w:t>2</w:t>
      </w:r>
      <w:hyperlink w:anchor="b715" w:history="1">
        <w:r>
          <w:rPr>
            <w:color w:val="0A3A8C"/>
            <w:u w:val="single"/>
          </w:rPr>
          <w:t xml:space="preserve">§ 717</w:t>
        </w:r>
      </w:hyperlink>
      <w:r>
        <w:t xml:space="preserve"> Absatz 2 Satz 2 gilt entsprechend.</w:t>
      </w:r>
    </w:p>
    <w:p>
      <w:pPr>
        <w:pStyle w:val="Heading4"/>
      </w:pPr>
      <w:bookmarkStart w:id="321" w:name="b320"/>
      <w:r>
        <w:t>§ 284 Beweisaufnahme</w:t>
      </w:r>
      <w:r>
        <w:t xml:space="preserve"> </w:t>
      </w:r>
      <w:r>
        <w:rPr>
          <w:rStyle w:val="Suchmarke"/>
        </w:rPr>
        <w:t>#284#</w:t>
      </w:r>
      <w:bookmarkEnd w:id="321"/>
    </w:p>
    <w:p>
      <w:r>
        <w:t xml:space="preserve">(1) </w:t>
      </w:r>
      <w:r>
        <w:rPr>
          <w:rStyle w:val="Satznummer"/>
        </w:rPr>
        <w:t>1</w:t>
      </w:r>
      <w:r>
        <w:t xml:space="preserve">Die Beweisaufnahme und die Anordnung eines besonderen Beweisaufnahmeverfahrens durch Beweisbeschluss werden durch die Vorschriften des fünften bis elften Titels bestimmt. </w:t>
      </w:r>
      <w:r>
        <w:rPr>
          <w:rStyle w:val="Satznummer"/>
        </w:rPr>
        <w:t>2</w:t>
      </w:r>
      <w:r>
        <w:t xml:space="preserve">Mit Einverständnis der Parteien kann das Gericht die Beweise in der ihm geeignet erscheinenden Art aufnehmen. </w:t>
      </w:r>
      <w:r>
        <w:rPr>
          <w:rStyle w:val="Satznummer"/>
        </w:rPr>
        <w:t>3</w:t>
      </w:r>
      <w:r>
        <w:t xml:space="preserve">Das Einverständnis kann auf einzelne Beweiserhebungen beschränkt werden. </w:t>
      </w:r>
      <w:r>
        <w:rPr>
          <w:rStyle w:val="Satznummer"/>
        </w:rPr>
        <w:t>4</w:t>
      </w:r>
      <w:r>
        <w:t>Es kann nur bei einer wesentlichen Änderung der Prozesslage vor Beginn der Beweiserhebung, auf die es sich bezieht, widerrufen werden.</w:t>
      </w:r>
    </w:p>
    <w:p>
      <w:r>
        <w:t xml:space="preserve">(2) </w:t>
      </w:r>
      <w:r>
        <w:rPr>
          <w:rStyle w:val="Satznummer"/>
        </w:rPr>
        <w:t>1</w:t>
      </w:r>
      <w:r>
        <w:t xml:space="preserve">Das Gericht kann auf Antrag oder von Amts wegen die Beweisaufnahme per Bild- und Tonübertragung gestatten oder anordnen. </w:t>
      </w:r>
      <w:r>
        <w:rPr>
          <w:rStyle w:val="Satznummer"/>
        </w:rPr>
        <w:t>2</w:t>
      </w:r>
      <w:r>
        <w:t xml:space="preserve">Das Antragsrecht steht den Verfahrensbeteiligten, Zeugen und Sachverständigen zu. </w:t>
      </w:r>
      <w:r>
        <w:rPr>
          <w:rStyle w:val="Satznummer"/>
        </w:rPr>
        <w:t>3</w:t>
      </w:r>
      <w:hyperlink w:anchor="b159" w:history="1">
        <w:r>
          <w:rPr>
            <w:color w:val="0A3A8C"/>
            <w:u w:val="single"/>
          </w:rPr>
          <w:t xml:space="preserve">§ 128a</w:t>
        </w:r>
      </w:hyperlink>
      <w:r>
        <w:t xml:space="preserve"> Absatz 1, 2, 4 Satz 1 und 2 sowie Absatz 5 bis 7 gilt entsprechend. </w:t>
      </w:r>
      <w:r>
        <w:rPr>
          <w:rStyle w:val="Satznummer"/>
        </w:rPr>
        <w:t>4</w:t>
      </w:r>
      <w:r>
        <w:t xml:space="preserve">Der Einspruch nach </w:t>
      </w:r>
      <w:hyperlink w:anchor="b159" w:history="1">
        <w:r>
          <w:rPr>
            <w:color w:val="0A3A8C"/>
            <w:u w:val="single"/>
          </w:rPr>
          <w:t xml:space="preserve">§ 128a</w:t>
        </w:r>
      </w:hyperlink>
      <w:r>
        <w:t xml:space="preserve"> Absatz 2 Satz 2 steht auch den Verfahrensbeteiligten zu. </w:t>
      </w:r>
      <w:r>
        <w:rPr>
          <w:rStyle w:val="Satznummer"/>
        </w:rPr>
        <w:t>5</w:t>
      </w:r>
      <w:r>
        <w:t>Satz 1 gilt nicht für den Beweis durch Urkunden.</w:t>
      </w:r>
    </w:p>
    <w:p>
      <w:r>
        <w:t>(3) Gegenüber zu vernehmenden Parteien, Zeugen und Sachverständigen kann im Fall einer Beweisaufnahme nach Absatz 2 zusätzlich angeordnet werden, dass sich diese während der Vernehmung an einer vom Gericht näher zu bestimmenden Gerichtsstelle aufhalten.</w:t>
      </w:r>
    </w:p>
    <w:p>
      <w:pPr>
        <w:pStyle w:val="Heading4"/>
      </w:pPr>
      <w:bookmarkStart w:id="322" w:name="b321"/>
      <w:r>
        <w:t>§ 285 Verhandlung nach Beweisaufnahme</w:t>
      </w:r>
      <w:r>
        <w:t xml:space="preserve"> </w:t>
      </w:r>
      <w:r>
        <w:rPr>
          <w:rStyle w:val="Suchmarke"/>
        </w:rPr>
        <w:t>#285#</w:t>
      </w:r>
      <w:bookmarkEnd w:id="322"/>
    </w:p>
    <w:p>
      <w:r>
        <w:t>(1) Über das Ergebnis der Beweisaufnahme haben die Parteien unter Darlegung des Streitverhältnisses zu verhandeln.</w:t>
      </w:r>
    </w:p>
    <w:p>
      <w:r>
        <w:t>(2) Ist die Beweisaufnahme nicht vor dem Prozessgericht erfolgt, so haben die Parteien ihr Ergebnis auf Grund der Beweisverhandlungen vorzutragen.</w:t>
      </w:r>
    </w:p>
    <w:p>
      <w:pPr>
        <w:pStyle w:val="Heading4"/>
      </w:pPr>
      <w:bookmarkStart w:id="323" w:name="b322"/>
      <w:r>
        <w:t>§ 286 Freie Beweiswürdigung</w:t>
      </w:r>
      <w:r>
        <w:t xml:space="preserve"> </w:t>
      </w:r>
      <w:r>
        <w:rPr>
          <w:rStyle w:val="Suchmarke"/>
        </w:rPr>
        <w:t>#286#</w:t>
      </w:r>
      <w:bookmarkEnd w:id="323"/>
    </w:p>
    <w:p>
      <w:r>
        <w:t xml:space="preserve">(1) </w:t>
      </w:r>
      <w:r>
        <w:rPr>
          <w:rStyle w:val="Satznummer"/>
        </w:rPr>
        <w:t>1</w:t>
      </w:r>
      <w:r>
        <w:t xml:space="preserve">Das Gericht hat unter Berücksichtigung des gesamten Inhalts der Verhandlungen und des Ergebnisses einer etwaigen Beweisaufnahme nach freier Überzeugung zu entscheiden, ob eine tatsächliche Behauptung für wahr oder für nicht wahr zu erachten sei. </w:t>
      </w:r>
      <w:r>
        <w:rPr>
          <w:rStyle w:val="Satznummer"/>
        </w:rPr>
        <w:t>2</w:t>
      </w:r>
      <w:r>
        <w:t>In dem Urteil sind die Gründe anzugeben, die für die richterliche Überzeugung leitend gewesen sind.</w:t>
      </w:r>
    </w:p>
    <w:p>
      <w:r>
        <w:t>(2) An gesetzliche Beweisregeln ist das Gericht nur in den durch dieses Gesetz bezeichneten Fällen gebunden.</w:t>
      </w:r>
    </w:p>
    <w:p>
      <w:pPr>
        <w:pStyle w:val="Heading4"/>
      </w:pPr>
      <w:bookmarkStart w:id="324" w:name="b323"/>
      <w:r>
        <w:t>§ 287 Schadensermittlung; Höhe der Forderung</w:t>
      </w:r>
      <w:r>
        <w:t xml:space="preserve"> </w:t>
      </w:r>
      <w:r>
        <w:rPr>
          <w:rStyle w:val="Suchmarke"/>
        </w:rPr>
        <w:t>#287#</w:t>
      </w:r>
      <w:bookmarkEnd w:id="324"/>
    </w:p>
    <w:p>
      <w:r>
        <w:t xml:space="preserve">(1) </w:t>
      </w:r>
      <w:r>
        <w:rPr>
          <w:rStyle w:val="Satznummer"/>
        </w:rPr>
        <w:t>1</w:t>
      </w:r>
      <w:r>
        <w:t xml:space="preserve">Ist unter den Parteien streitig, ob ein Schaden entstanden sei und wie hoch sich der Schaden oder ein zu ersetzendes Interesse belaufe, so entscheidet hierüber das Gericht unter Würdigung aller Umstände nach freier Überzeugung. </w:t>
      </w:r>
      <w:r>
        <w:rPr>
          <w:rStyle w:val="Satznummer"/>
        </w:rPr>
        <w:t>2</w:t>
      </w:r>
      <w:r>
        <w:t xml:space="preserve">Ob und inwieweit eine beantragte Beweisaufnahme oder von Amts wegen die Begutachtung durch Sachverständige anzuordnen sei, bleibt dem Ermessen des Gerichts überlassen. </w:t>
      </w:r>
      <w:r>
        <w:rPr>
          <w:rStyle w:val="Satznummer"/>
        </w:rPr>
        <w:t>3</w:t>
      </w:r>
      <w:r>
        <w:t xml:space="preserve">Das Gericht kann den Beweisführer über den Schaden oder das Interesse vernehmen; die Vorschriften des </w:t>
      </w:r>
      <w:hyperlink w:anchor="b520" w:history="1">
        <w:r>
          <w:rPr>
            <w:color w:val="0A3A8C"/>
            <w:u w:val="single"/>
          </w:rPr>
          <w:t xml:space="preserve">§ 452</w:t>
        </w:r>
      </w:hyperlink>
      <w:r>
        <w:t xml:space="preserve"> Abs. 1 Satz 1, Abs. 2 bis 4 gelten entsprechend.</w:t>
      </w:r>
    </w:p>
    <w:p>
      <w:r>
        <w:t>(2) Die Vorschriften des Absatzes 1 Satz 1, 2 sind bei vermögensrechtlichen Streitigkeiten auch in anderen Fällen entsprechend anzuwenden, soweit unter den Parteien die Höhe einer Forderung streitig ist und die vollständige Aufklärung aller hierfür maßgebenden Umstände mit Schwierigkeiten verbunden ist, die zu der Bedeutung des streitigen Teiles der Forderung in keinem Verhältnis stehen.</w:t>
      </w:r>
    </w:p>
    <w:p>
      <w:pPr>
        <w:pStyle w:val="Heading4"/>
      </w:pPr>
      <w:bookmarkStart w:id="325" w:name="b324"/>
      <w:r>
        <w:t>§ 288 Gerichtliches Geständnis</w:t>
      </w:r>
      <w:r>
        <w:t xml:space="preserve"> </w:t>
      </w:r>
      <w:r>
        <w:rPr>
          <w:rStyle w:val="Suchmarke"/>
        </w:rPr>
        <w:t>#288#</w:t>
      </w:r>
      <w:bookmarkEnd w:id="325"/>
    </w:p>
    <w:p>
      <w:r>
        <w:t>(1) Die von einer Partei behaupteten Tatsachen bedürfen insoweit keines Beweises, als sie im Laufe des Rechtsstreits von dem Gegner bei einer mündlichen Verhandlung oder zum Protokoll eines beauftragten oder ersuchten Richters zugestanden sind.</w:t>
      </w:r>
    </w:p>
    <w:p>
      <w:r>
        <w:t>(2) Zur Wirksamkeit des gerichtlichen Geständnisses ist dessen Annahme nicht erforderlich.</w:t>
      </w:r>
    </w:p>
    <w:p>
      <w:pPr>
        <w:pStyle w:val="Heading4"/>
      </w:pPr>
      <w:bookmarkStart w:id="326" w:name="b325"/>
      <w:r>
        <w:t>§ 289 Zusätze beim Geständnis</w:t>
      </w:r>
      <w:r>
        <w:t xml:space="preserve"> </w:t>
      </w:r>
      <w:r>
        <w:rPr>
          <w:rStyle w:val="Suchmarke"/>
        </w:rPr>
        <w:t>#289#</w:t>
      </w:r>
      <w:bookmarkEnd w:id="326"/>
    </w:p>
    <w:p>
      <w:r>
        <w:t>(1) Die Wirksamkeit des gerichtlichen Geständnisses wird dadurch nicht beeinträchtigt, dass ihm eine Behauptung hinzugefügt wird, die ein selbständiges Angriffs- oder Verteidigungsmittel enthält.</w:t>
      </w:r>
    </w:p>
    <w:p>
      <w:r>
        <w:t>(2) Inwiefern eine vor Gericht erfolgte einräumende Erklärung ungeachtet anderer zusätzlicher oder einschränkender Behauptungen als ein Geständnis anzusehen sei, bestimmt sich nach der Beschaffenheit des einzelnen Falles.</w:t>
      </w:r>
    </w:p>
    <w:p>
      <w:pPr>
        <w:pStyle w:val="Heading4"/>
      </w:pPr>
      <w:bookmarkStart w:id="327" w:name="b326"/>
      <w:r>
        <w:t>§ 290 Widerruf des Geständnisses</w:t>
      </w:r>
      <w:r>
        <w:t xml:space="preserve"> </w:t>
      </w:r>
      <w:r>
        <w:rPr>
          <w:rStyle w:val="Suchmarke"/>
        </w:rPr>
        <w:t>#290#</w:t>
      </w:r>
      <w:bookmarkEnd w:id="327"/>
    </w:p>
    <w:p>
      <w:r>
        <w:rPr>
          <w:rStyle w:val="Satznummer"/>
        </w:rPr>
        <w:t>1</w:t>
      </w:r>
      <w:r>
        <w:t xml:space="preserve">Der Widerruf hat auf die Wirksamkeit des gerichtlichen Geständnisses nur dann Einfluss, wenn die widerrufende Partei beweist, dass das Geständnis der Wahrheit nicht entspreche und durch einen Irrtum veranlasst sei. </w:t>
      </w:r>
      <w:r>
        <w:rPr>
          <w:rStyle w:val="Satznummer"/>
        </w:rPr>
        <w:t>2</w:t>
      </w:r>
      <w:r>
        <w:t>In diesem Fall verliert das Geständnis seine Wirksamkeit.</w:t>
      </w:r>
    </w:p>
    <w:p>
      <w:pPr>
        <w:pStyle w:val="Heading4"/>
      </w:pPr>
      <w:bookmarkStart w:id="328" w:name="b327"/>
      <w:r>
        <w:t>§ 291 Offenkundige Tatsachen</w:t>
      </w:r>
      <w:r>
        <w:t xml:space="preserve"> </w:t>
      </w:r>
      <w:r>
        <w:rPr>
          <w:rStyle w:val="Suchmarke"/>
        </w:rPr>
        <w:t>#291#</w:t>
      </w:r>
      <w:bookmarkEnd w:id="328"/>
    </w:p>
    <w:p>
      <w:r>
        <w:t>Tatsachen, die bei dem Gericht offenkundig sind, bedürfen keines Beweises.</w:t>
      </w:r>
    </w:p>
    <w:p>
      <w:pPr>
        <w:pStyle w:val="Heading4"/>
      </w:pPr>
      <w:bookmarkStart w:id="329" w:name="b328"/>
      <w:r>
        <w:t>§ 292 Gesetzliche Vermutungen</w:t>
      </w:r>
      <w:r>
        <w:t xml:space="preserve"> </w:t>
      </w:r>
      <w:r>
        <w:rPr>
          <w:rStyle w:val="Suchmarke"/>
        </w:rPr>
        <w:t>#292#</w:t>
      </w:r>
      <w:bookmarkEnd w:id="329"/>
    </w:p>
    <w:p>
      <w:r>
        <w:rPr>
          <w:rStyle w:val="Satznummer"/>
        </w:rPr>
        <w:t>1</w:t>
      </w:r>
      <w:r>
        <w:t xml:space="preserve">Stellt das Gesetz für das Vorhandensein einer Tatsache eine Vermutung auf, so ist der Beweis des Gegenteils zulässig, sofern nicht das Gesetz ein anderes vorschreibt. </w:t>
      </w:r>
      <w:r>
        <w:rPr>
          <w:rStyle w:val="Satznummer"/>
        </w:rPr>
        <w:t>2</w:t>
      </w:r>
      <w:r>
        <w:t xml:space="preserve">Dieser Beweis kann auch durch den Antrag auf Parteivernehmung nach </w:t>
      </w:r>
      <w:hyperlink w:anchor="b513" w:history="1">
        <w:r>
          <w:rPr>
            <w:color w:val="0A3A8C"/>
            <w:u w:val="single"/>
          </w:rPr>
          <w:t xml:space="preserve">§ 445</w:t>
        </w:r>
      </w:hyperlink>
      <w:r>
        <w:t xml:space="preserve"> geführt werden.</w:t>
      </w:r>
    </w:p>
    <w:p>
      <w:pPr>
        <w:pStyle w:val="Heading4"/>
      </w:pPr>
      <w:bookmarkStart w:id="330" w:name="b329"/>
      <w:r>
        <w:t>§ 292a</w:t>
      </w:r>
      <w:r>
        <w:t xml:space="preserve"> </w:t>
      </w:r>
      <w:r>
        <w:rPr>
          <w:rStyle w:val="Suchmarke"/>
        </w:rPr>
        <w:t>#292a#</w:t>
      </w:r>
      <w:bookmarkEnd w:id="330"/>
    </w:p>
    <w:p>
      <w:r>
        <w:t>(weggefallen)</w:t>
      </w:r>
    </w:p>
    <w:p>
      <w:pPr>
        <w:pStyle w:val="Heading4"/>
      </w:pPr>
      <w:bookmarkStart w:id="331" w:name="b330"/>
      <w:r>
        <w:t>§ 293 Fremdes Recht; Gewohnheitsrecht; Statuten</w:t>
      </w:r>
      <w:r>
        <w:t xml:space="preserve"> </w:t>
      </w:r>
      <w:r>
        <w:rPr>
          <w:rStyle w:val="Suchmarke"/>
        </w:rPr>
        <w:t>#293#</w:t>
      </w:r>
      <w:bookmarkEnd w:id="331"/>
    </w:p>
    <w:p>
      <w:r>
        <w:rPr>
          <w:rStyle w:val="Satznummer"/>
        </w:rPr>
        <w:t>1</w:t>
      </w:r>
      <w:r>
        <w:t xml:space="preserve">Das in einem anderen Staat geltende Recht, die Gewohnheitsrechte und Statuten bedürfen des Beweises nur insofern, als sie dem Gericht unbekannt sind. </w:t>
      </w:r>
      <w:r>
        <w:rPr>
          <w:rStyle w:val="Satznummer"/>
        </w:rPr>
        <w:t>2</w:t>
      </w:r>
      <w:r>
        <w:t>Bei Ermittlung dieser Rechtsnormen ist das Gericht auf die von den Parteien beigebrachten Nachweise nicht beschränkt; es ist befugt, auch andere Erkenntnisquellen zu benutzen und zum Zwecke einer solchen Benutzung das Erforderliche anzuordnen.</w:t>
      </w:r>
    </w:p>
    <w:p>
      <w:pPr>
        <w:pStyle w:val="Heading4"/>
      </w:pPr>
      <w:bookmarkStart w:id="332" w:name="b331"/>
      <w:r>
        <w:t>§ 294 Glaubhaftmachung</w:t>
      </w:r>
      <w:r>
        <w:t xml:space="preserve"> </w:t>
      </w:r>
      <w:r>
        <w:rPr>
          <w:rStyle w:val="Suchmarke"/>
        </w:rPr>
        <w:t>#294#</w:t>
      </w:r>
      <w:bookmarkEnd w:id="332"/>
    </w:p>
    <w:p>
      <w:r>
        <w:t>(1) Wer eine tatsächliche Behauptung glaubhaft zu machen hat, kann sich aller Beweismittel bedienen, auch zur Versicherung an Eides statt zugelassen werden.</w:t>
      </w:r>
    </w:p>
    <w:p>
      <w:r>
        <w:t>(2) Eine Beweisaufnahme, die nicht sofort erfolgen kann, ist unstatthaft.</w:t>
      </w:r>
    </w:p>
    <w:p>
      <w:pPr>
        <w:pStyle w:val="Heading4"/>
      </w:pPr>
      <w:bookmarkStart w:id="333" w:name="b332"/>
      <w:r>
        <w:t>§ 295 Verfahrensrügen</w:t>
      </w:r>
      <w:r>
        <w:t xml:space="preserve"> </w:t>
      </w:r>
      <w:r>
        <w:rPr>
          <w:rStyle w:val="Suchmarke"/>
        </w:rPr>
        <w:t>#295#</w:t>
      </w:r>
      <w:bookmarkEnd w:id="333"/>
    </w:p>
    <w:p>
      <w:r>
        <w:t>(1) Die Verletzung einer das Verfahren und insbesondere die Form einer Prozesshandlung betreffenden Vorschrift kann nicht mehr gerügt werden, wenn die Partei auf die Befolgung der Vorschrift verzichtet, oder wenn sie bei der nächsten mündlichen Verhandlung, die auf Grund des betreffenden Verfahrens stattgefunden hat oder in der darauf Bezug genommen ist, den Mangel nicht gerügt hat, obgleich sie erschienen und ihr der Mangel bekannt war oder bekannt sein musste.</w:t>
      </w:r>
    </w:p>
    <w:p>
      <w:r>
        <w:t>(2) Die vorstehende Bestimmung ist nicht anzuwenden, wenn Vorschriften verletzt sind, auf deren Befolgung eine Partei wirksam nicht verzichten kann.</w:t>
      </w:r>
    </w:p>
    <w:p>
      <w:pPr>
        <w:pStyle w:val="Heading4"/>
      </w:pPr>
      <w:bookmarkStart w:id="334" w:name="b333"/>
      <w:r>
        <w:t>§ 296 Zurückweisung verspäteten Vorbringens</w:t>
      </w:r>
      <w:r>
        <w:t xml:space="preserve"> </w:t>
      </w:r>
      <w:r>
        <w:rPr>
          <w:rStyle w:val="Suchmarke"/>
        </w:rPr>
        <w:t>#296#</w:t>
      </w:r>
      <w:bookmarkEnd w:id="334"/>
    </w:p>
    <w:p>
      <w:r>
        <w:t>(1) Angriffs- und Verteidigungsmittel, die erst nach Ablauf einer hierfür gesetzten Frist (</w:t>
      </w:r>
      <w:hyperlink w:anchor="b306" w:history="1">
        <w:r>
          <w:rPr>
            <w:color w:val="0A3A8C"/>
            <w:u w:val="single"/>
          </w:rPr>
          <w:t xml:space="preserve">§ 273</w:t>
        </w:r>
      </w:hyperlink>
      <w:r>
        <w:t xml:space="preserve"> Abs. 2 Nr. 1 und, soweit die Fristsetzung gegenüber einer Partei ergeht, 5, </w:t>
      </w:r>
      <w:hyperlink w:anchor="b309" w:history="1">
        <w:r>
          <w:rPr>
            <w:color w:val="0A3A8C"/>
            <w:u w:val="single"/>
          </w:rPr>
          <w:t xml:space="preserve">§ 275</w:t>
        </w:r>
      </w:hyperlink>
      <w:r>
        <w:t xml:space="preserve"> Abs. 1 Satz 1, Abs. 3, 4, </w:t>
      </w:r>
      <w:hyperlink w:anchor="b310" w:history="1">
        <w:r>
          <w:rPr>
            <w:color w:val="0A3A8C"/>
            <w:u w:val="single"/>
          </w:rPr>
          <w:t xml:space="preserve">§ 276</w:t>
        </w:r>
      </w:hyperlink>
      <w:r>
        <w:t xml:space="preserve"> Abs. 1 Satz 2, Abs. 3, </w:t>
      </w:r>
      <w:hyperlink w:anchor="b311" w:history="1">
        <w:r>
          <w:rPr>
            <w:color w:val="0A3A8C"/>
            <w:u w:val="single"/>
          </w:rPr>
          <w:t xml:space="preserve">§ 277</w:t>
        </w:r>
      </w:hyperlink>
      <w:r>
        <w:t>) vorgebracht werden, sind nur zuzulassen, wenn nach der freien Überzeugung des Gerichts ihre Zulassung die Erledigung des Rechtsstreits nicht verzögern würde oder wenn die Partei die Verspätung genügend entschuldigt.</w:t>
      </w:r>
    </w:p>
    <w:p>
      <w:r>
        <w:t xml:space="preserve">(2) Angriffs- und Verteidigungsmittel, die entgegen </w:t>
      </w:r>
      <w:hyperlink w:anchor="b317" w:history="1">
        <w:r>
          <w:rPr>
            <w:color w:val="0A3A8C"/>
            <w:u w:val="single"/>
          </w:rPr>
          <w:t xml:space="preserve">§ 282</w:t>
        </w:r>
      </w:hyperlink>
      <w:r>
        <w:t xml:space="preserve"> Abs. 1 nicht rechtzeitig vorgebracht oder entgegen </w:t>
      </w:r>
      <w:hyperlink w:anchor="b317" w:history="1">
        <w:r>
          <w:rPr>
            <w:color w:val="0A3A8C"/>
            <w:u w:val="single"/>
          </w:rPr>
          <w:t xml:space="preserve">§ 282</w:t>
        </w:r>
      </w:hyperlink>
      <w:r>
        <w:t xml:space="preserve"> Abs. 2 nicht rechtzeitig mitgeteilt werden, können zurückgewiesen werden, wenn ihre Zulassung nach der freien Überzeugung des Gerichts die Erledigung des Rechtsstreits verzögern würde und die Verspätung auf grober Nachlässigkeit beruht.</w:t>
      </w:r>
    </w:p>
    <w:p>
      <w:r>
        <w:t>(3) Verspätete Rügen, die die Zulässigkeit der Klage betreffen und auf die der Beklagte verzichten kann, sind nur zuzulassen, wenn der Beklagte die Verspätung genügend entschuldigt.</w:t>
      </w:r>
    </w:p>
    <w:p>
      <w:r>
        <w:t>(4) In den Fällen der Absätze 1 und 3 ist der Entschuldigungsgrund auf Verlangen des Gerichts glaubhaft zu machen.</w:t>
      </w:r>
    </w:p>
    <w:p>
      <w:pPr>
        <w:pStyle w:val="Heading4"/>
      </w:pPr>
      <w:bookmarkStart w:id="335" w:name="b334"/>
      <w:r>
        <w:t>§ 296a Vorbringen nach Schluss der mündlichen Verhandlung</w:t>
      </w:r>
      <w:r>
        <w:t xml:space="preserve"> </w:t>
      </w:r>
      <w:r>
        <w:rPr>
          <w:rStyle w:val="Suchmarke"/>
        </w:rPr>
        <w:t>#296a#</w:t>
      </w:r>
      <w:bookmarkEnd w:id="335"/>
    </w:p>
    <w:p>
      <w:r>
        <w:rPr>
          <w:rStyle w:val="Satznummer"/>
        </w:rPr>
        <w:t>1</w:t>
      </w:r>
      <w:r>
        <w:t xml:space="preserve">Nach Schluss der mündlichen Verhandlung, auf die das Urteil ergeht, können Angriffs- und Verteidigungsmittel nicht mehr vorgebracht werden. </w:t>
      </w:r>
      <w:r>
        <w:rPr>
          <w:rStyle w:val="Satznummer"/>
        </w:rPr>
        <w:t>2</w:t>
      </w:r>
      <w:hyperlink w:anchor="b176" w:history="1">
        <w:r>
          <w:rPr>
            <w:color w:val="0A3A8C"/>
            <w:u w:val="single"/>
          </w:rPr>
          <w:t xml:space="preserve">§ 139</w:t>
        </w:r>
      </w:hyperlink>
      <w:r>
        <w:t xml:space="preserve"> Abs. 5, </w:t>
      </w:r>
      <w:hyperlink w:anchor="b193" w:history="1">
        <w:r>
          <w:rPr>
            <w:color w:val="0A3A8C"/>
            <w:u w:val="single"/>
          </w:rPr>
          <w:t xml:space="preserve">§§ 156</w:t>
        </w:r>
      </w:hyperlink>
      <w:r>
        <w:t xml:space="preserve">, </w:t>
      </w:r>
      <w:hyperlink w:anchor="b318" w:history="1">
        <w:r>
          <w:rPr>
            <w:color w:val="0A3A8C"/>
            <w:u w:val="single"/>
          </w:rPr>
          <w:t xml:space="preserve">283</w:t>
        </w:r>
      </w:hyperlink>
      <w:r>
        <w:t xml:space="preserve"> bleiben unberührt.</w:t>
      </w:r>
    </w:p>
    <w:p>
      <w:pPr>
        <w:pStyle w:val="Heading4"/>
      </w:pPr>
      <w:bookmarkStart w:id="336" w:name="b335"/>
      <w:r>
        <w:t>§ 297 Form der Antragstellung</w:t>
      </w:r>
      <w:r>
        <w:t xml:space="preserve"> </w:t>
      </w:r>
      <w:r>
        <w:rPr>
          <w:rStyle w:val="Suchmarke"/>
        </w:rPr>
        <w:t>#297#</w:t>
      </w:r>
      <w:bookmarkEnd w:id="336"/>
    </w:p>
    <w:p>
      <w:r>
        <w:t xml:space="preserve">(1) </w:t>
      </w:r>
      <w:r>
        <w:rPr>
          <w:rStyle w:val="Satznummer"/>
        </w:rPr>
        <w:t>1</w:t>
      </w:r>
      <w:r>
        <w:t xml:space="preserve">Die Anträge sind aus den vorbereitenden Schriftsätzen zu verlesen. </w:t>
      </w:r>
      <w:r>
        <w:rPr>
          <w:rStyle w:val="Satznummer"/>
        </w:rPr>
        <w:t>2</w:t>
      </w:r>
      <w:r>
        <w:t xml:space="preserve">Soweit sie darin nicht enthalten sind, müssen sie aus einer dem Protokoll als Anlage beizufügenden Schrift verlesen werden. </w:t>
      </w:r>
      <w:r>
        <w:rPr>
          <w:rStyle w:val="Satznummer"/>
        </w:rPr>
        <w:t>3</w:t>
      </w:r>
      <w:r>
        <w:t>Der Vorsitzende kann auch gestatten, dass die Anträge zu Protokoll erklärt werden.</w:t>
      </w:r>
    </w:p>
    <w:p>
      <w:r>
        <w:t>(2) Die Verlesung kann dadurch ersetzt werden, dass die Parteien auf die Schriftsätze Bezug nehmen, die die Anträge enthalten.</w:t>
      </w:r>
    </w:p>
    <w:p>
      <w:pPr>
        <w:pStyle w:val="Heading4"/>
      </w:pPr>
      <w:bookmarkStart w:id="337" w:name="b336"/>
      <w:r>
        <w:t>§ 298 Aktenausdruck</w:t>
      </w:r>
      <w:r>
        <w:t xml:space="preserve"> </w:t>
      </w:r>
      <w:r>
        <w:rPr>
          <w:rStyle w:val="Suchmarke"/>
        </w:rPr>
        <w:t>#298#</w:t>
      </w:r>
      <w:bookmarkEnd w:id="337"/>
    </w:p>
    <w:p>
      <w:r>
        <w:t xml:space="preserve">(1) </w:t>
      </w:r>
      <w:r>
        <w:rPr>
          <w:rStyle w:val="Satznummer"/>
        </w:rPr>
        <w:t>1</w:t>
      </w:r>
      <w:r>
        <w:t xml:space="preserve">Werden die Akten in Papierform geführt, ist von einem elektronischen Dokument ein Ausdruck für die Akten zu fertigen. </w:t>
      </w:r>
      <w:r>
        <w:rPr>
          <w:rStyle w:val="Satznummer"/>
        </w:rPr>
        <w:t>2</w:t>
      </w:r>
      <w:r>
        <w:t xml:space="preserve">Kann dies bei Anlagen zu vorbereitenden Schriftsätzen nicht oder nur mit unverhältnismäßigem Aufwand erfolgen, so kann ein Ausdruck unterbleiben. </w:t>
      </w:r>
      <w:r>
        <w:rPr>
          <w:rStyle w:val="Satznummer"/>
        </w:rPr>
        <w:t>3</w:t>
      </w:r>
      <w:r>
        <w:t>Die Daten sind in diesem Fall dauerhaft zu speichern; der Speicherort ist aktenkundig zu machen.</w:t>
      </w:r>
    </w:p>
    <w:p>
      <w:r>
        <w:t>(2) Wird das elektronische Dokument auf einem sicheren Übermittlungsweg eingereicht, so ist dies aktenkundig zu machen.</w:t>
      </w:r>
    </w:p>
    <w:p>
      <w:r>
        <w:t>(3) Ist das elektronische Dokument mit einer qualifizierten elektronischen Signatur versehen und nicht auf einem sicheren Übermittlungsweg eingereicht, muss der Ausdruck einen Vermerk darüber enthalten,</w:t>
      </w:r>
    </w:p>
    <w:p>
      <w:pPr>
        <w:tabs>
          <w:tab w:pos="567" w:val="left"/>
        </w:tabs>
        <w:ind w:left="567" w:hanging="567"/>
      </w:pPr>
      <w:r>
        <w:t>1.</w:t>
      </w:r>
      <w:r>
        <w:tab/>
      </w:r>
      <w:r>
        <w:t>welches Ergebnis die Integritätsprüfung des Dokumentes ausweist,</w:t>
      </w:r>
    </w:p>
    <w:p>
      <w:pPr>
        <w:tabs>
          <w:tab w:pos="567" w:val="left"/>
        </w:tabs>
        <w:ind w:left="567" w:hanging="567"/>
      </w:pPr>
      <w:r>
        <w:t>2.</w:t>
      </w:r>
      <w:r>
        <w:tab/>
      </w:r>
      <w:r>
        <w:t>wen die Signaturprüfung als Inhaber der Signatur ausweist,</w:t>
      </w:r>
    </w:p>
    <w:p>
      <w:pPr>
        <w:tabs>
          <w:tab w:pos="567" w:val="left"/>
        </w:tabs>
        <w:ind w:left="567" w:hanging="567"/>
      </w:pPr>
      <w:r>
        <w:t>3.</w:t>
      </w:r>
      <w:r>
        <w:tab/>
      </w:r>
      <w:r>
        <w:t>welchen Zeitpunkt die Signaturprüfung für die Anbringung der Signatur ausweist.</w:t>
      </w:r>
    </w:p>
    <w:p>
      <w:r>
        <w:t>(4) Ein eingereichtes elektronisches Dokument kann nach Ablauf von sechs Monaten gelöscht werden.</w:t>
      </w:r>
    </w:p>
    <w:p>
      <w:pPr>
        <w:pStyle w:val="Heading4"/>
      </w:pPr>
      <w:bookmarkStart w:id="338" w:name="b337"/>
      <w:r>
        <w:t>§ 298a Elektronische Akte; Verordnungsermächtigung</w:t>
      </w:r>
      <w:r>
        <w:t xml:space="preserve"> </w:t>
      </w:r>
      <w:r>
        <w:rPr>
          <w:rStyle w:val="Suchmarke"/>
        </w:rPr>
        <w:t>#298a#</w:t>
      </w:r>
      <w:bookmarkEnd w:id="338"/>
    </w:p>
    <w:p>
      <w:r>
        <w:t xml:space="preserve">(1) </w:t>
      </w:r>
      <w:r>
        <w:rPr>
          <w:rStyle w:val="Satznummer"/>
        </w:rPr>
        <w:t>1</w:t>
      </w:r>
      <w:r>
        <w:t xml:space="preserve">Die Prozessakten werden elektronisch geführt. </w:t>
      </w:r>
      <w:r>
        <w:rPr>
          <w:rStyle w:val="Satznummer"/>
        </w:rPr>
        <w:t>2</w:t>
      </w:r>
      <w:r>
        <w:t xml:space="preserve">Die Bundesregierung und die Landesregierungen bestimmen jeweils für ihren Bereich durch Rechtsverordnung die organisatorischen und dem Stand der Technik entsprechenden technischen Rahmenbedingungen für die Bildung, Führung und Aufbewahrung der elektronischen Akten einschließlich der einzuhaltenden Anforderungen der Barrierefreiheit. </w:t>
      </w:r>
      <w:r>
        <w:rPr>
          <w:rStyle w:val="Satznummer"/>
        </w:rPr>
        <w:t>3</w:t>
      </w:r>
      <w:r>
        <w:t xml:space="preserve">Die Landesregierungen können die in Satz 2 genannte Ermächtigung durch Rechtsverordnung auf die für die Zivilgerichtsbarkeit zuständigen obersten Landesbehörden übertragen. </w:t>
      </w:r>
      <w:r>
        <w:rPr>
          <w:rStyle w:val="Satznummer"/>
        </w:rPr>
        <w:t>4</w:t>
      </w:r>
      <w:r>
        <w:t>Die Rechtsverordnung der Bundesregierung bedarf nicht der Zustimmung des Bundesrates.</w:t>
      </w:r>
    </w:p>
    <w:p>
      <w:r>
        <w:t xml:space="preserve">(2) </w:t>
      </w:r>
      <w:r>
        <w:rPr>
          <w:rStyle w:val="Satznummer"/>
        </w:rPr>
        <w:t>1</w:t>
      </w:r>
      <w:r>
        <w:t xml:space="preserve">Werden die Prozessakten elektronisch geführt, sind in Papierform vorliegende Schriftstücke und sonstige Unterlagen nach dem Stand der Technik zur Ersetzung der Urschrift in ein elektronisches Dokument zu übertragen. </w:t>
      </w:r>
      <w:r>
        <w:rPr>
          <w:rStyle w:val="Satznummer"/>
        </w:rPr>
        <w:t>2</w:t>
      </w:r>
      <w:r>
        <w:t xml:space="preserve">Es ist sicherzustellen, dass das elektronische Dokument mit den vorliegenden Schriftstücken und sonstigen Unterlagen bildlich und inhaltlich übereinstimmt. </w:t>
      </w:r>
      <w:r>
        <w:rPr>
          <w:rStyle w:val="Satznummer"/>
        </w:rPr>
        <w:t>3</w:t>
      </w:r>
      <w:r>
        <w:t xml:space="preserve">Das elektronische Dokument ist mit einem Übertragungsnachweis zu versehen, der das bei der Übertragung angewandte Verfahren und die bildliche und inhaltliche Übereinstimmung dokumentiert. </w:t>
      </w:r>
      <w:r>
        <w:rPr>
          <w:rStyle w:val="Satznummer"/>
        </w:rPr>
        <w:t>4</w:t>
      </w:r>
      <w:r>
        <w:t xml:space="preserve">Wird ein von den verantwortenden Personen handschriftlich unterzeichnetes gerichtliches Schriftstück übertragen, ist der Übertragungsnachweis mit einer qualifizierten elektronischen Signatur des Urkundsbeamten der Geschäftsstelle zu versehen. </w:t>
      </w:r>
      <w:r>
        <w:rPr>
          <w:rStyle w:val="Satznummer"/>
        </w:rPr>
        <w:t>5</w:t>
      </w:r>
      <w:r>
        <w:t>Die in Papierform vorliegenden Schriftstücke und sonstigen Unterlagen können sechs Monate nach der Übertragung vernichtet werden, sofern sie nicht rückgabepflichtig sind.</w:t>
      </w:r>
    </w:p>
    <w:p>
      <w:r>
        <w:t xml:space="preserve">(3) </w:t>
      </w:r>
      <w:r>
        <w:rPr>
          <w:rStyle w:val="Satznummer"/>
        </w:rPr>
        <w:t>1</w:t>
      </w:r>
      <w:r>
        <w:t xml:space="preserve">Akten, die in Papierform angelegt wurden, können in Papierform weitergeführt werden. </w:t>
      </w:r>
      <w:r>
        <w:rPr>
          <w:rStyle w:val="Satznummer"/>
        </w:rPr>
        <w:t>2</w:t>
      </w:r>
      <w:r>
        <w:t xml:space="preserve">Sie können ab einem bestimmten Stichtag oder Ereignis in elektronischer Form weitergeführt werden. </w:t>
      </w:r>
      <w:r>
        <w:rPr>
          <w:rStyle w:val="Satznummer"/>
        </w:rPr>
        <w:t>3</w:t>
      </w:r>
      <w:r>
        <w:t>Der Beginn der Weiterführung der Akten in elektronischer Form ist aktenkundig zu machen.</w:t>
      </w:r>
    </w:p>
    <w:p>
      <w:r>
        <w:t>(4) Die Bundesregierung kann durch Rechtsverordnung mit Zustimmung des Bundesrates die für die Übermittlung elektronischer Akten zwischen Behörden und Gerichten geltenden Standards bestimmen.</w:t>
      </w:r>
    </w:p>
    <w:p>
      <w:pPr>
        <w:pStyle w:val="Heading4"/>
      </w:pPr>
      <w:bookmarkStart w:id="339" w:name="b338"/>
      <w:r>
        <w:t>§ 299 Akteneinsicht; Abschriften</w:t>
      </w:r>
      <w:r>
        <w:t xml:space="preserve"> </w:t>
      </w:r>
      <w:r>
        <w:rPr>
          <w:rStyle w:val="Suchmarke"/>
        </w:rPr>
        <w:t>#299#</w:t>
      </w:r>
      <w:bookmarkEnd w:id="339"/>
    </w:p>
    <w:p>
      <w:r>
        <w:t>(1) Die Parteien können die Prozessakten einsehen und sich aus ihnen durch die Geschäftsstelle Ausfertigungen, Auszüge und Abschriften erteilen lassen.</w:t>
      </w:r>
    </w:p>
    <w:p>
      <w:r>
        <w:t>(2) Dritten kann der Vorstand des Gerichts ohne Einwilligung der Parteien die Einsicht der Akten nur gestatten, wenn ein rechtliches Interesse glaubhaft gemacht wird.</w:t>
      </w:r>
    </w:p>
    <w:p>
      <w:r>
        <w:t xml:space="preserve">(3) </w:t>
      </w:r>
      <w:r>
        <w:rPr>
          <w:rStyle w:val="Satznummer"/>
        </w:rPr>
        <w:t>1</w:t>
      </w:r>
      <w:r>
        <w:t xml:space="preserve">Werden die Prozessakten elektronisch geführt, gewährt die Geschäftsstelle Akteneinsicht durch Bereitstellung des Inhalts der Akten zum Abruf oder durch Übermittlung des Inhalts der Akten auf einem sicheren Übermittlungsweg. </w:t>
      </w:r>
      <w:r>
        <w:rPr>
          <w:rStyle w:val="Satznummer"/>
        </w:rPr>
        <w:t>2</w:t>
      </w:r>
      <w:r>
        <w:t xml:space="preserve">Auf besonderen Antrag wird Akteneinsicht durch Einsichtnahme in die Akten in Diensträumen gewährt. </w:t>
      </w:r>
      <w:r>
        <w:rPr>
          <w:rStyle w:val="Satznummer"/>
        </w:rPr>
        <w:t>3</w:t>
      </w:r>
      <w:r>
        <w:t xml:space="preserve">Ein Aktenausdruck oder ein Datenträger mit dem Inhalt der Akte wird auf besonders zu begründenden Antrag nur übermittelt, wenn der Antragsteller hieran ein berechtigtes Interesse darlegt. </w:t>
      </w:r>
      <w:r>
        <w:rPr>
          <w:rStyle w:val="Satznummer"/>
        </w:rPr>
        <w:t>4</w:t>
      </w:r>
      <w:r>
        <w:t xml:space="preserve">Stehen der Akteneinsicht in der nach Satz 1 vorgesehenen Form wichtige Gründe entgegen, kann die Akteneinsicht in der nach den Sätzen 2 und 3 vorgesehenen Form auch ohne Antrag gewährt werden. </w:t>
      </w:r>
      <w:r>
        <w:rPr>
          <w:rStyle w:val="Satznummer"/>
        </w:rPr>
        <w:t>5</w:t>
      </w:r>
      <w:r>
        <w:t>Eine Entscheidung über einen Antrag nach Satz 3 ist nicht anfechtbar.</w:t>
      </w:r>
    </w:p>
    <w:p>
      <w:r>
        <w:t xml:space="preserve">(4) </w:t>
      </w:r>
      <w:r>
        <w:rPr>
          <w:rStyle w:val="Satznummer"/>
        </w:rPr>
        <w:t>1</w:t>
      </w:r>
      <w:r>
        <w:t xml:space="preserve">Durch technische und organisatorische Maßnahmen ist zu gewährleisten, dass im Rahmen der Akteneinsicht Dritte keine Kenntnis vom Akteninhalt nehmen können. </w:t>
      </w:r>
      <w:r>
        <w:rPr>
          <w:rStyle w:val="Satznummer"/>
        </w:rPr>
        <w:t>2</w:t>
      </w:r>
      <w:r>
        <w:t>Personen, denen Akteneinsicht gewährt wird, dürfen die ihnen überlassenen Akten oder Akteninhalte weder ganz noch teilweise öffentlich verbreiten oder sie Dritten zu verfahrensfremden Zwecken übermitteln oder zugänglich machen.</w:t>
      </w:r>
    </w:p>
    <w:p>
      <w:r>
        <w:t>(5) Die Entwürfe zu Urteilen, Beschlüssen und Verfügungen, die zu ihrer Vorbereitung gelieferten Arbeiten sowie die Dokumente, die Abstimmungen betreffen, werden weder vorgelegt noch abschriftlich mitgeteilt.</w:t>
      </w:r>
    </w:p>
    <w:p>
      <w:pPr>
        <w:pStyle w:val="Heading4"/>
      </w:pPr>
      <w:bookmarkStart w:id="340" w:name="b339"/>
      <w:r>
        <w:t>§ 299a Datenträgerarchiv</w:t>
      </w:r>
      <w:r>
        <w:t xml:space="preserve"> </w:t>
      </w:r>
      <w:r>
        <w:rPr>
          <w:rStyle w:val="Suchmarke"/>
        </w:rPr>
        <w:t>#299a#</w:t>
      </w:r>
      <w:bookmarkEnd w:id="340"/>
    </w:p>
    <w:p>
      <w:r>
        <w:rPr>
          <w:rStyle w:val="Satznummer"/>
        </w:rPr>
        <w:t>1</w:t>
      </w:r>
      <w:r>
        <w:t xml:space="preserve">Sind die Prozessakten nach ordnungsgemäßen Grundsätzen zur Ersetzung der Urschrift auf einen Bild- oder anderen Datenträger übertragen worden und liegt der schriftliche Nachweis darüber vor, dass die Wiedergabe mit der Urschrift übereinstimmt, so können Ausfertigungen, Auszüge und Abschriften von dem Bild- oder dem Datenträger erteilt werden. </w:t>
      </w:r>
      <w:r>
        <w:rPr>
          <w:rStyle w:val="Satznummer"/>
        </w:rPr>
        <w:t>2</w:t>
      </w:r>
      <w:r>
        <w:t>Auf der Urschrift anzubringende Vermerke werden in diesem Fall bei dem Nachweis angebracht.</w:t>
      </w:r>
    </w:p>
    <w:p>
      <w:pPr>
        <w:pStyle w:val="Heading3"/>
      </w:pPr>
      <w:bookmarkStart w:id="341" w:name="b340"/>
      <w:r>
        <w:t>Titel 2 Urteil</w:t>
      </w:r>
      <w:bookmarkEnd w:id="341"/>
    </w:p>
    <w:p>
      <w:pPr>
        <w:pStyle w:val="Heading4"/>
      </w:pPr>
      <w:bookmarkStart w:id="342" w:name="b341"/>
      <w:r>
        <w:t>§ 300 Endurteil</w:t>
      </w:r>
      <w:r>
        <w:t xml:space="preserve"> </w:t>
      </w:r>
      <w:r>
        <w:rPr>
          <w:rStyle w:val="Suchmarke"/>
        </w:rPr>
        <w:t>#300#</w:t>
      </w:r>
      <w:bookmarkEnd w:id="342"/>
    </w:p>
    <w:p>
      <w:r>
        <w:t>(1) Ist der Rechtsstreit zur Endentscheidung reif, so hat das Gericht sie durch Endurteil zu erlassen.</w:t>
      </w:r>
    </w:p>
    <w:p>
      <w:r>
        <w:t>(2) Das Gleiche gilt, wenn von mehreren zum Zwecke gleichzeitiger Verhandlung und Entscheidung verbundenen Prozessen nur der eine zur Endentscheidung reif ist.</w:t>
      </w:r>
    </w:p>
    <w:p>
      <w:pPr>
        <w:pStyle w:val="Heading4"/>
      </w:pPr>
      <w:bookmarkStart w:id="343" w:name="b342"/>
      <w:r>
        <w:t>§ 301 Teilurteil</w:t>
      </w:r>
      <w:r>
        <w:t xml:space="preserve"> </w:t>
      </w:r>
      <w:r>
        <w:rPr>
          <w:rStyle w:val="Suchmarke"/>
        </w:rPr>
        <w:t>#301#</w:t>
      </w:r>
      <w:bookmarkEnd w:id="343"/>
    </w:p>
    <w:p>
      <w:r>
        <w:t xml:space="preserve">(1) </w:t>
      </w:r>
      <w:r>
        <w:rPr>
          <w:rStyle w:val="Satznummer"/>
        </w:rPr>
        <w:t>1</w:t>
      </w:r>
      <w:r>
        <w:t xml:space="preserve">Ist von mehreren in einer Klage geltend gemachten Ansprüchen nur der eine oder ist nur ein Teil eines Anspruchs oder bei erhobener Widerklage nur die Klage oder die Widerklage zur Endentscheidung reif, so hat das Gericht sie durch Endurteil (Teilurteil) zu erlassen. </w:t>
      </w:r>
      <w:r>
        <w:rPr>
          <w:rStyle w:val="Satznummer"/>
        </w:rPr>
        <w:t>2</w:t>
      </w:r>
      <w:r>
        <w:t>Über einen Teil eines einheitlichen Anspruchs, der nach Grund und Höhe streitig ist, kann durch Teilurteil nur entschieden werden, wenn zugleich ein Grundurteil über den restlichen Teil des Anspruchs ergeht.</w:t>
      </w:r>
    </w:p>
    <w:p>
      <w:r>
        <w:t>(2) Der Erlass eines Teilurteils kann unterbleiben, wenn es das Gericht nach Lage der Sache nicht für angemessen erachtet.</w:t>
      </w:r>
    </w:p>
    <w:p>
      <w:pPr>
        <w:pStyle w:val="Heading4"/>
      </w:pPr>
      <w:bookmarkStart w:id="344" w:name="b343"/>
      <w:r>
        <w:t>§ 302 Vorbehaltsurteil</w:t>
      </w:r>
      <w:r>
        <w:t xml:space="preserve"> </w:t>
      </w:r>
      <w:r>
        <w:rPr>
          <w:rStyle w:val="Suchmarke"/>
        </w:rPr>
        <w:t>#302#</w:t>
      </w:r>
      <w:bookmarkEnd w:id="344"/>
    </w:p>
    <w:p>
      <w:r>
        <w:t>(1) Hat der Beklagte die Aufrechnung einer Gegenforderung geltend gemacht, so kann, wenn nur die Verhandlung über die Forderung zur Entscheidung reif ist, diese unter Vorbehalt der Entscheidung über die Aufrechnung ergehen.</w:t>
      </w:r>
    </w:p>
    <w:p>
      <w:r>
        <w:t xml:space="preserve">(2) Enthält das Urteil keinen Vorbehalt, so kann die Ergänzung des Urteils nach Vorschrift des </w:t>
      </w:r>
      <w:hyperlink w:anchor="b367" w:history="1">
        <w:r>
          <w:rPr>
            <w:color w:val="0A3A8C"/>
            <w:u w:val="single"/>
          </w:rPr>
          <w:t xml:space="preserve">§ 321</w:t>
        </w:r>
      </w:hyperlink>
      <w:r>
        <w:t xml:space="preserve"> beantragt werden.</w:t>
      </w:r>
    </w:p>
    <w:p>
      <w:r>
        <w:t>(3) Das Urteil, das unter Vorbehalt der Entscheidung über die Aufrechnung ergeht, ist in Betreff der Rechtsmittel und der Zwangsvollstreckung als Endurteil anzusehen.</w:t>
      </w:r>
    </w:p>
    <w:p>
      <w:r>
        <w:t xml:space="preserve">(4) </w:t>
      </w:r>
      <w:r>
        <w:rPr>
          <w:rStyle w:val="Satznummer"/>
        </w:rPr>
        <w:t>1</w:t>
      </w:r>
      <w:r>
        <w:t xml:space="preserve">In Betreff der Aufrechnung, über welche die Entscheidung vorbehalten ist, bleibt der Rechtsstreit anhängig. </w:t>
      </w:r>
      <w:r>
        <w:rPr>
          <w:rStyle w:val="Satznummer"/>
        </w:rPr>
        <w:t>2</w:t>
      </w:r>
      <w:r>
        <w:t xml:space="preserve">Soweit sich in dem weiteren Verfahren ergibt, dass der Anspruch des Klägers unbegründet war, ist das frühere Urteil aufzuheben, der Kläger mit dem Anspruch abzuweisen und über die Kosten anderweit zu entscheiden. </w:t>
      </w:r>
      <w:r>
        <w:rPr>
          <w:rStyle w:val="Satznummer"/>
        </w:rPr>
        <w:t>3</w:t>
      </w:r>
      <w:r>
        <w:t xml:space="preserve">Der Kläger ist zum Ersatz des Schadens verpflichtet, der dem Beklagten durch die Vollstreckung des Urteils oder durch eine zur Abwendung der Vollstreckung gemachte Leistung entstanden ist. </w:t>
      </w:r>
      <w:r>
        <w:rPr>
          <w:rStyle w:val="Satznummer"/>
        </w:rPr>
        <w:t>4</w:t>
      </w:r>
      <w:r>
        <w:t>Der Beklagte kann den Anspruch auf Schadensersatz in dem anhängigen Rechtsstreit geltend machen; wird der Anspruch geltend gemacht, so ist er als zur Zeit der Zahlung oder Leistung rechtshängig geworden anzusehen.</w:t>
      </w:r>
    </w:p>
    <w:p>
      <w:pPr>
        <w:pStyle w:val="Heading4"/>
      </w:pPr>
      <w:bookmarkStart w:id="345" w:name="b344"/>
      <w:r>
        <w:t>§ 303 Zwischenurteil</w:t>
      </w:r>
      <w:r>
        <w:t xml:space="preserve"> </w:t>
      </w:r>
      <w:r>
        <w:rPr>
          <w:rStyle w:val="Suchmarke"/>
        </w:rPr>
        <w:t>#303#</w:t>
      </w:r>
      <w:bookmarkEnd w:id="345"/>
    </w:p>
    <w:p>
      <w:r>
        <w:t>Ist ein Zwischenstreit zur Entscheidung reif, so kann die Entscheidung durch Zwischenurteil ergehen.</w:t>
      </w:r>
    </w:p>
    <w:p>
      <w:pPr>
        <w:pStyle w:val="Heading4"/>
      </w:pPr>
      <w:bookmarkStart w:id="346" w:name="b345"/>
      <w:r>
        <w:t>§ 304 Zwischenurteil über den Grund</w:t>
      </w:r>
      <w:r>
        <w:t xml:space="preserve"> </w:t>
      </w:r>
      <w:r>
        <w:rPr>
          <w:rStyle w:val="Suchmarke"/>
        </w:rPr>
        <w:t>#304#</w:t>
      </w:r>
      <w:bookmarkEnd w:id="346"/>
    </w:p>
    <w:p>
      <w:r>
        <w:t>(1) Ist ein Anspruch nach Grund und Betrag streitig, so kann das Gericht über den Grund vorab entscheiden.</w:t>
      </w:r>
    </w:p>
    <w:p>
      <w:r>
        <w:t>(2) Das Urteil ist in Betreff der Rechtsmittel als Endurteil anzusehen; das Gericht kann jedoch, wenn der Anspruch für begründet erklärt ist, auf Antrag anordnen, dass über den Betrag zu verhandeln sei.</w:t>
      </w:r>
    </w:p>
    <w:p>
      <w:pPr>
        <w:pStyle w:val="Heading4"/>
      </w:pPr>
      <w:bookmarkStart w:id="347" w:name="b346"/>
      <w:r>
        <w:t>§ 305 Urteil unter Vorbehalt erbrechtlich beschränkter Haftung</w:t>
      </w:r>
      <w:r>
        <w:t xml:space="preserve"> </w:t>
      </w:r>
      <w:r>
        <w:rPr>
          <w:rStyle w:val="Suchmarke"/>
        </w:rPr>
        <w:t>#305#</w:t>
      </w:r>
      <w:bookmarkEnd w:id="347"/>
    </w:p>
    <w:p>
      <w:r>
        <w:t>(1) Durch die Geltendmachung der dem Erben nach den §§ 2014, 2015 des Bürgerlichen Gesetzbuchs zustehenden Einreden wird eine unter dem Vorbehalt der beschränkten Haftung ergehende Verurteilung des Erben nicht ausgeschlossen.</w:t>
      </w:r>
    </w:p>
    <w:p>
      <w:r>
        <w:t>(2) Das Gleiche gilt für die Geltendmachung der Einreden, die im Falle der fortgesetzten Gütergemeinschaft dem überlebenden Ehegatten oder Lebenspartner nach dem § 1489 Abs. 2 und den §§ 2014, 2015 des Bürgerlichen Gesetzbuchs zustehen.</w:t>
      </w:r>
    </w:p>
    <w:p>
      <w:pPr>
        <w:pStyle w:val="Heading4"/>
      </w:pPr>
      <w:bookmarkStart w:id="348" w:name="b347"/>
      <w:r>
        <w:t>§ 305a Urteil unter Vorbehalt seerechtlich beschränkter Haftung</w:t>
      </w:r>
      <w:r>
        <w:t xml:space="preserve"> </w:t>
      </w:r>
      <w:r>
        <w:rPr>
          <w:rStyle w:val="Suchmarke"/>
        </w:rPr>
        <w:t>#305a#</w:t>
      </w:r>
      <w:bookmarkEnd w:id="348"/>
    </w:p>
    <w:p>
      <w:r>
        <w:t xml:space="preserve">(1) </w:t>
      </w:r>
      <w:r>
        <w:rPr>
          <w:rStyle w:val="Satznummer"/>
        </w:rPr>
        <w:t>1</w:t>
      </w:r>
      <w:r>
        <w:t>Unterliegt der in der Klage geltend gemachte Anspruch der Haftungsbeschränkung nach § 611 Absatz 1 oder 3, §§ 612 bis 616 des Handelsgesetzbuchs und macht der Beklagte geltend, dass</w:t>
      </w:r>
    </w:p>
    <w:p>
      <w:pPr>
        <w:tabs>
          <w:tab w:pos="567" w:val="left"/>
        </w:tabs>
        <w:ind w:left="567" w:hanging="567"/>
      </w:pPr>
      <w:r>
        <w:t>1.</w:t>
      </w:r>
      <w:r>
        <w:tab/>
      </w:r>
      <w:r>
        <w:t>aus demselben Ereignis weitere Ansprüche, für die er die Haftung beschränken kann, entstanden sind und</w:t>
      </w:r>
    </w:p>
    <w:p>
      <w:pPr>
        <w:tabs>
          <w:tab w:pos="567" w:val="left"/>
        </w:tabs>
        <w:ind w:left="567" w:hanging="567"/>
      </w:pPr>
      <w:r>
        <w:t>2.</w:t>
      </w:r>
      <w:r>
        <w:tab/>
      </w:r>
      <w:r>
        <w:t>die Summe der Ansprüche die Haftungshöchstbeträge übersteigt, die für diese Ansprüche in Artikel 6 oder 7 des Haftungsbeschränkungsübereinkommens (§ 611 Absatz 1 Satz 1 des Handelsgesetzbuchs) oder in den §§ 612, 613 oder 615 des Handelsgesetzbuchs bestimmt sind,</w:t>
      </w:r>
    </w:p>
    <w:p>
      <w:r>
        <w:t xml:space="preserve">so kann das Gericht das Recht auf Beschränkung der Haftung bei der Entscheidung unberücksichtigt lassen, wenn die Erledigung des Rechtsstreits wegen Ungewissheit über Grund oder Betrag der weiteren Ansprüche nach der freien Überzeugung des Gerichts nicht unwesentlich erschwert wäre. </w:t>
      </w:r>
      <w:r>
        <w:rPr>
          <w:rStyle w:val="Satznummer"/>
        </w:rPr>
        <w:t>2</w:t>
      </w:r>
      <w:r>
        <w:t>Das Gleiche gilt, wenn der in der Klage geltend gemachte Anspruch der Haftungsbeschränkung nach den §§ 4 bis 5n des Binnenschifffahrtsgesetzes unterliegt und der Beklagte geltend macht, dass aus demselben Ereignis weitere Ansprüche entstanden sind, für die er die Haftung beschränken kann und die in ihrer Summe die für sie in den §§ 5e bis 5k des Binnenschifffahrtsgesetzes bestimmten Haftungshöchstbeträge übersteigen.</w:t>
      </w:r>
    </w:p>
    <w:p>
      <w:r>
        <w:t>(2) Lässt das Gericht das Recht auf Beschränkung der Haftung unberücksichtigt, so ergeht das Urteil</w:t>
      </w:r>
    </w:p>
    <w:p>
      <w:pPr>
        <w:tabs>
          <w:tab w:pos="567" w:val="left"/>
        </w:tabs>
        <w:ind w:left="567" w:hanging="567"/>
      </w:pPr>
      <w:r>
        <w:t>1.</w:t>
      </w:r>
      <w:r>
        <w:tab/>
      </w:r>
      <w:r>
        <w:t>im Falle des Absatzes 1 Satz 1 unter dem Vorbehalt, dass der Beklagte das Recht auf Beschränkung der Haftung geltend machen kann, wenn ein Fonds nach dem Haftungsbeschränkungsübereinkommen errichtet worden ist oder bei Geltendmachung des Rechts auf Beschränkung der Haftung errichtet wird,</w:t>
      </w:r>
    </w:p>
    <w:p>
      <w:pPr>
        <w:tabs>
          <w:tab w:pos="567" w:val="left"/>
        </w:tabs>
        <w:ind w:left="567" w:hanging="567"/>
      </w:pPr>
      <w:r>
        <w:t>2.</w:t>
      </w:r>
      <w:r>
        <w:tab/>
      </w:r>
      <w:r>
        <w:t>im Falle des Absatzes 1 Satz 2 unter dem Vorbehalt, dass der Beklagte das Recht auf Beschränkung der Haftung geltend machen kann, wenn ein Fonds nach § 5d des Binnenschifffahrtsgesetzes errichtet worden ist oder bei Geltendmachung des Rechts auf Beschränkung der Haftung errichtet wird.</w:t>
      </w:r>
    </w:p>
    <w:p>
      <w:pPr>
        <w:pStyle w:val="Heading4"/>
      </w:pPr>
      <w:bookmarkStart w:id="349" w:name="b348"/>
      <w:r>
        <w:t>§ 305b Urteil unter Vorbehalt spaltungsrechtlicher Haftungsbeschränkung</w:t>
      </w:r>
      <w:r>
        <w:t xml:space="preserve"> </w:t>
      </w:r>
      <w:r>
        <w:rPr>
          <w:rStyle w:val="Suchmarke"/>
        </w:rPr>
        <w:t>#305b#</w:t>
      </w:r>
      <w:bookmarkEnd w:id="349"/>
    </w:p>
    <w:p>
      <w:r>
        <w:t>Durch die Geltendmachung der dem Rechtsträger nach § 133 Absatz 3 Satz 2 des Umwandlungsgesetzes zustehenden Einrede wird eine unter dem Vorbehalt der beschränkten Haftung ergehende Verurteilung des Rechtsträgers nicht ausgeschlossen.</w:t>
      </w:r>
    </w:p>
    <w:p>
      <w:pPr>
        <w:pStyle w:val="Heading4"/>
      </w:pPr>
      <w:bookmarkStart w:id="350" w:name="b349"/>
      <w:r>
        <w:t>§ 306 Verzicht</w:t>
      </w:r>
      <w:r>
        <w:t xml:space="preserve"> </w:t>
      </w:r>
      <w:r>
        <w:rPr>
          <w:rStyle w:val="Suchmarke"/>
        </w:rPr>
        <w:t>#306#</w:t>
      </w:r>
      <w:bookmarkEnd w:id="350"/>
    </w:p>
    <w:p>
      <w:r>
        <w:t>Verzichtet der Kläger bei der mündlichen Verhandlung auf den geltend gemachten Anspruch, so ist er auf Grund des Verzichts mit dem Anspruch abzuweisen, wenn der Beklagte die Abweisung beantragt.</w:t>
      </w:r>
    </w:p>
    <w:p>
      <w:pPr>
        <w:pStyle w:val="Heading4"/>
      </w:pPr>
      <w:bookmarkStart w:id="351" w:name="b350"/>
      <w:r>
        <w:t>§ 307 Anerkenntnis</w:t>
      </w:r>
      <w:r>
        <w:t xml:space="preserve"> </w:t>
      </w:r>
      <w:r>
        <w:rPr>
          <w:rStyle w:val="Suchmarke"/>
        </w:rPr>
        <w:t>#307#</w:t>
      </w:r>
      <w:bookmarkEnd w:id="351"/>
    </w:p>
    <w:p>
      <w:r>
        <w:rPr>
          <w:rStyle w:val="Satznummer"/>
        </w:rPr>
        <w:t>1</w:t>
      </w:r>
      <w:r>
        <w:t xml:space="preserve">Erkennt eine Partei den gegen sie geltend gemachten Anspruch ganz oder zum Teil an, so ist sie dem Anerkenntnis gemäß zu verurteilen. </w:t>
      </w:r>
      <w:r>
        <w:rPr>
          <w:rStyle w:val="Satznummer"/>
        </w:rPr>
        <w:t>2</w:t>
      </w:r>
      <w:r>
        <w:t>Einer mündlichen Verhandlung bedarf es insoweit nicht.</w:t>
      </w:r>
    </w:p>
    <w:p>
      <w:pPr>
        <w:pStyle w:val="Heading4"/>
      </w:pPr>
      <w:bookmarkStart w:id="352" w:name="b351"/>
      <w:r>
        <w:t>§ 308 Bindung an die Parteianträge</w:t>
      </w:r>
      <w:r>
        <w:t xml:space="preserve"> </w:t>
      </w:r>
      <w:r>
        <w:rPr>
          <w:rStyle w:val="Suchmarke"/>
        </w:rPr>
        <w:t>#308#</w:t>
      </w:r>
      <w:bookmarkEnd w:id="352"/>
    </w:p>
    <w:p>
      <w:r>
        <w:t xml:space="preserve">(1) </w:t>
      </w:r>
      <w:r>
        <w:rPr>
          <w:rStyle w:val="Satznummer"/>
        </w:rPr>
        <w:t>1</w:t>
      </w:r>
      <w:r>
        <w:t xml:space="preserve">Das Gericht ist nicht befugt, einer Partei etwas zuzusprechen, was nicht beantragt ist. </w:t>
      </w:r>
      <w:r>
        <w:rPr>
          <w:rStyle w:val="Satznummer"/>
        </w:rPr>
        <w:t>2</w:t>
      </w:r>
      <w:r>
        <w:t>Dies gilt insbesondere von Früchten, Zinsen und anderen Nebenforderungen.</w:t>
      </w:r>
    </w:p>
    <w:p>
      <w:r>
        <w:t>(2) Über die Verpflichtung, die Prozesskosten zu tragen, hat das Gericht auch ohne Antrag zu erkennen.</w:t>
      </w:r>
    </w:p>
    <w:p>
      <w:pPr>
        <w:pStyle w:val="Heading4"/>
      </w:pPr>
      <w:bookmarkStart w:id="353" w:name="b352"/>
      <w:r>
        <w:t>§ 308a Entscheidung ohne Antrag in Mietsachen</w:t>
      </w:r>
      <w:r>
        <w:t xml:space="preserve"> </w:t>
      </w:r>
      <w:r>
        <w:rPr>
          <w:rStyle w:val="Suchmarke"/>
        </w:rPr>
        <w:t>#308a#</w:t>
      </w:r>
      <w:bookmarkEnd w:id="353"/>
    </w:p>
    <w:p>
      <w:r>
        <w:t xml:space="preserve">(1) </w:t>
      </w:r>
      <w:r>
        <w:rPr>
          <w:rStyle w:val="Satznummer"/>
        </w:rPr>
        <w:t>1</w:t>
      </w:r>
      <w:r>
        <w:t xml:space="preserve">Erachtet das Gericht in einer Streitigkeit zwischen dem Vermieter und dem Mieter oder dem Mieter und dem Untermieter wegen Räumung von Wohnraum den Räumungsanspruch für unbegründet, weil der Mieter nach den §§ 574 bis 574b des Bürgerlichen Gesetzbuchs eine Fortsetzung des Mietverhältnisses verlangen kann, so hat es in dem Urteil auch ohne Antrag auszusprechen, für welche Dauer und unter welchen Änderungen der Vertragsbedingungen das Mietverhältnis fortgesetzt wird. </w:t>
      </w:r>
      <w:r>
        <w:rPr>
          <w:rStyle w:val="Satznummer"/>
        </w:rPr>
        <w:t>2</w:t>
      </w:r>
      <w:r>
        <w:t>Vor dem Ausspruch sind die Parteien zu hören.</w:t>
      </w:r>
    </w:p>
    <w:p>
      <w:r>
        <w:t>(2) Der Ausspruch ist selbständig anfechtbar.</w:t>
      </w:r>
    </w:p>
    <w:p>
      <w:pPr>
        <w:pStyle w:val="Heading4"/>
      </w:pPr>
      <w:bookmarkStart w:id="354" w:name="b353"/>
      <w:r>
        <w:t>§ 309 Erkennende Richter</w:t>
      </w:r>
      <w:r>
        <w:t xml:space="preserve"> </w:t>
      </w:r>
      <w:r>
        <w:rPr>
          <w:rStyle w:val="Suchmarke"/>
        </w:rPr>
        <w:t>#309#</w:t>
      </w:r>
      <w:bookmarkEnd w:id="354"/>
    </w:p>
    <w:p>
      <w:r>
        <w:t>Das Urteil kann nur von denjenigen Richtern gefällt werden, welche der dem Urteil zugrunde liegenden Verhandlung beigewohnt haben.</w:t>
      </w:r>
    </w:p>
    <w:p>
      <w:pPr>
        <w:pStyle w:val="Heading4"/>
      </w:pPr>
      <w:bookmarkStart w:id="355" w:name="b354"/>
      <w:r>
        <w:t>§ 310 Termin der Urteilsverkündung</w:t>
      </w:r>
      <w:r>
        <w:t xml:space="preserve"> </w:t>
      </w:r>
      <w:r>
        <w:rPr>
          <w:rStyle w:val="Suchmarke"/>
        </w:rPr>
        <w:t>#310#</w:t>
      </w:r>
      <w:bookmarkEnd w:id="355"/>
    </w:p>
    <w:p>
      <w:r>
        <w:t xml:space="preserve">(1) </w:t>
      </w:r>
      <w:r>
        <w:rPr>
          <w:rStyle w:val="Satznummer"/>
        </w:rPr>
        <w:t>1</w:t>
      </w:r>
      <w:r>
        <w:t xml:space="preserve">Das Urteil wird in dem Termin, in dem die mündliche Verhandlung geschlossen wird, oder in einem sofort anzuberaumenden Termin verkündet. </w:t>
      </w:r>
      <w:r>
        <w:rPr>
          <w:rStyle w:val="Satznummer"/>
        </w:rPr>
        <w:t>2</w:t>
      </w:r>
      <w:r>
        <w:t xml:space="preserve">Dieser wird nur dann über drei Wochen hinaus angesetzt, wenn wichtige Gründe, insbesondere der Umfang oder die Schwierigkeit der Sache, dies erfordern. </w:t>
      </w:r>
      <w:r>
        <w:rPr>
          <w:rStyle w:val="Satznummer"/>
        </w:rPr>
        <w:t>3</w:t>
      </w:r>
      <w:r>
        <w:t>Der Vorsitzende kann den Verfahrensbeteiligten gestatten, an der Urteilsverkündung per Bild- und Tonübertragung teilzunehmen.</w:t>
      </w:r>
    </w:p>
    <w:p>
      <w:r>
        <w:t>(2) Wird das Urteil nicht in dem Termin, in dem die mündliche Verhandlung geschlossen wird, verkündet, so muss es bei der Verkündung in vollständiger Form abgefasst sein.</w:t>
      </w:r>
    </w:p>
    <w:p>
      <w:r>
        <w:t xml:space="preserve">(3) </w:t>
      </w:r>
      <w:r>
        <w:rPr>
          <w:rStyle w:val="Satznummer"/>
        </w:rPr>
        <w:t>1</w:t>
      </w:r>
      <w:r>
        <w:t xml:space="preserve">Bei einem Anerkenntnisurteil und einem Versäumnisurteil, die nach </w:t>
      </w:r>
      <w:hyperlink w:anchor="b350" w:history="1">
        <w:r>
          <w:rPr>
            <w:color w:val="0A3A8C"/>
            <w:u w:val="single"/>
          </w:rPr>
          <w:t xml:space="preserve">§§ 307</w:t>
        </w:r>
      </w:hyperlink>
      <w:r>
        <w:t xml:space="preserve">, </w:t>
      </w:r>
      <w:hyperlink w:anchor="b382" w:history="1">
        <w:r>
          <w:rPr>
            <w:color w:val="0A3A8C"/>
            <w:u w:val="single"/>
          </w:rPr>
          <w:t xml:space="preserve">331</w:t>
        </w:r>
      </w:hyperlink>
      <w:r>
        <w:t xml:space="preserve"> Abs. 3 ohne mündliche Verhandlung ergehen, wird die Verkündung durch die Zustellung des Urteils ersetzt. </w:t>
      </w:r>
      <w:r>
        <w:rPr>
          <w:rStyle w:val="Satznummer"/>
        </w:rPr>
        <w:t>2</w:t>
      </w:r>
      <w:r>
        <w:t>Dasselbe gilt bei einem Urteil, das den Einspruch gegen ein Versäumnisurteil verwirft (</w:t>
      </w:r>
      <w:hyperlink w:anchor="b394" w:history="1">
        <w:r>
          <w:rPr>
            <w:color w:val="0A3A8C"/>
            <w:u w:val="single"/>
          </w:rPr>
          <w:t xml:space="preserve">§ 341</w:t>
        </w:r>
      </w:hyperlink>
      <w:r>
        <w:t xml:space="preserve"> Abs. 2).</w:t>
      </w:r>
    </w:p>
    <w:p>
      <w:pPr>
        <w:pStyle w:val="Heading4"/>
      </w:pPr>
      <w:bookmarkStart w:id="356" w:name="b355"/>
      <w:r>
        <w:t>§ 311 Form der Urteilsverkündung</w:t>
      </w:r>
      <w:r>
        <w:t xml:space="preserve"> </w:t>
      </w:r>
      <w:r>
        <w:rPr>
          <w:rStyle w:val="Suchmarke"/>
        </w:rPr>
        <w:t>#311#</w:t>
      </w:r>
      <w:bookmarkEnd w:id="356"/>
    </w:p>
    <w:p>
      <w:r>
        <w:t>(1) Das Urteil ergeht im Namen des Volkes.</w:t>
      </w:r>
    </w:p>
    <w:p>
      <w:r>
        <w:t xml:space="preserve">(2) </w:t>
      </w:r>
      <w:r>
        <w:rPr>
          <w:rStyle w:val="Satznummer"/>
        </w:rPr>
        <w:t>1</w:t>
      </w:r>
      <w:r>
        <w:t xml:space="preserve">Das Urteil wird durch Vorlesung der Urteilsformel verkündet. </w:t>
      </w:r>
      <w:r>
        <w:rPr>
          <w:rStyle w:val="Satznummer"/>
        </w:rPr>
        <w:t>2</w:t>
      </w:r>
      <w:r>
        <w:t xml:space="preserve">Die Vorlesung der Urteilsformel kann durch eine Bezugnahme auf die Urteilsformel ersetzt werden, wenn bei der Verkündung von den Parteien niemand erschienen ist. </w:t>
      </w:r>
      <w:r>
        <w:rPr>
          <w:rStyle w:val="Satznummer"/>
        </w:rPr>
        <w:t>3</w:t>
      </w:r>
      <w:r>
        <w:t>Versäumnisurteile, Urteile, die auf Grund eines Anerkenntnisses erlassen werden, sowie Urteile, welche die Folge der Zurücknahme der Klage oder des Verzichts auf den Klageanspruch aussprechen, können verkündet werden, auch wenn die Urteilsformel noch nicht schriftlich abgefasst ist.</w:t>
      </w:r>
    </w:p>
    <w:p>
      <w:r>
        <w:t>(3) Die Entscheidungsgründe werden, wenn es für angemessen erachtet wird, durch Vorlesung der Gründe oder durch mündliche Mitteilung des wesentlichen Inhalts verkündet.</w:t>
      </w:r>
    </w:p>
    <w:p>
      <w:r>
        <w:t>(4) Wird das Urteil nicht in dem Termin verkündet, in dem die mündliche Verhandlung geschlossen wird, so kann es der Vorsitzende in Abwesenheit der anderen Mitglieder des Prozessgerichts verkünden.</w:t>
      </w:r>
    </w:p>
    <w:p>
      <w:pPr>
        <w:pStyle w:val="Heading4"/>
      </w:pPr>
      <w:bookmarkStart w:id="357" w:name="b356"/>
      <w:r>
        <w:t>§ 312 Anwesenheit der Parteien</w:t>
      </w:r>
      <w:r>
        <w:t xml:space="preserve"> </w:t>
      </w:r>
      <w:r>
        <w:rPr>
          <w:rStyle w:val="Suchmarke"/>
        </w:rPr>
        <w:t>#312#</w:t>
      </w:r>
      <w:bookmarkEnd w:id="357"/>
    </w:p>
    <w:p>
      <w:r>
        <w:t xml:space="preserve">(1) </w:t>
      </w:r>
      <w:r>
        <w:rPr>
          <w:rStyle w:val="Satznummer"/>
        </w:rPr>
        <w:t>1</w:t>
      </w:r>
      <w:r>
        <w:t xml:space="preserve">Die Wirksamkeit der Verkündung eines Urteils ist von der Anwesenheit der Parteien nicht abhängig. </w:t>
      </w:r>
      <w:r>
        <w:rPr>
          <w:rStyle w:val="Satznummer"/>
        </w:rPr>
        <w:t>2</w:t>
      </w:r>
      <w:r>
        <w:t>Die Verkündung gilt auch derjenigen Partei gegenüber als bewirkt, die den Termin versäumt hat.</w:t>
      </w:r>
    </w:p>
    <w:p>
      <w:r>
        <w:t>(2) Die Befugnis einer Partei, auf Grund eines verkündeten Urteils das Verfahren fortzusetzen oder von dem Urteil in anderer Weise Gebrauch zu machen, ist von der Zustellung an den Gegner nicht abhängig, soweit nicht dieses Gesetz ein anderes bestimmt.</w:t>
      </w:r>
    </w:p>
    <w:p>
      <w:pPr>
        <w:pStyle w:val="Heading4"/>
      </w:pPr>
      <w:bookmarkStart w:id="358" w:name="b357"/>
      <w:r>
        <w:t>§ 313 Form und Inhalt des Urteils</w:t>
      </w:r>
      <w:r>
        <w:t xml:space="preserve"> </w:t>
      </w:r>
      <w:r>
        <w:rPr>
          <w:rStyle w:val="Suchmarke"/>
        </w:rPr>
        <w:t>#313#</w:t>
      </w:r>
      <w:bookmarkEnd w:id="358"/>
    </w:p>
    <w:p>
      <w:r>
        <w:t>(1) Das Urteil enthält:</w:t>
      </w:r>
    </w:p>
    <w:p>
      <w:pPr>
        <w:tabs>
          <w:tab w:pos="567" w:val="left"/>
        </w:tabs>
        <w:ind w:left="567" w:hanging="567"/>
      </w:pPr>
      <w:r>
        <w:t>1.</w:t>
      </w:r>
      <w:r>
        <w:tab/>
      </w:r>
      <w:r>
        <w:t>die Bezeichnung der Parteien, ihrer gesetzlichen Vertreter und der Prozessbevollmächtigten;</w:t>
      </w:r>
    </w:p>
    <w:p>
      <w:pPr>
        <w:tabs>
          <w:tab w:pos="567" w:val="left"/>
        </w:tabs>
        <w:ind w:left="567" w:hanging="567"/>
      </w:pPr>
      <w:r>
        <w:t>2.</w:t>
      </w:r>
      <w:r>
        <w:tab/>
      </w:r>
      <w:r>
        <w:t>die Bezeichnung des Gerichts und die Namen der Richter, die bei der Entscheidung mitgewirkt haben;</w:t>
      </w:r>
    </w:p>
    <w:p>
      <w:pPr>
        <w:tabs>
          <w:tab w:pos="567" w:val="left"/>
        </w:tabs>
        <w:ind w:left="567" w:hanging="567"/>
      </w:pPr>
      <w:r>
        <w:t>3.</w:t>
      </w:r>
      <w:r>
        <w:tab/>
      </w:r>
      <w:r>
        <w:t>den Tag, an dem die mündliche Verhandlung geschlossen worden ist;</w:t>
      </w:r>
    </w:p>
    <w:p>
      <w:pPr>
        <w:tabs>
          <w:tab w:pos="567" w:val="left"/>
        </w:tabs>
        <w:ind w:left="567" w:hanging="567"/>
      </w:pPr>
      <w:r>
        <w:t>4.</w:t>
      </w:r>
      <w:r>
        <w:tab/>
      </w:r>
      <w:r>
        <w:t>die Urteilsformel;</w:t>
      </w:r>
    </w:p>
    <w:p>
      <w:pPr>
        <w:tabs>
          <w:tab w:pos="567" w:val="left"/>
        </w:tabs>
        <w:ind w:left="567" w:hanging="567"/>
      </w:pPr>
      <w:r>
        <w:t>5.</w:t>
      </w:r>
      <w:r>
        <w:tab/>
      </w:r>
      <w:r>
        <w:t>den Tatbestand;</w:t>
      </w:r>
    </w:p>
    <w:p>
      <w:pPr>
        <w:tabs>
          <w:tab w:pos="567" w:val="left"/>
        </w:tabs>
        <w:ind w:left="567" w:hanging="567"/>
      </w:pPr>
      <w:r>
        <w:t>6.</w:t>
      </w:r>
      <w:r>
        <w:tab/>
      </w:r>
      <w:r>
        <w:t>die Entscheidungsgründe.</w:t>
      </w:r>
    </w:p>
    <w:p>
      <w:r>
        <w:t xml:space="preserve">(2) </w:t>
      </w:r>
      <w:r>
        <w:rPr>
          <w:rStyle w:val="Satznummer"/>
        </w:rPr>
        <w:t>1</w:t>
      </w:r>
      <w:r>
        <w:t xml:space="preserve">Im Tatbestand sollen die erhobenen Ansprüche und die dazu vorgebrachten Angriffs- und Verteidigungsmittel unter Hervorhebung der gestellten Anträge nur ihrem wesentlichen Inhalt nach knapp dargestellt werden. </w:t>
      </w:r>
      <w:r>
        <w:rPr>
          <w:rStyle w:val="Satznummer"/>
        </w:rPr>
        <w:t>2</w:t>
      </w:r>
      <w:r>
        <w:t>Wegen der Einzelheiten des Sach- und Streitstandes soll auf Schriftsätze, Protokolle und andere Unterlagen verwiesen werden.</w:t>
      </w:r>
    </w:p>
    <w:p>
      <w:r>
        <w:t>(3) Die Entscheidungsgründe enthalten eine kurze Zusammenfassung der Erwägungen, auf denen die Entscheidung in tatsächlicher und rechtlicher Hinsicht beruht.</w:t>
      </w:r>
    </w:p>
    <w:p>
      <w:pPr>
        <w:pStyle w:val="Heading4"/>
      </w:pPr>
      <w:bookmarkStart w:id="359" w:name="b358"/>
      <w:r>
        <w:t>§ 313a Weglassen von Tatbestand und Entscheidungsgründen</w:t>
      </w:r>
      <w:r>
        <w:t xml:space="preserve"> </w:t>
      </w:r>
      <w:r>
        <w:rPr>
          <w:rStyle w:val="Suchmarke"/>
        </w:rPr>
        <w:t>#313a#</w:t>
      </w:r>
      <w:bookmarkEnd w:id="359"/>
    </w:p>
    <w:p>
      <w:r>
        <w:t xml:space="preserve">(1) </w:t>
      </w:r>
      <w:r>
        <w:rPr>
          <w:rStyle w:val="Satznummer"/>
        </w:rPr>
        <w:t>1</w:t>
      </w:r>
      <w:r>
        <w:t xml:space="preserve">Des Tatbestandes bedarf es nicht, wenn ein Rechtsmittel gegen das Urteil unzweifelhaft nicht zulässig ist. </w:t>
      </w:r>
      <w:r>
        <w:rPr>
          <w:rStyle w:val="Satznummer"/>
        </w:rPr>
        <w:t>2</w:t>
      </w:r>
      <w:r>
        <w:t>In diesem Fall bedarf es auch keiner Entscheidungsgründe, wenn die Parteien auf sie verzichten oder wenn ihr wesentlicher Inhalt in das Protokoll aufgenommen worden ist.</w:t>
      </w:r>
    </w:p>
    <w:p>
      <w:r>
        <w:t xml:space="preserve">(2) </w:t>
      </w:r>
      <w:r>
        <w:rPr>
          <w:rStyle w:val="Satznummer"/>
        </w:rPr>
        <w:t>1</w:t>
      </w:r>
      <w:r>
        <w:t xml:space="preserve">Wird das Urteil in dem Termin, in dem die mündliche Verhandlung geschlossen worden ist, verkündet, so bedarf es des Tatbestands und der Entscheidungsgründe nicht, wenn beide Parteien auf Rechtsmittel gegen das Urteil verzichten. </w:t>
      </w:r>
      <w:r>
        <w:rPr>
          <w:rStyle w:val="Satznummer"/>
        </w:rPr>
        <w:t>2</w:t>
      </w:r>
      <w:r>
        <w:t>Ist das Urteil nur für eine Partei anfechtbar, so genügt es, wenn diese verzichtet.</w:t>
      </w:r>
    </w:p>
    <w:p>
      <w:r>
        <w:t>(3) Der Verzicht nach Absatz 1 oder 2 kann bereits vor der Verkündung des Urteils erfolgen; er muss spätestens binnen einer Woche nach dem Schluss der mündlichen Verhandlung gegenüber dem Gericht erklärt sein.</w:t>
      </w:r>
    </w:p>
    <w:p>
      <w:r>
        <w:t>(4) Die Absätze 1 bis 3 sind nicht anzuwenden im Fall der Verurteilung zu künftig fällig werdenden wiederkehrenden Leistungen oder wenn zu erwarten ist, dass das Urteil im Ausland geltend gemacht werden wird.</w:t>
      </w:r>
    </w:p>
    <w:p>
      <w:r>
        <w:t>(5) Soll ein ohne Tatbestand und Entscheidungsgründe hergestelltes Urteil im Ausland geltend gemacht werden, so gelten die Vorschriften über die Vervollständigung von Versäumnis- und Anerkenntnisurteilen entsprechend.</w:t>
      </w:r>
    </w:p>
    <w:p>
      <w:pPr>
        <w:pStyle w:val="Heading4"/>
      </w:pPr>
      <w:bookmarkStart w:id="360" w:name="b359"/>
      <w:r>
        <w:t>§ 313b Versäumnis-, Anerkenntnis- und Verzichtsurteil</w:t>
      </w:r>
      <w:r>
        <w:t xml:space="preserve"> </w:t>
      </w:r>
      <w:r>
        <w:rPr>
          <w:rStyle w:val="Suchmarke"/>
        </w:rPr>
        <w:t>#313b#</w:t>
      </w:r>
      <w:bookmarkEnd w:id="360"/>
    </w:p>
    <w:p>
      <w:r>
        <w:t xml:space="preserve">(1) </w:t>
      </w:r>
      <w:r>
        <w:rPr>
          <w:rStyle w:val="Satznummer"/>
        </w:rPr>
        <w:t>1</w:t>
      </w:r>
      <w:r>
        <w:t xml:space="preserve">Wird durch Versäumnisurteil, Anerkenntnisurteil oder Verzichtsurteil erkannt, so bedarf es nicht des Tatbestandes und der Entscheidungsgründe. </w:t>
      </w:r>
      <w:r>
        <w:rPr>
          <w:rStyle w:val="Satznummer"/>
        </w:rPr>
        <w:t>2</w:t>
      </w:r>
      <w:r>
        <w:t>Das Urteil ist als Versäumnis-, Anerkenntnis- oder Verzichtsurteil zu bezeichnen.</w:t>
      </w:r>
    </w:p>
    <w:p>
      <w:r>
        <w:t xml:space="preserve">(2) </w:t>
      </w:r>
      <w:r>
        <w:rPr>
          <w:rStyle w:val="Satznummer"/>
        </w:rPr>
        <w:t>1</w:t>
      </w:r>
      <w:r>
        <w:t xml:space="preserve">Das Urteil kann in abgekürzter Form nach Absatz 1 auf die bei den Akten befindliche Urschrift oder Abschrift der Klage oder auf ein damit zu verbindendes Blatt gesetzt werden. </w:t>
      </w:r>
      <w:r>
        <w:rPr>
          <w:rStyle w:val="Satznummer"/>
        </w:rPr>
        <w:t>2</w:t>
      </w:r>
      <w:r>
        <w:t xml:space="preserve">Die Namen der Richter braucht das Urteil nicht zu enthalten. </w:t>
      </w:r>
      <w:r>
        <w:rPr>
          <w:rStyle w:val="Satznummer"/>
        </w:rPr>
        <w:t>3</w:t>
      </w:r>
      <w:r>
        <w:t xml:space="preserve">Die Bezeichnung der Parteien, ihrer gesetzlichen Vertreter und der Prozessbevollmächtigten sind in das Urteil nur aufzunehmen, soweit von den Angaben der Klageschrift abgewichen wird. </w:t>
      </w:r>
      <w:r>
        <w:rPr>
          <w:rStyle w:val="Satznummer"/>
        </w:rPr>
        <w:t>4</w:t>
      </w:r>
      <w:r>
        <w:t xml:space="preserve">Wird nach dem Antrag des Klägers erkannt, so kann in der Urteilsformel auf die Klageschrift Bezug genommen werden. </w:t>
      </w:r>
      <w:r>
        <w:rPr>
          <w:rStyle w:val="Satznummer"/>
        </w:rPr>
        <w:t>5</w:t>
      </w:r>
      <w:r>
        <w:t>Wird das Urteil auf ein Blatt gesetzt, das mit der Klageschrift verbunden wird, so soll die Verbindungsstelle mit dem Gerichtssiegel versehen oder die Verbindung mit Schnur und Siegel bewirkt werden.</w:t>
      </w:r>
    </w:p>
    <w:p>
      <w:r>
        <w:t>(3) Absatz 1 ist nicht anzuwenden, wenn zu erwarten ist, dass das Versäumnisurteil oder das Anerkenntnisurteil im Ausland geltend gemacht werden soll.</w:t>
      </w:r>
    </w:p>
    <w:p>
      <w:r>
        <w:t>(4) Absatz 2 ist nicht anzuwenden, wenn die Prozessakten elektronisch geführt werden.</w:t>
      </w:r>
    </w:p>
    <w:p>
      <w:pPr>
        <w:pStyle w:val="Heading4"/>
      </w:pPr>
      <w:bookmarkStart w:id="361" w:name="b360"/>
      <w:r>
        <w:t>§ 314 Beweiskraft des Tatbestandes</w:t>
      </w:r>
      <w:r>
        <w:t xml:space="preserve"> </w:t>
      </w:r>
      <w:r>
        <w:rPr>
          <w:rStyle w:val="Suchmarke"/>
        </w:rPr>
        <w:t>#314#</w:t>
      </w:r>
      <w:bookmarkEnd w:id="361"/>
    </w:p>
    <w:p>
      <w:r>
        <w:rPr>
          <w:rStyle w:val="Satznummer"/>
        </w:rPr>
        <w:t>1</w:t>
      </w:r>
      <w:r>
        <w:t xml:space="preserve">Der Tatbestand des Urteils liefert Beweis für das mündliche Parteivorbringen. </w:t>
      </w:r>
      <w:r>
        <w:rPr>
          <w:rStyle w:val="Satznummer"/>
        </w:rPr>
        <w:t>2</w:t>
      </w:r>
      <w:r>
        <w:t>Der Beweis kann nur durch das Sitzungsprotokoll entkräftet werden.</w:t>
      </w:r>
    </w:p>
    <w:p>
      <w:pPr>
        <w:pStyle w:val="Heading4"/>
      </w:pPr>
      <w:bookmarkStart w:id="362" w:name="b361"/>
      <w:r>
        <w:t>§ 315 Unterschrift der Richter</w:t>
      </w:r>
      <w:r>
        <w:t xml:space="preserve"> </w:t>
      </w:r>
      <w:r>
        <w:rPr>
          <w:rStyle w:val="Suchmarke"/>
        </w:rPr>
        <w:t>#315#</w:t>
      </w:r>
      <w:bookmarkEnd w:id="362"/>
    </w:p>
    <w:p>
      <w:r>
        <w:t xml:space="preserve">(1) </w:t>
      </w:r>
      <w:r>
        <w:rPr>
          <w:rStyle w:val="Satznummer"/>
        </w:rPr>
        <w:t>1</w:t>
      </w:r>
      <w:r>
        <w:t xml:space="preserve">Das Urteil ist von den Richtern, die bei der Entscheidung mitgewirkt haben, zu unterschreiben. </w:t>
      </w:r>
      <w:r>
        <w:rPr>
          <w:rStyle w:val="Satznummer"/>
        </w:rPr>
        <w:t>2</w:t>
      </w:r>
      <w:r>
        <w:t>Ist ein Richter verhindert, seine Unterschrift beizufügen, so wird dies unter Angabe des Verhinderungsgrundes von dem Vorsitzenden und bei dessen Verhinderung von dem ältesten beisitzenden Richter unter dem Urteil vermerkt.</w:t>
      </w:r>
    </w:p>
    <w:p>
      <w:r>
        <w:t xml:space="preserve">(2) </w:t>
      </w:r>
      <w:r>
        <w:rPr>
          <w:rStyle w:val="Satznummer"/>
        </w:rPr>
        <w:t>1</w:t>
      </w:r>
      <w:r>
        <w:t xml:space="preserve">Ein Urteil, das in dem Termin, in dem die mündliche Verhandlung geschlossen wird, verkündet wird, ist vor Ablauf von drei Wochen, vom Tage der Verkündung an gerechnet, vollständig abgefasst der Geschäftsstelle zu übermitteln. </w:t>
      </w:r>
      <w:r>
        <w:rPr>
          <w:rStyle w:val="Satznummer"/>
        </w:rPr>
        <w:t>2</w:t>
      </w:r>
      <w:r>
        <w:t xml:space="preserve">Kann dies ausnahmsweise nicht geschehen, so ist innerhalb dieser Frist das von den Richtern unterschriebene Urteil ohne Tatbestand und Entscheidungsgründe der Geschäftsstelle zu übermitteln. </w:t>
      </w:r>
      <w:r>
        <w:rPr>
          <w:rStyle w:val="Satznummer"/>
        </w:rPr>
        <w:t>3</w:t>
      </w:r>
      <w:r>
        <w:t>In diesem Fall sind Tatbestand und Entscheidungsgründe alsbald nachträglich anzufertigen, von den Richtern besonders zu unterschreiben und der Geschäftsstelle zu übermitteln.</w:t>
      </w:r>
    </w:p>
    <w:p>
      <w:r>
        <w:t xml:space="preserve">(3) </w:t>
      </w:r>
      <w:r>
        <w:rPr>
          <w:rStyle w:val="Satznummer"/>
        </w:rPr>
        <w:t>1</w:t>
      </w:r>
      <w:r>
        <w:t xml:space="preserve">Der Urkundsbeamte der Geschäftsstelle hat auf dem Urteil den Tag der Verkündung oder der Zustellung nach </w:t>
      </w:r>
      <w:hyperlink w:anchor="b354" w:history="1">
        <w:r>
          <w:rPr>
            <w:color w:val="0A3A8C"/>
            <w:u w:val="single"/>
          </w:rPr>
          <w:t xml:space="preserve">§ 310</w:t>
        </w:r>
      </w:hyperlink>
      <w:r>
        <w:t xml:space="preserve"> Abs. 3 zu vermerken und diesen Vermerk zu unterschreiben. </w:t>
      </w:r>
      <w:r>
        <w:rPr>
          <w:rStyle w:val="Satznummer"/>
        </w:rPr>
        <w:t>2</w:t>
      </w:r>
      <w:r>
        <w:t xml:space="preserve">Werden die Prozessakten elektronisch geführt, hat der Urkundsbeamte der Geschäftsstelle den Vermerk in einem gesonderten Dokument festzuhalten. </w:t>
      </w:r>
      <w:r>
        <w:rPr>
          <w:rStyle w:val="Satznummer"/>
        </w:rPr>
        <w:t>3</w:t>
      </w:r>
      <w:r>
        <w:t>Das Dokument ist mit dem Urteil untrennbar zu verbinden.</w:t>
      </w:r>
    </w:p>
    <w:p>
      <w:pPr>
        <w:pStyle w:val="Heading4"/>
      </w:pPr>
      <w:bookmarkStart w:id="363" w:name="b362"/>
      <w:r>
        <w:t>§ 316</w:t>
      </w:r>
      <w:r>
        <w:t xml:space="preserve"> </w:t>
      </w:r>
      <w:r>
        <w:rPr>
          <w:rStyle w:val="Suchmarke"/>
        </w:rPr>
        <w:t>#316#</w:t>
      </w:r>
      <w:bookmarkEnd w:id="363"/>
    </w:p>
    <w:p>
      <w:r>
        <w:t>(weggefallen)</w:t>
      </w:r>
    </w:p>
    <w:p>
      <w:pPr>
        <w:pStyle w:val="Heading4"/>
      </w:pPr>
      <w:bookmarkStart w:id="364" w:name="b363"/>
      <w:r>
        <w:t>§ 317 Urteilszustellung und -ausfertigung</w:t>
      </w:r>
      <w:r>
        <w:t xml:space="preserve"> </w:t>
      </w:r>
      <w:r>
        <w:rPr>
          <w:rStyle w:val="Suchmarke"/>
        </w:rPr>
        <w:t>#317#</w:t>
      </w:r>
      <w:bookmarkEnd w:id="364"/>
    </w:p>
    <w:p>
      <w:r>
        <w:t xml:space="preserve">(1) </w:t>
      </w:r>
      <w:r>
        <w:rPr>
          <w:rStyle w:val="Satznummer"/>
        </w:rPr>
        <w:t>1</w:t>
      </w:r>
      <w:r>
        <w:t xml:space="preserve">Die Urteile werden den Parteien, verkündete Versäumnisurteile nur der unterliegenden Partei in Abschrift zugestellt. </w:t>
      </w:r>
      <w:r>
        <w:rPr>
          <w:rStyle w:val="Satznummer"/>
        </w:rPr>
        <w:t>2</w:t>
      </w:r>
      <w:r>
        <w:t xml:space="preserve">Eine Zustellung nach </w:t>
      </w:r>
      <w:hyperlink w:anchor="b354" w:history="1">
        <w:r>
          <w:rPr>
            <w:color w:val="0A3A8C"/>
            <w:u w:val="single"/>
          </w:rPr>
          <w:t xml:space="preserve">§ 310</w:t>
        </w:r>
      </w:hyperlink>
      <w:r>
        <w:t xml:space="preserve"> Abs. 3 genügt. </w:t>
      </w:r>
      <w:r>
        <w:rPr>
          <w:rStyle w:val="Satznummer"/>
        </w:rPr>
        <w:t>3</w:t>
      </w:r>
      <w:r>
        <w:t>Auf übereinstimmenden Antrag der Parteien kann der Vorsitzende die Zustellung verkündeter Urteile bis zum Ablauf von fünf Monaten nach der Verkündung hinausschieben.</w:t>
      </w:r>
    </w:p>
    <w:p>
      <w:r>
        <w:t xml:space="preserve">(2) </w:t>
      </w:r>
      <w:r>
        <w:rPr>
          <w:rStyle w:val="Satznummer"/>
        </w:rPr>
        <w:t>1</w:t>
      </w:r>
      <w:r>
        <w:t xml:space="preserve">Ausfertigungen werden nur auf Antrag und nur in Papierform erteilt. </w:t>
      </w:r>
      <w:r>
        <w:rPr>
          <w:rStyle w:val="Satznummer"/>
        </w:rPr>
        <w:t>2</w:t>
      </w:r>
      <w:r>
        <w:t xml:space="preserve">Solange das Urteil nicht verkündet und nicht unterschrieben ist, dürfen von ihm Ausfertigungen, Auszüge und Abschriften nicht erteilt werden. </w:t>
      </w:r>
      <w:r>
        <w:rPr>
          <w:rStyle w:val="Satznummer"/>
        </w:rPr>
        <w:t>3</w:t>
      </w:r>
      <w:r>
        <w:t>Die von einer Partei beantragte Ausfertigung eines Urteils erfolgt ohne Tatbestand und Entscheidungsgründe; dies gilt nicht, wenn die Partei eine vollständige Ausfertigung beantragt.</w:t>
      </w:r>
    </w:p>
    <w:p>
      <w:r>
        <w:t>(3) Ausfertigungen, Auszüge und Abschriften eines als elektronisches Dokument (</w:t>
      </w:r>
      <w:hyperlink w:anchor="b164" w:history="1">
        <w:r>
          <w:rPr>
            <w:color w:val="0A3A8C"/>
            <w:u w:val="single"/>
          </w:rPr>
          <w:t xml:space="preserve">§ 130b</w:t>
        </w:r>
      </w:hyperlink>
      <w:r>
        <w:t>) vorliegenden Urteils können von einem Urteilsausdruck erteilt werden.</w:t>
      </w:r>
    </w:p>
    <w:p>
      <w:r>
        <w:t>(4) Die Ausfertigung und Auszüge der Urteile sind von dem Urkundsbeamten der Geschäftsstelle zu unterschreiben und mit dem Gerichtssiegel zu versehen.</w:t>
      </w:r>
    </w:p>
    <w:p>
      <w:r>
        <w:t xml:space="preserve">(5) </w:t>
      </w:r>
      <w:r>
        <w:rPr>
          <w:rStyle w:val="Satznummer"/>
        </w:rPr>
        <w:t>1</w:t>
      </w:r>
      <w:r>
        <w:t xml:space="preserve">Ist das Urteil nach § 313b Abs. 2 in abgekürzter Form hergestellt, so erfolgt die Ausfertigung in gleicher Weise unter Benutzung einer beglaubigten Abschrift der Klageschrift oder in der Weise, dass das Urteil durch Aufnahme der in </w:t>
      </w:r>
      <w:hyperlink w:anchor="b357" w:history="1">
        <w:r>
          <w:rPr>
            <w:color w:val="0A3A8C"/>
            <w:u w:val="single"/>
          </w:rPr>
          <w:t xml:space="preserve">§ 313</w:t>
        </w:r>
      </w:hyperlink>
      <w:r>
        <w:t xml:space="preserve"> Abs. 1 Nr. 1 bis 4 bezeichneten Angaben vervollständigt wird. </w:t>
      </w:r>
      <w:r>
        <w:rPr>
          <w:rStyle w:val="Satznummer"/>
        </w:rPr>
        <w:t>2</w:t>
      </w:r>
      <w:r>
        <w:t>Die Abschrift der Klageschrift kann durch den Urkundsbeamten der Geschäftsstelle oder durch den Rechtsanwalt des Klägers beglaubigt werden.</w:t>
      </w:r>
    </w:p>
    <w:p>
      <w:pPr>
        <w:pStyle w:val="Heading4"/>
      </w:pPr>
      <w:bookmarkStart w:id="365" w:name="b364"/>
      <w:r>
        <w:t>§ 318 Bindung des Gerichts</w:t>
      </w:r>
      <w:r>
        <w:t xml:space="preserve"> </w:t>
      </w:r>
      <w:r>
        <w:rPr>
          <w:rStyle w:val="Suchmarke"/>
        </w:rPr>
        <w:t>#318#</w:t>
      </w:r>
      <w:bookmarkEnd w:id="365"/>
    </w:p>
    <w:p>
      <w:r>
        <w:t>Das Gericht ist an die Entscheidung, die in den von ihm erlassenen End- und Zwischenurteilen enthalten ist, gebunden.</w:t>
      </w:r>
    </w:p>
    <w:p>
      <w:pPr>
        <w:pStyle w:val="Heading4"/>
      </w:pPr>
      <w:bookmarkStart w:id="366" w:name="b365"/>
      <w:r>
        <w:t>§ 319 Berichtigung des Urteils</w:t>
      </w:r>
      <w:r>
        <w:t xml:space="preserve"> </w:t>
      </w:r>
      <w:r>
        <w:rPr>
          <w:rStyle w:val="Suchmarke"/>
        </w:rPr>
        <w:t>#319#</w:t>
      </w:r>
      <w:bookmarkEnd w:id="366"/>
    </w:p>
    <w:p>
      <w:r>
        <w:t>(1) Schreibfehler, Rechnungsfehler und ähnliche offenbare Unrichtigkeiten, die in dem Urteil vorkommen, sind jederzeit von dem Gericht auch von Amts wegen zu berichtigen.</w:t>
      </w:r>
    </w:p>
    <w:p>
      <w:r>
        <w:t xml:space="preserve">(2) </w:t>
      </w:r>
      <w:r>
        <w:rPr>
          <w:rStyle w:val="Satznummer"/>
        </w:rPr>
        <w:t>1</w:t>
      </w:r>
      <w:r>
        <w:t xml:space="preserve">Der Beschluss, der eine Berichtigung ausspricht, wird auf dem Urteil und den Ausfertigungen vermerkt. </w:t>
      </w:r>
      <w:r>
        <w:rPr>
          <w:rStyle w:val="Satznummer"/>
        </w:rPr>
        <w:t>2</w:t>
      </w:r>
      <w:r>
        <w:t xml:space="preserve">Erfolgt der Berichtigungsbeschluss in der Form des </w:t>
      </w:r>
      <w:hyperlink w:anchor="b164" w:history="1">
        <w:r>
          <w:rPr>
            <w:color w:val="0A3A8C"/>
            <w:u w:val="single"/>
          </w:rPr>
          <w:t xml:space="preserve">§ 130b</w:t>
        </w:r>
      </w:hyperlink>
      <w:r>
        <w:t xml:space="preserve">, ist er in einem gesonderten elektronischen Dokument festzuhalten. </w:t>
      </w:r>
      <w:r>
        <w:rPr>
          <w:rStyle w:val="Satznummer"/>
        </w:rPr>
        <w:t>3</w:t>
      </w:r>
      <w:r>
        <w:t>Das Dokument ist mit dem Urteil untrennbar zu verbinden.</w:t>
      </w:r>
    </w:p>
    <w:p>
      <w:r>
        <w:t>(3) Gegen den Beschluss, durch den der Antrag auf Berichtigung zurückgewiesen wird, findet kein Rechtsmittel, gegen den Beschluss, der eine Berichtigung ausspricht, findet sofortige Beschwerde statt.</w:t>
      </w:r>
    </w:p>
    <w:p>
      <w:pPr>
        <w:pStyle w:val="Heading4"/>
      </w:pPr>
      <w:bookmarkStart w:id="367" w:name="b366"/>
      <w:r>
        <w:t>§ 320 Berichtigung des Tatbestandes</w:t>
      </w:r>
      <w:r>
        <w:t xml:space="preserve"> </w:t>
      </w:r>
      <w:r>
        <w:rPr>
          <w:rStyle w:val="Suchmarke"/>
        </w:rPr>
        <w:t>#320#</w:t>
      </w:r>
      <w:bookmarkEnd w:id="367"/>
    </w:p>
    <w:p>
      <w:r>
        <w:t>(1) Enthält der Tatbestand des Urteils Unrichtigkeiten, die nicht unter die Vorschriften des vorstehenden Paragraphen fallen, Auslassungen, Dunkelheiten oder Widersprüche, so kann die Berichtigung binnen einer zweiwöchigen Frist durch Einreichung eines Schriftsatzes beantragt werden.</w:t>
      </w:r>
    </w:p>
    <w:p>
      <w:r>
        <w:t xml:space="preserve">(2) </w:t>
      </w:r>
      <w:r>
        <w:rPr>
          <w:rStyle w:val="Satznummer"/>
        </w:rPr>
        <w:t>1</w:t>
      </w:r>
      <w:r>
        <w:t xml:space="preserve">Die Frist beginnt mit der Zustellung des in vollständiger Form abgefassten Urteils. </w:t>
      </w:r>
      <w:r>
        <w:rPr>
          <w:rStyle w:val="Satznummer"/>
        </w:rPr>
        <w:t>2</w:t>
      </w:r>
      <w:r>
        <w:t xml:space="preserve">Der Antrag kann schon vor dem Beginn der Frist gestellt werden. </w:t>
      </w:r>
      <w:r>
        <w:rPr>
          <w:rStyle w:val="Satznummer"/>
        </w:rPr>
        <w:t>3</w:t>
      </w:r>
      <w:r>
        <w:t>Die Berichtigung des Tatbestandes ist ausgeschlossen, wenn sie nicht binnen drei Monaten seit der Verkündung des Urteils beantragt wird.</w:t>
      </w:r>
    </w:p>
    <w:p>
      <w:r>
        <w:t xml:space="preserve">(3) </w:t>
      </w:r>
      <w:r>
        <w:rPr>
          <w:rStyle w:val="Satznummer"/>
        </w:rPr>
        <w:t>1</w:t>
      </w:r>
      <w:r>
        <w:t xml:space="preserve">Das Gericht entscheidet ohne Beweisaufnahme. </w:t>
      </w:r>
      <w:r>
        <w:rPr>
          <w:rStyle w:val="Satznummer"/>
        </w:rPr>
        <w:t>2</w:t>
      </w:r>
      <w:r>
        <w:t xml:space="preserve">Bei der Entscheidung wirken nur diejenigen Richter mit, die bei dem Urteil mitgewirkt haben. </w:t>
      </w:r>
      <w:r>
        <w:rPr>
          <w:rStyle w:val="Satznummer"/>
        </w:rPr>
        <w:t>3</w:t>
      </w:r>
      <w:r>
        <w:t xml:space="preserve">Ist ein Richter verhindert, so gibt bei Stimmengleichheit die Stimme des Vorsitzenden und bei dessen Verhinderung die Stimme des ältesten Richters den Ausschlag. </w:t>
      </w:r>
      <w:r>
        <w:rPr>
          <w:rStyle w:val="Satznummer"/>
        </w:rPr>
        <w:t>4</w:t>
      </w:r>
      <w:r>
        <w:t xml:space="preserve">Eine Anfechtung des Beschlusses findet nicht statt. </w:t>
      </w:r>
      <w:r>
        <w:rPr>
          <w:rStyle w:val="Satznummer"/>
        </w:rPr>
        <w:t>5</w:t>
      </w:r>
      <w:r>
        <w:t xml:space="preserve">Der Beschluss, der eine Berichtigung ausspricht, wird auf dem Urteil und den Ausfertigungen vermerkt. </w:t>
      </w:r>
      <w:r>
        <w:rPr>
          <w:rStyle w:val="Satznummer"/>
        </w:rPr>
        <w:t>6</w:t>
      </w:r>
      <w:r>
        <w:t xml:space="preserve">Erfolgt der Berichtigungsbeschluss in der Form des </w:t>
      </w:r>
      <w:hyperlink w:anchor="b164" w:history="1">
        <w:r>
          <w:rPr>
            <w:color w:val="0A3A8C"/>
            <w:u w:val="single"/>
          </w:rPr>
          <w:t xml:space="preserve">§ 130b</w:t>
        </w:r>
      </w:hyperlink>
      <w:r>
        <w:t xml:space="preserve">, ist er in einem gesonderten elektronischen Dokument festzuhalten. </w:t>
      </w:r>
      <w:r>
        <w:rPr>
          <w:rStyle w:val="Satznummer"/>
        </w:rPr>
        <w:t>7</w:t>
      </w:r>
      <w:r>
        <w:t>Das Dokument ist mit dem Urteil untrennbar zu verbinden.</w:t>
      </w:r>
    </w:p>
    <w:p>
      <w:r>
        <w:t>(4) Die Berichtigung des Tatbestandes hat eine Änderung des übrigen Teils des Urteils nicht zur Folge.</w:t>
      </w:r>
    </w:p>
    <w:p>
      <w:pPr>
        <w:pStyle w:val="Heading4"/>
      </w:pPr>
      <w:bookmarkStart w:id="368" w:name="b367"/>
      <w:r>
        <w:t>§ 321 Ergänzung des Urteils</w:t>
      </w:r>
      <w:r>
        <w:t xml:space="preserve"> </w:t>
      </w:r>
      <w:r>
        <w:rPr>
          <w:rStyle w:val="Suchmarke"/>
        </w:rPr>
        <w:t>#321#</w:t>
      </w:r>
      <w:bookmarkEnd w:id="368"/>
    </w:p>
    <w:p>
      <w:r>
        <w:t>(1) Wenn ein nach dem ursprünglich festgestellten oder nachträglich berichtigten Tatbestand von einer Partei geltend gemachter Haupt- oder Nebenanspruch oder wenn der Kostenpunkt bei der Endentscheidung ganz oder teilweise übergangen ist, so ist auf Antrag das Urteil durch nachträgliche Entscheidung zu ergänzen.</w:t>
      </w:r>
    </w:p>
    <w:p>
      <w:r>
        <w:t>(2) Die nachträgliche Entscheidung muss binnen einer zweiwöchigen Frist, die mit der Zustellung des Urteils beginnt, durch Einreichung eines Schriftsatzes beantragt werden.</w:t>
      </w:r>
    </w:p>
    <w:p>
      <w:r>
        <w:t xml:space="preserve">(3) </w:t>
      </w:r>
      <w:r>
        <w:rPr>
          <w:rStyle w:val="Satznummer"/>
        </w:rPr>
        <w:t>1</w:t>
      </w:r>
      <w:r>
        <w:t xml:space="preserve">Auf einen Antrag, der die Ergänzung des Urteils um einen Hauptanspruch zum Gegenstand hat, ist ein Termin zur mündlichen Verhandlung anzuberaumen. </w:t>
      </w:r>
      <w:r>
        <w:rPr>
          <w:rStyle w:val="Satznummer"/>
        </w:rPr>
        <w:t>2</w:t>
      </w:r>
      <w:r>
        <w:t xml:space="preserve">Dem Gegner des Antragstellers ist mit der Ladung zu diesem Termin der den Antrag enthaltende Schriftsatz zuzustellen. </w:t>
      </w:r>
      <w:r>
        <w:rPr>
          <w:rStyle w:val="Satznummer"/>
        </w:rPr>
        <w:t>3</w:t>
      </w:r>
      <w:r>
        <w:t xml:space="preserve">Über einen Antrag, der die Ergänzung des Urteils um einen Nebenanspruch oder den Kostenpunkt zum Gegenstand hat, kann ohne mündliche Verhandlung entschieden werden, wenn die Bedeutung der Sache keine mündliche Verhandlung erfordert; </w:t>
      </w:r>
      <w:hyperlink w:anchor="b158" w:history="1">
        <w:r>
          <w:rPr>
            <w:color w:val="0A3A8C"/>
            <w:u w:val="single"/>
          </w:rPr>
          <w:t xml:space="preserve">§ 128</w:t>
        </w:r>
      </w:hyperlink>
      <w:r>
        <w:t xml:space="preserve"> Absatz 2 Satz 2 gilt entsprechend.</w:t>
      </w:r>
    </w:p>
    <w:p>
      <w:r>
        <w:t>(4) Eine mündliche Verhandlung hat nur den nicht erledigten Teil des Rechtsstreits zum Gegenstand.</w:t>
      </w:r>
    </w:p>
    <w:p>
      <w:pPr>
        <w:pStyle w:val="Heading4"/>
      </w:pPr>
      <w:bookmarkStart w:id="369" w:name="b368"/>
      <w:r>
        <w:t>§ 321a Abhilfe bei Verletzung des Anspruchs auf rechtliches Gehör</w:t>
      </w:r>
      <w:r>
        <w:t xml:space="preserve"> </w:t>
      </w:r>
      <w:r>
        <w:rPr>
          <w:rStyle w:val="Suchmarke"/>
        </w:rPr>
        <w:t>#321a#</w:t>
      </w:r>
      <w:bookmarkEnd w:id="369"/>
    </w:p>
    <w:p>
      <w:r>
        <w:t xml:space="preserve">(1) </w:t>
      </w:r>
      <w:r>
        <w:rPr>
          <w:rStyle w:val="Satznummer"/>
        </w:rPr>
        <w:t>1</w:t>
      </w:r>
      <w:r>
        <w:t>Auf die Rüge der durch die Entscheidung beschwerten Partei ist das Verfahren fortzuführen, wenn</w:t>
      </w:r>
    </w:p>
    <w:p>
      <w:pPr>
        <w:tabs>
          <w:tab w:pos="567" w:val="left"/>
        </w:tabs>
        <w:ind w:left="567" w:hanging="567"/>
      </w:pPr>
      <w:r>
        <w:t>1.</w:t>
      </w:r>
      <w:r>
        <w:tab/>
      </w:r>
      <w:r>
        <w:t>ein Rechtsmittel oder ein anderer Rechtsbehelf gegen die Entscheidung nicht gegeben ist und</w:t>
      </w:r>
    </w:p>
    <w:p>
      <w:pPr>
        <w:tabs>
          <w:tab w:pos="567" w:val="left"/>
        </w:tabs>
        <w:ind w:left="567" w:hanging="567"/>
      </w:pPr>
      <w:r>
        <w:t>2.</w:t>
      </w:r>
      <w:r>
        <w:tab/>
      </w:r>
      <w:r>
        <w:t>das Gericht den Anspruch dieser Partei auf rechtliches Gehör in entscheidungserheblicher Weise verletzt hat.</w:t>
      </w:r>
    </w:p>
    <w:p>
      <w:r>
        <w:rPr>
          <w:rStyle w:val="Satznummer"/>
        </w:rPr>
        <w:t>2</w:t>
      </w:r>
      <w:r>
        <w:t>Gegen eine der Endentscheidung vorausgehende Entscheidung findet die Rüge nicht statt.</w:t>
      </w:r>
    </w:p>
    <w:p>
      <w:r>
        <w:t xml:space="preserve">(2) </w:t>
      </w:r>
      <w:r>
        <w:rPr>
          <w:rStyle w:val="Satznummer"/>
        </w:rPr>
        <w:t>1</w:t>
      </w:r>
      <w:r>
        <w:t xml:space="preserve">Die Rüge ist innerhalb einer Notfrist von zwei Wochen nach Kenntnis von der Verletzung des rechtlichen Gehörs zu erheben; der Zeitpunkt der Kenntniserlangung ist glaubhaft zu machen. </w:t>
      </w:r>
      <w:r>
        <w:rPr>
          <w:rStyle w:val="Satznummer"/>
        </w:rPr>
        <w:t>2</w:t>
      </w:r>
      <w:r>
        <w:t xml:space="preserve">Nach Ablauf eines Jahres seit Bekanntgabe der angegriffenen Entscheidung kann die Rüge nicht mehr erhoben werden. </w:t>
      </w:r>
      <w:r>
        <w:rPr>
          <w:rStyle w:val="Satznummer"/>
        </w:rPr>
        <w:t>3</w:t>
      </w:r>
      <w:r>
        <w:t xml:space="preserve">Formlos mitgeteilte Entscheidungen gelten mit dem vierten Tag nach Aufgabe zur Post als bekannt gegeben. </w:t>
      </w:r>
      <w:r>
        <w:rPr>
          <w:rStyle w:val="Satznummer"/>
        </w:rPr>
        <w:t>4</w:t>
      </w:r>
      <w:r>
        <w:t xml:space="preserve">Die Rüge ist schriftlich bei dem Gericht zu erheben, dessen Entscheidung angegriffen wird. </w:t>
      </w:r>
      <w:r>
        <w:rPr>
          <w:rStyle w:val="Satznummer"/>
        </w:rPr>
        <w:t>5</w:t>
      </w:r>
      <w:r>
        <w:t>Die Rüge muss die angegriffene Entscheidung bezeichnen und das Vorliegen der in Absatz 1 Satz 1 Nr. 2 genannten Voraussetzungen darlegen.</w:t>
      </w:r>
    </w:p>
    <w:p>
      <w:r>
        <w:t>(3) Dem Gegner ist, soweit erforderlich, Gelegenheit zur Stellungnahme zu geben.</w:t>
      </w:r>
    </w:p>
    <w:p>
      <w:r>
        <w:t xml:space="preserve">(4) </w:t>
      </w:r>
      <w:r>
        <w:rPr>
          <w:rStyle w:val="Satznummer"/>
        </w:rPr>
        <w:t>1</w:t>
      </w:r>
      <w:r>
        <w:t xml:space="preserve">Das Gericht hat von Amts wegen zu prüfen, ob die Rüge an sich statthaft und ob sie in der gesetzlichen Form und Frist erhoben ist. </w:t>
      </w:r>
      <w:r>
        <w:rPr>
          <w:rStyle w:val="Satznummer"/>
        </w:rPr>
        <w:t>2</w:t>
      </w:r>
      <w:r>
        <w:t xml:space="preserve">Mangelt es an einem dieser Erfordernisse, so ist die Rüge als unzulässig zu verwerfen. </w:t>
      </w:r>
      <w:r>
        <w:rPr>
          <w:rStyle w:val="Satznummer"/>
        </w:rPr>
        <w:t>3</w:t>
      </w:r>
      <w:r>
        <w:t xml:space="preserve">Ist die Rüge unbegründet, weist das Gericht sie zurück. </w:t>
      </w:r>
      <w:r>
        <w:rPr>
          <w:rStyle w:val="Satznummer"/>
        </w:rPr>
        <w:t>4</w:t>
      </w:r>
      <w:r>
        <w:t xml:space="preserve">Die Entscheidung ergeht durch unanfechtbaren Beschluss. </w:t>
      </w:r>
      <w:r>
        <w:rPr>
          <w:rStyle w:val="Satznummer"/>
        </w:rPr>
        <w:t>5</w:t>
      </w:r>
      <w:r>
        <w:t>Der Beschluss soll kurz begründet werden.</w:t>
      </w:r>
    </w:p>
    <w:p>
      <w:r>
        <w:t xml:space="preserve">(5) </w:t>
      </w:r>
      <w:r>
        <w:rPr>
          <w:rStyle w:val="Satznummer"/>
        </w:rPr>
        <w:t>1</w:t>
      </w:r>
      <w:r>
        <w:t xml:space="preserve">Ist die Rüge begründet, so hilft ihr das Gericht ab, indem es das Verfahren fortführt, soweit dies auf Grund der Rüge geboten ist. </w:t>
      </w:r>
      <w:r>
        <w:rPr>
          <w:rStyle w:val="Satznummer"/>
        </w:rPr>
        <w:t>2</w:t>
      </w:r>
      <w:r>
        <w:t xml:space="preserve">Das Verfahren wird in die Lage zurückversetzt, in der es sich vor dem Schluss der mündlichen Verhandlung befand. </w:t>
      </w:r>
      <w:r>
        <w:rPr>
          <w:rStyle w:val="Satznummer"/>
        </w:rPr>
        <w:t>3</w:t>
      </w:r>
      <w:hyperlink w:anchor="b397" w:history="1">
        <w:r>
          <w:rPr>
            <w:color w:val="0A3A8C"/>
            <w:u w:val="single"/>
          </w:rPr>
          <w:t xml:space="preserve">§ 343</w:t>
        </w:r>
      </w:hyperlink>
      <w:r>
        <w:t xml:space="preserve"> gilt entsprechend. </w:t>
      </w:r>
      <w:r>
        <w:rPr>
          <w:rStyle w:val="Satznummer"/>
        </w:rPr>
        <w:t>4</w:t>
      </w:r>
      <w:r>
        <w:t>In schriftlichen Verfahren tritt an die Stelle des Schlusses der mündlichen Verhandlung der Zeitpunkt, bis zu dem Schriftsätze eingereicht werden können.</w:t>
      </w:r>
    </w:p>
    <w:p>
      <w:pPr>
        <w:pStyle w:val="Heading4"/>
      </w:pPr>
      <w:bookmarkStart w:id="370" w:name="b369"/>
      <w:r>
        <w:t>§ 322 Materielle Rechtskraft</w:t>
      </w:r>
      <w:r>
        <w:t xml:space="preserve"> </w:t>
      </w:r>
      <w:r>
        <w:rPr>
          <w:rStyle w:val="Suchmarke"/>
        </w:rPr>
        <w:t>#322#</w:t>
      </w:r>
      <w:bookmarkEnd w:id="370"/>
    </w:p>
    <w:p>
      <w:r>
        <w:t>(1) Urteile sind der Rechtskraft nur insoweit fähig, als über den durch die Klage oder durch die Widerklage erhobenen Anspruch entschieden ist.</w:t>
      </w:r>
    </w:p>
    <w:p>
      <w:r>
        <w:t>(2) Hat der Beklagte die Aufrechnung einer Gegenforderung geltend gemacht, so ist die Entscheidung, dass die Gegenforderung nicht besteht, bis zur Höhe des Betrages, für den die Aufrechnung geltend gemacht worden ist, der Rechtskraft fähig.</w:t>
      </w:r>
    </w:p>
    <w:p>
      <w:pPr>
        <w:pStyle w:val="Heading4"/>
      </w:pPr>
      <w:bookmarkStart w:id="371" w:name="b370"/>
      <w:r>
        <w:t>§ 323 Abänderung von Urteilen</w:t>
      </w:r>
      <w:r>
        <w:t xml:space="preserve"> </w:t>
      </w:r>
      <w:r>
        <w:rPr>
          <w:rStyle w:val="Suchmarke"/>
        </w:rPr>
        <w:t>#323#</w:t>
      </w:r>
      <w:bookmarkEnd w:id="371"/>
    </w:p>
    <w:p>
      <w:r>
        <w:t xml:space="preserve">(1) </w:t>
      </w:r>
      <w:r>
        <w:rPr>
          <w:rStyle w:val="Satznummer"/>
        </w:rPr>
        <w:t>1</w:t>
      </w:r>
      <w:r>
        <w:t xml:space="preserve">Enthält ein Urteil eine Verpflichtung zu künftig fällig werdenden wiederkehrenden Leistungen, kann jeder Teil die Abänderung beantragen. </w:t>
      </w:r>
      <w:r>
        <w:rPr>
          <w:rStyle w:val="Satznummer"/>
        </w:rPr>
        <w:t>2</w:t>
      </w:r>
      <w:r>
        <w:t>Die Klage ist nur zulässig, wenn der Kläger Tatsachen vorträgt, aus denen sich eine wesentliche Veränderung der der Entscheidung zugrunde liegenden tatsächlichen oder rechtlichen Verhältnisse ergibt.</w:t>
      </w:r>
    </w:p>
    <w:p>
      <w:r>
        <w:t>(2) Die Klage kann nur auf Gründe gestützt werden, die nach Schluss der Tatsachenverhandlung des vorausgegangenen Verfahrens entstanden sind und deren Geltendmachung durch Einspruch nicht möglich ist oder war.</w:t>
      </w:r>
    </w:p>
    <w:p>
      <w:r>
        <w:t>(3) Die Abänderung ist zulässig für die Zeit ab Rechtshängigkeit der Klage.</w:t>
      </w:r>
    </w:p>
    <w:p>
      <w:r>
        <w:t>(4) Liegt eine wesentliche Veränderung der tatsächlichen oder rechtlichen Verhältnisse vor, ist die Entscheidung unter Wahrung ihrer Grundlagen anzupassen.</w:t>
      </w:r>
    </w:p>
    <w:p>
      <w:pPr>
        <w:pStyle w:val="Heading4"/>
      </w:pPr>
      <w:bookmarkStart w:id="372" w:name="b371"/>
      <w:r>
        <w:t>§ 323a Abänderung von Vergleichen und Urkunden</w:t>
      </w:r>
      <w:r>
        <w:t xml:space="preserve"> </w:t>
      </w:r>
      <w:r>
        <w:rPr>
          <w:rStyle w:val="Suchmarke"/>
        </w:rPr>
        <w:t>#323a#</w:t>
      </w:r>
      <w:bookmarkEnd w:id="372"/>
    </w:p>
    <w:p>
      <w:r>
        <w:t xml:space="preserve">(1) </w:t>
      </w:r>
      <w:r>
        <w:rPr>
          <w:rStyle w:val="Satznummer"/>
        </w:rPr>
        <w:t>1</w:t>
      </w:r>
      <w:r>
        <w:t xml:space="preserve">Enthält ein Vergleich nach </w:t>
      </w:r>
      <w:hyperlink w:anchor="b801" w:history="1">
        <w:r>
          <w:rPr>
            <w:color w:val="0A3A8C"/>
            <w:u w:val="single"/>
          </w:rPr>
          <w:t xml:space="preserve">§ 794</w:t>
        </w:r>
      </w:hyperlink>
      <w:r>
        <w:t xml:space="preserve"> Abs. 1 Nr. 1 oder eine vollstreckbare Urkunde eine Verpflichtung zu künftig fällig werdenden wiederkehrenden Leistungen, kann jeder Teil auf Abänderung des Titels klagen. </w:t>
      </w:r>
      <w:r>
        <w:rPr>
          <w:rStyle w:val="Satznummer"/>
        </w:rPr>
        <w:t>2</w:t>
      </w:r>
      <w:r>
        <w:t>Die Klage ist nur zulässig, wenn der Kläger Tatsachen vorträgt, die die Abänderung rechtfertigen.</w:t>
      </w:r>
    </w:p>
    <w:p>
      <w:r>
        <w:t>(2) Die weiteren Voraussetzungen und der Umfang der Abänderung richten sich nach den Vorschriften des bürgerlichen Rechts.</w:t>
      </w:r>
    </w:p>
    <w:p>
      <w:pPr>
        <w:pStyle w:val="Heading4"/>
      </w:pPr>
      <w:bookmarkStart w:id="373" w:name="b372"/>
      <w:r>
        <w:t>§ 323b Verschärfte Haftung</w:t>
      </w:r>
      <w:r>
        <w:t xml:space="preserve"> </w:t>
      </w:r>
      <w:r>
        <w:rPr>
          <w:rStyle w:val="Suchmarke"/>
        </w:rPr>
        <w:t>#323b#</w:t>
      </w:r>
      <w:bookmarkEnd w:id="373"/>
    </w:p>
    <w:p>
      <w:r>
        <w:t>Die Rechtshängigkeit einer auf Herabsetzung gerichteten Abänderungsklage steht bei der Anwendung des § 818 Abs. 4 des Bürgerlichen Gesetzbuchs der Rechtshängigkeit einer Klage auf Rückzahlung der geleisteten Beträge gleich.</w:t>
      </w:r>
    </w:p>
    <w:p>
      <w:pPr>
        <w:pStyle w:val="Heading4"/>
      </w:pPr>
      <w:bookmarkStart w:id="374" w:name="b373"/>
      <w:r>
        <w:t>§ 324 Nachforderungsklage zur Sicherheitsleistung</w:t>
      </w:r>
      <w:r>
        <w:t xml:space="preserve"> </w:t>
      </w:r>
      <w:r>
        <w:rPr>
          <w:rStyle w:val="Suchmarke"/>
        </w:rPr>
        <w:t>#324#</w:t>
      </w:r>
      <w:bookmarkEnd w:id="374"/>
    </w:p>
    <w:p>
      <w:r>
        <w:t>Ist bei einer nach den §§ 843 bis 845 oder §§ 1569 bis 1586b des Bürgerlichen Gesetzbuchs erfolgten Verurteilung zur Entrichtung einer Geldrente nicht auf Sicherheitsleistung erkannt, so kann der Berechtigte gleichwohl Sicherheitsleistung verlangen, wenn sich die Vermögensverhältnisse des Verpflichteten erheblich verschlechtert haben; unter der gleichen Voraussetzung kann er eine Erhöhung der in dem Urteil bestimmten Sicherheit verlangen.</w:t>
      </w:r>
    </w:p>
    <w:p>
      <w:pPr>
        <w:pStyle w:val="Heading4"/>
      </w:pPr>
      <w:bookmarkStart w:id="375" w:name="b374"/>
      <w:r>
        <w:t>§ 325 Subjektive Rechtskraftwirkung</w:t>
      </w:r>
      <w:r>
        <w:t xml:space="preserve"> </w:t>
      </w:r>
      <w:r>
        <w:rPr>
          <w:rStyle w:val="Suchmarke"/>
        </w:rPr>
        <w:t>#325#</w:t>
      </w:r>
      <w:bookmarkEnd w:id="375"/>
    </w:p>
    <w:p>
      <w:r>
        <w:t>(1) Das rechtskräftige Urteil wirkt für und gegen die Parteien und die Personen, die nach dem Eintritt der Rechtshängigkeit Rechtsnachfolger der Parteien geworden sind oder den Besitz der in Streit befangenen Sache in solcher Weise erlangt haben, dass eine der Parteien oder ihr Rechtsnachfolger mittelbarer Besitzer geworden ist.</w:t>
      </w:r>
    </w:p>
    <w:p>
      <w:r>
        <w:t>(2) Die Vorschriften des bürgerlichen Rechts zugunsten derjenigen, die Rechte von einem Nichtberechtigten herleiten, gelten entsprechend.</w:t>
      </w:r>
    </w:p>
    <w:p>
      <w:r>
        <w:t xml:space="preserve">(3) </w:t>
      </w:r>
      <w:r>
        <w:rPr>
          <w:rStyle w:val="Satznummer"/>
        </w:rPr>
        <w:t>1</w:t>
      </w:r>
      <w:r>
        <w:t xml:space="preserve">Betrifft das Urteil einen Anspruch aus einer eingetragenen Reallast, Hypothek, Grundschuld oder Rentenschuld, so wirkt es im Falle einer Veräußerung des belasteten Grundstücks in Ansehung des Grundstücks gegen den Rechtsnachfolger auch dann, wenn dieser die Rechtshängigkeit nicht gekannt hat. </w:t>
      </w:r>
      <w:r>
        <w:rPr>
          <w:rStyle w:val="Satznummer"/>
        </w:rPr>
        <w:t>2</w:t>
      </w:r>
      <w:r>
        <w:t>Gegen den Ersteher eines im Wege der Zwangsversteigerung veräußerten Grundstücks wirkt das Urteil nur dann, wenn die Rechtshängigkeit spätestens im Versteigerungstermin vor der Aufforderung zur Abgabe von Geboten angemeldet worden ist.</w:t>
      </w:r>
    </w:p>
    <w:p>
      <w:r>
        <w:t>(4) Betrifft das Urteil einen Anspruch aus einer eingetragenen Schiffshypothek, so gilt Absatz 3 Satz 1 entsprechend.</w:t>
      </w:r>
    </w:p>
    <w:p>
      <w:pPr>
        <w:pStyle w:val="Heading4"/>
      </w:pPr>
      <w:bookmarkStart w:id="376" w:name="b375"/>
      <w:r>
        <w:t>§ 325a Feststellungswirkung des Musterentscheids *)</w:t>
      </w:r>
      <w:r>
        <w:t xml:space="preserve"> </w:t>
      </w:r>
      <w:r>
        <w:rPr>
          <w:rStyle w:val="Suchmarke"/>
        </w:rPr>
        <w:t>#325a#</w:t>
      </w:r>
      <w:bookmarkEnd w:id="376"/>
    </w:p>
    <w:p>
      <w:r>
        <w:t>Für die weitergehenden Wirkungen des Musterentscheids gelten die Vorschriften des Kapitalanleger-Musterverfahrensgesetzes.</w:t>
      </w:r>
    </w:p>
    <w:p>
      <w:pPr>
        <w:pStyle w:val="Heading4"/>
      </w:pPr>
      <w:bookmarkStart w:id="377" w:name="b376"/>
      <w:r>
        <w:t>§ 326 Rechtskraft bei Nacherbfolge</w:t>
      </w:r>
      <w:r>
        <w:t xml:space="preserve"> </w:t>
      </w:r>
      <w:r>
        <w:rPr>
          <w:rStyle w:val="Suchmarke"/>
        </w:rPr>
        <w:t>#326#</w:t>
      </w:r>
      <w:bookmarkEnd w:id="377"/>
    </w:p>
    <w:p>
      <w:r>
        <w:t>(1) Ein Urteil, das zwischen einem Vorerben und einem Dritten über einen gegen den Vorerben als Erben gerichteten Anspruch oder über einen der Nacherbfolge unterliegenden Gegenstand ergeht, wirkt, sofern es vor dem Eintritt der Nacherbfolge rechtskräftig wird, für den Nacherben.</w:t>
      </w:r>
    </w:p>
    <w:p>
      <w:r>
        <w:t>(2) Ein Urteil, das zwischen einem Vorerben und einem Dritten über einen der Nacherbfolge unterliegenden Gegenstand ergeht, wirkt auch gegen den Nacherben, sofern der Vorerbe befugt ist, ohne Zustimmung des Nacherben über den Gegenstand zu verfügen.</w:t>
      </w:r>
    </w:p>
    <w:p>
      <w:pPr>
        <w:pStyle w:val="Heading4"/>
      </w:pPr>
      <w:bookmarkStart w:id="378" w:name="b377"/>
      <w:r>
        <w:t>§ 327 Rechtskraft bei Testamentsvollstreckung</w:t>
      </w:r>
      <w:r>
        <w:t xml:space="preserve"> </w:t>
      </w:r>
      <w:r>
        <w:rPr>
          <w:rStyle w:val="Suchmarke"/>
        </w:rPr>
        <w:t>#327#</w:t>
      </w:r>
      <w:bookmarkEnd w:id="378"/>
    </w:p>
    <w:p>
      <w:r>
        <w:t>(1) Ein Urteil, das zwischen einem Testamentsvollstrecker und einem Dritten über ein der Verwaltung des Testamentsvollstreckers unterliegendes Recht ergeht, wirkt für und gegen den Erben.</w:t>
      </w:r>
    </w:p>
    <w:p>
      <w:r>
        <w:t>(2) Das Gleiche gilt von einem Urteil, das zwischen einem Testamentsvollstrecker und einem Dritten über einen gegen den Nachlass gerichteten Anspruch ergeht, wenn der Testamentsvollstrecker zur Führung des Rechtsstreits berechtigt ist.</w:t>
      </w:r>
    </w:p>
    <w:p>
      <w:pPr>
        <w:pStyle w:val="Heading4"/>
      </w:pPr>
      <w:bookmarkStart w:id="379" w:name="b378"/>
      <w:r>
        <w:t>§ 328 Anerkennung ausländischer Urteile</w:t>
      </w:r>
      <w:r>
        <w:t xml:space="preserve"> </w:t>
      </w:r>
      <w:r>
        <w:rPr>
          <w:rStyle w:val="Suchmarke"/>
        </w:rPr>
        <w:t>#328#</w:t>
      </w:r>
      <w:bookmarkEnd w:id="379"/>
    </w:p>
    <w:p>
      <w:r>
        <w:t>(1) Die Anerkennung des Urteils eines ausländischen Gerichts ist ausgeschlossen:</w:t>
      </w:r>
    </w:p>
    <w:p>
      <w:pPr>
        <w:tabs>
          <w:tab w:pos="567" w:val="left"/>
        </w:tabs>
        <w:ind w:left="567" w:hanging="567"/>
      </w:pPr>
      <w:r>
        <w:t>1.</w:t>
      </w:r>
      <w:r>
        <w:tab/>
      </w:r>
      <w:r>
        <w:t>wenn die Gerichte des Staates, dem das ausländische Gericht angehört, nach den deutschen Gesetzen nicht zuständig sind;</w:t>
      </w:r>
    </w:p>
    <w:p>
      <w:pPr>
        <w:tabs>
          <w:tab w:pos="567" w:val="left"/>
        </w:tabs>
        <w:ind w:left="567" w:hanging="567"/>
      </w:pPr>
      <w:r>
        <w:t>2.</w:t>
      </w:r>
      <w:r>
        <w:tab/>
      </w:r>
      <w:r>
        <w:t>wenn dem Beklagten, der sich auf das Verfahren nicht eingelassen hat und sich hierauf beruft, das verfahrenseinleitende Dokument nicht ordnungsmäßig oder nicht so rechtzeitig zugestellt worden ist, dass er sich verteidigen konnte;</w:t>
      </w:r>
    </w:p>
    <w:p>
      <w:pPr>
        <w:tabs>
          <w:tab w:pos="567" w:val="left"/>
        </w:tabs>
        <w:ind w:left="567" w:hanging="567"/>
      </w:pPr>
      <w:r>
        <w:t>3.</w:t>
      </w:r>
      <w:r>
        <w:tab/>
      </w:r>
      <w:r>
        <w:t>wenn das Urteil mit einem hier erlassenen oder einem anzuerkennenden früheren ausländischen Urteil oder wenn das ihm zugrunde liegende Verfahren mit einem früher hier rechtshängig gewordenen Verfahren unvereinbar ist;</w:t>
      </w:r>
    </w:p>
    <w:p>
      <w:pPr>
        <w:tabs>
          <w:tab w:pos="567" w:val="left"/>
        </w:tabs>
        <w:ind w:left="567" w:hanging="567"/>
      </w:pPr>
      <w:r>
        <w:t>4.</w:t>
      </w:r>
      <w:r>
        <w:tab/>
      </w:r>
      <w:r>
        <w:t>wenn die Anerkennung des Urteils zu einem Ergebnis führt, das mit wesentlichen Grundsätzen des deutschen Rechts offensichtlich unvereinbar ist, insbesondere wenn die Anerkennung mit den Grundrechten unvereinbar ist;</w:t>
      </w:r>
    </w:p>
    <w:p>
      <w:pPr>
        <w:tabs>
          <w:tab w:pos="567" w:val="left"/>
        </w:tabs>
        <w:ind w:left="567" w:hanging="567"/>
      </w:pPr>
      <w:r>
        <w:t>5.</w:t>
      </w:r>
      <w:r>
        <w:tab/>
      </w:r>
      <w:r>
        <w:t>wenn die Gegenseitigkeit nicht verbürgt ist.</w:t>
      </w:r>
    </w:p>
    <w:p>
      <w:r>
        <w:t>(2) Die Vorschrift der Nummer 5 steht der Anerkennung des Urteils nicht entgegen, wenn das Urteil einen nichtvermögensrechtlichen Anspruch betrifft und nach den deutschen Gesetzen ein Gerichtsstand im Inland nicht begründet war.</w:t>
      </w:r>
    </w:p>
    <w:p>
      <w:pPr>
        <w:pStyle w:val="Heading4"/>
      </w:pPr>
      <w:bookmarkStart w:id="380" w:name="b379"/>
      <w:r>
        <w:t>§ 329 Beschlüsse und Verfügungen</w:t>
      </w:r>
      <w:r>
        <w:t xml:space="preserve"> </w:t>
      </w:r>
      <w:r>
        <w:rPr>
          <w:rStyle w:val="Suchmarke"/>
        </w:rPr>
        <w:t>#329#</w:t>
      </w:r>
      <w:bookmarkEnd w:id="380"/>
    </w:p>
    <w:p>
      <w:r>
        <w:t xml:space="preserve">(1) </w:t>
      </w:r>
      <w:r>
        <w:rPr>
          <w:rStyle w:val="Satznummer"/>
        </w:rPr>
        <w:t>1</w:t>
      </w:r>
      <w:r>
        <w:t xml:space="preserve">Die auf Grund einer mündlichen Verhandlung ergehenden Beschlüsse des Gerichts müssen verkündet werden. </w:t>
      </w:r>
      <w:r>
        <w:rPr>
          <w:rStyle w:val="Satznummer"/>
        </w:rPr>
        <w:t>2</w:t>
      </w:r>
      <w:r>
        <w:t xml:space="preserve">Die Vorschriften der </w:t>
      </w:r>
      <w:hyperlink w:anchor="b353" w:history="1">
        <w:r>
          <w:rPr>
            <w:color w:val="0A3A8C"/>
            <w:u w:val="single"/>
          </w:rPr>
          <w:t xml:space="preserve">§§ 309</w:t>
        </w:r>
      </w:hyperlink>
      <w:r>
        <w:t xml:space="preserve">, </w:t>
      </w:r>
      <w:hyperlink w:anchor="b354" w:history="1">
        <w:r>
          <w:rPr>
            <w:color w:val="0A3A8C"/>
            <w:u w:val="single"/>
          </w:rPr>
          <w:t xml:space="preserve">310</w:t>
        </w:r>
      </w:hyperlink>
      <w:r>
        <w:t xml:space="preserve"> Abs. 1 und des </w:t>
      </w:r>
      <w:hyperlink w:anchor="b355" w:history="1">
        <w:r>
          <w:rPr>
            <w:color w:val="0A3A8C"/>
            <w:u w:val="single"/>
          </w:rPr>
          <w:t xml:space="preserve">§ 311</w:t>
        </w:r>
      </w:hyperlink>
      <w:r>
        <w:t xml:space="preserve"> Abs. 4 sind auf Beschlüsse des Gerichts, die Vorschriften des </w:t>
      </w:r>
      <w:hyperlink w:anchor="b356" w:history="1">
        <w:r>
          <w:rPr>
            <w:color w:val="0A3A8C"/>
            <w:u w:val="single"/>
          </w:rPr>
          <w:t xml:space="preserve">§ 312</w:t>
        </w:r>
      </w:hyperlink>
      <w:r>
        <w:t xml:space="preserve"> und des </w:t>
      </w:r>
      <w:hyperlink w:anchor="b363" w:history="1">
        <w:r>
          <w:rPr>
            <w:color w:val="0A3A8C"/>
            <w:u w:val="single"/>
          </w:rPr>
          <w:t xml:space="preserve">§ 317</w:t>
        </w:r>
      </w:hyperlink>
      <w:r>
        <w:t xml:space="preserve"> Abs. 2 Satz 1, 2, Absatz 3 und 4 auf Beschlüsse des Gerichts und auf Verfügungen des Vorsitzenden sowie eines beauftragten oder ersuchten Richters entsprechend anzuwenden.</w:t>
      </w:r>
    </w:p>
    <w:p>
      <w:r>
        <w:t xml:space="preserve">(2) </w:t>
      </w:r>
      <w:r>
        <w:rPr>
          <w:rStyle w:val="Satznummer"/>
        </w:rPr>
        <w:t>1</w:t>
      </w:r>
      <w:r>
        <w:t xml:space="preserve">Nicht verkündete Beschlüsse des Gerichts und nicht verkündete Verfügungen des Vorsitzenden oder eines beauftragten oder ersuchten Richters sind den Parteien formlos mitzuteilen. </w:t>
      </w:r>
      <w:r>
        <w:rPr>
          <w:rStyle w:val="Satznummer"/>
        </w:rPr>
        <w:t>2</w:t>
      </w:r>
      <w:r>
        <w:t>Enthält die Entscheidung eine Terminsbestimmung oder setzt sie eine Frist in Lauf, so ist sie zuzustellen.</w:t>
      </w:r>
    </w:p>
    <w:p>
      <w:r>
        <w:t xml:space="preserve">(3) Entscheidungen, die einen Vollstreckungstitel bilden oder die der sofortigen Beschwerde oder der Erinnerung nach </w:t>
      </w:r>
      <w:hyperlink w:anchor="b629" w:history="1">
        <w:r>
          <w:rPr>
            <w:color w:val="0A3A8C"/>
            <w:u w:val="single"/>
          </w:rPr>
          <w:t xml:space="preserve">§ 573</w:t>
        </w:r>
      </w:hyperlink>
      <w:r>
        <w:t xml:space="preserve"> Abs. 1 unterliegen, sind zuzustellen.</w:t>
      </w:r>
    </w:p>
    <w:p>
      <w:pPr>
        <w:pStyle w:val="Heading3"/>
      </w:pPr>
      <w:bookmarkStart w:id="381" w:name="b380"/>
      <w:r>
        <w:t>Titel 3 Versäumnisurteil</w:t>
      </w:r>
      <w:bookmarkEnd w:id="381"/>
    </w:p>
    <w:p>
      <w:pPr>
        <w:pStyle w:val="Heading4"/>
      </w:pPr>
      <w:bookmarkStart w:id="382" w:name="b381"/>
      <w:r>
        <w:t>§ 330 Versäumnisurteil gegen den Kläger</w:t>
      </w:r>
      <w:r>
        <w:t xml:space="preserve"> </w:t>
      </w:r>
      <w:r>
        <w:rPr>
          <w:rStyle w:val="Suchmarke"/>
        </w:rPr>
        <w:t>#330#</w:t>
      </w:r>
      <w:bookmarkEnd w:id="382"/>
    </w:p>
    <w:p>
      <w:r>
        <w:t>Erscheint der Kläger im Termin zur mündlichen Verhandlung nicht, so ist auf Antrag das Versäumnisurteil dahin zu erlassen, dass der Kläger mit der Klage abzuweisen sei.</w:t>
      </w:r>
    </w:p>
    <w:p>
      <w:pPr>
        <w:pStyle w:val="Heading4"/>
      </w:pPr>
      <w:bookmarkStart w:id="383" w:name="b382"/>
      <w:r>
        <w:t>§ 331 Versäumnisurteil gegen den Beklagten</w:t>
      </w:r>
      <w:r>
        <w:t xml:space="preserve"> </w:t>
      </w:r>
      <w:r>
        <w:rPr>
          <w:rStyle w:val="Suchmarke"/>
        </w:rPr>
        <w:t>#331#</w:t>
      </w:r>
      <w:bookmarkEnd w:id="383"/>
    </w:p>
    <w:p>
      <w:r>
        <w:t xml:space="preserve">(1) </w:t>
      </w:r>
      <w:r>
        <w:rPr>
          <w:rStyle w:val="Satznummer"/>
        </w:rPr>
        <w:t>1</w:t>
      </w:r>
      <w:r>
        <w:t xml:space="preserve">Beantragt der Kläger gegen den im Termin zur mündlichen Verhandlung nicht erschienenen Beklagten das Versäumnisurteil, so ist das tatsächliche mündliche Vorbringen des Klägers als zugestanden anzunehmen. </w:t>
      </w:r>
      <w:r>
        <w:rPr>
          <w:rStyle w:val="Satznummer"/>
        </w:rPr>
        <w:t>2</w:t>
      </w:r>
      <w:r>
        <w:t xml:space="preserve">Dies gilt nicht für Vorbringen zur Zuständigkeit des Gerichts nach </w:t>
      </w:r>
      <w:hyperlink w:anchor="b34" w:history="1">
        <w:r>
          <w:rPr>
            <w:color w:val="0A3A8C"/>
            <w:u w:val="single"/>
          </w:rPr>
          <w:t xml:space="preserve">§ 29</w:t>
        </w:r>
      </w:hyperlink>
      <w:r>
        <w:t xml:space="preserve"> Abs. 2, </w:t>
      </w:r>
      <w:hyperlink w:anchor="b50" w:history="1">
        <w:r>
          <w:rPr>
            <w:color w:val="0A3A8C"/>
            <w:u w:val="single"/>
          </w:rPr>
          <w:t xml:space="preserve">§ 38</w:t>
        </w:r>
      </w:hyperlink>
      <w:r>
        <w:t xml:space="preserve"> sowie für Vorbringen zur Sprache des Gerichts nach § 184a Absatz 3 des Gerichtsverfassungsgesetzes.</w:t>
      </w:r>
    </w:p>
    <w:p>
      <w:r>
        <w:t>(2) Soweit es den Klageantrag rechtfertigt, ist nach dem Antrag zu erkennen; soweit dies nicht der Fall, ist die Klage abzuweisen.</w:t>
      </w:r>
    </w:p>
    <w:p>
      <w:r>
        <w:t xml:space="preserve">(3) </w:t>
      </w:r>
      <w:r>
        <w:rPr>
          <w:rStyle w:val="Satznummer"/>
        </w:rPr>
        <w:t>1</w:t>
      </w:r>
      <w:r>
        <w:t xml:space="preserve">Hat der Beklagte entgegen </w:t>
      </w:r>
      <w:hyperlink w:anchor="b310" w:history="1">
        <w:r>
          <w:rPr>
            <w:color w:val="0A3A8C"/>
            <w:u w:val="single"/>
          </w:rPr>
          <w:t xml:space="preserve">§ 276</w:t>
        </w:r>
      </w:hyperlink>
      <w:r>
        <w:t xml:space="preserve"> Abs. 1 Satz 1, Abs. 2 nicht rechtzeitig angezeigt, dass er sich gegen die Klage verteidigen wolle, so trifft auf Antrag des Klägers das Gericht die Entscheidung ohne mündliche Verhandlung; dies gilt nicht, wenn die Erklärung des Beklagten noch eingeht, bevor das von den Richtern unterschriebene Urteil der Geschäftsstelle übermittelt ist. </w:t>
      </w:r>
      <w:r>
        <w:rPr>
          <w:rStyle w:val="Satznummer"/>
        </w:rPr>
        <w:t>2</w:t>
      </w:r>
      <w:r>
        <w:t xml:space="preserve">Der Antrag kann schon in der Klageschrift gestellt werden. </w:t>
      </w:r>
      <w:r>
        <w:rPr>
          <w:rStyle w:val="Satznummer"/>
        </w:rPr>
        <w:t>3</w:t>
      </w:r>
      <w:r>
        <w:t>Eine Entscheidung ohne mündliche Verhandlung ist auch insoweit zulässig, als das Vorbringen des Klägers den Klageantrag in einer Nebenforderung nicht rechtfertigt, sofern der Kläger vor der Entscheidung auf diese Möglichkeit hingewiesen worden ist.</w:t>
      </w:r>
    </w:p>
    <w:p>
      <w:pPr>
        <w:pStyle w:val="Heading4"/>
      </w:pPr>
      <w:bookmarkStart w:id="384" w:name="b383"/>
      <w:r>
        <w:t>§ 331a Entscheidung nach Aktenlage</w:t>
      </w:r>
      <w:r>
        <w:t xml:space="preserve"> </w:t>
      </w:r>
      <w:r>
        <w:rPr>
          <w:rStyle w:val="Suchmarke"/>
        </w:rPr>
        <w:t>#331a#</w:t>
      </w:r>
      <w:bookmarkEnd w:id="384"/>
    </w:p>
    <w:p>
      <w:r>
        <w:rPr>
          <w:rStyle w:val="Satznummer"/>
        </w:rPr>
        <w:t>1</w:t>
      </w:r>
      <w:r>
        <w:t xml:space="preserve">Beim Ausbleiben einer Partei im Termin zur mündlichen Verhandlung kann der Gegner statt eines Versäumnisurteils eine Entscheidung nach Lage der Akten beantragen; dem Antrag ist zu entsprechen, wenn der Sachverhalt für eine derartige Entscheidung hinreichend geklärt erscheint. </w:t>
      </w:r>
      <w:r>
        <w:rPr>
          <w:rStyle w:val="Satznummer"/>
        </w:rPr>
        <w:t>2</w:t>
      </w:r>
      <w:hyperlink w:anchor="b281" w:history="1">
        <w:r>
          <w:rPr>
            <w:color w:val="0A3A8C"/>
            <w:u w:val="single"/>
          </w:rPr>
          <w:t xml:space="preserve">§ 251a</w:t>
        </w:r>
      </w:hyperlink>
      <w:r>
        <w:t xml:space="preserve"> Abs. 2 gilt entsprechend.</w:t>
      </w:r>
    </w:p>
    <w:p>
      <w:pPr>
        <w:pStyle w:val="Heading4"/>
      </w:pPr>
      <w:bookmarkStart w:id="385" w:name="b384"/>
      <w:r>
        <w:t>§ 332 Begriff des Verhandlungstermins</w:t>
      </w:r>
      <w:r>
        <w:t xml:space="preserve"> </w:t>
      </w:r>
      <w:r>
        <w:rPr>
          <w:rStyle w:val="Suchmarke"/>
        </w:rPr>
        <w:t>#332#</w:t>
      </w:r>
      <w:bookmarkEnd w:id="385"/>
    </w:p>
    <w:p>
      <w:r>
        <w:t>Als Verhandlungstermine im Sinne der vorstehenden Paragraphen sind auch diejenigen Termine anzusehen, auf welche die mündliche Verhandlung vertagt ist oder die zu ihrer Fortsetzung vor oder nach dem Erlass eines Beweisbeschlusses bestimmt sind.</w:t>
      </w:r>
    </w:p>
    <w:p>
      <w:pPr>
        <w:pStyle w:val="Heading4"/>
      </w:pPr>
      <w:bookmarkStart w:id="386" w:name="b385"/>
      <w:r>
        <w:t>§ 333 Nichtverhandeln der erschienenen Partei</w:t>
      </w:r>
      <w:r>
        <w:t xml:space="preserve"> </w:t>
      </w:r>
      <w:r>
        <w:rPr>
          <w:rStyle w:val="Suchmarke"/>
        </w:rPr>
        <w:t>#333#</w:t>
      </w:r>
      <w:bookmarkEnd w:id="386"/>
    </w:p>
    <w:p>
      <w:r>
        <w:t>Als nicht erschienen ist auch die Partei anzusehen, die in dem Termin zwar erscheint, aber nicht verhandelt.</w:t>
      </w:r>
    </w:p>
    <w:p>
      <w:pPr>
        <w:pStyle w:val="Heading4"/>
      </w:pPr>
      <w:bookmarkStart w:id="387" w:name="b386"/>
      <w:r>
        <w:t>§ 334 Unvollständiges Verhandeln</w:t>
      </w:r>
      <w:r>
        <w:t xml:space="preserve"> </w:t>
      </w:r>
      <w:r>
        <w:rPr>
          <w:rStyle w:val="Suchmarke"/>
        </w:rPr>
        <w:t>#334#</w:t>
      </w:r>
      <w:bookmarkEnd w:id="387"/>
    </w:p>
    <w:p>
      <w:r>
        <w:t>Wenn eine Partei in dem Termin verhandelt, sich jedoch über Tatsachen, Urkunden oder Anträge auf Parteivernehmung nicht erklärt, so sind die Vorschriften dieses Titels nicht anzuwenden.</w:t>
      </w:r>
    </w:p>
    <w:p>
      <w:pPr>
        <w:pStyle w:val="Heading4"/>
      </w:pPr>
      <w:bookmarkStart w:id="388" w:name="b387"/>
      <w:r>
        <w:t>§ 335 Unzulässigkeit einer Versäumnisentscheidung</w:t>
      </w:r>
      <w:r>
        <w:t xml:space="preserve"> </w:t>
      </w:r>
      <w:r>
        <w:rPr>
          <w:rStyle w:val="Suchmarke"/>
        </w:rPr>
        <w:t>#335#</w:t>
      </w:r>
      <w:bookmarkEnd w:id="388"/>
    </w:p>
    <w:p>
      <w:r>
        <w:t>(1) Der Antrag auf Erlass eines Versäumnisurteils oder einer Entscheidung nach Lage der Akten ist zurückzuweisen:</w:t>
      </w:r>
    </w:p>
    <w:p>
      <w:pPr>
        <w:tabs>
          <w:tab w:pos="567" w:val="left"/>
        </w:tabs>
        <w:ind w:left="567" w:hanging="567"/>
      </w:pPr>
      <w:r>
        <w:t>1.</w:t>
      </w:r>
      <w:r>
        <w:tab/>
      </w:r>
      <w:r>
        <w:t>wenn die erschienene Partei die vom Gericht wegen eines von Amts wegen zu berücksichtigenden Umstandes erforderte Nachweisung nicht zu beschaffen vermag;</w:t>
      </w:r>
    </w:p>
    <w:p>
      <w:pPr>
        <w:tabs>
          <w:tab w:pos="567" w:val="left"/>
        </w:tabs>
        <w:ind w:left="567" w:hanging="567"/>
      </w:pPr>
      <w:r>
        <w:t>2.</w:t>
      </w:r>
      <w:r>
        <w:tab/>
      </w:r>
      <w:r>
        <w:t>wenn die nicht erschienene Partei nicht ordnungsmäßig, insbesondere nicht rechtzeitig geladen war;</w:t>
      </w:r>
    </w:p>
    <w:p>
      <w:pPr>
        <w:tabs>
          <w:tab w:pos="567" w:val="left"/>
        </w:tabs>
        <w:ind w:left="567" w:hanging="567"/>
      </w:pPr>
      <w:r>
        <w:t>3.</w:t>
      </w:r>
      <w:r>
        <w:tab/>
      </w:r>
      <w:r>
        <w:t>wenn der nicht erschienenen Partei ein tatsächliches mündliches Vorbringen oder ein Antrag nicht rechtzeitig mittels Schriftsatzes mitgeteilt war;</w:t>
      </w:r>
    </w:p>
    <w:p>
      <w:pPr>
        <w:tabs>
          <w:tab w:pos="567" w:val="left"/>
        </w:tabs>
        <w:ind w:left="567" w:hanging="567"/>
      </w:pPr>
      <w:r>
        <w:t>4.</w:t>
      </w:r>
      <w:r>
        <w:tab/>
      </w:r>
      <w:r>
        <w:t xml:space="preserve">wenn im Falle des § 331 Abs. 3 dem Beklagten die Frist des </w:t>
      </w:r>
      <w:hyperlink w:anchor="b310" w:history="1">
        <w:r>
          <w:rPr>
            <w:color w:val="0A3A8C"/>
            <w:u w:val="single"/>
          </w:rPr>
          <w:t xml:space="preserve">§ 276</w:t>
        </w:r>
      </w:hyperlink>
      <w:r>
        <w:t xml:space="preserve"> Abs. 1 Satz 1 nicht mitgeteilt oder er nicht gemäß </w:t>
      </w:r>
      <w:hyperlink w:anchor="b310" w:history="1">
        <w:r>
          <w:rPr>
            <w:color w:val="0A3A8C"/>
            <w:u w:val="single"/>
          </w:rPr>
          <w:t xml:space="preserve">§ 276</w:t>
        </w:r>
      </w:hyperlink>
      <w:r>
        <w:t xml:space="preserve"> Abs. 2 belehrt worden ist;</w:t>
      </w:r>
    </w:p>
    <w:p>
      <w:pPr>
        <w:tabs>
          <w:tab w:pos="567" w:val="left"/>
        </w:tabs>
        <w:ind w:left="567" w:hanging="567"/>
      </w:pPr>
      <w:r>
        <w:t>5.</w:t>
      </w:r>
      <w:r>
        <w:tab/>
      </w:r>
      <w:r>
        <w:t xml:space="preserve">wenn in den Fällen des </w:t>
      </w:r>
      <w:hyperlink w:anchor="b100" w:history="1">
        <w:r>
          <w:rPr>
            <w:color w:val="0A3A8C"/>
            <w:u w:val="single"/>
          </w:rPr>
          <w:t xml:space="preserve">§ 79</w:t>
        </w:r>
      </w:hyperlink>
      <w:r>
        <w:t xml:space="preserve"> Abs. 3 die Zurückweisung des Bevollmächtigten oder die Untersagung der weiteren Vertretung erst in dem Termin erfolgt oder der nicht erschienenen Partei nicht rechtzeitig mitgeteilt worden ist.</w:t>
      </w:r>
    </w:p>
    <w:p>
      <w:r>
        <w:t>(2) Wird die Verhandlung vertagt, so ist die nicht erschienene Partei zu dem neuen Termin zu laden.</w:t>
      </w:r>
    </w:p>
    <w:p>
      <w:pPr>
        <w:pStyle w:val="Heading4"/>
      </w:pPr>
      <w:bookmarkStart w:id="389" w:name="b388"/>
      <w:r>
        <w:t>§ 336 Rechtsmittel bei Zurückweisung</w:t>
      </w:r>
      <w:r>
        <w:t xml:space="preserve"> </w:t>
      </w:r>
      <w:r>
        <w:rPr>
          <w:rStyle w:val="Suchmarke"/>
        </w:rPr>
        <w:t>#336#</w:t>
      </w:r>
      <w:bookmarkEnd w:id="389"/>
    </w:p>
    <w:p>
      <w:r>
        <w:t xml:space="preserve">(1) </w:t>
      </w:r>
      <w:r>
        <w:rPr>
          <w:rStyle w:val="Satznummer"/>
        </w:rPr>
        <w:t>1</w:t>
      </w:r>
      <w:r>
        <w:t xml:space="preserve">Gegen den Beschluss, durch den der Antrag auf Erlass des Versäumnisurteils zurückgewiesen wird, findet sofortige Beschwerde statt. </w:t>
      </w:r>
      <w:r>
        <w:rPr>
          <w:rStyle w:val="Satznummer"/>
        </w:rPr>
        <w:t>2</w:t>
      </w:r>
      <w:r>
        <w:t>Wird der Beschluss aufgehoben, so ist die nicht erschienene Partei zu dem neuen Termin nicht zu laden.</w:t>
      </w:r>
    </w:p>
    <w:p>
      <w:r>
        <w:t>(2) Die Ablehnung eines Antrages auf Entscheidung nach Lage der Akten ist unanfechtbar.</w:t>
      </w:r>
    </w:p>
    <w:p>
      <w:pPr>
        <w:pStyle w:val="Heading4"/>
      </w:pPr>
      <w:bookmarkStart w:id="390" w:name="b389"/>
      <w:r>
        <w:t>§ 337 Vertagung von Amts wegen</w:t>
      </w:r>
      <w:r>
        <w:t xml:space="preserve"> </w:t>
      </w:r>
      <w:r>
        <w:rPr>
          <w:rStyle w:val="Suchmarke"/>
        </w:rPr>
        <w:t>#337#</w:t>
      </w:r>
      <w:bookmarkEnd w:id="390"/>
    </w:p>
    <w:p>
      <w:r>
        <w:rPr>
          <w:rStyle w:val="Satznummer"/>
        </w:rPr>
        <w:t>1</w:t>
      </w:r>
      <w:r>
        <w:t xml:space="preserve">Das Gericht vertagt die Verhandlung über den Antrag auf Erlass des Versäumnisurteils oder einer Entscheidung nach Lage der Akten, wenn es dafür hält, dass die von dem Vorsitzenden bestimmte Einlassungs- oder Ladungsfrist zu kurz bemessen oder dass die Partei ohne ihr Verschulden am Erscheinen verhindert ist. </w:t>
      </w:r>
      <w:r>
        <w:rPr>
          <w:rStyle w:val="Satznummer"/>
        </w:rPr>
        <w:t>2</w:t>
      </w:r>
      <w:r>
        <w:t>Die nicht erschienene Partei ist zu dem neuen Termin zu laden.</w:t>
      </w:r>
    </w:p>
    <w:p>
      <w:pPr>
        <w:pStyle w:val="Heading4"/>
      </w:pPr>
      <w:bookmarkStart w:id="391" w:name="b390"/>
      <w:r>
        <w:t>§ 338 Einspruch</w:t>
      </w:r>
      <w:r>
        <w:t xml:space="preserve"> </w:t>
      </w:r>
      <w:r>
        <w:rPr>
          <w:rStyle w:val="Suchmarke"/>
        </w:rPr>
        <w:t>#338#</w:t>
      </w:r>
      <w:bookmarkEnd w:id="391"/>
    </w:p>
    <w:p>
      <w:r>
        <w:t>Der Partei, gegen die ein Versäumnisurteil erlassen ist, steht gegen das Urteil der Einspruch zu.</w:t>
      </w:r>
    </w:p>
    <w:p>
      <w:pPr>
        <w:pStyle w:val="Heading4"/>
      </w:pPr>
      <w:bookmarkStart w:id="392" w:name="b391"/>
      <w:r>
        <w:t>§ 339 Einspruchsfrist</w:t>
      </w:r>
      <w:r>
        <w:t xml:space="preserve"> </w:t>
      </w:r>
      <w:r>
        <w:rPr>
          <w:rStyle w:val="Suchmarke"/>
        </w:rPr>
        <w:t>#339#</w:t>
      </w:r>
      <w:bookmarkEnd w:id="392"/>
    </w:p>
    <w:p>
      <w:r>
        <w:t>(1) Die Einspruchsfrist beträgt zwei Wochen; sie ist eine Notfrist und beginnt mit der Zustellung des Versäumnisurteils.</w:t>
      </w:r>
    </w:p>
    <w:p>
      <w:r>
        <w:t xml:space="preserve">(2) </w:t>
      </w:r>
      <w:r>
        <w:rPr>
          <w:rStyle w:val="Satznummer"/>
        </w:rPr>
        <w:t>1</w:t>
      </w:r>
      <w:r>
        <w:t xml:space="preserve">Muss die Zustellung im Ausland erfolgen, so beträgt die Einspruchsfrist einen Monat. </w:t>
      </w:r>
      <w:r>
        <w:rPr>
          <w:rStyle w:val="Satznummer"/>
        </w:rPr>
        <w:t>2</w:t>
      </w:r>
      <w:r>
        <w:t>Das Gericht kann im Versäumnisurteil auch eine längere Frist bestimmen.</w:t>
      </w:r>
    </w:p>
    <w:p>
      <w:r>
        <w:t>(3) Muss die Zustellung durch öffentliche Bekanntmachung erfolgen, so hat das Gericht die Einspruchsfrist im Versäumnisurteil oder nachträglich durch besonderen Beschluss zu bestimmen.</w:t>
      </w:r>
    </w:p>
    <w:p>
      <w:pPr>
        <w:pStyle w:val="Heading4"/>
      </w:pPr>
      <w:bookmarkStart w:id="393" w:name="b392"/>
      <w:r>
        <w:t>§ 340 Einspruchsschrift</w:t>
      </w:r>
      <w:r>
        <w:t xml:space="preserve"> </w:t>
      </w:r>
      <w:r>
        <w:rPr>
          <w:rStyle w:val="Suchmarke"/>
        </w:rPr>
        <w:t>#340#</w:t>
      </w:r>
      <w:bookmarkEnd w:id="393"/>
    </w:p>
    <w:p>
      <w:r>
        <w:t>(1) Der Einspruch wird durch Einreichung der Einspruchsschrift bei dem Prozessgericht eingelegt.</w:t>
      </w:r>
    </w:p>
    <w:p>
      <w:r>
        <w:t xml:space="preserve">(2) </w:t>
      </w:r>
      <w:r>
        <w:rPr>
          <w:rStyle w:val="Satznummer"/>
        </w:rPr>
        <w:t>1</w:t>
      </w:r>
      <w:r>
        <w:t>Die Einspruchsschrift muss enthalten:</w:t>
      </w:r>
    </w:p>
    <w:p>
      <w:pPr>
        <w:tabs>
          <w:tab w:pos="567" w:val="left"/>
        </w:tabs>
        <w:ind w:left="567" w:hanging="567"/>
      </w:pPr>
      <w:r>
        <w:t>1.</w:t>
      </w:r>
      <w:r>
        <w:tab/>
      </w:r>
      <w:r>
        <w:t>die Bezeichnung des Urteils, gegen das der Einspruch gerichtet wird;</w:t>
      </w:r>
    </w:p>
    <w:p>
      <w:pPr>
        <w:tabs>
          <w:tab w:pos="567" w:val="left"/>
        </w:tabs>
        <w:ind w:left="567" w:hanging="567"/>
      </w:pPr>
      <w:r>
        <w:t>2.</w:t>
      </w:r>
      <w:r>
        <w:tab/>
      </w:r>
      <w:r>
        <w:t>die Erklärung, dass gegen dieses Urteil Einspruch eingelegt werde.</w:t>
      </w:r>
    </w:p>
    <w:p>
      <w:r>
        <w:rPr>
          <w:rStyle w:val="Satznummer"/>
        </w:rPr>
        <w:t>2</w:t>
      </w:r>
      <w:r>
        <w:t>Soll das Urteil nur zum Teil angefochten werden, so ist der Umfang der Anfechtung zu bezeichnen.</w:t>
      </w:r>
    </w:p>
    <w:p>
      <w:r>
        <w:t xml:space="preserve">(3) </w:t>
      </w:r>
      <w:r>
        <w:rPr>
          <w:rStyle w:val="Satznummer"/>
        </w:rPr>
        <w:t>1</w:t>
      </w:r>
      <w:r>
        <w:t xml:space="preserve">In der Einspruchsschrift hat die Partei ihre Angriffs- und Verteidigungsmittel, soweit es nach der Prozesslage einer sorgfältigen und auf Förderung des Verfahrens bedachten Prozessführung entspricht, sowie Rügen, die die Zulässigkeit der Klage betreffen, vorzubringen. </w:t>
      </w:r>
      <w:r>
        <w:rPr>
          <w:rStyle w:val="Satznummer"/>
        </w:rPr>
        <w:t>2</w:t>
      </w:r>
      <w:r>
        <w:t xml:space="preserve">Auf Antrag kann der Vorsitzende für die Begründung die Frist verlängern, wenn nach seiner freien Überzeugung der Rechtsstreit durch die Verlängerung nicht verzögert wird oder wenn die Partei erhebliche Gründe darlegt. </w:t>
      </w:r>
      <w:r>
        <w:rPr>
          <w:rStyle w:val="Satznummer"/>
        </w:rPr>
        <w:t>3</w:t>
      </w:r>
      <w:hyperlink w:anchor="b333" w:history="1">
        <w:r>
          <w:rPr>
            <w:color w:val="0A3A8C"/>
            <w:u w:val="single"/>
          </w:rPr>
          <w:t xml:space="preserve">§ 296</w:t>
        </w:r>
      </w:hyperlink>
      <w:r>
        <w:t xml:space="preserve"> Abs. 1, 3, 4 ist entsprechend anzuwenden. </w:t>
      </w:r>
      <w:r>
        <w:rPr>
          <w:rStyle w:val="Satznummer"/>
        </w:rPr>
        <w:t>4</w:t>
      </w:r>
      <w:r>
        <w:t>Auf die Folgen einer Fristversäumung ist bei der Zustellung des Versäumnisurteils hinzuweisen.</w:t>
      </w:r>
    </w:p>
    <w:p>
      <w:pPr>
        <w:pStyle w:val="Heading4"/>
      </w:pPr>
      <w:bookmarkStart w:id="394" w:name="b393"/>
      <w:r>
        <w:t>§ 340a Zustellung der Einspruchsschrift</w:t>
      </w:r>
      <w:r>
        <w:t xml:space="preserve"> </w:t>
      </w:r>
      <w:r>
        <w:rPr>
          <w:rStyle w:val="Suchmarke"/>
        </w:rPr>
        <w:t>#340a#</w:t>
      </w:r>
      <w:bookmarkEnd w:id="394"/>
    </w:p>
    <w:p>
      <w:r>
        <w:rPr>
          <w:rStyle w:val="Satznummer"/>
        </w:rPr>
        <w:t>1</w:t>
      </w:r>
      <w:r>
        <w:t xml:space="preserve">Die Einspruchsschrift ist der Gegenpartei zuzustellen. </w:t>
      </w:r>
      <w:r>
        <w:rPr>
          <w:rStyle w:val="Satznummer"/>
        </w:rPr>
        <w:t>2</w:t>
      </w:r>
      <w:r>
        <w:t xml:space="preserve">Dabei ist mitzuteilen, wann das Versäumnisurteil zugestellt und Einspruch eingelegt worden ist. </w:t>
      </w:r>
      <w:r>
        <w:rPr>
          <w:rStyle w:val="Satznummer"/>
        </w:rPr>
        <w:t>3</w:t>
      </w:r>
      <w:r>
        <w:t xml:space="preserve">Die erforderliche Zahl von Abschriften soll die Partei mit der Einspruchsschrift einreichen. </w:t>
      </w:r>
      <w:r>
        <w:rPr>
          <w:rStyle w:val="Satznummer"/>
        </w:rPr>
        <w:t>4</w:t>
      </w:r>
      <w:r>
        <w:t>Dies gilt nicht, wenn die Einspruchsschrift als elektronisches Dokument übermittelt wird.</w:t>
      </w:r>
    </w:p>
    <w:p>
      <w:pPr>
        <w:pStyle w:val="Heading4"/>
      </w:pPr>
      <w:bookmarkStart w:id="395" w:name="b394"/>
      <w:r>
        <w:t>§ 341 Einspruchsprüfung</w:t>
      </w:r>
      <w:r>
        <w:t xml:space="preserve"> </w:t>
      </w:r>
      <w:r>
        <w:rPr>
          <w:rStyle w:val="Suchmarke"/>
        </w:rPr>
        <w:t>#341#</w:t>
      </w:r>
      <w:bookmarkEnd w:id="395"/>
    </w:p>
    <w:p>
      <w:r>
        <w:t xml:space="preserve">(1) </w:t>
      </w:r>
      <w:r>
        <w:rPr>
          <w:rStyle w:val="Satznummer"/>
        </w:rPr>
        <w:t>1</w:t>
      </w:r>
      <w:r>
        <w:t xml:space="preserve">Das Gericht hat von Amts wegen zu prüfen, ob der Einspruch an sich statthaft und ob er in der gesetzlichen Form und Frist eingelegt ist. </w:t>
      </w:r>
      <w:r>
        <w:rPr>
          <w:rStyle w:val="Satznummer"/>
        </w:rPr>
        <w:t>2</w:t>
      </w:r>
      <w:r>
        <w:t>Fehlt es an einem dieser Erfordernisse, so ist der Einspruch als unzulässig zu verwerfen.</w:t>
      </w:r>
    </w:p>
    <w:p>
      <w:r>
        <w:t>(2) Das Urteil kann ohne mündliche Verhandlung ergehen.</w:t>
      </w:r>
    </w:p>
    <w:p>
      <w:pPr>
        <w:pStyle w:val="Heading4"/>
      </w:pPr>
      <w:bookmarkStart w:id="396" w:name="b395"/>
      <w:r>
        <w:t>§ 341a Einspruchstermin</w:t>
      </w:r>
      <w:r>
        <w:t xml:space="preserve"> </w:t>
      </w:r>
      <w:r>
        <w:rPr>
          <w:rStyle w:val="Suchmarke"/>
        </w:rPr>
        <w:t>#341a#</w:t>
      </w:r>
      <w:bookmarkEnd w:id="396"/>
    </w:p>
    <w:p>
      <w:r>
        <w:t>Wird der Einspruch nicht als unzulässig verworfen, so ist der Termin zur mündlichen Verhandlung über den Einspruch und die Hauptsache zu bestimmen und den Parteien bekannt zu machen.</w:t>
      </w:r>
    </w:p>
    <w:p>
      <w:pPr>
        <w:pStyle w:val="Heading4"/>
      </w:pPr>
      <w:bookmarkStart w:id="397" w:name="b396"/>
      <w:r>
        <w:t>§ 342 Wirkung des zulässigen Einspruchs</w:t>
      </w:r>
      <w:r>
        <w:t xml:space="preserve"> </w:t>
      </w:r>
      <w:r>
        <w:rPr>
          <w:rStyle w:val="Suchmarke"/>
        </w:rPr>
        <w:t>#342#</w:t>
      </w:r>
      <w:bookmarkEnd w:id="397"/>
    </w:p>
    <w:p>
      <w:r>
        <w:t>Ist der Einspruch zulässig, so wird der Prozess, soweit der Einspruch reicht, in die Lage zurückversetzt, in der er sich vor Eintritt der Versäumnis befand.</w:t>
      </w:r>
    </w:p>
    <w:p>
      <w:pPr>
        <w:pStyle w:val="Heading4"/>
      </w:pPr>
      <w:bookmarkStart w:id="398" w:name="b397"/>
      <w:r>
        <w:t>§ 343 Entscheidung nach Einspruch</w:t>
      </w:r>
      <w:r>
        <w:t xml:space="preserve"> </w:t>
      </w:r>
      <w:r>
        <w:rPr>
          <w:rStyle w:val="Suchmarke"/>
        </w:rPr>
        <w:t>#343#</w:t>
      </w:r>
      <w:bookmarkEnd w:id="398"/>
    </w:p>
    <w:p>
      <w:r>
        <w:rPr>
          <w:rStyle w:val="Satznummer"/>
        </w:rPr>
        <w:t>1</w:t>
      </w:r>
      <w:r>
        <w:t xml:space="preserve">Insoweit die Entscheidung, die auf Grund der neuen Verhandlung zu erlassen ist, mit der in dem Versäumnisurteil enthaltenen Entscheidung übereinstimmt, ist auszusprechen, dass diese Entscheidung aufrechtzuerhalten sei. </w:t>
      </w:r>
      <w:r>
        <w:rPr>
          <w:rStyle w:val="Satznummer"/>
        </w:rPr>
        <w:t>2</w:t>
      </w:r>
      <w:r>
        <w:t>Insoweit diese Voraussetzung nicht zutrifft, wird das Versäumnisurteil in dem neuen Urteil aufgehoben.</w:t>
      </w:r>
    </w:p>
    <w:p>
      <w:pPr>
        <w:pStyle w:val="Heading4"/>
      </w:pPr>
      <w:bookmarkStart w:id="399" w:name="b398"/>
      <w:r>
        <w:t>§ 344 Versäumniskosten</w:t>
      </w:r>
      <w:r>
        <w:t xml:space="preserve"> </w:t>
      </w:r>
      <w:r>
        <w:rPr>
          <w:rStyle w:val="Suchmarke"/>
        </w:rPr>
        <w:t>#344#</w:t>
      </w:r>
      <w:bookmarkEnd w:id="399"/>
    </w:p>
    <w:p>
      <w:r>
        <w:t>Ist das Versäumnisurteil in gesetzlicher Weise ergangen, so sind die durch die Versäumnis veranlassten Kosten, soweit sie nicht durch einen unbegründeten Widerspruch des Gegners entstanden sind, der säumigen Partei auch dann aufzuerlegen, wenn infolge des Einspruchs eine abändernde Entscheidung erlassen wird.</w:t>
      </w:r>
    </w:p>
    <w:p>
      <w:pPr>
        <w:pStyle w:val="Heading4"/>
      </w:pPr>
      <w:bookmarkStart w:id="400" w:name="b399"/>
      <w:r>
        <w:t>§ 345 Zweites Versäumnisurteil</w:t>
      </w:r>
      <w:r>
        <w:t xml:space="preserve"> </w:t>
      </w:r>
      <w:r>
        <w:rPr>
          <w:rStyle w:val="Suchmarke"/>
        </w:rPr>
        <w:t>#345#</w:t>
      </w:r>
      <w:bookmarkEnd w:id="400"/>
    </w:p>
    <w:p>
      <w:r>
        <w:t>Einer Partei, die den Einspruch eingelegt hat, aber in der zur mündlichen Verhandlung bestimmten Sitzung oder in derjenigen Sitzung, auf welche die Verhandlung vertagt ist, nicht erscheint oder nicht zur Hauptsache verhandelt, steht gegen das Versäumnisurteil, durch das der Einspruch verworfen wird, ein weiterer Einspruch nicht zu.</w:t>
      </w:r>
    </w:p>
    <w:p>
      <w:pPr>
        <w:pStyle w:val="Heading4"/>
      </w:pPr>
      <w:bookmarkStart w:id="401" w:name="b400"/>
      <w:r>
        <w:t>§ 346 Verzicht und Zurücknahme des Einspruchs</w:t>
      </w:r>
      <w:r>
        <w:t xml:space="preserve"> </w:t>
      </w:r>
      <w:r>
        <w:rPr>
          <w:rStyle w:val="Suchmarke"/>
        </w:rPr>
        <w:t>#346#</w:t>
      </w:r>
      <w:bookmarkEnd w:id="401"/>
    </w:p>
    <w:p>
      <w:r>
        <w:t>Für den Verzicht auf den Einspruch und seine Zurücknahme gelten die Vorschriften über den Verzicht auf die Berufung und über ihre Zurücknahme entsprechend.</w:t>
      </w:r>
    </w:p>
    <w:p>
      <w:pPr>
        <w:pStyle w:val="Heading4"/>
      </w:pPr>
      <w:bookmarkStart w:id="402" w:name="b401"/>
      <w:r>
        <w:t>§ 347 Verfahren bei Widerklage und Zwischenstreit</w:t>
      </w:r>
      <w:r>
        <w:t xml:space="preserve"> </w:t>
      </w:r>
      <w:r>
        <w:rPr>
          <w:rStyle w:val="Suchmarke"/>
        </w:rPr>
        <w:t>#347#</w:t>
      </w:r>
      <w:bookmarkEnd w:id="402"/>
    </w:p>
    <w:p>
      <w:r>
        <w:t>(1) Die Vorschriften dieses Titels gelten für das Verfahren, das eine Widerklage oder die Bestimmung des Betrages eines dem Grunde nach bereits festgestellten Anspruchs zum Gegenstand hat, entsprechend.</w:t>
      </w:r>
    </w:p>
    <w:p>
      <w:r>
        <w:t xml:space="preserve">(2) </w:t>
      </w:r>
      <w:r>
        <w:rPr>
          <w:rStyle w:val="Satznummer"/>
        </w:rPr>
        <w:t>1</w:t>
      </w:r>
      <w:r>
        <w:t xml:space="preserve">War ein Termin lediglich zur Verhandlung über einen Zwischenstreit bestimmt, so beschränkt sich das Versäumnisverfahren und das Versäumnisurteil auf die Erledigung dieses Zwischenstreits. </w:t>
      </w:r>
      <w:r>
        <w:rPr>
          <w:rStyle w:val="Satznummer"/>
        </w:rPr>
        <w:t>2</w:t>
      </w:r>
      <w:r>
        <w:t>Die Vorschriften dieses Titels gelten entsprechend.</w:t>
      </w:r>
    </w:p>
    <w:p>
      <w:pPr>
        <w:pStyle w:val="Heading3"/>
      </w:pPr>
      <w:bookmarkStart w:id="403" w:name="b402"/>
      <w:r>
        <w:t>Titel 4 Verfahren vor dem Einzelrichter</w:t>
      </w:r>
      <w:bookmarkEnd w:id="403"/>
    </w:p>
    <w:p>
      <w:pPr>
        <w:pStyle w:val="Heading4"/>
      </w:pPr>
      <w:bookmarkStart w:id="404" w:name="b403"/>
      <w:r>
        <w:t>§ 348 Originärer Einzelrichter</w:t>
      </w:r>
      <w:r>
        <w:t xml:space="preserve"> </w:t>
      </w:r>
      <w:r>
        <w:rPr>
          <w:rStyle w:val="Suchmarke"/>
        </w:rPr>
        <w:t>#348#</w:t>
      </w:r>
      <w:bookmarkEnd w:id="404"/>
    </w:p>
    <w:p>
      <w:r>
        <w:t xml:space="preserve">(1) </w:t>
      </w:r>
      <w:r>
        <w:rPr>
          <w:rStyle w:val="Satznummer"/>
        </w:rPr>
        <w:t>1</w:t>
      </w:r>
      <w:r>
        <w:t xml:space="preserve">Die Zivilkammer entscheidet durch eines ihrer Mitglieder als Einzelrichter. </w:t>
      </w:r>
      <w:r>
        <w:rPr>
          <w:rStyle w:val="Satznummer"/>
        </w:rPr>
        <w:t>2</w:t>
      </w:r>
      <w:r>
        <w:t>Dies gilt nicht, wenn</w:t>
      </w:r>
    </w:p>
    <w:p>
      <w:pPr>
        <w:tabs>
          <w:tab w:pos="567" w:val="left"/>
        </w:tabs>
        <w:ind w:left="567" w:hanging="567"/>
      </w:pPr>
      <w:r>
        <w:t>1.</w:t>
      </w:r>
      <w:r>
        <w:tab/>
      </w:r>
      <w:r>
        <w:t>das Mitglied Richter auf Probe ist und noch nicht über einen Zeitraum von einem Jahr geschäftsverteilungsplanmäßig Rechtsprechungsaufgaben in bürgerlichen Rechtsstreitigkeiten wahrzunehmen hatte oder</w:t>
      </w:r>
    </w:p>
    <w:p>
      <w:pPr>
        <w:tabs>
          <w:tab w:pos="567" w:val="left"/>
        </w:tabs>
        <w:ind w:left="567" w:hanging="567"/>
      </w:pPr>
      <w:r>
        <w:t>2.</w:t>
      </w:r>
      <w:r>
        <w:tab/>
      </w:r>
      <w:r>
        <w:t>die Zuständigkeit der Kammer nach § 72a Absatz 1 und 2 des Gerichtsverfassungsgesetzes oder nach dem Geschäftsverteilungsplan des Gerichts wegen der Zuordnung des Rechtsstreits zu den nachfolgenden Sachgebieten begründet ist:</w:t>
      </w:r>
    </w:p>
    <w:p>
      <w:pPr>
        <w:tabs>
          <w:tab w:pos="1134" w:val="left"/>
        </w:tabs>
        <w:ind w:left="1134" w:hanging="567"/>
      </w:pPr>
      <w:r>
        <w:t>a)</w:t>
      </w:r>
      <w:r>
        <w:tab/>
      </w:r>
      <w:r>
        <w:t>(weggefallen)</w:t>
      </w:r>
    </w:p>
    <w:p>
      <w:pPr>
        <w:tabs>
          <w:tab w:pos="1134" w:val="left"/>
        </w:tabs>
        <w:ind w:left="1134" w:hanging="567"/>
      </w:pPr>
      <w:r>
        <w:t>b)</w:t>
      </w:r>
      <w:r>
        <w:tab/>
      </w:r>
      <w:r>
        <w:t>Streitigkeiten aus Bank- und Finanzgeschäften;</w:t>
      </w:r>
    </w:p>
    <w:p>
      <w:pPr>
        <w:tabs>
          <w:tab w:pos="1134" w:val="left"/>
        </w:tabs>
        <w:ind w:left="1134" w:hanging="567"/>
      </w:pPr>
      <w:r>
        <w:t>c)</w:t>
      </w:r>
      <w:r>
        <w:tab/>
      </w:r>
      <w:r>
        <w:t>Streitigkeiten aus Bau- und Architektenverträgen sowie aus Ingenieurverträgen, soweit sie im Zusammenhang mit Bauleistungen stehen;</w:t>
      </w:r>
    </w:p>
    <w:p>
      <w:pPr>
        <w:tabs>
          <w:tab w:pos="1134" w:val="left"/>
        </w:tabs>
        <w:ind w:left="1134" w:hanging="567"/>
      </w:pPr>
      <w:r>
        <w:t>d)</w:t>
      </w:r>
      <w:r>
        <w:tab/>
      </w:r>
      <w:r>
        <w:t>Streitigkeiten aus der Berufstätigkeit der Rechtsanwälte, Patentanwälte, Notare, Steuerberater, Steuerbevollmächtigten, Wirtschaftsprüfer und vereidigten Buchprüfer;</w:t>
      </w:r>
    </w:p>
    <w:p>
      <w:pPr>
        <w:tabs>
          <w:tab w:pos="1134" w:val="left"/>
        </w:tabs>
        <w:ind w:left="1134" w:hanging="567"/>
      </w:pPr>
      <w:r>
        <w:t>e)</w:t>
      </w:r>
      <w:r>
        <w:tab/>
      </w:r>
      <w:r>
        <w:t>(weggefallen)</w:t>
      </w:r>
    </w:p>
    <w:p>
      <w:pPr>
        <w:tabs>
          <w:tab w:pos="1134" w:val="left"/>
        </w:tabs>
        <w:ind w:left="1134" w:hanging="567"/>
      </w:pPr>
      <w:r>
        <w:t>f)</w:t>
      </w:r>
      <w:r>
        <w:tab/>
      </w:r>
      <w:r>
        <w:t>Streitigkeiten aus Handelssachen im Sinne des § 95 des Gerichtsverfassungsgesetzes;</w:t>
      </w:r>
    </w:p>
    <w:p>
      <w:pPr>
        <w:tabs>
          <w:tab w:pos="1134" w:val="left"/>
        </w:tabs>
        <w:ind w:left="1134" w:hanging="567"/>
      </w:pPr>
      <w:r>
        <w:t>g)</w:t>
      </w:r>
      <w:r>
        <w:tab/>
      </w:r>
      <w:r>
        <w:t>Streitigkeiten über Ansprüche aus Fracht-, Speditions- und Lagergeschäften;</w:t>
      </w:r>
    </w:p>
    <w:p>
      <w:pPr>
        <w:tabs>
          <w:tab w:pos="1134" w:val="left"/>
        </w:tabs>
        <w:ind w:left="1134" w:hanging="567"/>
      </w:pPr>
      <w:r>
        <w:t>h)</w:t>
      </w:r>
      <w:r>
        <w:tab/>
      </w:r>
      <w:r>
        <w:t>Streitigkeiten aus Versicherungsvertragsverhältnissen;</w:t>
      </w:r>
    </w:p>
    <w:p>
      <w:pPr>
        <w:tabs>
          <w:tab w:pos="1134" w:val="left"/>
        </w:tabs>
        <w:ind w:left="1134" w:hanging="567"/>
      </w:pPr>
      <w:r>
        <w:t>i)</w:t>
      </w:r>
      <w:r>
        <w:tab/>
      </w:r>
      <w:r>
        <w:t>Streitigkeiten aus den Bereichen des Urheber- und Verlagsrechts;</w:t>
      </w:r>
    </w:p>
    <w:p>
      <w:pPr>
        <w:tabs>
          <w:tab w:pos="1134" w:val="left"/>
        </w:tabs>
        <w:ind w:left="1134" w:hanging="567"/>
      </w:pPr>
      <w:r>
        <w:t>j)</w:t>
      </w:r>
      <w:r>
        <w:tab/>
      </w:r>
      <w:r>
        <w:t>Streitigkeiten aus den Bereichen der Kommunikations- und Informationstechnologie;</w:t>
      </w:r>
    </w:p>
    <w:p>
      <w:pPr>
        <w:tabs>
          <w:tab w:pos="1134" w:val="left"/>
        </w:tabs>
        <w:ind w:left="1134" w:hanging="567"/>
      </w:pPr>
      <w:r>
        <w:t>k)</w:t>
      </w:r>
      <w:r>
        <w:tab/>
      </w:r>
      <w:r>
        <w:t>Streitigkeiten, die dem Landgericht ohne Rücksicht auf den Streitwert zugewiesen sind.</w:t>
      </w:r>
    </w:p>
    <w:p>
      <w:r>
        <w:t>(2) Bei Zweifeln über das Vorliegen der Voraussetzungen des Absatzes 1 entscheidet die Kammer durch unanfechtbaren Beschluss.</w:t>
      </w:r>
    </w:p>
    <w:p>
      <w:r>
        <w:t xml:space="preserve">(3) </w:t>
      </w:r>
      <w:r>
        <w:rPr>
          <w:rStyle w:val="Satznummer"/>
        </w:rPr>
        <w:t>1</w:t>
      </w:r>
      <w:r>
        <w:t>Der Einzelrichter legt den Rechtsstreit der Zivilkammer zur Entscheidung über eine Übernahme vor, wenn</w:t>
      </w:r>
    </w:p>
    <w:p>
      <w:pPr>
        <w:tabs>
          <w:tab w:pos="567" w:val="left"/>
        </w:tabs>
        <w:ind w:left="567" w:hanging="567"/>
      </w:pPr>
      <w:r>
        <w:t>1.</w:t>
      </w:r>
      <w:r>
        <w:tab/>
      </w:r>
      <w:r>
        <w:t>die Sache besondere Schwierigkeiten tatsächlicher oder rechtlicher Art aufweist,</w:t>
      </w:r>
    </w:p>
    <w:p>
      <w:pPr>
        <w:tabs>
          <w:tab w:pos="567" w:val="left"/>
        </w:tabs>
        <w:ind w:left="567" w:hanging="567"/>
      </w:pPr>
      <w:r>
        <w:t>2.</w:t>
      </w:r>
      <w:r>
        <w:tab/>
      </w:r>
      <w:r>
        <w:t>die Rechtssache grundsätzliche Bedeutung hat oder</w:t>
      </w:r>
    </w:p>
    <w:p>
      <w:pPr>
        <w:tabs>
          <w:tab w:pos="567" w:val="left"/>
        </w:tabs>
        <w:ind w:left="567" w:hanging="567"/>
      </w:pPr>
      <w:r>
        <w:t>3.</w:t>
      </w:r>
      <w:r>
        <w:tab/>
      </w:r>
      <w:r>
        <w:t>die Parteien dies übereinstimmend beantragen.</w:t>
      </w:r>
    </w:p>
    <w:p>
      <w:r>
        <w:rPr>
          <w:rStyle w:val="Satznummer"/>
        </w:rPr>
        <w:t>2</w:t>
      </w:r>
      <w:r>
        <w:t xml:space="preserve">Die Kammer übernimmt den Rechtsstreit, wenn die Voraussetzungen nach Satz 1 Nr. 1 oder 2 vorliegen. </w:t>
      </w:r>
      <w:r>
        <w:rPr>
          <w:rStyle w:val="Satznummer"/>
        </w:rPr>
        <w:t>3</w:t>
      </w:r>
      <w:r>
        <w:t xml:space="preserve">Sie entscheidet hierüber durch Beschluss. </w:t>
      </w:r>
      <w:r>
        <w:rPr>
          <w:rStyle w:val="Satznummer"/>
        </w:rPr>
        <w:t>4</w:t>
      </w:r>
      <w:r>
        <w:t>Eine Zurückübertragung auf den Einzelrichter ist ausgeschlossen.</w:t>
      </w:r>
    </w:p>
    <w:p>
      <w:r>
        <w:t>(4) Auf eine erfolgte oder unterlassene Vorlage oder Übernahme kann ein Rechtsmittel nicht gestützt werden.</w:t>
      </w:r>
    </w:p>
    <w:p>
      <w:pPr>
        <w:pStyle w:val="Heading4"/>
      </w:pPr>
      <w:bookmarkStart w:id="405" w:name="b404"/>
      <w:r>
        <w:t>§ 348a Obligatorischer Einzelrichter</w:t>
      </w:r>
      <w:r>
        <w:t xml:space="preserve"> </w:t>
      </w:r>
      <w:r>
        <w:rPr>
          <w:rStyle w:val="Suchmarke"/>
        </w:rPr>
        <w:t>#348a#</w:t>
      </w:r>
      <w:bookmarkEnd w:id="405"/>
    </w:p>
    <w:p>
      <w:r>
        <w:t xml:space="preserve">(1) Ist eine originäre Einzelrichterzuständigkeit nach </w:t>
      </w:r>
      <w:hyperlink w:anchor="b403" w:history="1">
        <w:r>
          <w:rPr>
            <w:color w:val="0A3A8C"/>
            <w:u w:val="single"/>
          </w:rPr>
          <w:t xml:space="preserve">§ 348</w:t>
        </w:r>
      </w:hyperlink>
      <w:r>
        <w:t xml:space="preserve"> Abs. 1 nicht begründet, überträgt die Zivilkammer die Sache durch Beschluss einem ihrer Mitglieder als Einzelrichter zur Entscheidung, wenn</w:t>
      </w:r>
    </w:p>
    <w:p>
      <w:pPr>
        <w:tabs>
          <w:tab w:pos="567" w:val="left"/>
        </w:tabs>
        <w:ind w:left="567" w:hanging="567"/>
      </w:pPr>
      <w:r>
        <w:t>1.</w:t>
      </w:r>
      <w:r>
        <w:tab/>
      </w:r>
      <w:r>
        <w:t>die Sache keine besonderen Schwierigkeiten tatsächlicher oder rechtlicher Art aufweist,</w:t>
      </w:r>
    </w:p>
    <w:p>
      <w:pPr>
        <w:tabs>
          <w:tab w:pos="567" w:val="left"/>
        </w:tabs>
        <w:ind w:left="567" w:hanging="567"/>
      </w:pPr>
      <w:r>
        <w:t>2.</w:t>
      </w:r>
      <w:r>
        <w:tab/>
      </w:r>
      <w:r>
        <w:t>die Rechtssache keine grundsätzliche Bedeutung hat und</w:t>
      </w:r>
    </w:p>
    <w:p>
      <w:pPr>
        <w:tabs>
          <w:tab w:pos="567" w:val="left"/>
        </w:tabs>
        <w:ind w:left="567" w:hanging="567"/>
      </w:pPr>
      <w:r>
        <w:t>3.</w:t>
      </w:r>
      <w:r>
        <w:tab/>
      </w:r>
      <w:r>
        <w:t>nicht bereits im Haupttermin vor der Zivilkammer zur Hauptsache verhandelt worden ist, es sei denn, dass inzwischen ein Vorbehalts-, Teil- oder Zwischenurteil ergangen ist.</w:t>
      </w:r>
    </w:p>
    <w:p>
      <w:r>
        <w:t xml:space="preserve">(2) </w:t>
      </w:r>
      <w:r>
        <w:rPr>
          <w:rStyle w:val="Satznummer"/>
        </w:rPr>
        <w:t>1</w:t>
      </w:r>
      <w:r>
        <w:t>Der Einzelrichter legt den Rechtsstreit der Zivilkammer zur Entscheidung über eine Übernahme vor, wenn</w:t>
      </w:r>
    </w:p>
    <w:p>
      <w:pPr>
        <w:tabs>
          <w:tab w:pos="567" w:val="left"/>
        </w:tabs>
        <w:ind w:left="567" w:hanging="567"/>
      </w:pPr>
      <w:r>
        <w:t>1.</w:t>
      </w:r>
      <w:r>
        <w:tab/>
      </w:r>
      <w:r>
        <w:t>sich aus einer wesentlichen Änderung der Prozesslage besondere tatsächliche oder rechtliche Schwierigkeiten der Sache oder die grundsätzliche Bedeutung der Rechtssache ergeben oder</w:t>
      </w:r>
    </w:p>
    <w:p>
      <w:pPr>
        <w:tabs>
          <w:tab w:pos="567" w:val="left"/>
        </w:tabs>
        <w:ind w:left="567" w:hanging="567"/>
      </w:pPr>
      <w:r>
        <w:t>2.</w:t>
      </w:r>
      <w:r>
        <w:tab/>
      </w:r>
      <w:r>
        <w:t>die Parteien dies übereinstimmend beantragen.</w:t>
      </w:r>
    </w:p>
    <w:p>
      <w:r>
        <w:rPr>
          <w:rStyle w:val="Satznummer"/>
        </w:rPr>
        <w:t>2</w:t>
      </w:r>
      <w:r>
        <w:t xml:space="preserve">Die Kammer übernimmt den Rechtsstreit, wenn die Voraussetzungen nach Satz 1 Nr. 1 vorliegen. </w:t>
      </w:r>
      <w:r>
        <w:rPr>
          <w:rStyle w:val="Satznummer"/>
        </w:rPr>
        <w:t>3</w:t>
      </w:r>
      <w:r>
        <w:t xml:space="preserve">Sie entscheidet hierüber nach Anhörung der Parteien durch Beschluss. </w:t>
      </w:r>
      <w:r>
        <w:rPr>
          <w:rStyle w:val="Satznummer"/>
        </w:rPr>
        <w:t>4</w:t>
      </w:r>
      <w:r>
        <w:t>Eine erneute Übertragung auf den Einzelrichter ist ausgeschlossen.</w:t>
      </w:r>
    </w:p>
    <w:p>
      <w:r>
        <w:t>(3) Auf eine erfolgte oder unterlassene Übertragung, Vorlage oder Übernahme kann ein Rechtsmittel nicht gestützt werden.</w:t>
      </w:r>
    </w:p>
    <w:p>
      <w:pPr>
        <w:pStyle w:val="Heading4"/>
      </w:pPr>
      <w:bookmarkStart w:id="406" w:name="b405"/>
      <w:r>
        <w:t>§ 349 Vorsitzender der Kammer für Handelssachen</w:t>
      </w:r>
      <w:r>
        <w:t xml:space="preserve"> </w:t>
      </w:r>
      <w:r>
        <w:rPr>
          <w:rStyle w:val="Suchmarke"/>
        </w:rPr>
        <w:t>#349#</w:t>
      </w:r>
      <w:bookmarkEnd w:id="406"/>
    </w:p>
    <w:p>
      <w:r>
        <w:t xml:space="preserve">(1) </w:t>
      </w:r>
      <w:r>
        <w:rPr>
          <w:rStyle w:val="Satznummer"/>
        </w:rPr>
        <w:t>1</w:t>
      </w:r>
      <w:r>
        <w:t xml:space="preserve">In der Kammer für Handelssachen hat der Vorsitzende die Sache so weit zu fördern, dass sie in einer mündlichen Verhandlung vor der Kammer erledigt werden kann. </w:t>
      </w:r>
      <w:r>
        <w:rPr>
          <w:rStyle w:val="Satznummer"/>
        </w:rPr>
        <w:t>2</w:t>
      </w:r>
      <w:r>
        <w:t>Beweise darf er nur insoweit erheben, als anzunehmen ist, dass es für die Beweiserhebung auf die besondere Sachkunde der ehrenamtlichen Richter nicht ankommt und die Kammer das Beweisergebnis auch ohne unmittelbaren Eindruck von dem Verlauf der Beweisaufnahme sachgemäß zu würdigen vermag.</w:t>
      </w:r>
    </w:p>
    <w:p>
      <w:r>
        <w:t>(2) Der Vorsitzende entscheidet</w:t>
      </w:r>
    </w:p>
    <w:p>
      <w:pPr>
        <w:tabs>
          <w:tab w:pos="567" w:val="left"/>
        </w:tabs>
        <w:ind w:left="567" w:hanging="567"/>
      </w:pPr>
      <w:r>
        <w:t>1.</w:t>
      </w:r>
      <w:r>
        <w:tab/>
      </w:r>
      <w:r>
        <w:t>über die Verweisung des Rechtsstreits;</w:t>
      </w:r>
    </w:p>
    <w:p>
      <w:pPr>
        <w:tabs>
          <w:tab w:pos="567" w:val="left"/>
        </w:tabs>
        <w:ind w:left="567" w:hanging="567"/>
      </w:pPr>
      <w:r>
        <w:t>2.</w:t>
      </w:r>
      <w:r>
        <w:tab/>
      </w:r>
      <w:r>
        <w:t>über Rügen, die die Zulässigkeit der Klage betreffen, soweit über sie abgesondert verhandelt wird;</w:t>
      </w:r>
    </w:p>
    <w:p>
      <w:pPr>
        <w:tabs>
          <w:tab w:pos="567" w:val="left"/>
        </w:tabs>
        <w:ind w:left="567" w:hanging="567"/>
      </w:pPr>
      <w:r>
        <w:t>3.</w:t>
      </w:r>
      <w:r>
        <w:tab/>
      </w:r>
      <w:r>
        <w:t>über die Aussetzung des Verfahrens;</w:t>
      </w:r>
    </w:p>
    <w:p>
      <w:pPr>
        <w:tabs>
          <w:tab w:pos="567" w:val="left"/>
        </w:tabs>
        <w:ind w:left="567" w:hanging="567"/>
      </w:pPr>
      <w:r>
        <w:t>4.</w:t>
      </w:r>
      <w:r>
        <w:tab/>
      </w:r>
      <w:r>
        <w:t>bei Zurücknahme der Klage, Verzicht auf den geltend gemachten Anspruch oder Anerkenntnis des Anspruchs;</w:t>
      </w:r>
    </w:p>
    <w:p>
      <w:pPr>
        <w:tabs>
          <w:tab w:pos="567" w:val="left"/>
        </w:tabs>
        <w:ind w:left="567" w:hanging="567"/>
      </w:pPr>
      <w:r>
        <w:t>5.</w:t>
      </w:r>
      <w:r>
        <w:tab/>
      </w:r>
      <w:r>
        <w:t>bei Säumnis einer Partei oder beider Parteien;</w:t>
      </w:r>
    </w:p>
    <w:p>
      <w:pPr>
        <w:tabs>
          <w:tab w:pos="567" w:val="left"/>
        </w:tabs>
        <w:ind w:left="567" w:hanging="567"/>
      </w:pPr>
      <w:r>
        <w:t>6.</w:t>
      </w:r>
      <w:r>
        <w:tab/>
      </w:r>
      <w:r>
        <w:t xml:space="preserve">über die Kosten des Rechtsstreits nach </w:t>
      </w:r>
      <w:hyperlink w:anchor="b114" w:history="1">
        <w:r>
          <w:rPr>
            <w:color w:val="0A3A8C"/>
            <w:u w:val="single"/>
          </w:rPr>
          <w:t xml:space="preserve">§ 91a</w:t>
        </w:r>
      </w:hyperlink>
      <w:r>
        <w:t>;</w:t>
      </w:r>
    </w:p>
    <w:p>
      <w:pPr>
        <w:tabs>
          <w:tab w:pos="567" w:val="left"/>
        </w:tabs>
        <w:ind w:left="567" w:hanging="567"/>
      </w:pPr>
      <w:r>
        <w:t>7.</w:t>
      </w:r>
      <w:r>
        <w:tab/>
      </w:r>
      <w:r>
        <w:t>im Verfahren über die Bewilligung der Prozesskostenhilfe;</w:t>
      </w:r>
    </w:p>
    <w:p>
      <w:pPr>
        <w:tabs>
          <w:tab w:pos="567" w:val="left"/>
        </w:tabs>
        <w:ind w:left="567" w:hanging="567"/>
      </w:pPr>
      <w:r>
        <w:t>8.</w:t>
      </w:r>
      <w:r>
        <w:tab/>
      </w:r>
      <w:r>
        <w:t>in Wechsel- und Scheckprozessen;</w:t>
      </w:r>
    </w:p>
    <w:p>
      <w:pPr>
        <w:tabs>
          <w:tab w:pos="567" w:val="left"/>
        </w:tabs>
        <w:ind w:left="567" w:hanging="567"/>
      </w:pPr>
      <w:r>
        <w:t>9.</w:t>
      </w:r>
      <w:r>
        <w:tab/>
      </w:r>
      <w:r>
        <w:t>über die Art einer angeordneten Sicherheitsleistung;</w:t>
      </w:r>
    </w:p>
    <w:p>
      <w:pPr>
        <w:tabs>
          <w:tab w:pos="567" w:val="left"/>
        </w:tabs>
        <w:ind w:left="567" w:hanging="567"/>
      </w:pPr>
      <w:r>
        <w:t>10.</w:t>
      </w:r>
      <w:r>
        <w:tab/>
      </w:r>
      <w:r>
        <w:t>über die einstweilige Einstellung der Zwangsvollstreckung;</w:t>
      </w:r>
    </w:p>
    <w:p>
      <w:pPr>
        <w:tabs>
          <w:tab w:pos="567" w:val="left"/>
        </w:tabs>
        <w:ind w:left="567" w:hanging="567"/>
      </w:pPr>
      <w:r>
        <w:t>11.</w:t>
      </w:r>
      <w:r>
        <w:tab/>
      </w:r>
      <w:r>
        <w:t>über den Wert des Streitgegenstandes;</w:t>
      </w:r>
    </w:p>
    <w:p>
      <w:pPr>
        <w:tabs>
          <w:tab w:pos="567" w:val="left"/>
        </w:tabs>
        <w:ind w:left="567" w:hanging="567"/>
      </w:pPr>
      <w:r>
        <w:t>12.</w:t>
      </w:r>
      <w:r>
        <w:tab/>
      </w:r>
      <w:r>
        <w:t>über Kosten, Gebühren und Auslagen.</w:t>
      </w:r>
    </w:p>
    <w:p>
      <w:r>
        <w:t>(3) Im Einverständnis der Parteien kann der Vorsitzende auch im Übrigen an Stelle der Kammer entscheiden.</w:t>
      </w:r>
    </w:p>
    <w:p>
      <w:r>
        <w:t xml:space="preserve">(4) Die </w:t>
      </w:r>
      <w:hyperlink w:anchor="b403" w:history="1">
        <w:r>
          <w:rPr>
            <w:color w:val="0A3A8C"/>
            <w:u w:val="single"/>
          </w:rPr>
          <w:t xml:space="preserve">§§ 348</w:t>
        </w:r>
      </w:hyperlink>
      <w:r>
        <w:t xml:space="preserve"> und </w:t>
      </w:r>
      <w:hyperlink w:anchor="b404" w:history="1">
        <w:r>
          <w:rPr>
            <w:color w:val="0A3A8C"/>
            <w:u w:val="single"/>
          </w:rPr>
          <w:t xml:space="preserve">348a</w:t>
        </w:r>
      </w:hyperlink>
      <w:r>
        <w:t xml:space="preserve"> sind nicht anzuwenden.</w:t>
      </w:r>
    </w:p>
    <w:p>
      <w:pPr>
        <w:pStyle w:val="Heading4"/>
      </w:pPr>
      <w:bookmarkStart w:id="407" w:name="b406"/>
      <w:r>
        <w:t>§ 350 Rechtsmittel</w:t>
      </w:r>
      <w:r>
        <w:t xml:space="preserve"> </w:t>
      </w:r>
      <w:r>
        <w:rPr>
          <w:rStyle w:val="Suchmarke"/>
        </w:rPr>
        <w:t>#350#</w:t>
      </w:r>
      <w:bookmarkEnd w:id="407"/>
    </w:p>
    <w:p>
      <w:r>
        <w:t>Für die Anfechtung der Entscheidungen des Einzelrichters (</w:t>
      </w:r>
      <w:hyperlink w:anchor="b403" w:history="1">
        <w:r>
          <w:rPr>
            <w:color w:val="0A3A8C"/>
            <w:u w:val="single"/>
          </w:rPr>
          <w:t xml:space="preserve">§§ 348</w:t>
        </w:r>
      </w:hyperlink>
      <w:r>
        <w:t xml:space="preserve">, </w:t>
      </w:r>
      <w:hyperlink w:anchor="b404" w:history="1">
        <w:r>
          <w:rPr>
            <w:color w:val="0A3A8C"/>
            <w:u w:val="single"/>
          </w:rPr>
          <w:t xml:space="preserve">348a</w:t>
        </w:r>
      </w:hyperlink>
      <w:r>
        <w:t>) und des Vorsitzenden der Kammer für Handelssachen (</w:t>
      </w:r>
      <w:hyperlink w:anchor="b405" w:history="1">
        <w:r>
          <w:rPr>
            <w:color w:val="0A3A8C"/>
            <w:u w:val="single"/>
          </w:rPr>
          <w:t xml:space="preserve">§ 349</w:t>
        </w:r>
      </w:hyperlink>
      <w:r>
        <w:t>) gelten dieselben Vorschriften wie für die Anfechtung entsprechender Entscheidungen der Kammer.</w:t>
      </w:r>
    </w:p>
    <w:p>
      <w:pPr>
        <w:pStyle w:val="Heading4"/>
      </w:pPr>
      <w:bookmarkStart w:id="408" w:name="b407"/>
      <w:r>
        <w:t>§§ 351 bis 354 (weggefallen)</w:t>
      </w:r>
      <w:bookmarkEnd w:id="408"/>
    </w:p>
    <w:p>
      <w:pPr>
        <w:pStyle w:val="Heading3"/>
      </w:pPr>
      <w:bookmarkStart w:id="409" w:name="b408"/>
      <w:r>
        <w:t>Titel 5 Allgemeine Vorschriften über die Beweisaufnahme</w:t>
      </w:r>
      <w:bookmarkEnd w:id="409"/>
    </w:p>
    <w:p>
      <w:pPr>
        <w:pStyle w:val="Heading4"/>
      </w:pPr>
      <w:bookmarkStart w:id="410" w:name="b409"/>
      <w:r>
        <w:t>§ 355 Unmittelbarkeit der Beweisaufnahme</w:t>
      </w:r>
      <w:r>
        <w:t xml:space="preserve"> </w:t>
      </w:r>
      <w:r>
        <w:rPr>
          <w:rStyle w:val="Suchmarke"/>
        </w:rPr>
        <w:t>#355#</w:t>
      </w:r>
      <w:bookmarkEnd w:id="410"/>
    </w:p>
    <w:p>
      <w:r>
        <w:t xml:space="preserve">(1) </w:t>
      </w:r>
      <w:r>
        <w:rPr>
          <w:rStyle w:val="Satznummer"/>
        </w:rPr>
        <w:t>1</w:t>
      </w:r>
      <w:r>
        <w:t xml:space="preserve">Die Beweisaufnahme erfolgt vor dem Prozessgericht. </w:t>
      </w:r>
      <w:r>
        <w:rPr>
          <w:rStyle w:val="Satznummer"/>
        </w:rPr>
        <w:t>2</w:t>
      </w:r>
      <w:r>
        <w:t>Sie ist nur in den durch dieses Gesetz bestimmten Fällen einem Mitglied des Prozessgerichts oder einem anderen Gericht zu übertragen.</w:t>
      </w:r>
    </w:p>
    <w:p>
      <w:r>
        <w:t>(2) Eine Anfechtung des Beschlusses, durch den die eine oder die andere Art der Beweisaufnahme angeordnet wird, findet nicht statt.</w:t>
      </w:r>
    </w:p>
    <w:p>
      <w:pPr>
        <w:pStyle w:val="Heading4"/>
      </w:pPr>
      <w:bookmarkStart w:id="411" w:name="b410"/>
      <w:r>
        <w:t>§ 356 Beibringungsfrist</w:t>
      </w:r>
      <w:r>
        <w:t xml:space="preserve"> </w:t>
      </w:r>
      <w:r>
        <w:rPr>
          <w:rStyle w:val="Suchmarke"/>
        </w:rPr>
        <w:t>#356#</w:t>
      </w:r>
      <w:bookmarkEnd w:id="411"/>
    </w:p>
    <w:p>
      <w:r>
        <w:t>Steht der Aufnahme des Beweises ein Hindernis von ungewisser Dauer entgegen, so ist durch Beschluss eine Frist zu bestimmen, nach deren fruchtlosem Ablauf das Beweismittel nur benutzt werden kann, wenn nach der freien Überzeugung des Gerichts dadurch das Verfahren nicht verzögert wird.</w:t>
      </w:r>
    </w:p>
    <w:p>
      <w:pPr>
        <w:pStyle w:val="Heading4"/>
      </w:pPr>
      <w:bookmarkStart w:id="412" w:name="b411"/>
      <w:r>
        <w:t>§ 357 Parteiöffentlichkeit</w:t>
      </w:r>
      <w:r>
        <w:t xml:space="preserve"> </w:t>
      </w:r>
      <w:r>
        <w:rPr>
          <w:rStyle w:val="Suchmarke"/>
        </w:rPr>
        <w:t>#357#</w:t>
      </w:r>
      <w:bookmarkEnd w:id="412"/>
    </w:p>
    <w:p>
      <w:r>
        <w:t>(1) Den Parteien ist gestattet, der Beweisaufnahme beizuwohnen.</w:t>
      </w:r>
    </w:p>
    <w:p>
      <w:r>
        <w:t xml:space="preserve">(2) </w:t>
      </w:r>
      <w:r>
        <w:rPr>
          <w:rStyle w:val="Satznummer"/>
        </w:rPr>
        <w:t>1</w:t>
      </w:r>
      <w:r>
        <w:t xml:space="preserve">Wird die Beweisaufnahme einem Mitglied des Prozessgerichts oder einem anderen Gericht übertragen, so ist die Terminsbestimmung den Parteien ohne besondere Form mitzuteilen, sofern nicht das Gericht die Zustellung anordnet. </w:t>
      </w:r>
      <w:r>
        <w:rPr>
          <w:rStyle w:val="Satznummer"/>
        </w:rPr>
        <w:t>2</w:t>
      </w:r>
      <w:r>
        <w:t>Bei Übersendung durch die Post gilt die Mitteilung am vierten Tag nach der Aufgabe zur Post als bewirkt, sofern nicht die Partei glaubhaft macht, dass ihr die Mitteilung nicht oder erst in einem späteren Zeitpunkt zugegangen ist.</w:t>
      </w:r>
    </w:p>
    <w:p>
      <w:pPr>
        <w:pStyle w:val="Heading4"/>
      </w:pPr>
      <w:bookmarkStart w:id="413" w:name="b412"/>
      <w:r>
        <w:t>§ 357a</w:t>
      </w:r>
      <w:r>
        <w:t xml:space="preserve"> </w:t>
      </w:r>
      <w:r>
        <w:rPr>
          <w:rStyle w:val="Suchmarke"/>
        </w:rPr>
        <w:t>#357a#</w:t>
      </w:r>
      <w:bookmarkEnd w:id="413"/>
    </w:p>
    <w:p>
      <w:r>
        <w:t>(weggefallen)</w:t>
      </w:r>
    </w:p>
    <w:p>
      <w:pPr>
        <w:pStyle w:val="Heading4"/>
      </w:pPr>
      <w:bookmarkStart w:id="414" w:name="b413"/>
      <w:r>
        <w:t>§ 358 Notwendigkeit eines Beweisbeschlusses</w:t>
      </w:r>
      <w:r>
        <w:t xml:space="preserve"> </w:t>
      </w:r>
      <w:r>
        <w:rPr>
          <w:rStyle w:val="Suchmarke"/>
        </w:rPr>
        <w:t>#358#</w:t>
      </w:r>
      <w:bookmarkEnd w:id="414"/>
    </w:p>
    <w:p>
      <w:r>
        <w:t>Erfordert die Beweisaufnahme ein besonderes Verfahren, so ist es durch Beweisbeschluss anzuordnen.</w:t>
      </w:r>
    </w:p>
    <w:p>
      <w:pPr>
        <w:pStyle w:val="Heading4"/>
      </w:pPr>
      <w:bookmarkStart w:id="415" w:name="b414"/>
      <w:r>
        <w:t>§ 358a Beweisbeschluss und Beweisaufnahme vor mündlicher Verhandlung</w:t>
      </w:r>
      <w:r>
        <w:t xml:space="preserve"> </w:t>
      </w:r>
      <w:r>
        <w:rPr>
          <w:rStyle w:val="Suchmarke"/>
        </w:rPr>
        <w:t>#358a#</w:t>
      </w:r>
      <w:bookmarkEnd w:id="415"/>
    </w:p>
    <w:p>
      <w:r>
        <w:rPr>
          <w:rStyle w:val="Satznummer"/>
        </w:rPr>
        <w:t>1</w:t>
      </w:r>
      <w:r>
        <w:t xml:space="preserve">Das Gericht kann schon vor der mündlichen Verhandlung einen Beweisbeschluss erlassen. </w:t>
      </w:r>
      <w:r>
        <w:rPr>
          <w:rStyle w:val="Satznummer"/>
        </w:rPr>
        <w:t>2</w:t>
      </w:r>
      <w:r>
        <w:t>Der Beschluss kann vor der mündlichen Verhandlung ausgeführt werden, soweit er anordnet</w:t>
      </w:r>
    </w:p>
    <w:p>
      <w:pPr>
        <w:tabs>
          <w:tab w:pos="567" w:val="left"/>
        </w:tabs>
        <w:ind w:left="567" w:hanging="567"/>
      </w:pPr>
      <w:r>
        <w:t>1.</w:t>
      </w:r>
      <w:r>
        <w:tab/>
      </w:r>
      <w:r>
        <w:t>eine Beweisaufnahme vor dem beauftragten oder ersuchten Richter,</w:t>
      </w:r>
    </w:p>
    <w:p>
      <w:pPr>
        <w:tabs>
          <w:tab w:pos="567" w:val="left"/>
        </w:tabs>
        <w:ind w:left="567" w:hanging="567"/>
      </w:pPr>
      <w:r>
        <w:t>2.</w:t>
      </w:r>
      <w:r>
        <w:tab/>
      </w:r>
      <w:r>
        <w:t>die Einholung amtlicher Auskünfte,</w:t>
      </w:r>
    </w:p>
    <w:p>
      <w:pPr>
        <w:tabs>
          <w:tab w:pos="567" w:val="left"/>
        </w:tabs>
        <w:ind w:left="567" w:hanging="567"/>
      </w:pPr>
      <w:r>
        <w:t>3.</w:t>
      </w:r>
      <w:r>
        <w:tab/>
      </w:r>
      <w:r>
        <w:t xml:space="preserve">eine schriftliche Beantwortung der Beweisfrage nach </w:t>
      </w:r>
      <w:hyperlink w:anchor="b438" w:history="1">
        <w:r>
          <w:rPr>
            <w:color w:val="0A3A8C"/>
            <w:u w:val="single"/>
          </w:rPr>
          <w:t xml:space="preserve">§ 377</w:t>
        </w:r>
      </w:hyperlink>
      <w:r>
        <w:t xml:space="preserve"> Abs. 3,</w:t>
      </w:r>
    </w:p>
    <w:p>
      <w:pPr>
        <w:tabs>
          <w:tab w:pos="567" w:val="left"/>
        </w:tabs>
        <w:ind w:left="567" w:hanging="567"/>
      </w:pPr>
      <w:r>
        <w:t>4.</w:t>
      </w:r>
      <w:r>
        <w:tab/>
      </w:r>
      <w:r>
        <w:t>die Begutachtung durch Sachverständige,</w:t>
      </w:r>
    </w:p>
    <w:p>
      <w:pPr>
        <w:tabs>
          <w:tab w:pos="567" w:val="left"/>
        </w:tabs>
        <w:ind w:left="567" w:hanging="567"/>
      </w:pPr>
      <w:r>
        <w:t>5.</w:t>
      </w:r>
      <w:r>
        <w:tab/>
      </w:r>
      <w:r>
        <w:t>die Einnahme eines Augenscheins.</w:t>
      </w:r>
    </w:p>
    <w:p>
      <w:pPr>
        <w:pStyle w:val="Heading4"/>
      </w:pPr>
      <w:bookmarkStart w:id="416" w:name="b415"/>
      <w:r>
        <w:t>§ 359 Inhalt des Beweisbeschlusses</w:t>
      </w:r>
      <w:r>
        <w:t xml:space="preserve"> </w:t>
      </w:r>
      <w:r>
        <w:rPr>
          <w:rStyle w:val="Suchmarke"/>
        </w:rPr>
        <w:t>#359#</w:t>
      </w:r>
      <w:bookmarkEnd w:id="416"/>
    </w:p>
    <w:p>
      <w:r>
        <w:t>Der Beweisbeschluss enthält:</w:t>
      </w:r>
    </w:p>
    <w:p>
      <w:pPr>
        <w:tabs>
          <w:tab w:pos="567" w:val="left"/>
        </w:tabs>
        <w:ind w:left="567" w:hanging="567"/>
      </w:pPr>
      <w:r>
        <w:t>1.</w:t>
      </w:r>
      <w:r>
        <w:tab/>
      </w:r>
      <w:r>
        <w:t>die Bezeichnung der streitigen Tatsachen, über die der Beweis zu erheben ist;</w:t>
      </w:r>
    </w:p>
    <w:p>
      <w:pPr>
        <w:tabs>
          <w:tab w:pos="567" w:val="left"/>
        </w:tabs>
        <w:ind w:left="567" w:hanging="567"/>
      </w:pPr>
      <w:r>
        <w:t>2.</w:t>
      </w:r>
      <w:r>
        <w:tab/>
      </w:r>
      <w:r>
        <w:t>die Bezeichnung der Beweismittel unter Benennung der zu vernehmenden Zeugen und Sachverständigen oder der zu vernehmenden Partei;</w:t>
      </w:r>
    </w:p>
    <w:p>
      <w:pPr>
        <w:tabs>
          <w:tab w:pos="567" w:val="left"/>
        </w:tabs>
        <w:ind w:left="567" w:hanging="567"/>
      </w:pPr>
      <w:r>
        <w:t>3.</w:t>
      </w:r>
      <w:r>
        <w:tab/>
      </w:r>
      <w:r>
        <w:t>die Bezeichnung der Partei, die sich auf das Beweismittel berufen hat.</w:t>
      </w:r>
    </w:p>
    <w:p>
      <w:pPr>
        <w:pStyle w:val="Heading4"/>
      </w:pPr>
      <w:bookmarkStart w:id="417" w:name="b416"/>
      <w:r>
        <w:t>§ 360 Änderung des Beweisbeschlusses</w:t>
      </w:r>
      <w:r>
        <w:t xml:space="preserve"> </w:t>
      </w:r>
      <w:r>
        <w:rPr>
          <w:rStyle w:val="Suchmarke"/>
        </w:rPr>
        <w:t>#360#</w:t>
      </w:r>
      <w:bookmarkEnd w:id="417"/>
    </w:p>
    <w:p>
      <w:r>
        <w:rPr>
          <w:rStyle w:val="Satznummer"/>
        </w:rPr>
        <w:t>1</w:t>
      </w:r>
      <w:r>
        <w:t xml:space="preserve">Vor der Erledigung des Beweisbeschlusses kann keine Partei dessen Änderung auf Grund der früheren Verhandlungen verlangen. </w:t>
      </w:r>
      <w:r>
        <w:rPr>
          <w:rStyle w:val="Satznummer"/>
        </w:rPr>
        <w:t>2</w:t>
      </w:r>
      <w:r>
        <w:t xml:space="preserve">Das Gericht kann jedoch auf Antrag einer Partei oder von Amts wegen den Beweisbeschluss auch ohne erneute mündliche Verhandlung insoweit ändern, als der Gegner zustimmt oder es sich nur um die Berichtigung oder Ergänzung der im Beschluss angegebenen Beweistatsachen oder um die Vernehmung anderer als der im Beschluss angegebenen Zeugen oder Sachverständigen handelt. </w:t>
      </w:r>
      <w:r>
        <w:rPr>
          <w:rStyle w:val="Satznummer"/>
        </w:rPr>
        <w:t>3</w:t>
      </w:r>
      <w:r>
        <w:t xml:space="preserve">Die gleiche Befugnis hat der beauftragte oder ersuchte Richter. </w:t>
      </w:r>
      <w:r>
        <w:rPr>
          <w:rStyle w:val="Satznummer"/>
        </w:rPr>
        <w:t>4</w:t>
      </w:r>
      <w:r>
        <w:t>Die Parteien sind tunlichst vorher zu hören und in jedem Fall von der Änderung unverzüglich zu benachrichtigen.</w:t>
      </w:r>
    </w:p>
    <w:p>
      <w:pPr>
        <w:pStyle w:val="Heading4"/>
      </w:pPr>
      <w:bookmarkStart w:id="418" w:name="b417"/>
      <w:r>
        <w:t>§ 361 Beweisaufnahme durch beauftragten Richter</w:t>
      </w:r>
      <w:r>
        <w:t xml:space="preserve"> </w:t>
      </w:r>
      <w:r>
        <w:rPr>
          <w:rStyle w:val="Suchmarke"/>
        </w:rPr>
        <w:t>#361#</w:t>
      </w:r>
      <w:bookmarkEnd w:id="418"/>
    </w:p>
    <w:p>
      <w:r>
        <w:t>(1) Soll die Beweisaufnahme durch ein Mitglied des Prozessgerichts erfolgen, so wird bei der Verkündung des Beweisbeschlusses durch den Vorsitzenden der beauftragte Richter bezeichnet und der Termin zur Beweisaufnahme bestimmt.</w:t>
      </w:r>
    </w:p>
    <w:p>
      <w:r>
        <w:t>(2) Ist die Terminsbestimmung unterblieben, so erfolgt sie durch den beauftragten Richter, wird er verhindert, den Auftrag zu vollziehen, so ernennt der Vorsitzende ein anderes Mitglied.</w:t>
      </w:r>
    </w:p>
    <w:p>
      <w:pPr>
        <w:pStyle w:val="Heading4"/>
      </w:pPr>
      <w:bookmarkStart w:id="419" w:name="b418"/>
      <w:r>
        <w:t>§ 362 Beweisaufnahme durch ersuchten Richter</w:t>
      </w:r>
      <w:r>
        <w:t xml:space="preserve"> </w:t>
      </w:r>
      <w:r>
        <w:rPr>
          <w:rStyle w:val="Suchmarke"/>
        </w:rPr>
        <w:t>#362#</w:t>
      </w:r>
      <w:bookmarkEnd w:id="419"/>
    </w:p>
    <w:p>
      <w:r>
        <w:t>(1) Soll die Beweisaufnahme durch ein anderes Gericht erfolgen, so ist das Ersuchungsschreiben von dem Vorsitzenden zu erlassen.</w:t>
      </w:r>
    </w:p>
    <w:p>
      <w:r>
        <w:t>(2) Die auf die Beweisaufnahme sich beziehenden Verhandlungen übermittelt der ersuchte Richter der Geschäftsstelle des Prozessgerichts in Urschrift; die Geschäftsstelle benachrichtigt die Parteien von dem Eingang.</w:t>
      </w:r>
    </w:p>
    <w:p>
      <w:pPr>
        <w:pStyle w:val="Heading4"/>
      </w:pPr>
      <w:bookmarkStart w:id="420" w:name="b419"/>
      <w:r>
        <w:t>§ 363 Beweisaufnahme im Ausland</w:t>
      </w:r>
      <w:r>
        <w:t xml:space="preserve"> </w:t>
      </w:r>
      <w:r>
        <w:rPr>
          <w:rStyle w:val="Suchmarke"/>
        </w:rPr>
        <w:t>#363#</w:t>
      </w:r>
      <w:bookmarkEnd w:id="420"/>
    </w:p>
    <w:p>
      <w:r>
        <w:t xml:space="preserve">(1) </w:t>
      </w:r>
      <w:r>
        <w:rPr>
          <w:rStyle w:val="Satznummer"/>
        </w:rPr>
        <w:t>1</w:t>
      </w:r>
      <w:r>
        <w:t xml:space="preserve">Für die Durchführung der Verordnung (EU) 2020/1783 des Europäischen Parlaments und des Rates vom 25. November 2020 über die Zusammenarbeit zwischen den Gerichten der Mitgliedstaaten auf dem Gebiet der Beweisaufnahme in Zivil- oder Handelssachen (Beweisaufnahme) (ABl. L 405 vom 2.12.2020, S. 1) in ihrer jeweils geltenden Fassung gelten die </w:t>
      </w:r>
      <w:hyperlink w:anchor="b1109" w:history="1">
        <w:r>
          <w:rPr>
            <w:color w:val="0A3A8C"/>
            <w:u w:val="single"/>
          </w:rPr>
          <w:t xml:space="preserve">§§ 1072</w:t>
        </w:r>
      </w:hyperlink>
      <w:r>
        <w:t xml:space="preserve"> und </w:t>
      </w:r>
      <w:hyperlink w:anchor="b1110" w:history="1">
        <w:r>
          <w:rPr>
            <w:color w:val="0A3A8C"/>
            <w:u w:val="single"/>
          </w:rPr>
          <w:t xml:space="preserve">1073</w:t>
        </w:r>
      </w:hyperlink>
      <w:r>
        <w:t xml:space="preserve">. </w:t>
      </w:r>
      <w:r>
        <w:rPr>
          <w:rStyle w:val="Satznummer"/>
        </w:rPr>
        <w:t>2</w:t>
      </w:r>
      <w:r>
        <w:t>Soweit die Verordnung (EU) 2020/1783 für die Beweisaufnahme im Ausland nicht maßgeblich ist, gelten hierfür die Absätze 2 und 3.</w:t>
      </w:r>
    </w:p>
    <w:p>
      <w:r>
        <w:t xml:space="preserve">(2) </w:t>
      </w:r>
      <w:r>
        <w:rPr>
          <w:rStyle w:val="Satznummer"/>
        </w:rPr>
        <w:t>1</w:t>
      </w:r>
      <w:r>
        <w:t xml:space="preserve">Die Beweisaufnahme im Ausland ist nach denjenigen völkerrechtlichen Vereinbarungen vorzunehmen, die im Verhältnis zu dem jeweiligen Staat gelten. </w:t>
      </w:r>
      <w:r>
        <w:rPr>
          <w:rStyle w:val="Satznummer"/>
        </w:rPr>
        <w:t>2</w:t>
      </w:r>
      <w:r>
        <w:t xml:space="preserve">Das Ersuchen zur Durchführung der Beweisaufnahme im Ausland ist von dem Vorsitzenden des Prozessgerichts zu stellen. </w:t>
      </w:r>
      <w:r>
        <w:rPr>
          <w:rStyle w:val="Satznummer"/>
        </w:rPr>
        <w:t>3</w:t>
      </w:r>
      <w:r>
        <w:t>Sieht eine völkerrechtliche Vereinbarung mehrere Wege zur Aufnahme von Beweisen vor, soll die Beweisaufnahme nur dann durch einen deutschen Konsularbeamten erfolgen, wenn ihre Erledigung durch die Behörden des ausländischen Staates nicht oder nicht innerhalb einer angemessenen Zeit zu erwarten ist oder ein sonstiger begründeter Ausnahmefall vorliegt.</w:t>
      </w:r>
    </w:p>
    <w:p>
      <w:r>
        <w:t xml:space="preserve">(3) </w:t>
      </w:r>
      <w:r>
        <w:rPr>
          <w:rStyle w:val="Satznummer"/>
        </w:rPr>
        <w:t>1</w:t>
      </w:r>
      <w:r>
        <w:t xml:space="preserve">Bestehen keine völkerrechtlichen Vereinbarungen zur Beweisaufnahme im Ausland, ersucht der Vorsitzende des Prozessgerichts die Behörden des ausländischen Staates um Aufnahme des Beweises. </w:t>
      </w:r>
      <w:r>
        <w:rPr>
          <w:rStyle w:val="Satznummer"/>
        </w:rPr>
        <w:t>2</w:t>
      </w:r>
      <w:r>
        <w:t>Ist eine Beweisaufnahme durch diese nicht oder nicht innerhalb einer angemessenen Zeit zu erwarten oder liegt sonst ein begründeter Ausnahmefall vor, so kann der Vorsitzende des Prozessgerichts deutsche Konsularbeamte um Aufnahme des Beweises ersuchen.</w:t>
      </w:r>
    </w:p>
    <w:p>
      <w:pPr>
        <w:pStyle w:val="Heading4"/>
      </w:pPr>
      <w:bookmarkStart w:id="421" w:name="b420"/>
      <w:r>
        <w:t>§ 364 Parteimitwirkung bei Beweisaufnahme im Ausland</w:t>
      </w:r>
      <w:r>
        <w:t xml:space="preserve"> </w:t>
      </w:r>
      <w:r>
        <w:rPr>
          <w:rStyle w:val="Suchmarke"/>
        </w:rPr>
        <w:t>#364#</w:t>
      </w:r>
      <w:bookmarkEnd w:id="421"/>
    </w:p>
    <w:p>
      <w:r>
        <w:t>(1) Wird eine ausländische Behörde ersucht, den Beweis aufzunehmen, so kann das Gericht anordnen, dass der Beweisführer das Ersuchungsschreiben zu besorgen und die Erledigung des Ersuchens zu betreiben habe.</w:t>
      </w:r>
    </w:p>
    <w:p>
      <w:r>
        <w:t>(2) Das Gericht kann sich auf die Anordnung beschränken, dass der Beweisführer eine den Gesetzen des fremden Staates entsprechende öffentliche Urkunde über die Beweisaufnahme beizubringen habe.</w:t>
      </w:r>
    </w:p>
    <w:p>
      <w:r>
        <w:t xml:space="preserve">(3) </w:t>
      </w:r>
      <w:r>
        <w:rPr>
          <w:rStyle w:val="Satznummer"/>
        </w:rPr>
        <w:t>1</w:t>
      </w:r>
      <w:r>
        <w:t xml:space="preserve">In beiden Fällen ist in dem Beweisbeschluss eine Frist zu bestimmen, binnen der von dem Beweisführer die Urkunde auf der Geschäftsstelle niederzulegen ist. </w:t>
      </w:r>
      <w:r>
        <w:rPr>
          <w:rStyle w:val="Satznummer"/>
        </w:rPr>
        <w:t>2</w:t>
      </w:r>
      <w:r>
        <w:t>Nach fruchtlosem Ablauf dieser Frist kann die Urkunde nur benutzt werden, wenn dadurch das Verfahren nicht verzögert wird.</w:t>
      </w:r>
    </w:p>
    <w:p>
      <w:r>
        <w:t xml:space="preserve">(4) </w:t>
      </w:r>
      <w:r>
        <w:rPr>
          <w:rStyle w:val="Satznummer"/>
        </w:rPr>
        <w:t>1</w:t>
      </w:r>
      <w:r>
        <w:t xml:space="preserve">Der Beweisführer hat den Gegner, wenn möglich, von dem Ort und der Zeit der Beweisaufnahme so zeitig in Kenntnis zu setzen, dass dieser seine Rechte in geeigneter Weise wahrzunehmen vermag. </w:t>
      </w:r>
      <w:r>
        <w:rPr>
          <w:rStyle w:val="Satznummer"/>
        </w:rPr>
        <w:t>2</w:t>
      </w:r>
      <w:r>
        <w:t>Ist die Benachrichtigung unterblieben, so hat das Gericht zu ermessen, ob und inwieweit der Beweisführer zur Benutzung der Beweisverhandlung berechtigt ist.</w:t>
      </w:r>
    </w:p>
    <w:p>
      <w:pPr>
        <w:pStyle w:val="Heading4"/>
      </w:pPr>
      <w:bookmarkStart w:id="422" w:name="b421"/>
      <w:r>
        <w:t>§ 365 Abgabe durch beauftragten oder ersuchten Richter</w:t>
      </w:r>
      <w:r>
        <w:t xml:space="preserve"> </w:t>
      </w:r>
      <w:r>
        <w:rPr>
          <w:rStyle w:val="Suchmarke"/>
        </w:rPr>
        <w:t>#365#</w:t>
      </w:r>
      <w:bookmarkEnd w:id="422"/>
    </w:p>
    <w:p>
      <w:r>
        <w:rPr>
          <w:rStyle w:val="Satznummer"/>
        </w:rPr>
        <w:t>1</w:t>
      </w:r>
      <w:r>
        <w:t xml:space="preserve">Der beauftragte oder ersuchte Richter ist ermächtigt, falls sich später Gründe ergeben, welche die Beweisaufnahme durch ein anderes Gericht sachgemäß erscheinen lassen, dieses Gericht um die Aufnahme des Beweises zu ersuchen. </w:t>
      </w:r>
      <w:r>
        <w:rPr>
          <w:rStyle w:val="Satznummer"/>
        </w:rPr>
        <w:t>2</w:t>
      </w:r>
      <w:r>
        <w:t>Die Parteien sind von dieser Verfügung in Kenntnis zu setzen.</w:t>
      </w:r>
    </w:p>
    <w:p>
      <w:pPr>
        <w:pStyle w:val="Heading4"/>
      </w:pPr>
      <w:bookmarkStart w:id="423" w:name="b422"/>
      <w:r>
        <w:t>§ 366 Zwischenstreit</w:t>
      </w:r>
      <w:r>
        <w:t xml:space="preserve"> </w:t>
      </w:r>
      <w:r>
        <w:rPr>
          <w:rStyle w:val="Suchmarke"/>
        </w:rPr>
        <w:t>#366#</w:t>
      </w:r>
      <w:bookmarkEnd w:id="423"/>
    </w:p>
    <w:p>
      <w:r>
        <w:t>(1) Erhebt sich bei der Beweisaufnahme vor einem beauftragten oder ersuchten Richter ein Streit, von dessen Erledigung die Fortsetzung der Beweisaufnahme abhängig und zu dessen Entscheidung der Richter nicht berechtigt ist, so erfolgt die Erledigung durch das Prozessgericht.</w:t>
      </w:r>
    </w:p>
    <w:p>
      <w:r>
        <w:t>(2) Der Termin zur mündlichen Verhandlung über den Zwischenstreit ist von Amts wegen zu bestimmen und den Parteien bekannt zu machen.</w:t>
      </w:r>
    </w:p>
    <w:p>
      <w:pPr>
        <w:pStyle w:val="Heading4"/>
      </w:pPr>
      <w:bookmarkStart w:id="424" w:name="b423"/>
      <w:r>
        <w:t>§ 367 Ausbleiben der Partei</w:t>
      </w:r>
      <w:r>
        <w:t xml:space="preserve"> </w:t>
      </w:r>
      <w:r>
        <w:rPr>
          <w:rStyle w:val="Suchmarke"/>
        </w:rPr>
        <w:t>#367#</w:t>
      </w:r>
      <w:bookmarkEnd w:id="424"/>
    </w:p>
    <w:p>
      <w:r>
        <w:t>(1) Erscheint eine Partei oder erscheinen beide Parteien in dem Termin zur Beweisaufnahme nicht, so ist die Beweisaufnahme gleichwohl insoweit zu bewirken, als dies nach Lage der Sache geschehen kann.</w:t>
      </w:r>
    </w:p>
    <w:p>
      <w:r>
        <w:t>(2) Eine nachträgliche Beweisaufnahme oder eine Vervollständigung der Beweisaufnahme ist bis zum Schluss derjenigen mündlichen Verhandlung, auf die das Urteil ergeht, auf Antrag anzuordnen, wenn das Verfahren dadurch nicht verzögert wird oder wenn die Partei glaubhaft macht, dass sie ohne ihr Verschulden außerstande gewesen sei, in dem früheren Termin zu erscheinen, und im Falle des Antrags auf Vervollständigung, dass durch ihr Nichterscheinen eine wesentliche Unvollständigkeit der Beweisaufnahme veranlasst sei.</w:t>
      </w:r>
    </w:p>
    <w:p>
      <w:pPr>
        <w:pStyle w:val="Heading4"/>
      </w:pPr>
      <w:bookmarkStart w:id="425" w:name="b424"/>
      <w:r>
        <w:t>§ 368 Neuer Beweistermin</w:t>
      </w:r>
      <w:r>
        <w:t xml:space="preserve"> </w:t>
      </w:r>
      <w:r>
        <w:rPr>
          <w:rStyle w:val="Suchmarke"/>
        </w:rPr>
        <w:t>#368#</w:t>
      </w:r>
      <w:bookmarkEnd w:id="425"/>
    </w:p>
    <w:p>
      <w:r>
        <w:t>Wird ein neuer Termin zur Beweisaufnahme oder zu ihrer Fortsetzung erforderlich, so ist dieser Termin, auch wenn der Beweisführer oder beide Parteien in dem früheren Termin nicht erschienen waren, von Amts wegen zu bestimmen.</w:t>
      </w:r>
    </w:p>
    <w:p>
      <w:pPr>
        <w:pStyle w:val="Heading4"/>
      </w:pPr>
      <w:bookmarkStart w:id="426" w:name="b425"/>
      <w:r>
        <w:t>§ 369 Ausländische Beweisaufnahme</w:t>
      </w:r>
      <w:r>
        <w:t xml:space="preserve"> </w:t>
      </w:r>
      <w:r>
        <w:rPr>
          <w:rStyle w:val="Suchmarke"/>
        </w:rPr>
        <w:t>#369#</w:t>
      </w:r>
      <w:bookmarkEnd w:id="426"/>
    </w:p>
    <w:p>
      <w:r>
        <w:t>Entspricht die von einer ausländischen Behörde vorgenommene Beweisaufnahme den für das Prozessgericht geltenden Gesetzen, so kann daraus, dass sie nach den ausländischen Gesetzen mangelhaft ist, kein Einwand entnommen werden.</w:t>
      </w:r>
    </w:p>
    <w:p>
      <w:pPr>
        <w:pStyle w:val="Heading4"/>
      </w:pPr>
      <w:bookmarkStart w:id="427" w:name="b426"/>
      <w:r>
        <w:t>§ 370 Fortsetzung der mündlichen Verhandlung</w:t>
      </w:r>
      <w:r>
        <w:t xml:space="preserve"> </w:t>
      </w:r>
      <w:r>
        <w:rPr>
          <w:rStyle w:val="Suchmarke"/>
        </w:rPr>
        <w:t>#370#</w:t>
      </w:r>
      <w:bookmarkEnd w:id="427"/>
    </w:p>
    <w:p>
      <w:r>
        <w:t>(1) Erfolgt die Beweisaufnahme vor dem Prozessgericht, so ist der Termin, in dem die Beweisaufnahme stattfindet, zugleich zur Fortsetzung der mündlichen Verhandlung bestimmt.</w:t>
      </w:r>
    </w:p>
    <w:p>
      <w:r>
        <w:t xml:space="preserve">(2) </w:t>
      </w:r>
      <w:r>
        <w:rPr>
          <w:rStyle w:val="Satznummer"/>
        </w:rPr>
        <w:t>1</w:t>
      </w:r>
      <w:r>
        <w:t xml:space="preserve">In dem Beweisbeschluss, der anordnet, dass die Beweisaufnahme vor einem beauftragten oder ersuchten Richter erfolgen solle, kann zugleich der Termin zur Fortsetzung der mündlichen Verhandlung vor dem Prozessgericht bestimmt werden. </w:t>
      </w:r>
      <w:r>
        <w:rPr>
          <w:rStyle w:val="Satznummer"/>
        </w:rPr>
        <w:t>2</w:t>
      </w:r>
      <w:r>
        <w:t>Ist dies nicht geschehen, so wird nach Beendigung der Beweisaufnahme dieser Termin von Amts wegen bestimmt und den Parteien bekannt gemacht.</w:t>
      </w:r>
    </w:p>
    <w:p>
      <w:pPr>
        <w:pStyle w:val="Heading3"/>
      </w:pPr>
      <w:bookmarkStart w:id="428" w:name="b427"/>
      <w:r>
        <w:t>Titel 6 Beweis durch Augenschein</w:t>
      </w:r>
      <w:bookmarkEnd w:id="428"/>
    </w:p>
    <w:p>
      <w:pPr>
        <w:pStyle w:val="Heading4"/>
      </w:pPr>
      <w:bookmarkStart w:id="429" w:name="b428"/>
      <w:r>
        <w:t>§ 371 Beweis durch Augenschein</w:t>
      </w:r>
      <w:r>
        <w:t xml:space="preserve"> </w:t>
      </w:r>
      <w:r>
        <w:rPr>
          <w:rStyle w:val="Suchmarke"/>
        </w:rPr>
        <w:t>#371#</w:t>
      </w:r>
      <w:bookmarkEnd w:id="429"/>
    </w:p>
    <w:p>
      <w:r>
        <w:t xml:space="preserve">(1) </w:t>
      </w:r>
      <w:r>
        <w:rPr>
          <w:rStyle w:val="Satznummer"/>
        </w:rPr>
        <w:t>1</w:t>
      </w:r>
      <w:r>
        <w:t xml:space="preserve">Der Beweis durch Augenschein wird durch Bezeichnung des Gegenstandes des Augenscheins und durch die Angabe der zu beweisenden Tatsachen angetreten. </w:t>
      </w:r>
      <w:r>
        <w:rPr>
          <w:rStyle w:val="Satznummer"/>
        </w:rPr>
        <w:t>2</w:t>
      </w:r>
      <w:r>
        <w:t>Ist ein elektronisches Dokument Gegenstand des Beweises, wird der Beweis durch Vorlegung oder Übermittlung der Datei angetreten.</w:t>
      </w:r>
    </w:p>
    <w:p>
      <w:r>
        <w:t xml:space="preserve">(2) </w:t>
      </w:r>
      <w:r>
        <w:rPr>
          <w:rStyle w:val="Satznummer"/>
        </w:rPr>
        <w:t>1</w:t>
      </w:r>
      <w:r>
        <w:t xml:space="preserve">Befindet sich der Gegenstand nach der Behauptung des Beweisführers nicht in seinem Besitz, so wird der Beweis außerdem durch den Antrag angetreten, zur Herbeischaffung des Gegenstandes eine Frist zu setzen oder eine Anordnung nach </w:t>
      </w:r>
      <w:hyperlink w:anchor="b181" w:history="1">
        <w:r>
          <w:rPr>
            <w:color w:val="0A3A8C"/>
            <w:u w:val="single"/>
          </w:rPr>
          <w:t xml:space="preserve">§ 144</w:t>
        </w:r>
      </w:hyperlink>
      <w:r>
        <w:t xml:space="preserve"> zu erlassen. </w:t>
      </w:r>
      <w:r>
        <w:rPr>
          <w:rStyle w:val="Satznummer"/>
        </w:rPr>
        <w:t>2</w:t>
      </w:r>
      <w:r>
        <w:t xml:space="preserve">Die </w:t>
      </w:r>
      <w:hyperlink w:anchor="b489" w:history="1">
        <w:r>
          <w:rPr>
            <w:color w:val="0A3A8C"/>
            <w:u w:val="single"/>
          </w:rPr>
          <w:t xml:space="preserve">§§ 422</w:t>
        </w:r>
      </w:hyperlink>
      <w:r>
        <w:t xml:space="preserve"> bis </w:t>
      </w:r>
      <w:hyperlink w:anchor="b499" w:history="1">
        <w:r>
          <w:rPr>
            <w:color w:val="0A3A8C"/>
            <w:u w:val="single"/>
          </w:rPr>
          <w:t xml:space="preserve">432</w:t>
        </w:r>
      </w:hyperlink>
      <w:r>
        <w:t xml:space="preserve"> gelten entsprechend.</w:t>
      </w:r>
    </w:p>
    <w:p>
      <w:r>
        <w:t>(3) Vereitelt eine Partei die ihr zumutbare Einnahme des Augenscheins, so können die Behauptungen des Gegners über die Beschaffenheit des Gegenstandes als bewiesen angesehen werden.</w:t>
      </w:r>
    </w:p>
    <w:p>
      <w:pPr>
        <w:pStyle w:val="Heading4"/>
      </w:pPr>
      <w:bookmarkStart w:id="430" w:name="b429"/>
      <w:r>
        <w:t>§ 371a Beweiskraft elektronischer Dokumente</w:t>
      </w:r>
      <w:r>
        <w:t xml:space="preserve"> </w:t>
      </w:r>
      <w:r>
        <w:rPr>
          <w:rStyle w:val="Suchmarke"/>
        </w:rPr>
        <w:t>#371a#</w:t>
      </w:r>
      <w:bookmarkEnd w:id="430"/>
    </w:p>
    <w:p>
      <w:r>
        <w:t xml:space="preserve">(1) </w:t>
      </w:r>
      <w:r>
        <w:rPr>
          <w:rStyle w:val="Satznummer"/>
        </w:rPr>
        <w:t>1</w:t>
      </w:r>
      <w:r>
        <w:t>Die Vorschriften über die Beweiskraft privater Urkunden sind entsprechend anzuwenden auf private elektronische Dokumente, die versehen sind mit</w:t>
      </w:r>
    </w:p>
    <w:p>
      <w:pPr>
        <w:tabs>
          <w:tab w:pos="567" w:val="left"/>
        </w:tabs>
        <w:ind w:left="567" w:hanging="567"/>
      </w:pPr>
      <w:r>
        <w:t>1.</w:t>
      </w:r>
      <w:r>
        <w:tab/>
      </w:r>
      <w:r>
        <w:t>einer qualifizierten elektronischen Signatur oder</w:t>
      </w:r>
    </w:p>
    <w:p>
      <w:pPr>
        <w:tabs>
          <w:tab w:pos="567" w:val="left"/>
        </w:tabs>
        <w:ind w:left="567" w:hanging="567"/>
      </w:pPr>
      <w:r>
        <w:t>2.</w:t>
      </w:r>
      <w:r>
        <w:tab/>
      </w:r>
      <w:r>
        <w:t>einer notariell beglaubigten elektronischen Unterschrift oder einem notariell beglaubigten elektronischen Handzeichen.</w:t>
      </w:r>
    </w:p>
    <w:p>
      <w:r>
        <w:rPr>
          <w:rStyle w:val="Satznummer"/>
        </w:rPr>
        <w:t>2</w:t>
      </w:r>
      <w:r>
        <w:t>Der Anschein der Echtheit einer in elektronischer Form vorliegenden Erklärung, der sich auf Grund der Prüfung der qualifizierten elektronischen Signatur nach Artikel 32 der Verordnung (EU) Nr. 910/2014 des Europäischen Parlaments und des Rates vom 23. Juli 2014 über elektronische Identifizierung und Vertrauensdienste für elektronische Transaktionen im Binnenmarkt und zur Aufhebung der Richtlinie 1999/93/EG (ABl. L 257 vom 28.8.2014, S. 73) ergibt, kann nur durch Tatsachen erschüttert werden, die ernstliche Zweifel daran begründen, dass die Erklärung von der verantwortenden Person abgegeben worden ist.</w:t>
      </w:r>
    </w:p>
    <w:p>
      <w:r>
        <w:t>(2) Hat sich eine natürliche Person bei einem ihr allein zugeordneten De-Mail-Konto sicher angemeldet (§ 4 Absatz 1 Satz 2 des De-Mail-Gesetzes), so kann für eine von diesem De-Mail-Konto versandte elektronische Nachricht der Anschein der Echtheit, der sich aus der Überprüfung der Absenderbestätigung gemäß § 5 Absatz 5 des De-Mail-Gesetzes ergibt, nur durch Tatsachen erschüttert werden, die ernstliche Zweifel daran begründen, dass die Nachricht von dieser Person mit diesem Inhalt versandt wurde.</w:t>
      </w:r>
    </w:p>
    <w:p>
      <w:r>
        <w:t xml:space="preserve">(3) </w:t>
      </w:r>
      <w:r>
        <w:rPr>
          <w:rStyle w:val="Satznummer"/>
        </w:rPr>
        <w:t>1</w:t>
      </w:r>
      <w:r>
        <w:t xml:space="preserve">Auf elektronische Dokumente, die von einer Behörde innerhalb der Grenzen ihrer Amtsbefugnisse oder von einer mit öffentlichem Glauben versehenen Person innerhalb des ihr zugewiesenen Geschäftskreises in der vorgeschriebenen Form erstellt worden sind (öffentliche elektronische Dokumente), finden die Vorschriften über die Beweiskraft öffentlicher Urkunden entsprechende Anwendung. </w:t>
      </w:r>
      <w:r>
        <w:rPr>
          <w:rStyle w:val="Satznummer"/>
        </w:rPr>
        <w:t>2</w:t>
      </w:r>
      <w:r>
        <w:t xml:space="preserve">Ist das Dokument von der Behörde mit einer qualifizierten elektronischen Signatur oder einem qualifizierten elektronischen Siegel oder von der mit öffentlichem Glauben versehenen Person mit einer qualifizierten elektronischen Signatur versehen, so gilt </w:t>
      </w:r>
      <w:hyperlink w:anchor="b504" w:history="1">
        <w:r>
          <w:rPr>
            <w:color w:val="0A3A8C"/>
            <w:u w:val="single"/>
          </w:rPr>
          <w:t xml:space="preserve">§ 437</w:t>
        </w:r>
      </w:hyperlink>
      <w:r>
        <w:t xml:space="preserve"> entsprechend. </w:t>
      </w:r>
      <w:r>
        <w:rPr>
          <w:rStyle w:val="Satznummer"/>
        </w:rPr>
        <w:t>3</w:t>
      </w:r>
      <w:r>
        <w:t xml:space="preserve">Das Gleiche gilt, wenn das Dokument im Auftrag der Behörde oder der mit öffentlichem Glauben versehenen Person durch einen akkreditierten Diensteanbieter mit seiner qualifizierten elektronischen Signatur gemäß § 5 Absatz 5 des De-Mail-Gesetzes versehen ist und die Absenderbestätigung die Behörde oder die mit öffentlichem Glauben versehene Person als Nutzer des De-Mail-Kontos ausweist. </w:t>
      </w:r>
      <w:r>
        <w:rPr>
          <w:rStyle w:val="Satznummer"/>
        </w:rPr>
        <w:t>4</w:t>
      </w:r>
      <w:r>
        <w:t xml:space="preserve">Auf ausländische öffentliche elektronische Dokumente ist </w:t>
      </w:r>
      <w:hyperlink w:anchor="b505" w:history="1">
        <w:r>
          <w:rPr>
            <w:color w:val="0A3A8C"/>
            <w:u w:val="single"/>
          </w:rPr>
          <w:t xml:space="preserve">§ 438</w:t>
        </w:r>
      </w:hyperlink>
      <w:r>
        <w:t xml:space="preserve"> entsprechend anzuwenden.</w:t>
      </w:r>
    </w:p>
    <w:p>
      <w:pPr>
        <w:pStyle w:val="Heading4"/>
      </w:pPr>
      <w:bookmarkStart w:id="431" w:name="b430"/>
      <w:r>
        <w:t>§ 371b Beweiskraft gescannter öffentlicher Urkunden</w:t>
      </w:r>
      <w:r>
        <w:t xml:space="preserve"> </w:t>
      </w:r>
      <w:r>
        <w:rPr>
          <w:rStyle w:val="Suchmarke"/>
        </w:rPr>
        <w:t>#371b#</w:t>
      </w:r>
      <w:bookmarkEnd w:id="431"/>
    </w:p>
    <w:p>
      <w:r>
        <w:rPr>
          <w:rStyle w:val="Satznummer"/>
        </w:rPr>
        <w:t>1</w:t>
      </w:r>
      <w:r>
        <w:t xml:space="preserve">Wird eine öffentliche Urkunde nach dem Stand der Technik von einer Behörde oder von einer mit öffentlichem Glauben versehenen Person in ein elektronisches Dokument übertragen und liegt die Bestätigung vor, dass das elektronische Dokument mit der Urschrift bildlich und inhaltlich übereinstimmt, finden auf das elektronische Dokument die Vorschriften über die Beweiskraft öffentlicher Urkunden entsprechende Anwendung. </w:t>
      </w:r>
      <w:r>
        <w:rPr>
          <w:rStyle w:val="Satznummer"/>
        </w:rPr>
        <w:t>2</w:t>
      </w:r>
      <w:r>
        <w:t xml:space="preserve">Sind das Dokument und die Bestätigung von der Behörde mit einer qualifizierten elektronischen Signatur oder einem qualifizierten elektronischen Siegel oder von der mit öffentlichem Glauben versehenen Person mit einer qualifizierten elektronischen Signatur versehen, so gilt </w:t>
      </w:r>
      <w:hyperlink w:anchor="b504" w:history="1">
        <w:r>
          <w:rPr>
            <w:color w:val="0A3A8C"/>
            <w:u w:val="single"/>
          </w:rPr>
          <w:t xml:space="preserve">§ 437</w:t>
        </w:r>
      </w:hyperlink>
      <w:r>
        <w:t xml:space="preserve"> entsprechend.</w:t>
      </w:r>
    </w:p>
    <w:p>
      <w:pPr>
        <w:pStyle w:val="Heading4"/>
      </w:pPr>
      <w:bookmarkStart w:id="432" w:name="b431"/>
      <w:r>
        <w:t>§ 372 Beweisaufnahme</w:t>
      </w:r>
      <w:r>
        <w:t xml:space="preserve"> </w:t>
      </w:r>
      <w:r>
        <w:rPr>
          <w:rStyle w:val="Suchmarke"/>
        </w:rPr>
        <w:t>#372#</w:t>
      </w:r>
      <w:bookmarkEnd w:id="432"/>
    </w:p>
    <w:p>
      <w:r>
        <w:t>(1) Das Prozessgericht kann anordnen, dass bei der Einnahme des Augenscheins ein oder mehrere Sachverständige zuzuziehen seien.</w:t>
      </w:r>
    </w:p>
    <w:p>
      <w:r>
        <w:t>(2) Es kann einem Mitglied des Prozessgerichts oder einem anderen Gericht die Einnahme des Augenscheins übertragen, auch die Ernennung der zuzuziehenden Sachverständigen überlassen.</w:t>
      </w:r>
    </w:p>
    <w:p>
      <w:pPr>
        <w:pStyle w:val="Heading4"/>
      </w:pPr>
      <w:bookmarkStart w:id="433" w:name="b432"/>
      <w:r>
        <w:t>§ 372a Untersuchungen zur Feststellung der Abstammung</w:t>
      </w:r>
      <w:r>
        <w:t xml:space="preserve"> </w:t>
      </w:r>
      <w:r>
        <w:rPr>
          <w:rStyle w:val="Suchmarke"/>
        </w:rPr>
        <w:t>#372a#</w:t>
      </w:r>
      <w:bookmarkEnd w:id="433"/>
    </w:p>
    <w:p>
      <w:r>
        <w:t>(1) Soweit es zur Feststellung der Abstammung erforderlich ist, hat jede Person Untersuchungen, insbesondere die Entnahme von Blutproben, zu dulden, es sei denn, dass die Untersuchung dem zu Untersuchenden nicht zugemutet werden kann.</w:t>
      </w:r>
    </w:p>
    <w:p>
      <w:r>
        <w:t xml:space="preserve">(2) </w:t>
      </w:r>
      <w:r>
        <w:rPr>
          <w:rStyle w:val="Satznummer"/>
        </w:rPr>
        <w:t>1</w:t>
      </w:r>
      <w:r>
        <w:t xml:space="preserve">Die </w:t>
      </w:r>
      <w:hyperlink w:anchor="b447" w:history="1">
        <w:r>
          <w:rPr>
            <w:color w:val="0A3A8C"/>
            <w:u w:val="single"/>
          </w:rPr>
          <w:t xml:space="preserve">§§ 386</w:t>
        </w:r>
      </w:hyperlink>
      <w:r>
        <w:t xml:space="preserve"> bis </w:t>
      </w:r>
      <w:hyperlink w:anchor="b451" w:history="1">
        <w:r>
          <w:rPr>
            <w:color w:val="0A3A8C"/>
            <w:u w:val="single"/>
          </w:rPr>
          <w:t xml:space="preserve">390</w:t>
        </w:r>
      </w:hyperlink>
      <w:r>
        <w:t xml:space="preserve"> gelten entsprechend. </w:t>
      </w:r>
      <w:r>
        <w:rPr>
          <w:rStyle w:val="Satznummer"/>
        </w:rPr>
        <w:t>2</w:t>
      </w:r>
      <w:r>
        <w:t>Bei wiederholter unberechtigter Verweigerung der Untersuchung kann auch unmittelbarer Zwang angewendet, insbesondere die zwangsweise Vorführung zur Untersuchung angeordnet werden.</w:t>
      </w:r>
    </w:p>
    <w:p>
      <w:pPr>
        <w:pStyle w:val="Heading3"/>
      </w:pPr>
      <w:bookmarkStart w:id="434" w:name="b433"/>
      <w:r>
        <w:t>Titel 7 Zeugenbeweis</w:t>
      </w:r>
      <w:bookmarkEnd w:id="434"/>
    </w:p>
    <w:p>
      <w:pPr>
        <w:pStyle w:val="Heading4"/>
      </w:pPr>
      <w:bookmarkStart w:id="435" w:name="b434"/>
      <w:r>
        <w:t>§ 373 Beweisantritt</w:t>
      </w:r>
      <w:r>
        <w:t xml:space="preserve"> </w:t>
      </w:r>
      <w:r>
        <w:rPr>
          <w:rStyle w:val="Suchmarke"/>
        </w:rPr>
        <w:t>#373#</w:t>
      </w:r>
      <w:bookmarkEnd w:id="435"/>
    </w:p>
    <w:p>
      <w:r>
        <w:t>Der Zeugenbeweis wird durch die Benennung der Zeugen und die Bezeichnung der Tatsachen, über welche die Vernehmung der Zeugen stattfinden soll, angetreten.</w:t>
      </w:r>
    </w:p>
    <w:p>
      <w:pPr>
        <w:pStyle w:val="Heading4"/>
      </w:pPr>
      <w:bookmarkStart w:id="436" w:name="b435"/>
      <w:r>
        <w:t>§ 374</w:t>
      </w:r>
      <w:r>
        <w:t xml:space="preserve"> </w:t>
      </w:r>
      <w:r>
        <w:rPr>
          <w:rStyle w:val="Suchmarke"/>
        </w:rPr>
        <w:t>#374#</w:t>
      </w:r>
      <w:bookmarkEnd w:id="436"/>
    </w:p>
    <w:p>
      <w:r>
        <w:t>(weggefallen)</w:t>
      </w:r>
    </w:p>
    <w:p>
      <w:pPr>
        <w:pStyle w:val="Heading4"/>
      </w:pPr>
      <w:bookmarkStart w:id="437" w:name="b436"/>
      <w:r>
        <w:t>§ 375 Beweisaufnahme durch beauftragten oder ersuchten Richter</w:t>
      </w:r>
      <w:r>
        <w:t xml:space="preserve"> </w:t>
      </w:r>
      <w:r>
        <w:rPr>
          <w:rStyle w:val="Suchmarke"/>
        </w:rPr>
        <w:t>#375#</w:t>
      </w:r>
      <w:bookmarkEnd w:id="437"/>
    </w:p>
    <w:p>
      <w:r>
        <w:t>(1) Die Aufnahme des Zeugenbeweises darf einem Mitglied des Prozessgerichts oder einem anderen Gericht nur übertragen werden, wenn von vornherein anzunehmen ist, dass das Prozessgericht das Beweisergebnis auch ohne unmittelbaren Eindruck von dem Verlauf der Beweisaufnahme sachgemäß zu würdigen vermag, und</w:t>
      </w:r>
    </w:p>
    <w:p>
      <w:pPr>
        <w:tabs>
          <w:tab w:pos="567" w:val="left"/>
        </w:tabs>
        <w:ind w:left="567" w:hanging="567"/>
      </w:pPr>
      <w:r>
        <w:t>1.</w:t>
      </w:r>
      <w:r>
        <w:tab/>
      </w:r>
      <w:r>
        <w:t>wenn zur Ausmittlung der Wahrheit die Vernehmung des Zeugen an Ort und Stelle dienlich erscheint oder nach gesetzlicher Vorschrift der Zeuge nicht an der Gerichtsstelle, sondern an einem anderen Ort zu vernehmen ist;</w:t>
      </w:r>
    </w:p>
    <w:p>
      <w:pPr>
        <w:tabs>
          <w:tab w:pos="567" w:val="left"/>
        </w:tabs>
        <w:ind w:left="567" w:hanging="567"/>
      </w:pPr>
      <w:r>
        <w:t>2.</w:t>
      </w:r>
      <w:r>
        <w:tab/>
      </w:r>
      <w:r>
        <w:t xml:space="preserve">wenn der Zeuge verhindert ist, vor dem Prozessgericht zu erscheinen und eine Zeugenvernehmung nach </w:t>
      </w:r>
      <w:hyperlink w:anchor="b320" w:history="1">
        <w:r>
          <w:rPr>
            <w:color w:val="0A3A8C"/>
            <w:u w:val="single"/>
          </w:rPr>
          <w:t xml:space="preserve">§ 284</w:t>
        </w:r>
      </w:hyperlink>
      <w:r>
        <w:t xml:space="preserve"> Absatz 2 und 3 nicht stattfindet;</w:t>
      </w:r>
    </w:p>
    <w:p>
      <w:pPr>
        <w:tabs>
          <w:tab w:pos="567" w:val="left"/>
        </w:tabs>
        <w:ind w:left="567" w:hanging="567"/>
      </w:pPr>
      <w:r>
        <w:t>3.</w:t>
      </w:r>
      <w:r>
        <w:tab/>
      </w:r>
      <w:r>
        <w:t xml:space="preserve">wenn dem Zeugen das Erscheinen vor dem Prozessgericht wegen großer Entfernung unter Berücksichtigung der Bedeutung seiner Aussage nicht zugemutet werden kann und eine Zeugenvernehmung nach </w:t>
      </w:r>
      <w:hyperlink w:anchor="b320" w:history="1">
        <w:r>
          <w:rPr>
            <w:color w:val="0A3A8C"/>
            <w:u w:val="single"/>
          </w:rPr>
          <w:t xml:space="preserve">§ 284</w:t>
        </w:r>
      </w:hyperlink>
      <w:r>
        <w:t xml:space="preserve"> Absatz 2 und 3 nicht stattfindet.</w:t>
      </w:r>
    </w:p>
    <w:p>
      <w:r>
        <w:t>(1a) Einem Mitglied des Prozessgerichts darf die Aufnahme des Zeugenbeweises auch dann übertragen werden, wenn dies zur Vereinfachung der Verhandlung vor dem Prozessgericht zweckmäßig erscheint und wenn von vornherein anzunehmen ist, dass das Prozessgericht das Beweisergebnis auch ohne unmittelbaren Eindruck von dem Verlauf der Beweisaufnahme sachgemäß zu würdigen vermag.</w:t>
      </w:r>
    </w:p>
    <w:p>
      <w:r>
        <w:t>(2) Der Bundespräsident ist in seiner Wohnung zu vernehmen.</w:t>
      </w:r>
    </w:p>
    <w:p>
      <w:pPr>
        <w:pStyle w:val="Heading4"/>
      </w:pPr>
      <w:bookmarkStart w:id="438" w:name="b437"/>
      <w:r>
        <w:t>§ 376 Vernehmung bei Amtsverschwiegenheit</w:t>
      </w:r>
      <w:r>
        <w:t xml:space="preserve"> </w:t>
      </w:r>
      <w:r>
        <w:rPr>
          <w:rStyle w:val="Suchmarke"/>
        </w:rPr>
        <w:t>#376#</w:t>
      </w:r>
      <w:bookmarkEnd w:id="438"/>
    </w:p>
    <w:p>
      <w:r>
        <w:t>(1) Für die Vernehmung von Richtern, Beamten und anderen Personen des öffentlichen Dienstes als Zeugen über Umstände, auf die sich ihre Pflicht zur Amtsverschwiegenheit bezieht, und für die Genehmigung zur Aussage gelten die besonderen beamtenrechtlichen Vorschriften.</w:t>
      </w:r>
    </w:p>
    <w:p>
      <w:r>
        <w:t>(2) Für die Mitglieder des Bundestages, eines Landtages, der Bundes- oder einer Landesregierung sowie für die Angestellten einer Fraktion des Bundestages oder eines Landtages gelten die für sie maßgebenden besonderen Vorschriften.</w:t>
      </w:r>
    </w:p>
    <w:p>
      <w:r>
        <w:t>(3) Eine Genehmigung in den Fällen der Absätze 1, 2 ist durch das Prozessgericht einzuholen und dem Zeugen bekannt zu machen.</w:t>
      </w:r>
    </w:p>
    <w:p>
      <w:r>
        <w:t>(4) Der Bundespräsident kann das Zeugnis verweigern, wenn die Ablegung des Zeugnisses dem Wohl des Bundes oder eines deutschen Landes Nachteile bereiten würde.</w:t>
      </w:r>
    </w:p>
    <w:p>
      <w:r>
        <w:t>(5) Diese Vorschriften gelten auch, wenn die vorgenannten Personen nicht mehr im öffentlichen Dienst oder Angestellte einer Fraktion sind oder ihre Mandate beendet sind, soweit es sich um Tatsachen handelt, die sich während ihrer Dienst-, Beschäftigungs- oder Mandatszeit ereignet haben oder ihnen während ihrer Dienst-, Beschäftigungs- oder Mandatszeit zur Kenntnis gelangt sind.</w:t>
      </w:r>
    </w:p>
    <w:p>
      <w:pPr>
        <w:pStyle w:val="Heading4"/>
      </w:pPr>
      <w:bookmarkStart w:id="439" w:name="b438"/>
      <w:r>
        <w:t>§ 377 Zeugenladung</w:t>
      </w:r>
      <w:r>
        <w:t xml:space="preserve"> </w:t>
      </w:r>
      <w:r>
        <w:rPr>
          <w:rStyle w:val="Suchmarke"/>
        </w:rPr>
        <w:t>#377#</w:t>
      </w:r>
      <w:bookmarkEnd w:id="439"/>
    </w:p>
    <w:p>
      <w:r>
        <w:t xml:space="preserve">(1) </w:t>
      </w:r>
      <w:r>
        <w:rPr>
          <w:rStyle w:val="Satznummer"/>
        </w:rPr>
        <w:t>1</w:t>
      </w:r>
      <w:r>
        <w:t xml:space="preserve">Die Ladung der Zeugen ist von der Geschäftsstelle unter Bezugnahme auf den Beweisbeschluss auszufertigen und von Amts wegen mitzuteilen. </w:t>
      </w:r>
      <w:r>
        <w:rPr>
          <w:rStyle w:val="Satznummer"/>
        </w:rPr>
        <w:t>2</w:t>
      </w:r>
      <w:r>
        <w:t>Sie wird, sofern nicht das Gericht die Zustellung anordnet, formlos übermittelt.</w:t>
      </w:r>
    </w:p>
    <w:p>
      <w:r>
        <w:t>(2) Die Ladung muss enthalten:</w:t>
      </w:r>
    </w:p>
    <w:p>
      <w:pPr>
        <w:tabs>
          <w:tab w:pos="567" w:val="left"/>
        </w:tabs>
        <w:ind w:left="567" w:hanging="567"/>
      </w:pPr>
      <w:r>
        <w:t>1.</w:t>
      </w:r>
      <w:r>
        <w:tab/>
      </w:r>
      <w:r>
        <w:t>die Bezeichnung der Parteien;</w:t>
      </w:r>
    </w:p>
    <w:p>
      <w:pPr>
        <w:tabs>
          <w:tab w:pos="567" w:val="left"/>
        </w:tabs>
        <w:ind w:left="567" w:hanging="567"/>
      </w:pPr>
      <w:r>
        <w:t>2.</w:t>
      </w:r>
      <w:r>
        <w:tab/>
      </w:r>
      <w:r>
        <w:t>den Gegenstand der Vernehmung;</w:t>
      </w:r>
    </w:p>
    <w:p>
      <w:pPr>
        <w:tabs>
          <w:tab w:pos="567" w:val="left"/>
        </w:tabs>
        <w:ind w:left="567" w:hanging="567"/>
      </w:pPr>
      <w:r>
        <w:t>3.</w:t>
      </w:r>
      <w:r>
        <w:tab/>
      </w:r>
      <w:r>
        <w:t>die Anweisung, zur Ablegung des Zeugnisses bei Vermeidung der durch das Gesetz angedrohten Ordnungsmittel in dem nach Zeit und Ort zu bezeichnenden Termin zu erscheinen;</w:t>
      </w:r>
    </w:p>
    <w:p>
      <w:pPr>
        <w:tabs>
          <w:tab w:pos="567" w:val="left"/>
        </w:tabs>
        <w:ind w:left="567" w:hanging="567"/>
      </w:pPr>
      <w:r>
        <w:t>4.</w:t>
      </w:r>
      <w:r>
        <w:tab/>
      </w:r>
      <w:r>
        <w:t xml:space="preserve">im Fall des </w:t>
      </w:r>
      <w:hyperlink w:anchor="b320" w:history="1">
        <w:r>
          <w:rPr>
            <w:color w:val="0A3A8C"/>
            <w:u w:val="single"/>
          </w:rPr>
          <w:t xml:space="preserve">§ 284</w:t>
        </w:r>
      </w:hyperlink>
      <w:r>
        <w:t xml:space="preserve"> Absatz 2 die Anweisung, zur Ablegung des Zeugnisses die Bild- und Tonübertragung sicherzustellen;</w:t>
      </w:r>
    </w:p>
    <w:p>
      <w:pPr>
        <w:tabs>
          <w:tab w:pos="567" w:val="left"/>
        </w:tabs>
        <w:ind w:left="567" w:hanging="567"/>
      </w:pPr>
      <w:r>
        <w:t>5.</w:t>
      </w:r>
      <w:r>
        <w:tab/>
      </w:r>
      <w:r>
        <w:t xml:space="preserve">im Fall des </w:t>
      </w:r>
      <w:hyperlink w:anchor="b320" w:history="1">
        <w:r>
          <w:rPr>
            <w:color w:val="0A3A8C"/>
            <w:u w:val="single"/>
          </w:rPr>
          <w:t xml:space="preserve">§ 284</w:t>
        </w:r>
      </w:hyperlink>
      <w:r>
        <w:t xml:space="preserve"> Absatz 3 die Anweisung, zur Ablegung des Zeugnisses an der zu bezeichnenden Gerichtsstelle zu erscheinen.</w:t>
      </w:r>
    </w:p>
    <w:p>
      <w:r>
        <w:t xml:space="preserve">(3) </w:t>
      </w:r>
      <w:r>
        <w:rPr>
          <w:rStyle w:val="Satznummer"/>
        </w:rPr>
        <w:t>1</w:t>
      </w:r>
      <w:r>
        <w:t xml:space="preserve">Das Gericht kann eine schriftliche Beantwortung der Beweisfrage anordnen, wenn es dies im Hinblick auf den Inhalt der Beweisfrage und die Person des Zeugen für ausreichend erachtet. </w:t>
      </w:r>
      <w:r>
        <w:rPr>
          <w:rStyle w:val="Satznummer"/>
        </w:rPr>
        <w:t>2</w:t>
      </w:r>
      <w:r>
        <w:t xml:space="preserve">Der Zeuge ist darauf hinzuweisen, dass er zur Vernehmung geladen werden kann. </w:t>
      </w:r>
      <w:r>
        <w:rPr>
          <w:rStyle w:val="Satznummer"/>
        </w:rPr>
        <w:t>3</w:t>
      </w:r>
      <w:r>
        <w:t>Das Gericht ordnet die Ladung des Zeugen an, wenn es dies zur weiteren Klärung der Beweisfrage für notwendig erachtet.</w:t>
      </w:r>
    </w:p>
    <w:p>
      <w:pPr>
        <w:pStyle w:val="Heading4"/>
      </w:pPr>
      <w:bookmarkStart w:id="440" w:name="b439"/>
      <w:r>
        <w:t>§ 378 Aussageerleichternde Unterlagen</w:t>
      </w:r>
      <w:r>
        <w:t xml:space="preserve"> </w:t>
      </w:r>
      <w:r>
        <w:rPr>
          <w:rStyle w:val="Suchmarke"/>
        </w:rPr>
        <w:t>#378#</w:t>
      </w:r>
      <w:bookmarkEnd w:id="440"/>
    </w:p>
    <w:p>
      <w:r>
        <w:t xml:space="preserve">(1) </w:t>
      </w:r>
      <w:r>
        <w:rPr>
          <w:rStyle w:val="Satznummer"/>
        </w:rPr>
        <w:t>1</w:t>
      </w:r>
      <w:r>
        <w:t xml:space="preserve">Soweit es die Aussage über seine Wahrnehmungen erleichtert, hat der Zeuge Aufzeichnungen und andere Unterlagen einzusehen und zu dem Termin mitzubringen, wenn ihm dies gestattet und zumutbar ist. </w:t>
      </w:r>
      <w:r>
        <w:rPr>
          <w:rStyle w:val="Satznummer"/>
        </w:rPr>
        <w:t>2</w:t>
      </w:r>
      <w:r>
        <w:t xml:space="preserve">Die </w:t>
      </w:r>
      <w:hyperlink w:anchor="b179" w:history="1">
        <w:r>
          <w:rPr>
            <w:color w:val="0A3A8C"/>
            <w:u w:val="single"/>
          </w:rPr>
          <w:t xml:space="preserve">§§ 142</w:t>
        </w:r>
      </w:hyperlink>
      <w:r>
        <w:t xml:space="preserve"> und </w:t>
      </w:r>
      <w:hyperlink w:anchor="b496" w:history="1">
        <w:r>
          <w:rPr>
            <w:color w:val="0A3A8C"/>
            <w:u w:val="single"/>
          </w:rPr>
          <w:t xml:space="preserve">429</w:t>
        </w:r>
      </w:hyperlink>
      <w:r>
        <w:t xml:space="preserve"> bleiben unberührt.</w:t>
      </w:r>
    </w:p>
    <w:p>
      <w:r>
        <w:t xml:space="preserve">(2) Kommt der Zeuge auf eine bestimmte Anordnung des Gerichts der Verpflichtung nach Absatz 1 nicht nach, so kann das Gericht die in </w:t>
      </w:r>
      <w:hyperlink w:anchor="b451" w:history="1">
        <w:r>
          <w:rPr>
            <w:color w:val="0A3A8C"/>
            <w:u w:val="single"/>
          </w:rPr>
          <w:t xml:space="preserve">§ 390</w:t>
        </w:r>
      </w:hyperlink>
      <w:r>
        <w:t xml:space="preserve"> bezeichneten Maßnahmen treffen; hierauf ist der Zeuge vorher hinzuweisen.</w:t>
      </w:r>
    </w:p>
    <w:p>
      <w:pPr>
        <w:pStyle w:val="Heading4"/>
      </w:pPr>
      <w:bookmarkStart w:id="441" w:name="b440"/>
      <w:r>
        <w:t>§ 379 Auslagenvorschuss</w:t>
      </w:r>
      <w:r>
        <w:t xml:space="preserve"> </w:t>
      </w:r>
      <w:r>
        <w:rPr>
          <w:rStyle w:val="Suchmarke"/>
        </w:rPr>
        <w:t>#379#</w:t>
      </w:r>
      <w:bookmarkEnd w:id="441"/>
    </w:p>
    <w:p>
      <w:r>
        <w:rPr>
          <w:rStyle w:val="Satznummer"/>
        </w:rPr>
        <w:t>1</w:t>
      </w:r>
      <w:r>
        <w:t xml:space="preserve">Das Gericht kann die Ladung des Zeugen davon abhängig machen, dass der Beweisführer einen hinreichenden Vorschuss zur Deckung der Auslagen zahlt, die der Staatskasse durch die Vernehmung des Zeugen erwachsen. </w:t>
      </w:r>
      <w:r>
        <w:rPr>
          <w:rStyle w:val="Satznummer"/>
        </w:rPr>
        <w:t>2</w:t>
      </w:r>
      <w:r>
        <w:t>Wird der Vorschuss nicht innerhalb der bestimmten Frist gezahlt, so unterbleibt die Ladung, wenn die Zahlung nicht so zeitig nachgeholt wird, dass die Vernehmung durchgeführt werden kann, ohne dass dadurch nach der freien Überzeugung des Gerichts das Verfahren verzögert wird.</w:t>
      </w:r>
    </w:p>
    <w:p>
      <w:pPr>
        <w:pStyle w:val="Heading4"/>
      </w:pPr>
      <w:bookmarkStart w:id="442" w:name="b441"/>
      <w:r>
        <w:t>§ 380 Folgen des Ausbleibens des Zeugen</w:t>
      </w:r>
      <w:r>
        <w:t xml:space="preserve"> </w:t>
      </w:r>
      <w:r>
        <w:rPr>
          <w:rStyle w:val="Suchmarke"/>
        </w:rPr>
        <w:t>#380#</w:t>
      </w:r>
      <w:bookmarkEnd w:id="442"/>
    </w:p>
    <w:p>
      <w:r>
        <w:t xml:space="preserve">(1) </w:t>
      </w:r>
      <w:r>
        <w:rPr>
          <w:rStyle w:val="Satznummer"/>
        </w:rPr>
        <w:t>1</w:t>
      </w:r>
      <w:r>
        <w:t xml:space="preserve">Einem ordnungsgemäß geladenen Zeugen, der nicht erscheint, werden, ohne dass es eines Antrages bedarf, die durch das Ausbleiben verursachten Kosten auferlegt. </w:t>
      </w:r>
      <w:r>
        <w:rPr>
          <w:rStyle w:val="Satznummer"/>
        </w:rPr>
        <w:t>2</w:t>
      </w:r>
      <w:r>
        <w:t>Zugleich wird gegen ihn ein Ordnungsgeld und für den Fall, dass dieses nicht beigetrieben werden kann, Ordnungshaft festgesetzt.</w:t>
      </w:r>
    </w:p>
    <w:p>
      <w:r>
        <w:t>(2) Im Falle wiederholten Ausbleibens wird das Ordnungsmittel noch einmal festgesetzt; auch kann die zwangsweise Vorführung des Zeugen angeordnet werden.</w:t>
      </w:r>
    </w:p>
    <w:p>
      <w:r>
        <w:t>(3) Gegen diese Beschlüsse findet die sofortige Beschwerde statt.</w:t>
      </w:r>
    </w:p>
    <w:p>
      <w:pPr>
        <w:pStyle w:val="Heading4"/>
      </w:pPr>
      <w:bookmarkStart w:id="443" w:name="b442"/>
      <w:r>
        <w:t>§ 381 Genügende Entschuldigung des Ausbleibens</w:t>
      </w:r>
      <w:r>
        <w:t xml:space="preserve"> </w:t>
      </w:r>
      <w:r>
        <w:rPr>
          <w:rStyle w:val="Suchmarke"/>
        </w:rPr>
        <w:t>#381#</w:t>
      </w:r>
      <w:bookmarkEnd w:id="443"/>
    </w:p>
    <w:p>
      <w:r>
        <w:t xml:space="preserve">(1) </w:t>
      </w:r>
      <w:r>
        <w:rPr>
          <w:rStyle w:val="Satznummer"/>
        </w:rPr>
        <w:t>1</w:t>
      </w:r>
      <w:r>
        <w:t xml:space="preserve">Die Auferlegung der Kosten und die Festsetzung eines Ordnungsmittels unterbleiben, wenn das Ausbleiben des Zeugen rechtzeitig genügend entschuldigt wird. </w:t>
      </w:r>
      <w:r>
        <w:rPr>
          <w:rStyle w:val="Satznummer"/>
        </w:rPr>
        <w:t>2</w:t>
      </w:r>
      <w:r>
        <w:t xml:space="preserve">Erfolgt die Entschuldigung nach Satz 1 nicht rechtzeitig, so unterbleiben die Auferlegung der Kosten und die Festsetzung eines Ordnungsmittels nur dann, wenn glaubhaft gemacht wird, dass den Zeugen an der Verspätung der Entschuldigung kein Verschulden trifft. </w:t>
      </w:r>
      <w:r>
        <w:rPr>
          <w:rStyle w:val="Satznummer"/>
        </w:rPr>
        <w:t>3</w:t>
      </w:r>
      <w:r>
        <w:t>Erfolgt die genügende Entschuldigung oder die Glaubhaftmachung nachträglich, so werden die getroffenen Anordnungen unter den Voraussetzungen des Satzes 2 aufgehoben.</w:t>
      </w:r>
    </w:p>
    <w:p>
      <w:r>
        <w:t>(2) Die Anzeigen und Gesuche des Zeugen können schriftlich oder zum Protokoll der Geschäftsstelle oder mündlich in dem zur Vernehmung bestimmten neuen Termin angebracht werden.</w:t>
      </w:r>
    </w:p>
    <w:p>
      <w:pPr>
        <w:pStyle w:val="Heading4"/>
      </w:pPr>
      <w:bookmarkStart w:id="444" w:name="b443"/>
      <w:r>
        <w:t>§ 382 Vernehmung an bestimmten Orten</w:t>
      </w:r>
      <w:r>
        <w:t xml:space="preserve"> </w:t>
      </w:r>
      <w:r>
        <w:rPr>
          <w:rStyle w:val="Suchmarke"/>
        </w:rPr>
        <w:t>#382#</w:t>
      </w:r>
      <w:bookmarkEnd w:id="444"/>
    </w:p>
    <w:p>
      <w:r>
        <w:t>(1) Die Mitglieder der Bundesregierung oder einer Landesregierung sind an ihrem Amtssitz oder, wenn sie sich außerhalb ihres Amtssitzes aufhalten, an ihrem Aufenthaltsort zu vernehmen.</w:t>
      </w:r>
    </w:p>
    <w:p>
      <w:r>
        <w:t>(2) Die Mitglieder des Bundestages, des Bundesrates, eines Landtages oder einer zweiten Kammer sind während ihres Aufenthaltes am Sitz der Versammlung dort zu vernehmen.</w:t>
      </w:r>
    </w:p>
    <w:p>
      <w:r>
        <w:t>(3) Zu einer Abweichung von den vorstehenden Vorschriften bedarf es:</w:t>
      </w:r>
    </w:p>
    <w:p>
      <w:pPr>
        <w:ind w:left="567"/>
      </w:pPr>
      <w:r>
        <w:t>für die Mitglieder der Bundesregierung der Genehmigung der Bundesregierung,</w:t>
      </w:r>
    </w:p>
    <w:p>
      <w:pPr>
        <w:ind w:left="567"/>
      </w:pPr>
      <w:r>
        <w:t>für die Mitglieder einer Landesregierung der Genehmigung der Landesregierung,</w:t>
      </w:r>
    </w:p>
    <w:p>
      <w:pPr>
        <w:ind w:left="567"/>
      </w:pPr>
      <w:r>
        <w:t>für die Mitglieder einer der im Absatz 2 genannten Versammlungen der Genehmigung dieser Versammlung.</w:t>
      </w:r>
    </w:p>
    <w:p>
      <w:pPr>
        <w:pStyle w:val="Heading4"/>
      </w:pPr>
      <w:bookmarkStart w:id="445" w:name="b444"/>
      <w:r>
        <w:t>§ 383 Zeugnisverweigerung aus persönlichen Gründen</w:t>
      </w:r>
      <w:r>
        <w:t xml:space="preserve"> </w:t>
      </w:r>
      <w:r>
        <w:rPr>
          <w:rStyle w:val="Suchmarke"/>
        </w:rPr>
        <w:t>#383#</w:t>
      </w:r>
      <w:bookmarkEnd w:id="445"/>
    </w:p>
    <w:p>
      <w:r>
        <w:t>(1) Zur Verweigerung des Zeugnisses sind berechtigt:</w:t>
      </w:r>
    </w:p>
    <w:p>
      <w:pPr>
        <w:tabs>
          <w:tab w:pos="567" w:val="left"/>
        </w:tabs>
        <w:ind w:left="567" w:hanging="567"/>
      </w:pPr>
      <w:r>
        <w:t>1.</w:t>
      </w:r>
      <w:r>
        <w:tab/>
      </w:r>
      <w:r>
        <w:t>der Verlobte einer Partei;</w:t>
      </w:r>
    </w:p>
    <w:p>
      <w:pPr>
        <w:tabs>
          <w:tab w:pos="567" w:val="left"/>
        </w:tabs>
        <w:ind w:left="567" w:hanging="567"/>
      </w:pPr>
      <w:r>
        <w:t>2.</w:t>
      </w:r>
      <w:r>
        <w:tab/>
      </w:r>
      <w:r>
        <w:t>der Ehegatte einer Partei, auch wenn die Ehe nicht mehr besteht;</w:t>
      </w:r>
    </w:p>
    <w:p>
      <w:pPr>
        <w:tabs>
          <w:tab w:pos="567" w:val="left"/>
        </w:tabs>
        <w:ind w:left="567" w:hanging="567"/>
      </w:pPr>
      <w:r>
        <w:t>2a.</w:t>
      </w:r>
      <w:r>
        <w:tab/>
      </w:r>
      <w:r>
        <w:t>der Lebenspartner einer Partei, auch wenn die Lebenspartnerschaft nicht mehr besteht;</w:t>
      </w:r>
    </w:p>
    <w:p>
      <w:pPr>
        <w:tabs>
          <w:tab w:pos="567" w:val="left"/>
        </w:tabs>
        <w:ind w:left="567" w:hanging="567"/>
      </w:pPr>
      <w:r>
        <w:t>3.</w:t>
      </w:r>
      <w:r>
        <w:tab/>
      </w:r>
      <w:r>
        <w:t>diejenigen, die mit einer Partei in gerader Linie verwandt oder verschwägert, in der Seitenlinie bis zum dritten Grad verwandt oder bis zum zweiten Grad verschwägert sind oder waren;</w:t>
      </w:r>
    </w:p>
    <w:p>
      <w:pPr>
        <w:tabs>
          <w:tab w:pos="567" w:val="left"/>
        </w:tabs>
        <w:ind w:left="567" w:hanging="567"/>
      </w:pPr>
      <w:r>
        <w:t>4.</w:t>
      </w:r>
      <w:r>
        <w:tab/>
      </w:r>
      <w:r>
        <w:t>Geistliche in Ansehung desjenigen, was ihnen bei der Ausübung der Seelsorge anvertraut ist;</w:t>
      </w:r>
    </w:p>
    <w:p>
      <w:pPr>
        <w:tabs>
          <w:tab w:pos="567" w:val="left"/>
        </w:tabs>
        <w:ind w:left="567" w:hanging="567"/>
      </w:pPr>
      <w:r>
        <w:t>5.</w:t>
      </w:r>
      <w:r>
        <w:tab/>
      </w:r>
      <w:r>
        <w:t>Personen, die bei der Vorbereitung, Herstellung oder Verbreitung von periodischen Druckwerken oder Rundfunksendungen berufsmäßig mitwirken oder mitgewirkt haben, über die Person des Verfassers, Einsenders oder Gewährsmanns von Beiträgen und Unterlagen sowie über die ihnen im Hinblick auf ihre Tätigkeit gemachten Mitteilungen, soweit es sich um Beiträge, Unterlagen und Mitteilungen für den redaktionellen Teil handelt;</w:t>
      </w:r>
    </w:p>
    <w:p>
      <w:pPr>
        <w:tabs>
          <w:tab w:pos="567" w:val="left"/>
        </w:tabs>
        <w:ind w:left="567" w:hanging="567"/>
      </w:pPr>
      <w:r>
        <w:t>6.</w:t>
      </w:r>
      <w:r>
        <w:tab/>
      </w:r>
      <w:r>
        <w:t>Personen, denen kraft ihres Amtes, Standes oder Gewerbes Tatsachen anvertraut sind, deren Geheimhaltung durch ihre Natur oder durch gesetzliche Vorschrift geboten ist, in Betreff der Tatsachen, auf welche die Verpflichtung zur Verschwiegenheit sich bezieht.</w:t>
      </w:r>
    </w:p>
    <w:p>
      <w:r>
        <w:t>(2) Die unter Nummern 1 bis 3 bezeichneten Personen sind vor der Vernehmung über ihr Recht zur Verweigerung des Zeugnisses zu belehren.</w:t>
      </w:r>
    </w:p>
    <w:p>
      <w:r>
        <w:t>(3) Die Vernehmung der unter Nummern 4 bis 6 bezeichneten Personen ist, auch wenn das Zeugnis nicht verweigert wird, auf Tatsachen nicht zu richten, in Ansehung welcher erhellt, dass ohne Verletzung der Verpflichtung zur Verschwiegenheit ein Zeugnis nicht abgelegt werden kann.</w:t>
      </w:r>
    </w:p>
    <w:p>
      <w:pPr>
        <w:pStyle w:val="Heading4"/>
      </w:pPr>
      <w:bookmarkStart w:id="446" w:name="b445"/>
      <w:r>
        <w:t>§ 384 Zeugnisverweigerung aus sachlichen Gründen</w:t>
      </w:r>
      <w:r>
        <w:t xml:space="preserve"> </w:t>
      </w:r>
      <w:r>
        <w:rPr>
          <w:rStyle w:val="Suchmarke"/>
        </w:rPr>
        <w:t>#384#</w:t>
      </w:r>
      <w:bookmarkEnd w:id="446"/>
    </w:p>
    <w:p>
      <w:r>
        <w:t>Das Zeugnis kann verweigert werden:</w:t>
      </w:r>
    </w:p>
    <w:p>
      <w:pPr>
        <w:tabs>
          <w:tab w:pos="567" w:val="left"/>
        </w:tabs>
        <w:ind w:left="567" w:hanging="567"/>
      </w:pPr>
      <w:r>
        <w:t>1.</w:t>
      </w:r>
      <w:r>
        <w:tab/>
      </w:r>
      <w:r>
        <w:t xml:space="preserve">über Fragen, deren Beantwortung dem Zeugen oder einer Person, zu der er in einem der im </w:t>
      </w:r>
      <w:hyperlink w:anchor="b444" w:history="1">
        <w:r>
          <w:rPr>
            <w:color w:val="0A3A8C"/>
            <w:u w:val="single"/>
          </w:rPr>
          <w:t xml:space="preserve">§ 383</w:t>
        </w:r>
      </w:hyperlink>
      <w:r>
        <w:t xml:space="preserve"> Nr. 1 bis 3 bezeichneten Verhältnisse steht, einen unmittelbaren vermögensrechtlichen Schaden verursachen würde;</w:t>
      </w:r>
    </w:p>
    <w:p>
      <w:pPr>
        <w:tabs>
          <w:tab w:pos="567" w:val="left"/>
        </w:tabs>
        <w:ind w:left="567" w:hanging="567"/>
      </w:pPr>
      <w:r>
        <w:t>2.</w:t>
      </w:r>
      <w:r>
        <w:tab/>
      </w:r>
      <w:r>
        <w:t xml:space="preserve">über Fragen, deren Beantwortung dem Zeugen oder einem seiner im </w:t>
      </w:r>
      <w:hyperlink w:anchor="b444" w:history="1">
        <w:r>
          <w:rPr>
            <w:color w:val="0A3A8C"/>
            <w:u w:val="single"/>
          </w:rPr>
          <w:t xml:space="preserve">§ 383</w:t>
        </w:r>
      </w:hyperlink>
      <w:r>
        <w:t xml:space="preserve"> Nr. 1 bis 3 bezeichneten Angehörigen zur Unehre gereichen oder die Gefahr zuziehen würde, wegen einer Straftat oder einer Ordnungswidrigkeit verfolgt zu werden;</w:t>
      </w:r>
    </w:p>
    <w:p>
      <w:pPr>
        <w:tabs>
          <w:tab w:pos="567" w:val="left"/>
        </w:tabs>
        <w:ind w:left="567" w:hanging="567"/>
      </w:pPr>
      <w:r>
        <w:t>3.</w:t>
      </w:r>
      <w:r>
        <w:tab/>
      </w:r>
      <w:r>
        <w:t>über Fragen, die der Zeuge nicht würde beantworten können, ohne ein Kunst- oder Gewerbegeheimnis zu offenbaren.</w:t>
      </w:r>
    </w:p>
    <w:p>
      <w:pPr>
        <w:pStyle w:val="Heading4"/>
      </w:pPr>
      <w:bookmarkStart w:id="447" w:name="b446"/>
      <w:r>
        <w:t>§ 385 Ausnahmen vom Zeugnisverweigerungsrecht</w:t>
      </w:r>
      <w:r>
        <w:t xml:space="preserve"> </w:t>
      </w:r>
      <w:r>
        <w:rPr>
          <w:rStyle w:val="Suchmarke"/>
        </w:rPr>
        <w:t>#385#</w:t>
      </w:r>
      <w:bookmarkEnd w:id="447"/>
    </w:p>
    <w:p>
      <w:r>
        <w:t xml:space="preserve">(1) In den Fällen des </w:t>
      </w:r>
      <w:hyperlink w:anchor="b444" w:history="1">
        <w:r>
          <w:rPr>
            <w:color w:val="0A3A8C"/>
            <w:u w:val="single"/>
          </w:rPr>
          <w:t xml:space="preserve">§ 383</w:t>
        </w:r>
      </w:hyperlink>
      <w:r>
        <w:t xml:space="preserve"> Nr. 1 bis 3 und des </w:t>
      </w:r>
      <w:hyperlink w:anchor="b445" w:history="1">
        <w:r>
          <w:rPr>
            <w:color w:val="0A3A8C"/>
            <w:u w:val="single"/>
          </w:rPr>
          <w:t xml:space="preserve">§ 384</w:t>
        </w:r>
      </w:hyperlink>
      <w:r>
        <w:t xml:space="preserve"> Nr. 1 darf der Zeuge das Zeugnis nicht verweigern:</w:t>
      </w:r>
    </w:p>
    <w:p>
      <w:pPr>
        <w:tabs>
          <w:tab w:pos="567" w:val="left"/>
        </w:tabs>
        <w:ind w:left="567" w:hanging="567"/>
      </w:pPr>
      <w:r>
        <w:t>1.</w:t>
      </w:r>
      <w:r>
        <w:tab/>
      </w:r>
      <w:r>
        <w:t>über die Errichtung und den Inhalt eines Rechtsgeschäfts, bei dessen Errichtung er als Zeuge zugezogen war;</w:t>
      </w:r>
    </w:p>
    <w:p>
      <w:pPr>
        <w:tabs>
          <w:tab w:pos="567" w:val="left"/>
        </w:tabs>
        <w:ind w:left="567" w:hanging="567"/>
      </w:pPr>
      <w:r>
        <w:t>2.</w:t>
      </w:r>
      <w:r>
        <w:tab/>
      </w:r>
      <w:r>
        <w:t>über Geburten, Verheiratungen oder Sterbefälle von Familienmitgliedern;</w:t>
      </w:r>
    </w:p>
    <w:p>
      <w:pPr>
        <w:tabs>
          <w:tab w:pos="567" w:val="left"/>
        </w:tabs>
        <w:ind w:left="567" w:hanging="567"/>
      </w:pPr>
      <w:r>
        <w:t>3.</w:t>
      </w:r>
      <w:r>
        <w:tab/>
      </w:r>
      <w:r>
        <w:t>über Tatsachen, welche die durch das Familienverhältnis bedingten Vermögensangelegenheiten betreffen;</w:t>
      </w:r>
    </w:p>
    <w:p>
      <w:pPr>
        <w:tabs>
          <w:tab w:pos="567" w:val="left"/>
        </w:tabs>
        <w:ind w:left="567" w:hanging="567"/>
      </w:pPr>
      <w:r>
        <w:t>4.</w:t>
      </w:r>
      <w:r>
        <w:tab/>
      </w:r>
      <w:r>
        <w:t>über die auf das streitige Rechtsverhältnis sich beziehenden Handlungen, die von ihm selbst als Rechtsvorgänger oder Vertreter einer Partei vorgenommen sein sollen.</w:t>
      </w:r>
    </w:p>
    <w:p>
      <w:r>
        <w:t xml:space="preserve">(2) Die im </w:t>
      </w:r>
      <w:hyperlink w:anchor="b444" w:history="1">
        <w:r>
          <w:rPr>
            <w:color w:val="0A3A8C"/>
            <w:u w:val="single"/>
          </w:rPr>
          <w:t xml:space="preserve">§ 383</w:t>
        </w:r>
      </w:hyperlink>
      <w:r>
        <w:t xml:space="preserve"> Nr. 4, 6 bezeichneten Personen dürfen das Zeugnis nicht verweigern, wenn sie von der Verpflichtung zur Verschwiegenheit entbunden sind.</w:t>
      </w:r>
    </w:p>
    <w:p>
      <w:pPr>
        <w:pStyle w:val="Heading4"/>
      </w:pPr>
      <w:bookmarkStart w:id="448" w:name="b447"/>
      <w:r>
        <w:t>§ 386 Erklärung der Zeugnisverweigerung</w:t>
      </w:r>
      <w:r>
        <w:t xml:space="preserve"> </w:t>
      </w:r>
      <w:r>
        <w:rPr>
          <w:rStyle w:val="Suchmarke"/>
        </w:rPr>
        <w:t>#386#</w:t>
      </w:r>
      <w:bookmarkEnd w:id="448"/>
    </w:p>
    <w:p>
      <w:r>
        <w:t>(1) Der Zeuge, der das Zeugnis verweigert, hat vor dem zu seiner Vernehmung bestimmten Termin schriftlich oder zum Protokoll der Geschäftsstelle oder in diesem Termin die Tatsachen, auf die er die Weigerung gründet, anzugeben und glaubhaft zu machen.</w:t>
      </w:r>
    </w:p>
    <w:p>
      <w:r>
        <w:t xml:space="preserve">(2) Zur Glaubhaftmachung genügt in den Fällen des </w:t>
      </w:r>
      <w:hyperlink w:anchor="b444" w:history="1">
        <w:r>
          <w:rPr>
            <w:color w:val="0A3A8C"/>
            <w:u w:val="single"/>
          </w:rPr>
          <w:t xml:space="preserve">§ 383</w:t>
        </w:r>
      </w:hyperlink>
      <w:r>
        <w:t xml:space="preserve"> Nr. 4, 6 die mit Berufung auf einen geleisteten Diensteid abgegebene Versicherung.</w:t>
      </w:r>
    </w:p>
    <w:p>
      <w:r>
        <w:t>(3) Hat der Zeuge seine Weigerung schriftlich oder zum Protokoll der Geschäftsstelle erklärt, so ist er nicht verpflichtet, in dem zu seiner Vernehmung bestimmten Termin zu erscheinen.</w:t>
      </w:r>
    </w:p>
    <w:p>
      <w:r>
        <w:t>(4) Von dem Eingang einer Erklärung des Zeugen oder von der Aufnahme einer solchen zum Protokoll hat die Geschäftsstelle die Parteien zu benachrichtigen.</w:t>
      </w:r>
    </w:p>
    <w:p>
      <w:pPr>
        <w:pStyle w:val="Heading4"/>
      </w:pPr>
      <w:bookmarkStart w:id="449" w:name="b448"/>
      <w:r>
        <w:t>§ 387 Zwischenstreit über Zeugnisverweigerung</w:t>
      </w:r>
      <w:r>
        <w:t xml:space="preserve"> </w:t>
      </w:r>
      <w:r>
        <w:rPr>
          <w:rStyle w:val="Suchmarke"/>
        </w:rPr>
        <w:t>#387#</w:t>
      </w:r>
      <w:bookmarkEnd w:id="449"/>
    </w:p>
    <w:p>
      <w:r>
        <w:t>(1) Über die Rechtmäßigkeit der Weigerung wird von dem Prozessgericht nach Anhörung der Parteien entschieden.</w:t>
      </w:r>
    </w:p>
    <w:p>
      <w:r>
        <w:t>(2) Der Zeuge ist nicht verpflichtet, sich durch einen Anwalt vertreten zu lassen.</w:t>
      </w:r>
    </w:p>
    <w:p>
      <w:r>
        <w:t>(3) Gegen das Zwischenurteil findet sofortige Beschwerde statt.</w:t>
      </w:r>
    </w:p>
    <w:p>
      <w:pPr>
        <w:pStyle w:val="Heading4"/>
      </w:pPr>
      <w:bookmarkStart w:id="450" w:name="b449"/>
      <w:r>
        <w:t>§ 388 Zwischenstreit über schriftliche Zeugnisverweigerung</w:t>
      </w:r>
      <w:r>
        <w:t xml:space="preserve"> </w:t>
      </w:r>
      <w:r>
        <w:rPr>
          <w:rStyle w:val="Suchmarke"/>
        </w:rPr>
        <w:t>#388#</w:t>
      </w:r>
      <w:bookmarkEnd w:id="450"/>
    </w:p>
    <w:p>
      <w:r>
        <w:t>Hat der Zeuge seine Weigerung schriftlich oder zum Protokoll der Geschäftsstelle erklärt und ist er in dem Termin nicht erschienen, so hat auf Grund seiner Erklärungen ein Mitglied des Prozessgerichts Bericht zu erstatten.</w:t>
      </w:r>
    </w:p>
    <w:p>
      <w:pPr>
        <w:pStyle w:val="Heading4"/>
      </w:pPr>
      <w:bookmarkStart w:id="451" w:name="b450"/>
      <w:r>
        <w:t>§ 389 Zeugnisverweigerung vor beauftragtem oder ersuchtem Richter</w:t>
      </w:r>
      <w:r>
        <w:t xml:space="preserve"> </w:t>
      </w:r>
      <w:r>
        <w:rPr>
          <w:rStyle w:val="Suchmarke"/>
        </w:rPr>
        <w:t>#389#</w:t>
      </w:r>
      <w:bookmarkEnd w:id="451"/>
    </w:p>
    <w:p>
      <w:r>
        <w:t>(1) Erfolgt die Weigerung vor einem beauftragten oder ersuchten Richter, so sind die Erklärungen des Zeugen, wenn sie nicht schriftlich oder zum Protokoll der Geschäftsstelle abgegeben sind, nebst den Erklärungen der Parteien in das Protokoll aufzunehmen.</w:t>
      </w:r>
    </w:p>
    <w:p>
      <w:r>
        <w:t>(2) Zur mündlichen Verhandlung vor dem Prozessgericht werden der Zeuge und die Parteien von Amts wegen geladen.</w:t>
      </w:r>
    </w:p>
    <w:p>
      <w:r>
        <w:t xml:space="preserve">(3) </w:t>
      </w:r>
      <w:r>
        <w:rPr>
          <w:rStyle w:val="Satznummer"/>
        </w:rPr>
        <w:t>1</w:t>
      </w:r>
      <w:r>
        <w:t xml:space="preserve">Auf Grund der von dem Zeugen und den Parteien abgegebenen Erklärungen hat ein Mitglied des Prozessgerichts Bericht zu erstatten. </w:t>
      </w:r>
      <w:r>
        <w:rPr>
          <w:rStyle w:val="Satznummer"/>
        </w:rPr>
        <w:t>2</w:t>
      </w:r>
      <w:r>
        <w:t>Nach dem Vortrag des Berichterstatters können der Zeuge und die Parteien zur Begründung ihrer Anträge das Wort nehmen; neue Tatsachen oder Beweismittel dürfen nicht geltend gemacht werden.</w:t>
      </w:r>
    </w:p>
    <w:p>
      <w:pPr>
        <w:pStyle w:val="Heading4"/>
      </w:pPr>
      <w:bookmarkStart w:id="452" w:name="b451"/>
      <w:r>
        <w:t>§ 390 Folgen der Zeugnisverweigerung</w:t>
      </w:r>
      <w:r>
        <w:t xml:space="preserve"> </w:t>
      </w:r>
      <w:r>
        <w:rPr>
          <w:rStyle w:val="Suchmarke"/>
        </w:rPr>
        <w:t>#390#</w:t>
      </w:r>
      <w:bookmarkEnd w:id="452"/>
    </w:p>
    <w:p>
      <w:r>
        <w:t xml:space="preserve">(1) </w:t>
      </w:r>
      <w:r>
        <w:rPr>
          <w:rStyle w:val="Satznummer"/>
        </w:rPr>
        <w:t>1</w:t>
      </w:r>
      <w:r>
        <w:t xml:space="preserve">Wird das Zeugnis oder die Eidesleistung ohne Angabe eines Grundes oder aus einem rechtskräftig für unerheblich erklärten Grund verweigert, so werden dem Zeugen, ohne dass es eines Antrages bedarf, die durch die Weigerung verursachten Kosten auferlegt. </w:t>
      </w:r>
      <w:r>
        <w:rPr>
          <w:rStyle w:val="Satznummer"/>
        </w:rPr>
        <w:t>2</w:t>
      </w:r>
      <w:r>
        <w:t>Zugleich wird gegen ihn ein Ordnungsgeld und für den Fall, dass dieses nicht beigetrieben werden kann, Ordnungshaft festgesetzt.</w:t>
      </w:r>
    </w:p>
    <w:p>
      <w:r>
        <w:t xml:space="preserve">(2) </w:t>
      </w:r>
      <w:r>
        <w:rPr>
          <w:rStyle w:val="Satznummer"/>
        </w:rPr>
        <w:t>1</w:t>
      </w:r>
      <w:r>
        <w:t xml:space="preserve">Im Falle wiederholter Weigerung ist auf Antrag zur Erzwingung des Zeugnisses die Haft anzuordnen, jedoch nicht über den Zeitpunkt der Beendigung des Prozesses in dem Rechtszug hinaus. </w:t>
      </w:r>
      <w:r>
        <w:rPr>
          <w:rStyle w:val="Satznummer"/>
        </w:rPr>
        <w:t>2</w:t>
      </w:r>
      <w:r>
        <w:t>Die Vorschriften über die Haft im Zwangsvollstreckungsverfahren gelten entsprechend.</w:t>
      </w:r>
    </w:p>
    <w:p>
      <w:r>
        <w:t>(3) Gegen die Beschlüsse findet die sofortige Beschwerde statt.</w:t>
      </w:r>
    </w:p>
    <w:p>
      <w:pPr>
        <w:pStyle w:val="Heading4"/>
      </w:pPr>
      <w:bookmarkStart w:id="453" w:name="b452"/>
      <w:r>
        <w:t>§ 391 Zeugenbeeidigung</w:t>
      </w:r>
      <w:r>
        <w:t xml:space="preserve"> </w:t>
      </w:r>
      <w:r>
        <w:rPr>
          <w:rStyle w:val="Suchmarke"/>
        </w:rPr>
        <w:t>#391#</w:t>
      </w:r>
      <w:bookmarkEnd w:id="453"/>
    </w:p>
    <w:p>
      <w:r>
        <w:t xml:space="preserve">Ein Zeuge ist, vorbehaltlich der sich aus </w:t>
      </w:r>
      <w:hyperlink w:anchor="b454" w:history="1">
        <w:r>
          <w:rPr>
            <w:color w:val="0A3A8C"/>
            <w:u w:val="single"/>
          </w:rPr>
          <w:t xml:space="preserve">§ 393</w:t>
        </w:r>
      </w:hyperlink>
      <w:r>
        <w:t xml:space="preserve"> ergebenden Ausnahmen, zu beeidigen, wenn das Gericht dies mit Rücksicht auf die Bedeutung der Aussage oder zur Herbeiführung einer wahrheitsgemäßen Aussage für geboten erachtet und die Parteien auf die Beeidigung nicht verzichten.</w:t>
      </w:r>
    </w:p>
    <w:p>
      <w:pPr>
        <w:pStyle w:val="Heading4"/>
      </w:pPr>
      <w:bookmarkStart w:id="454" w:name="b453"/>
      <w:r>
        <w:t>§ 392 Nacheid; Eidesnorm</w:t>
      </w:r>
      <w:r>
        <w:t xml:space="preserve"> </w:t>
      </w:r>
      <w:r>
        <w:rPr>
          <w:rStyle w:val="Suchmarke"/>
        </w:rPr>
        <w:t>#392#</w:t>
      </w:r>
      <w:bookmarkEnd w:id="454"/>
    </w:p>
    <w:p>
      <w:r>
        <w:rPr>
          <w:rStyle w:val="Satznummer"/>
        </w:rPr>
        <w:t>1</w:t>
      </w:r>
      <w:r>
        <w:t xml:space="preserve">Die Beeidigung erfolgt nach der Vernehmung. </w:t>
      </w:r>
      <w:r>
        <w:rPr>
          <w:rStyle w:val="Satznummer"/>
        </w:rPr>
        <w:t>2</w:t>
      </w:r>
      <w:r>
        <w:t xml:space="preserve">Mehrere Zeugen können gleichzeitig beeidigt werden. </w:t>
      </w:r>
      <w:r>
        <w:rPr>
          <w:rStyle w:val="Satznummer"/>
        </w:rPr>
        <w:t>3</w:t>
      </w:r>
      <w:r>
        <w:t>Die Eidesnorm geht dahin, dass der Zeuge nach bestem Wissen die reine Wahrheit gesagt und nichts verschwiegen habe.</w:t>
      </w:r>
    </w:p>
    <w:p>
      <w:pPr>
        <w:pStyle w:val="Heading4"/>
      </w:pPr>
      <w:bookmarkStart w:id="455" w:name="b454"/>
      <w:r>
        <w:t>§ 393 Uneidliche Vernehmung</w:t>
      </w:r>
      <w:r>
        <w:t xml:space="preserve"> </w:t>
      </w:r>
      <w:r>
        <w:rPr>
          <w:rStyle w:val="Suchmarke"/>
        </w:rPr>
        <w:t>#393#</w:t>
      </w:r>
      <w:bookmarkEnd w:id="455"/>
    </w:p>
    <w:p>
      <w:r>
        <w:t>Personen, die zur Zeit der Vernehmung das 16. Lebensjahr noch nicht vollendet oder wegen mangelnder Verstandesreife oder wegen Verstandesschwäche von dem Wesen und der Bedeutung des Eides keine genügende Vorstellung haben, sind unbeeidigt zu vernehmen.</w:t>
      </w:r>
    </w:p>
    <w:p>
      <w:pPr>
        <w:pStyle w:val="Heading4"/>
      </w:pPr>
      <w:bookmarkStart w:id="456" w:name="b455"/>
      <w:r>
        <w:t>§ 394 Einzelvernehmung</w:t>
      </w:r>
      <w:r>
        <w:t xml:space="preserve"> </w:t>
      </w:r>
      <w:r>
        <w:rPr>
          <w:rStyle w:val="Suchmarke"/>
        </w:rPr>
        <w:t>#394#</w:t>
      </w:r>
      <w:bookmarkEnd w:id="456"/>
    </w:p>
    <w:p>
      <w:r>
        <w:t>(1) Jeder Zeuge ist einzeln und in Abwesenheit der später abzuhörenden Zeugen zu vernehmen.</w:t>
      </w:r>
    </w:p>
    <w:p>
      <w:r>
        <w:t>(2) Zeugen, deren Aussagen sich widersprechen, können einander gegenübergestellt werden.</w:t>
      </w:r>
    </w:p>
    <w:p>
      <w:pPr>
        <w:pStyle w:val="Heading4"/>
      </w:pPr>
      <w:bookmarkStart w:id="457" w:name="b456"/>
      <w:r>
        <w:t>§ 395 Wahrheitsermahnung; Vernehmung zur Person</w:t>
      </w:r>
      <w:r>
        <w:t xml:space="preserve"> </w:t>
      </w:r>
      <w:r>
        <w:rPr>
          <w:rStyle w:val="Suchmarke"/>
        </w:rPr>
        <w:t>#395#</w:t>
      </w:r>
      <w:bookmarkEnd w:id="457"/>
    </w:p>
    <w:p>
      <w:r>
        <w:t>(1) Vor der Vernehmung wird der Zeuge zur Wahrheit ermahnt und darauf hingewiesen, dass er in den vom Gesetz vorgesehenen Fällen unter Umständen seine Aussage zu beeidigen habe.</w:t>
      </w:r>
    </w:p>
    <w:p>
      <w:r>
        <w:t xml:space="preserve">(2) </w:t>
      </w:r>
      <w:r>
        <w:rPr>
          <w:rStyle w:val="Satznummer"/>
        </w:rPr>
        <w:t>1</w:t>
      </w:r>
      <w:r>
        <w:t xml:space="preserve">Die Vernehmung beginnt damit, dass der Zeuge über Vornamen und Zunamen, Alter, Stand oder Gewerbe und Wohnort befragt wird. </w:t>
      </w:r>
      <w:r>
        <w:rPr>
          <w:rStyle w:val="Satznummer"/>
        </w:rPr>
        <w:t>2</w:t>
      </w:r>
      <w:r>
        <w:t>Erforderlichenfalls sind ihm Fragen über solche Umstände, die seine Glaubwürdigkeit in der vorliegenden Sache betreffen, insbesondere über seine Beziehungen zu den Parteien vorzulegen.</w:t>
      </w:r>
    </w:p>
    <w:p>
      <w:pPr>
        <w:pStyle w:val="Heading4"/>
      </w:pPr>
      <w:bookmarkStart w:id="458" w:name="b457"/>
      <w:r>
        <w:t>§ 396 Vernehmung zur Sache</w:t>
      </w:r>
      <w:r>
        <w:t xml:space="preserve"> </w:t>
      </w:r>
      <w:r>
        <w:rPr>
          <w:rStyle w:val="Suchmarke"/>
        </w:rPr>
        <w:t>#396#</w:t>
      </w:r>
      <w:bookmarkEnd w:id="458"/>
    </w:p>
    <w:p>
      <w:r>
        <w:t>(1) Der Zeuge ist zu veranlassen, dasjenige, was ihm von dem Gegenstand seiner Vernehmung bekannt ist, im Zusammenhang anzugeben.</w:t>
      </w:r>
    </w:p>
    <w:p>
      <w:r>
        <w:t>(2) Zur Aufklärung und zur Vervollständigung der Aussage sowie zur Erforschung des Grundes, auf dem die Wissenschaft des Zeugen beruht, sind nötigenfalls weitere Fragen zu stellen.</w:t>
      </w:r>
    </w:p>
    <w:p>
      <w:r>
        <w:t>(3) Der Vorsitzende hat jedem Mitglied des Gerichts auf Verlangen zu gestatten, Fragen zu stellen.</w:t>
      </w:r>
    </w:p>
    <w:p>
      <w:pPr>
        <w:pStyle w:val="Heading4"/>
      </w:pPr>
      <w:bookmarkStart w:id="459" w:name="b458"/>
      <w:r>
        <w:t>§ 397 Fragerecht der Parteien</w:t>
      </w:r>
      <w:r>
        <w:t xml:space="preserve"> </w:t>
      </w:r>
      <w:r>
        <w:rPr>
          <w:rStyle w:val="Suchmarke"/>
        </w:rPr>
        <w:t>#397#</w:t>
      </w:r>
      <w:bookmarkEnd w:id="459"/>
    </w:p>
    <w:p>
      <w:r>
        <w:t>(1) Die Parteien sind berechtigt, dem Zeugen diejenigen Fragen vorlegen zu lassen, die sie zur Aufklärung der Sache oder der Verhältnisse des Zeugen für dienlich erachten.</w:t>
      </w:r>
    </w:p>
    <w:p>
      <w:r>
        <w:t>(2) Der Vorsitzende kann den Parteien gestatten und hat ihren Anwälten auf Verlangen zu gestatten, an den Zeugen unmittelbar Fragen zu richten.</w:t>
      </w:r>
    </w:p>
    <w:p>
      <w:r>
        <w:t>(3) Zweifel über die Zulässigkeit einer Frage entscheidet das Gericht.</w:t>
      </w:r>
    </w:p>
    <w:p>
      <w:pPr>
        <w:pStyle w:val="Heading4"/>
      </w:pPr>
      <w:bookmarkStart w:id="460" w:name="b459"/>
      <w:r>
        <w:t>§ 398 Wiederholte und nachträgliche Vernehmung</w:t>
      </w:r>
      <w:r>
        <w:t xml:space="preserve"> </w:t>
      </w:r>
      <w:r>
        <w:rPr>
          <w:rStyle w:val="Suchmarke"/>
        </w:rPr>
        <w:t>#398#</w:t>
      </w:r>
      <w:bookmarkEnd w:id="460"/>
    </w:p>
    <w:p>
      <w:r>
        <w:t>(1) Das Prozessgericht kann nach seinem Ermessen die wiederholte Vernehmung eines Zeugen anordnen.</w:t>
      </w:r>
    </w:p>
    <w:p>
      <w:r>
        <w:t>(2) Hat ein beauftragter oder ersuchter Richter bei der Vernehmung die Stellung der von einer Partei angeregten Frage verweigert, so kann das Prozessgericht die nachträgliche Vernehmung des Zeugen über diese Frage anordnen.</w:t>
      </w:r>
    </w:p>
    <w:p>
      <w:r>
        <w:t>(3) Bei der wiederholten oder der nachträglichen Vernehmung kann der Richter statt der nochmaligen Beeidigung den Zeugen die Richtigkeit seiner Aussage unter Berufung auf den früher geleisteten Eid versichern lassen.</w:t>
      </w:r>
    </w:p>
    <w:p>
      <w:pPr>
        <w:pStyle w:val="Heading4"/>
      </w:pPr>
      <w:bookmarkStart w:id="461" w:name="b460"/>
      <w:r>
        <w:t>§ 399 Verzicht auf Zeugen</w:t>
      </w:r>
      <w:r>
        <w:t xml:space="preserve"> </w:t>
      </w:r>
      <w:r>
        <w:rPr>
          <w:rStyle w:val="Suchmarke"/>
        </w:rPr>
        <w:t>#399#</w:t>
      </w:r>
      <w:bookmarkEnd w:id="461"/>
    </w:p>
    <w:p>
      <w:r>
        <w:t>Die Partei kann auf einen Zeugen, den sie vorgeschlagen hat, verzichten; der Gegner kann aber verlangen, dass der erschienene Zeuge vernommen und, wenn die Vernehmung bereits begonnen hat, dass sie fortgesetzt werde.</w:t>
      </w:r>
    </w:p>
    <w:p>
      <w:pPr>
        <w:pStyle w:val="Heading4"/>
      </w:pPr>
      <w:bookmarkStart w:id="462" w:name="b461"/>
      <w:r>
        <w:t>§ 400 Befugnisse des mit der Beweisaufnahme betrauten Richters</w:t>
      </w:r>
      <w:r>
        <w:t xml:space="preserve"> </w:t>
      </w:r>
      <w:r>
        <w:rPr>
          <w:rStyle w:val="Suchmarke"/>
        </w:rPr>
        <w:t>#400#</w:t>
      </w:r>
      <w:bookmarkEnd w:id="462"/>
    </w:p>
    <w:p>
      <w:r>
        <w:t>Der mit der Beweisaufnahme betraute Richter ist ermächtigt, im Falle des Nichterscheinens oder der Zeugnisverweigerung die gesetzlichen Verfügungen zu treffen, auch sie, soweit dies überhaupt zulässig ist, selbst nach Erledigung des Auftrages wieder aufzuheben, über die Zulässigkeit einer dem Zeugen vorgelegten Frage vorläufig zu entscheiden und die nochmalige Vernehmung eines Zeugen vorzunehmen.</w:t>
      </w:r>
    </w:p>
    <w:p>
      <w:pPr>
        <w:pStyle w:val="Heading4"/>
      </w:pPr>
      <w:bookmarkStart w:id="463" w:name="b462"/>
      <w:r>
        <w:t>§ 401 Zeugenentschädigung</w:t>
      </w:r>
      <w:r>
        <w:t xml:space="preserve"> </w:t>
      </w:r>
      <w:r>
        <w:rPr>
          <w:rStyle w:val="Suchmarke"/>
        </w:rPr>
        <w:t>#401#</w:t>
      </w:r>
      <w:bookmarkEnd w:id="463"/>
    </w:p>
    <w:p>
      <w:r>
        <w:t>Der Zeuge wird nach dem Justizvergütungs- und -entschädigungsgesetz entschädigt.</w:t>
      </w:r>
    </w:p>
    <w:p>
      <w:pPr>
        <w:pStyle w:val="Heading3"/>
      </w:pPr>
      <w:bookmarkStart w:id="464" w:name="b463"/>
      <w:r>
        <w:t>Titel 8 Beweis durch Sachverständige</w:t>
      </w:r>
      <w:bookmarkEnd w:id="464"/>
    </w:p>
    <w:p>
      <w:pPr>
        <w:pStyle w:val="Heading4"/>
      </w:pPr>
      <w:bookmarkStart w:id="465" w:name="b464"/>
      <w:r>
        <w:t>§ 402 Anwendbarkeit der Vorschriften für Zeugen</w:t>
      </w:r>
      <w:r>
        <w:t xml:space="preserve"> </w:t>
      </w:r>
      <w:r>
        <w:rPr>
          <w:rStyle w:val="Suchmarke"/>
        </w:rPr>
        <w:t>#402#</w:t>
      </w:r>
      <w:bookmarkEnd w:id="465"/>
    </w:p>
    <w:p>
      <w:r>
        <w:t>Für den Beweis durch Sachverständige gelten die Vorschriften über den Beweis durch Zeugen entsprechend, insoweit nicht in den nachfolgenden Paragraphen abweichende Vorschriften enthalten sind.</w:t>
      </w:r>
    </w:p>
    <w:p>
      <w:pPr>
        <w:pStyle w:val="Heading4"/>
      </w:pPr>
      <w:bookmarkStart w:id="466" w:name="b465"/>
      <w:r>
        <w:t>§ 403 Beweisantritt</w:t>
      </w:r>
      <w:r>
        <w:t xml:space="preserve"> </w:t>
      </w:r>
      <w:r>
        <w:rPr>
          <w:rStyle w:val="Suchmarke"/>
        </w:rPr>
        <w:t>#403#</w:t>
      </w:r>
      <w:bookmarkEnd w:id="466"/>
    </w:p>
    <w:p>
      <w:r>
        <w:t>Der Beweis wird durch die Bezeichnung der zu begutachtenden Punkte angetreten.</w:t>
      </w:r>
    </w:p>
    <w:p>
      <w:pPr>
        <w:pStyle w:val="Heading4"/>
      </w:pPr>
      <w:bookmarkStart w:id="467" w:name="b466"/>
      <w:r>
        <w:t>§ 404 Sachverständigenauswahl</w:t>
      </w:r>
      <w:r>
        <w:t xml:space="preserve"> </w:t>
      </w:r>
      <w:r>
        <w:rPr>
          <w:rStyle w:val="Suchmarke"/>
        </w:rPr>
        <w:t>#404#</w:t>
      </w:r>
      <w:bookmarkEnd w:id="467"/>
    </w:p>
    <w:p>
      <w:r>
        <w:t xml:space="preserve">(1) </w:t>
      </w:r>
      <w:r>
        <w:rPr>
          <w:rStyle w:val="Satznummer"/>
        </w:rPr>
        <w:t>1</w:t>
      </w:r>
      <w:r>
        <w:t xml:space="preserve">Die Auswahl der zuzuziehenden Sachverständigen und die Bestimmung ihrer Anzahl erfolgt durch das Prozessgericht. </w:t>
      </w:r>
      <w:r>
        <w:rPr>
          <w:rStyle w:val="Satznummer"/>
        </w:rPr>
        <w:t>2</w:t>
      </w:r>
      <w:r>
        <w:t xml:space="preserve">Es kann sich auf die Ernennung eines einzigen Sachverständigen beschränken. </w:t>
      </w:r>
      <w:r>
        <w:rPr>
          <w:rStyle w:val="Satznummer"/>
        </w:rPr>
        <w:t>3</w:t>
      </w:r>
      <w:r>
        <w:t>An Stelle der zuerst ernannten Sachverständigen kann es andere ernennen.</w:t>
      </w:r>
    </w:p>
    <w:p>
      <w:r>
        <w:t>(2) Vor der Ernennung können die Parteien zur Person des Sachverständigen gehört werden.</w:t>
      </w:r>
    </w:p>
    <w:p>
      <w:r>
        <w:t>(3) Sind für gewisse Arten von Gutachten Sachverständige öffentlich bestellt, so sollen andere Personen nur dann gewählt werden, wenn besondere Umstände es erfordern.</w:t>
      </w:r>
    </w:p>
    <w:p>
      <w:r>
        <w:t>(4) Das Gericht kann die Parteien auffordern, Personen zu bezeichnen, die geeignet sind, als Sachverständige vernommen zu werden.</w:t>
      </w:r>
    </w:p>
    <w:p>
      <w:r>
        <w:t>(5) Einigen sich die Parteien über bestimmte Personen als Sachverständige, so hat das Gericht dieser Einigung Folge zu geben; das Gericht kann jedoch die Wahl der Parteien auf eine bestimmte Anzahl beschränken.</w:t>
      </w:r>
    </w:p>
    <w:p>
      <w:pPr>
        <w:pStyle w:val="Heading4"/>
      </w:pPr>
      <w:bookmarkStart w:id="468" w:name="b467"/>
      <w:r>
        <w:t>§ 404a Leitung der Tätigkeit des Sachverständigen</w:t>
      </w:r>
      <w:r>
        <w:t xml:space="preserve"> </w:t>
      </w:r>
      <w:r>
        <w:rPr>
          <w:rStyle w:val="Suchmarke"/>
        </w:rPr>
        <w:t>#404a#</w:t>
      </w:r>
      <w:bookmarkEnd w:id="468"/>
    </w:p>
    <w:p>
      <w:r>
        <w:t>(1) Das Gericht hat die Tätigkeit des Sachverständigen zu leiten und kann ihm für Art und Umfang seiner Tätigkeit Weisungen erteilen.</w:t>
      </w:r>
    </w:p>
    <w:p>
      <w:r>
        <w:t>(2) Soweit es die Besonderheit des Falles erfordert, soll das Gericht den Sachverständigen vor Abfassung der Beweisfrage hören, ihn in seine Aufgabe einweisen und ihm auf Verlangen den Auftrag erläutern.</w:t>
      </w:r>
    </w:p>
    <w:p>
      <w:r>
        <w:t>(3) Bei streitigem Sachverhalt bestimmt das Gericht, welche Tatsachen der Sachverständige der Begutachtung zugrunde legen soll.</w:t>
      </w:r>
    </w:p>
    <w:p>
      <w:r>
        <w:t>(4) Soweit es erforderlich ist, bestimmt das Gericht, in welchem Umfang der Sachverständige zur Aufklärung der Beweisfrage befugt ist, inwieweit er mit den Parteien in Verbindung treten darf und wann er ihnen die Teilnahme an seinen Ermittlungen zu gestatten hat.</w:t>
      </w:r>
    </w:p>
    <w:p>
      <w:r>
        <w:t xml:space="preserve">(5) </w:t>
      </w:r>
      <w:r>
        <w:rPr>
          <w:rStyle w:val="Satznummer"/>
        </w:rPr>
        <w:t>1</w:t>
      </w:r>
      <w:r>
        <w:t xml:space="preserve">Weisungen an den Sachverständigen sind den Parteien mitzuteilen. </w:t>
      </w:r>
      <w:r>
        <w:rPr>
          <w:rStyle w:val="Satznummer"/>
        </w:rPr>
        <w:t>2</w:t>
      </w:r>
      <w:r>
        <w:t>Findet ein besonderer Termin zur Einweisung des Sachverständigen statt, so ist den Parteien die Teilnahme zu gestatten.</w:t>
      </w:r>
    </w:p>
    <w:p>
      <w:pPr>
        <w:pStyle w:val="Heading4"/>
      </w:pPr>
      <w:bookmarkStart w:id="469" w:name="b468"/>
      <w:r>
        <w:t>§ 405 Auswahl durch den mit der Beweisaufnahme betrauten Richter</w:t>
      </w:r>
      <w:r>
        <w:t xml:space="preserve"> </w:t>
      </w:r>
      <w:r>
        <w:rPr>
          <w:rStyle w:val="Suchmarke"/>
        </w:rPr>
        <w:t>#405#</w:t>
      </w:r>
      <w:bookmarkEnd w:id="469"/>
    </w:p>
    <w:p>
      <w:r>
        <w:rPr>
          <w:rStyle w:val="Satznummer"/>
        </w:rPr>
        <w:t>1</w:t>
      </w:r>
      <w:r>
        <w:t xml:space="preserve">Das Prozessgericht kann den mit der Beweisaufnahme betrauten Richter zur Ernennung der Sachverständigen ermächtigen. </w:t>
      </w:r>
      <w:r>
        <w:rPr>
          <w:rStyle w:val="Satznummer"/>
        </w:rPr>
        <w:t>2</w:t>
      </w:r>
      <w:r>
        <w:t xml:space="preserve">Er hat in diesem Falle die Befugnisse und Pflichten des Prozessgerichts nach den </w:t>
      </w:r>
      <w:hyperlink w:anchor="b466" w:history="1">
        <w:r>
          <w:rPr>
            <w:color w:val="0A3A8C"/>
            <w:u w:val="single"/>
          </w:rPr>
          <w:t xml:space="preserve">§§ 404</w:t>
        </w:r>
      </w:hyperlink>
      <w:r>
        <w:t xml:space="preserve">, </w:t>
      </w:r>
      <w:hyperlink w:anchor="b467" w:history="1">
        <w:r>
          <w:rPr>
            <w:color w:val="0A3A8C"/>
            <w:u w:val="single"/>
          </w:rPr>
          <w:t xml:space="preserve">404a</w:t>
        </w:r>
      </w:hyperlink>
      <w:r>
        <w:t>.</w:t>
      </w:r>
    </w:p>
    <w:p>
      <w:pPr>
        <w:pStyle w:val="Heading4"/>
      </w:pPr>
      <w:bookmarkStart w:id="470" w:name="b469"/>
      <w:r>
        <w:t>§ 406 Ablehnung eines Sachverständigen</w:t>
      </w:r>
      <w:r>
        <w:t xml:space="preserve"> </w:t>
      </w:r>
      <w:r>
        <w:rPr>
          <w:rStyle w:val="Suchmarke"/>
        </w:rPr>
        <w:t>#406#</w:t>
      </w:r>
      <w:bookmarkEnd w:id="470"/>
    </w:p>
    <w:p>
      <w:r>
        <w:t xml:space="preserve">(1) </w:t>
      </w:r>
      <w:r>
        <w:rPr>
          <w:rStyle w:val="Satznummer"/>
        </w:rPr>
        <w:t>1</w:t>
      </w:r>
      <w:r>
        <w:t xml:space="preserve">Ein Sachverständiger kann aus denselben Gründen, die zur Ablehnung eines Richters berechtigen, abgelehnt werden. </w:t>
      </w:r>
      <w:r>
        <w:rPr>
          <w:rStyle w:val="Satznummer"/>
        </w:rPr>
        <w:t>2</w:t>
      </w:r>
      <w:r>
        <w:t>Ein Ablehnungsgrund kann jedoch nicht daraus entnommen werden, dass der Sachverständige als Zeuge vernommen worden ist.</w:t>
      </w:r>
    </w:p>
    <w:p>
      <w:r>
        <w:t xml:space="preserve">(2) </w:t>
      </w:r>
      <w:r>
        <w:rPr>
          <w:rStyle w:val="Satznummer"/>
        </w:rPr>
        <w:t>1</w:t>
      </w:r>
      <w:r>
        <w:t xml:space="preserve">Der Ablehnungsantrag ist bei dem Gericht oder Richter, von dem der Sachverständige ernannt ist, vor seiner Vernehmung zu stellen, spätestens jedoch binnen zwei Wochen nach Verkündung oder Zustellung des Beschlusses über die Ernennung. </w:t>
      </w:r>
      <w:r>
        <w:rPr>
          <w:rStyle w:val="Satznummer"/>
        </w:rPr>
        <w:t>2</w:t>
      </w:r>
      <w:r>
        <w:t xml:space="preserve">Zu einem späteren Zeitpunkt ist die Ablehnung nur zulässig, wenn der Antragsteller glaubhaft macht, dass er ohne sein Verschulden verhindert war, den Ablehnungsgrund früher geltend zu machen. </w:t>
      </w:r>
      <w:r>
        <w:rPr>
          <w:rStyle w:val="Satznummer"/>
        </w:rPr>
        <w:t>3</w:t>
      </w:r>
      <w:r>
        <w:t>Der Antrag kann vor der Geschäftsstelle zu Protokoll erklärt werden.</w:t>
      </w:r>
    </w:p>
    <w:p>
      <w:r>
        <w:t>(3) Der Ablehnungsgrund ist glaubhaft zu machen; zur Versicherung an Eides statt darf die Partei nicht zugelassen werden.</w:t>
      </w:r>
    </w:p>
    <w:p>
      <w:r>
        <w:t>(4) Die Entscheidung ergeht von dem im zweiten Absatz bezeichneten Gericht oder Richter durch Beschluss.</w:t>
      </w:r>
    </w:p>
    <w:p>
      <w:r>
        <w:t>(5) Gegen den Beschluss, durch den die Ablehnung für begründet erklärt wird, findet kein Rechtsmittel, gegen den Beschluss, durch den sie für unbegründet erklärt wird, findet sofortige Beschwerde statt.</w:t>
      </w:r>
    </w:p>
    <w:p>
      <w:pPr>
        <w:pStyle w:val="Heading4"/>
      </w:pPr>
      <w:bookmarkStart w:id="471" w:name="b470"/>
      <w:r>
        <w:t>§ 407 Pflicht zur Erstattung des Gutachtens</w:t>
      </w:r>
      <w:r>
        <w:t xml:space="preserve"> </w:t>
      </w:r>
      <w:r>
        <w:rPr>
          <w:rStyle w:val="Suchmarke"/>
        </w:rPr>
        <w:t>#407#</w:t>
      </w:r>
      <w:bookmarkEnd w:id="471"/>
    </w:p>
    <w:p>
      <w:r>
        <w:t>(1) Der zum Sachverständigen Ernannte hat der Ernennung Folge zu leisten, wenn er zur Erstattung von Gutachten der erforderten Art öffentlich bestellt ist oder wenn er die Wissenschaft, die Kunst oder das Gewerbe, deren Kenntnis Voraussetzung der Begutachtung ist, öffentlich zum Erwerb ausübt oder wenn er zur Ausübung derselben öffentlich bestellt oder ermächtigt ist.</w:t>
      </w:r>
    </w:p>
    <w:p>
      <w:r>
        <w:t>(2) Zur Erstattung des Gutachtens ist auch derjenige verpflichtet, der sich hierzu vor Gericht bereit erklärt hat.</w:t>
      </w:r>
    </w:p>
    <w:p>
      <w:pPr>
        <w:pStyle w:val="Heading4"/>
      </w:pPr>
      <w:bookmarkStart w:id="472" w:name="b471"/>
      <w:r>
        <w:t>§ 407a Weitere Pflichten des Sachverständigen</w:t>
      </w:r>
      <w:r>
        <w:t xml:space="preserve"> </w:t>
      </w:r>
      <w:r>
        <w:rPr>
          <w:rStyle w:val="Suchmarke"/>
        </w:rPr>
        <w:t>#407a#</w:t>
      </w:r>
      <w:bookmarkEnd w:id="472"/>
    </w:p>
    <w:p>
      <w:r>
        <w:t xml:space="preserve">(1) </w:t>
      </w:r>
      <w:r>
        <w:rPr>
          <w:rStyle w:val="Satznummer"/>
        </w:rPr>
        <w:t>1</w:t>
      </w:r>
      <w:r>
        <w:t xml:space="preserve">Der Sachverständige hat unverzüglich zu prüfen, ob der Auftrag in sein Fachgebiet fällt und ohne die Hinzuziehung weiterer Sachverständiger sowie innerhalb der vom Gericht gesetzten Frist erledigt werden kann. </w:t>
      </w:r>
      <w:r>
        <w:rPr>
          <w:rStyle w:val="Satznummer"/>
        </w:rPr>
        <w:t>2</w:t>
      </w:r>
      <w:r>
        <w:t>Ist das nicht der Fall, so hat der Sachverständige das Gericht unverzüglich zu verständigen.</w:t>
      </w:r>
    </w:p>
    <w:p>
      <w:r>
        <w:t xml:space="preserve">(2) </w:t>
      </w:r>
      <w:r>
        <w:rPr>
          <w:rStyle w:val="Satznummer"/>
        </w:rPr>
        <w:t>1</w:t>
      </w:r>
      <w:r>
        <w:t xml:space="preserve">Der Sachverständige hat unverzüglich zu prüfen, ob ein Grund vorliegt, der geeignet ist, Misstrauen gegen seine Unparteilichkeit zu rechtfertigen. </w:t>
      </w:r>
      <w:r>
        <w:rPr>
          <w:rStyle w:val="Satznummer"/>
        </w:rPr>
        <w:t>2</w:t>
      </w:r>
      <w:r>
        <w:t xml:space="preserve">Der Sachverständige hat dem Gericht solche Gründe unverzüglich mitzuteilen. </w:t>
      </w:r>
      <w:r>
        <w:rPr>
          <w:rStyle w:val="Satznummer"/>
        </w:rPr>
        <w:t>3</w:t>
      </w:r>
      <w:r>
        <w:t>Unterlässt er dies, kann gegen ihn ein Ordnungsgeld festgesetzt werden.</w:t>
      </w:r>
    </w:p>
    <w:p>
      <w:r>
        <w:t xml:space="preserve">(3) </w:t>
      </w:r>
      <w:r>
        <w:rPr>
          <w:rStyle w:val="Satznummer"/>
        </w:rPr>
        <w:t>1</w:t>
      </w:r>
      <w:r>
        <w:t xml:space="preserve">Der Sachverständige ist nicht befugt, den Auftrag auf einen anderen zu übertragen. </w:t>
      </w:r>
      <w:r>
        <w:rPr>
          <w:rStyle w:val="Satznummer"/>
        </w:rPr>
        <w:t>2</w:t>
      </w:r>
      <w:r>
        <w:t>Soweit er sich der Mitarbeit einer anderen Person bedient, hat er diese namhaft zu machen und den Umfang ihrer Tätigkeit anzugeben, falls es sich nicht um Hilfsdienste von untergeordneter Bedeutung handelt.</w:t>
      </w:r>
    </w:p>
    <w:p>
      <w:r>
        <w:t xml:space="preserve">(4) </w:t>
      </w:r>
      <w:r>
        <w:rPr>
          <w:rStyle w:val="Satznummer"/>
        </w:rPr>
        <w:t>1</w:t>
      </w:r>
      <w:r>
        <w:t xml:space="preserve">Hat der Sachverständige Zweifel an Inhalt und Umfang des Auftrages, so hat er unverzüglich eine Klärung durch das Gericht herbeizuführen. </w:t>
      </w:r>
      <w:r>
        <w:rPr>
          <w:rStyle w:val="Satznummer"/>
        </w:rPr>
        <w:t>2</w:t>
      </w:r>
      <w:r>
        <w:t>Erwachsen voraussichtlich Kosten, die erkennbar außer Verhältnis zum Wert des Streitgegenstandes stehen oder einen angeforderten Kostenvorschuss erheblich übersteigen, so hat der Sachverständige rechtzeitig hierauf hinzuweisen.</w:t>
      </w:r>
    </w:p>
    <w:p>
      <w:r>
        <w:t xml:space="preserve">(5) </w:t>
      </w:r>
      <w:r>
        <w:rPr>
          <w:rStyle w:val="Satznummer"/>
        </w:rPr>
        <w:t>1</w:t>
      </w:r>
      <w:r>
        <w:t xml:space="preserve">Der Sachverständige hat auf Verlangen des Gerichts die Akten und sonstige für die Begutachtung beigezogene Unterlagen sowie Untersuchungsergebnisse unverzüglich herauszugeben oder mitzuteilen. </w:t>
      </w:r>
      <w:r>
        <w:rPr>
          <w:rStyle w:val="Satznummer"/>
        </w:rPr>
        <w:t>2</w:t>
      </w:r>
      <w:r>
        <w:t>Kommt er dieser Pflicht nicht nach, so ordnet das Gericht die Herausgabe an.</w:t>
      </w:r>
    </w:p>
    <w:p>
      <w:r>
        <w:t>(6) Das Gericht soll den Sachverständigen auf seine Pflichten hinweisen.</w:t>
      </w:r>
    </w:p>
    <w:p>
      <w:pPr>
        <w:pStyle w:val="Heading4"/>
      </w:pPr>
      <w:bookmarkStart w:id="473" w:name="b472"/>
      <w:r>
        <w:t>§ 408 Gutachtenverweigerungsrecht</w:t>
      </w:r>
      <w:r>
        <w:t xml:space="preserve"> </w:t>
      </w:r>
      <w:r>
        <w:rPr>
          <w:rStyle w:val="Suchmarke"/>
        </w:rPr>
        <w:t>#408#</w:t>
      </w:r>
      <w:bookmarkEnd w:id="473"/>
    </w:p>
    <w:p>
      <w:r>
        <w:t xml:space="preserve">(1) </w:t>
      </w:r>
      <w:r>
        <w:rPr>
          <w:rStyle w:val="Satznummer"/>
        </w:rPr>
        <w:t>1</w:t>
      </w:r>
      <w:r>
        <w:t xml:space="preserve">Dieselben Gründe, die einen Zeugen berechtigen, das Zeugnis zu verweigern, berechtigen einen Sachverständigen zur Verweigerung des Gutachtens. </w:t>
      </w:r>
      <w:r>
        <w:rPr>
          <w:rStyle w:val="Satznummer"/>
        </w:rPr>
        <w:t>2</w:t>
      </w:r>
      <w:r>
        <w:t>Das Gericht kann auch aus anderen Gründen einen Sachverständigen von der Verpflichtung zur Erstattung des Gutachtens entbinden.</w:t>
      </w:r>
    </w:p>
    <w:p>
      <w:r>
        <w:t xml:space="preserve">(2) </w:t>
      </w:r>
      <w:r>
        <w:rPr>
          <w:rStyle w:val="Satznummer"/>
        </w:rPr>
        <w:t>1</w:t>
      </w:r>
      <w:r>
        <w:t xml:space="preserve">Für die Vernehmung eines Richters, Beamten oder einer anderen Person des öffentlichen Dienstes als Sachverständigen gelten die besonderen beamtenrechtlichen Vorschriften. </w:t>
      </w:r>
      <w:r>
        <w:rPr>
          <w:rStyle w:val="Satznummer"/>
        </w:rPr>
        <w:t>2</w:t>
      </w:r>
      <w:r>
        <w:t>Für die Mitglieder der Bundes- oder einer Landesregierung gelten die für sie maßgebenden besonderen Vorschriften.</w:t>
      </w:r>
    </w:p>
    <w:p>
      <w:r>
        <w:t>(3) Wer bei einer richterlichen Entscheidung mitgewirkt hat, soll über Fragen, die den Gegenstand der Entscheidung gebildet haben, nicht als Sachverständiger vernommen werden.</w:t>
      </w:r>
    </w:p>
    <w:p>
      <w:pPr>
        <w:pStyle w:val="Heading4"/>
      </w:pPr>
      <w:bookmarkStart w:id="474" w:name="b473"/>
      <w:r>
        <w:t>§ 409 Folgen des Ausbleibens oder der Gutachtenverweigerung</w:t>
      </w:r>
      <w:r>
        <w:t xml:space="preserve"> </w:t>
      </w:r>
      <w:r>
        <w:rPr>
          <w:rStyle w:val="Suchmarke"/>
        </w:rPr>
        <w:t>#409#</w:t>
      </w:r>
      <w:bookmarkEnd w:id="474"/>
    </w:p>
    <w:p>
      <w:r>
        <w:t xml:space="preserve">(1) </w:t>
      </w:r>
      <w:r>
        <w:rPr>
          <w:rStyle w:val="Satznummer"/>
        </w:rPr>
        <w:t>1</w:t>
      </w:r>
      <w:r>
        <w:t xml:space="preserve">Wenn ein Sachverständiger nicht erscheint oder sich weigert, ein Gutachten zu erstatten, obgleich er dazu verpflichtet ist, oder wenn er Akten oder sonstige Unterlagen zurückbehält, werden ihm die dadurch verursachten Kosten auferlegt. </w:t>
      </w:r>
      <w:r>
        <w:rPr>
          <w:rStyle w:val="Satznummer"/>
        </w:rPr>
        <w:t>2</w:t>
      </w:r>
      <w:r>
        <w:t xml:space="preserve">Zugleich wird gegen ihn ein Ordnungsgeld festgesetzt. </w:t>
      </w:r>
      <w:r>
        <w:rPr>
          <w:rStyle w:val="Satznummer"/>
        </w:rPr>
        <w:t>3</w:t>
      </w:r>
      <w:r>
        <w:t>Im Falle wiederholten Ungehorsams kann das Ordnungsgeld noch einmal festgesetzt werden.</w:t>
      </w:r>
    </w:p>
    <w:p>
      <w:r>
        <w:t>(2) Gegen den Beschluss findet sofortige Beschwerde statt.</w:t>
      </w:r>
    </w:p>
    <w:p>
      <w:pPr>
        <w:pStyle w:val="Heading4"/>
      </w:pPr>
      <w:bookmarkStart w:id="475" w:name="b474"/>
      <w:r>
        <w:t>§ 410 Sachverständigenbeeidigung</w:t>
      </w:r>
      <w:r>
        <w:t xml:space="preserve"> </w:t>
      </w:r>
      <w:r>
        <w:rPr>
          <w:rStyle w:val="Suchmarke"/>
        </w:rPr>
        <w:t>#410#</w:t>
      </w:r>
      <w:bookmarkEnd w:id="475"/>
    </w:p>
    <w:p>
      <w:r>
        <w:t xml:space="preserve">(1) </w:t>
      </w:r>
      <w:r>
        <w:rPr>
          <w:rStyle w:val="Satznummer"/>
        </w:rPr>
        <w:t>1</w:t>
      </w:r>
      <w:r>
        <w:t xml:space="preserve">Der Sachverständige wird vor oder nach Erstattung des Gutachtens beeidigt. </w:t>
      </w:r>
      <w:r>
        <w:rPr>
          <w:rStyle w:val="Satznummer"/>
        </w:rPr>
        <w:t>2</w:t>
      </w:r>
      <w:r>
        <w:t>Die Eidesnorm geht dahin, dass der Sachverständige das von ihm erforderte Gutachten unparteiisch und nach bestem Wissen und Gewissen erstatten werde oder erstattet habe.</w:t>
      </w:r>
    </w:p>
    <w:p>
      <w:r>
        <w:t>(2) Ist der Sachverständige für die Erstattung von Gutachten der betreffenden Art im Allgemeinen beeidigt, so genügt die Berufung auf den geleisteten Eid; sie kann auch in einem schriftlichen Gutachten erklärt werden.</w:t>
      </w:r>
    </w:p>
    <w:p>
      <w:pPr>
        <w:pStyle w:val="Heading4"/>
      </w:pPr>
      <w:bookmarkStart w:id="476" w:name="b475"/>
      <w:r>
        <w:t>§ 411 Schriftliches Gutachten</w:t>
      </w:r>
      <w:r>
        <w:t xml:space="preserve"> </w:t>
      </w:r>
      <w:r>
        <w:rPr>
          <w:rStyle w:val="Suchmarke"/>
        </w:rPr>
        <w:t>#411#</w:t>
      </w:r>
      <w:bookmarkEnd w:id="476"/>
    </w:p>
    <w:p>
      <w:r>
        <w:t>(1) Wird schriftliche Begutachtung angeordnet, setzt das Gericht dem Sachverständigen eine Frist, innerhalb derer er das von ihm unterschriebene Gutachten zu übermitteln hat.</w:t>
      </w:r>
    </w:p>
    <w:p>
      <w:r>
        <w:t xml:space="preserve">(2) </w:t>
      </w:r>
      <w:r>
        <w:rPr>
          <w:rStyle w:val="Satznummer"/>
        </w:rPr>
        <w:t>1</w:t>
      </w:r>
      <w:r>
        <w:t xml:space="preserve">Versäumt ein zur Erstattung des Gutachtens verpflichteter Sachverständiger die Frist, so soll gegen ihn ein Ordnungsgeld festgesetzt werden. </w:t>
      </w:r>
      <w:r>
        <w:rPr>
          <w:rStyle w:val="Satznummer"/>
        </w:rPr>
        <w:t>2</w:t>
      </w:r>
      <w:r>
        <w:t xml:space="preserve">Das Ordnungsgeld muss vorher unter Setzung einer Nachfrist angedroht werden. </w:t>
      </w:r>
      <w:r>
        <w:rPr>
          <w:rStyle w:val="Satznummer"/>
        </w:rPr>
        <w:t>3</w:t>
      </w:r>
      <w:r>
        <w:t xml:space="preserve">Im Falle wiederholter Fristversäumnis kann das Ordnungsgeld in der gleichen Weise noch einmal festgesetzt werden. </w:t>
      </w:r>
      <w:r>
        <w:rPr>
          <w:rStyle w:val="Satznummer"/>
        </w:rPr>
        <w:t>4</w:t>
      </w:r>
      <w:r>
        <w:t xml:space="preserve">Das einzelne Ordnungsgeld darf 3 000 Euro nicht übersteigen. </w:t>
      </w:r>
      <w:r>
        <w:rPr>
          <w:rStyle w:val="Satznummer"/>
        </w:rPr>
        <w:t>5</w:t>
      </w:r>
      <w:hyperlink w:anchor="b473" w:history="1">
        <w:r>
          <w:rPr>
            <w:color w:val="0A3A8C"/>
            <w:u w:val="single"/>
          </w:rPr>
          <w:t xml:space="preserve">§ 409</w:t>
        </w:r>
      </w:hyperlink>
      <w:r>
        <w:t xml:space="preserve"> Abs. 2 gilt entsprechend.</w:t>
      </w:r>
    </w:p>
    <w:p>
      <w:r>
        <w:t xml:space="preserve">(3) </w:t>
      </w:r>
      <w:r>
        <w:rPr>
          <w:rStyle w:val="Satznummer"/>
        </w:rPr>
        <w:t>1</w:t>
      </w:r>
      <w:r>
        <w:t xml:space="preserve">Das Gericht kann das Erscheinen des Sachverständigen zur Erläuterung des schriftlichen Gutachtens, eine schriftliche Erläuterung oder eine Ergänzung des Gutachtens anordnen. </w:t>
      </w:r>
      <w:r>
        <w:rPr>
          <w:rStyle w:val="Satznummer"/>
        </w:rPr>
        <w:t>2</w:t>
      </w:r>
      <w:r>
        <w:t xml:space="preserve">Das Erscheinen kann auch als Teilnahme per Bild- und Tonübertragung nach </w:t>
      </w:r>
      <w:hyperlink w:anchor="b159" w:history="1">
        <w:r>
          <w:rPr>
            <w:color w:val="0A3A8C"/>
            <w:u w:val="single"/>
          </w:rPr>
          <w:t xml:space="preserve">§ 128a</w:t>
        </w:r>
      </w:hyperlink>
      <w:r>
        <w:t xml:space="preserve"> gestattet oder angeordnet werden.</w:t>
      </w:r>
    </w:p>
    <w:p>
      <w:r>
        <w:t xml:space="preserve">(4) </w:t>
      </w:r>
      <w:r>
        <w:rPr>
          <w:rStyle w:val="Satznummer"/>
        </w:rPr>
        <w:t>1</w:t>
      </w:r>
      <w:r>
        <w:t xml:space="preserve">Die Parteien haben dem Gericht innerhalb eines angemessenen Zeitraums ihre Einwendungen gegen das Gutachten, die Begutachtung betreffende Anträge und Ergänzungsfragen zu dem schriftlichen Gutachten mitzuteilen. </w:t>
      </w:r>
      <w:r>
        <w:rPr>
          <w:rStyle w:val="Satznummer"/>
        </w:rPr>
        <w:t>2</w:t>
      </w:r>
      <w:r>
        <w:t xml:space="preserve">Das Gericht kann ihnen hierfür eine Frist setzen; </w:t>
      </w:r>
      <w:hyperlink w:anchor="b333" w:history="1">
        <w:r>
          <w:rPr>
            <w:color w:val="0A3A8C"/>
            <w:u w:val="single"/>
          </w:rPr>
          <w:t xml:space="preserve">§ 296</w:t>
        </w:r>
      </w:hyperlink>
      <w:r>
        <w:t xml:space="preserve"> Abs. 1, 4 gilt entsprechend.</w:t>
      </w:r>
    </w:p>
    <w:p>
      <w:pPr>
        <w:pStyle w:val="Heading4"/>
      </w:pPr>
      <w:bookmarkStart w:id="477" w:name="b476"/>
      <w:r>
        <w:t>§ 411a Verwertung von Sachverständigengutachten aus anderen Verfahren</w:t>
      </w:r>
      <w:r>
        <w:t xml:space="preserve"> </w:t>
      </w:r>
      <w:r>
        <w:rPr>
          <w:rStyle w:val="Suchmarke"/>
        </w:rPr>
        <w:t>#411a#</w:t>
      </w:r>
      <w:bookmarkEnd w:id="477"/>
    </w:p>
    <w:p>
      <w:r>
        <w:t>Die schriftliche Begutachtung kann durch die Verwertung eines gerichtlich oder staatsanwaltschaftlich eingeholten Sachverständigengutachtens aus einem anderen Verfahren ersetzt werden.</w:t>
      </w:r>
    </w:p>
    <w:p>
      <w:pPr>
        <w:pStyle w:val="Heading4"/>
      </w:pPr>
      <w:bookmarkStart w:id="478" w:name="b477"/>
      <w:r>
        <w:t>§ 412 Neues Gutachten</w:t>
      </w:r>
      <w:r>
        <w:t xml:space="preserve"> </w:t>
      </w:r>
      <w:r>
        <w:rPr>
          <w:rStyle w:val="Suchmarke"/>
        </w:rPr>
        <w:t>#412#</w:t>
      </w:r>
      <w:bookmarkEnd w:id="478"/>
    </w:p>
    <w:p>
      <w:r>
        <w:t>(1) Das Gericht kann eine neue Begutachtung durch dieselben oder durch andere Sachverständige anordnen, wenn es das Gutachten für ungenügend erachtet.</w:t>
      </w:r>
    </w:p>
    <w:p>
      <w:r>
        <w:t>(2) Das Gericht kann die Begutachtung durch einen anderen Sachverständigen anordnen, wenn ein Sachverständiger nach Erstattung des Gutachtens mit Erfolg abgelehnt ist.</w:t>
      </w:r>
    </w:p>
    <w:p>
      <w:pPr>
        <w:pStyle w:val="Heading4"/>
      </w:pPr>
      <w:bookmarkStart w:id="479" w:name="b478"/>
      <w:r>
        <w:t>§ 413 Sachverständigenvergütung</w:t>
      </w:r>
      <w:r>
        <w:t xml:space="preserve"> </w:t>
      </w:r>
      <w:r>
        <w:rPr>
          <w:rStyle w:val="Suchmarke"/>
        </w:rPr>
        <w:t>#413#</w:t>
      </w:r>
      <w:bookmarkEnd w:id="479"/>
    </w:p>
    <w:p>
      <w:r>
        <w:t>Der Sachverständige erhält eine Vergütung nach dem Justizvergütungs- und -entschädigungsgesetz.</w:t>
      </w:r>
    </w:p>
    <w:p>
      <w:pPr>
        <w:pStyle w:val="Heading4"/>
      </w:pPr>
      <w:bookmarkStart w:id="480" w:name="b479"/>
      <w:r>
        <w:t>§ 414 Sachverständige Zeugen</w:t>
      </w:r>
      <w:r>
        <w:t xml:space="preserve"> </w:t>
      </w:r>
      <w:r>
        <w:rPr>
          <w:rStyle w:val="Suchmarke"/>
        </w:rPr>
        <w:t>#414#</w:t>
      </w:r>
      <w:bookmarkEnd w:id="480"/>
    </w:p>
    <w:p>
      <w:r>
        <w:t>Insoweit zum Beweis vergangener Tatsachen oder Zustände, zu deren Wahrnehmung eine besondere Sachkunde erforderlich war, sachkundige Personen zu vernehmen sind, kommen die Vorschriften über den Zeugenbeweis zur Anwendung.</w:t>
      </w:r>
    </w:p>
    <w:p>
      <w:pPr>
        <w:pStyle w:val="Heading3"/>
      </w:pPr>
      <w:bookmarkStart w:id="481" w:name="b480"/>
      <w:r>
        <w:t>Titel 9 Beweis durch Urkunden</w:t>
      </w:r>
      <w:bookmarkEnd w:id="481"/>
    </w:p>
    <w:p>
      <w:pPr>
        <w:pStyle w:val="Heading4"/>
      </w:pPr>
      <w:bookmarkStart w:id="482" w:name="b481"/>
      <w:r>
        <w:t>§ 415 Beweiskraft öffentlicher Urkunden über Erklärungen</w:t>
      </w:r>
      <w:r>
        <w:t xml:space="preserve"> </w:t>
      </w:r>
      <w:r>
        <w:rPr>
          <w:rStyle w:val="Suchmarke"/>
        </w:rPr>
        <w:t>#415#</w:t>
      </w:r>
      <w:bookmarkEnd w:id="482"/>
    </w:p>
    <w:p>
      <w:r>
        <w:t>(1) Urkunden, die von einer öffentlichen Behörde innerhalb der Grenzen ihrer Amtsbefugnisse oder von einer mit öffentlichem Glauben versehenen Person innerhalb des ihr zugewiesenen Geschäftskreises in der vorgeschriebenen Form aufgenommen sind (öffentliche Urkunden), begründen, wenn sie über eine vor der Behörde oder der Urkundsperson abgegebene Erklärung errichtet sind, vollen Beweis des durch die Behörde oder die Urkundsperson beurkundeten Vorganges.</w:t>
      </w:r>
    </w:p>
    <w:p>
      <w:r>
        <w:t>(2) Der Beweis, dass der Vorgang unrichtig beurkundet sei, ist zulässig.</w:t>
      </w:r>
    </w:p>
    <w:p>
      <w:pPr>
        <w:pStyle w:val="Heading4"/>
      </w:pPr>
      <w:bookmarkStart w:id="483" w:name="b482"/>
      <w:r>
        <w:t>§ 416 Beweiskraft von Privaturkunden</w:t>
      </w:r>
      <w:r>
        <w:t xml:space="preserve"> </w:t>
      </w:r>
      <w:r>
        <w:rPr>
          <w:rStyle w:val="Suchmarke"/>
        </w:rPr>
        <w:t>#416#</w:t>
      </w:r>
      <w:bookmarkEnd w:id="483"/>
    </w:p>
    <w:p>
      <w:r>
        <w:t>Privaturkunden begründen, sofern sie von den Ausstellern unterschrieben oder mittels notariell beglaubigten Handzeichens unterzeichnet sind, vollen Beweis dafür, dass die in ihnen enthaltenen Erklärungen von den Ausstellern abgegeben sind.</w:t>
      </w:r>
    </w:p>
    <w:p>
      <w:pPr>
        <w:pStyle w:val="Heading4"/>
      </w:pPr>
      <w:bookmarkStart w:id="484" w:name="b483"/>
      <w:r>
        <w:t>§ 416a Beweiskraft des Ausdrucks eines öffentlichen elektronischen Dokuments</w:t>
      </w:r>
      <w:r>
        <w:t xml:space="preserve"> </w:t>
      </w:r>
      <w:r>
        <w:rPr>
          <w:rStyle w:val="Suchmarke"/>
        </w:rPr>
        <w:t>#416a#</w:t>
      </w:r>
      <w:bookmarkEnd w:id="484"/>
    </w:p>
    <w:p>
      <w:r>
        <w:t xml:space="preserve">Der mit einem Beglaubigungsvermerk versehene Ausdruck eines öffentlichen elektronischen Dokuments gemäß </w:t>
      </w:r>
      <w:hyperlink w:anchor="b429" w:history="1">
        <w:r>
          <w:rPr>
            <w:color w:val="0A3A8C"/>
            <w:u w:val="single"/>
          </w:rPr>
          <w:t xml:space="preserve">§ 371a</w:t>
        </w:r>
      </w:hyperlink>
      <w:r>
        <w:t xml:space="preserve"> Absatz 3, den eine öffentliche Behörde innerhalb der Grenzen ihrer Amtsbefugnisse oder eine mit öffentlichem Glauben versehene Person innerhalb des ihr zugewiesenen Geschäftskreises in der vorgeschriebenen Form erstellt hat, sowie der Ausdruck eines gerichtlichen elektronischen Dokuments, der einen Vermerk des zuständigen Gerichts gemäß </w:t>
      </w:r>
      <w:hyperlink w:anchor="b336" w:history="1">
        <w:r>
          <w:rPr>
            <w:color w:val="0A3A8C"/>
            <w:u w:val="single"/>
          </w:rPr>
          <w:t xml:space="preserve">§ 298</w:t>
        </w:r>
      </w:hyperlink>
      <w:r>
        <w:t xml:space="preserve"> Absatz 3 enthält, stehen einer öffentlichen Urkunde in beglaubigter Abschrift gleich.</w:t>
      </w:r>
    </w:p>
    <w:p>
      <w:pPr>
        <w:pStyle w:val="Heading4"/>
      </w:pPr>
      <w:bookmarkStart w:id="485" w:name="b484"/>
      <w:r>
        <w:t>§ 417 Beweiskraft öffentlicher Urkunden über amtliche Anordnung, Verfügung oder Entscheidung</w:t>
      </w:r>
      <w:r>
        <w:t xml:space="preserve"> </w:t>
      </w:r>
      <w:r>
        <w:rPr>
          <w:rStyle w:val="Suchmarke"/>
        </w:rPr>
        <w:t>#417#</w:t>
      </w:r>
      <w:bookmarkEnd w:id="485"/>
    </w:p>
    <w:p>
      <w:r>
        <w:t>Die von einer Behörde ausgestellten, eine amtliche Anordnung, Verfügung oder Entscheidung enthaltenden öffentlichen Urkunden begründen vollen Beweis ihres Inhalts.</w:t>
      </w:r>
    </w:p>
    <w:p>
      <w:pPr>
        <w:pStyle w:val="Heading4"/>
      </w:pPr>
      <w:bookmarkStart w:id="486" w:name="b485"/>
      <w:r>
        <w:t>§ 418 Beweiskraft öffentlicher Urkunden mit anderem Inhalt</w:t>
      </w:r>
      <w:r>
        <w:t xml:space="preserve"> </w:t>
      </w:r>
      <w:r>
        <w:rPr>
          <w:rStyle w:val="Suchmarke"/>
        </w:rPr>
        <w:t>#418#</w:t>
      </w:r>
      <w:bookmarkEnd w:id="486"/>
    </w:p>
    <w:p>
      <w:r>
        <w:t xml:space="preserve">(1) Öffentliche Urkunden, die einen anderen als den in den </w:t>
      </w:r>
      <w:hyperlink w:anchor="b481" w:history="1">
        <w:r>
          <w:rPr>
            <w:color w:val="0A3A8C"/>
            <w:u w:val="single"/>
          </w:rPr>
          <w:t xml:space="preserve">§§ 415</w:t>
        </w:r>
      </w:hyperlink>
      <w:r>
        <w:t xml:space="preserve">, </w:t>
      </w:r>
      <w:hyperlink w:anchor="b484" w:history="1">
        <w:r>
          <w:rPr>
            <w:color w:val="0A3A8C"/>
            <w:u w:val="single"/>
          </w:rPr>
          <w:t xml:space="preserve">417</w:t>
        </w:r>
      </w:hyperlink>
      <w:r>
        <w:t xml:space="preserve"> bezeichneten Inhalt haben, begründen vollen Beweis der darin bezeugten Tatsachen.</w:t>
      </w:r>
    </w:p>
    <w:p>
      <w:r>
        <w:t>(2) Der Beweis der Unrichtigkeit der bezeugten Tatsachen ist zulässig, sofern nicht die Landesgesetze diesen Beweis ausschließen oder beschränken.</w:t>
      </w:r>
    </w:p>
    <w:p>
      <w:r>
        <w:t>(3) Beruht das Zeugnis nicht auf eigener Wahrnehmung der Behörde oder der Urkundsperson, so ist die Vorschrift des ersten Absatzes nur dann anzuwenden, wenn sich aus den Landesgesetzen ergibt, dass die Beweiskraft des Zeugnisses von der eigenen Wahrnehmung unabhängig ist.</w:t>
      </w:r>
    </w:p>
    <w:p>
      <w:pPr>
        <w:pStyle w:val="Heading4"/>
      </w:pPr>
      <w:bookmarkStart w:id="487" w:name="b486"/>
      <w:r>
        <w:t>§ 419 Beweiskraft mangelbehafteter Urkunden</w:t>
      </w:r>
      <w:r>
        <w:t xml:space="preserve"> </w:t>
      </w:r>
      <w:r>
        <w:rPr>
          <w:rStyle w:val="Suchmarke"/>
        </w:rPr>
        <w:t>#419#</w:t>
      </w:r>
      <w:bookmarkEnd w:id="487"/>
    </w:p>
    <w:p>
      <w:r>
        <w:t>Inwiefern Durchstreichungen, Radierungen, Einschaltungen oder sonstige äußere Mängel die Beweiskraft einer Urkunde ganz oder teilweise aufheben oder mindern, entscheidet das Gericht nach freier Überzeugung.</w:t>
      </w:r>
    </w:p>
    <w:p>
      <w:pPr>
        <w:pStyle w:val="Heading4"/>
      </w:pPr>
      <w:bookmarkStart w:id="488" w:name="b487"/>
      <w:r>
        <w:t>§ 420 Vorlegung durch Beweisführer; Beweisantritt</w:t>
      </w:r>
      <w:r>
        <w:t xml:space="preserve"> </w:t>
      </w:r>
      <w:r>
        <w:rPr>
          <w:rStyle w:val="Suchmarke"/>
        </w:rPr>
        <w:t>#420#</w:t>
      </w:r>
      <w:bookmarkEnd w:id="488"/>
    </w:p>
    <w:p>
      <w:r>
        <w:t>Der Beweis wird durch die Vorlegung der Urkunde angetreten.</w:t>
      </w:r>
    </w:p>
    <w:p>
      <w:pPr>
        <w:pStyle w:val="Heading4"/>
      </w:pPr>
      <w:bookmarkStart w:id="489" w:name="b488"/>
      <w:r>
        <w:t>§ 421 Vorlegung durch den Gegner; Beweisantritt</w:t>
      </w:r>
      <w:r>
        <w:t xml:space="preserve"> </w:t>
      </w:r>
      <w:r>
        <w:rPr>
          <w:rStyle w:val="Suchmarke"/>
        </w:rPr>
        <w:t>#421#</w:t>
      </w:r>
      <w:bookmarkEnd w:id="489"/>
    </w:p>
    <w:p>
      <w:r>
        <w:t>Befindet sich die Urkunde nach der Behauptung des Beweisführers in den Händen des Gegners, so wird der Beweis durch den Antrag angetreten, dem Gegner die Vorlegung der Urkunde aufzugeben.</w:t>
      </w:r>
    </w:p>
    <w:p>
      <w:pPr>
        <w:pStyle w:val="Heading4"/>
      </w:pPr>
      <w:bookmarkStart w:id="490" w:name="b489"/>
      <w:r>
        <w:t>§ 422 Vorlegungspflicht des Gegners nach bürgerlichem Recht</w:t>
      </w:r>
      <w:r>
        <w:t xml:space="preserve"> </w:t>
      </w:r>
      <w:r>
        <w:rPr>
          <w:rStyle w:val="Suchmarke"/>
        </w:rPr>
        <w:t>#422#</w:t>
      </w:r>
      <w:bookmarkEnd w:id="490"/>
    </w:p>
    <w:p>
      <w:r>
        <w:t>Der Gegner ist zur Vorlegung der Urkunde verpflichtet, wenn der Beweisführer nach den Vorschriften des bürgerlichen Rechts die Herausgabe oder die Vorlegung der Urkunde verlangen kann.</w:t>
      </w:r>
    </w:p>
    <w:p>
      <w:pPr>
        <w:pStyle w:val="Heading4"/>
      </w:pPr>
      <w:bookmarkStart w:id="491" w:name="b490"/>
      <w:r>
        <w:t>§ 423 Vorlegungspflicht des Gegners bei Bezugnahme</w:t>
      </w:r>
      <w:r>
        <w:t xml:space="preserve"> </w:t>
      </w:r>
      <w:r>
        <w:rPr>
          <w:rStyle w:val="Suchmarke"/>
        </w:rPr>
        <w:t>#423#</w:t>
      </w:r>
      <w:bookmarkEnd w:id="491"/>
    </w:p>
    <w:p>
      <w:r>
        <w:t>Der Gegner ist auch zur Vorlegung der in seinen Händen befindlichen Urkunden verpflichtet, auf die er im Prozess zur Beweisführung Bezug genommen hat, selbst wenn es nur in einem vorbereitenden Schriftsatz geschehen ist.</w:t>
      </w:r>
    </w:p>
    <w:p>
      <w:pPr>
        <w:pStyle w:val="Heading4"/>
      </w:pPr>
      <w:bookmarkStart w:id="492" w:name="b491"/>
      <w:r>
        <w:t>§ 424 Antrag bei Vorlegung durch Gegner</w:t>
      </w:r>
      <w:r>
        <w:t xml:space="preserve"> </w:t>
      </w:r>
      <w:r>
        <w:rPr>
          <w:rStyle w:val="Suchmarke"/>
        </w:rPr>
        <w:t>#424#</w:t>
      </w:r>
      <w:bookmarkEnd w:id="492"/>
    </w:p>
    <w:p>
      <w:r>
        <w:t>Der Antrag soll enthalten:</w:t>
      </w:r>
    </w:p>
    <w:p>
      <w:pPr>
        <w:tabs>
          <w:tab w:pos="567" w:val="left"/>
        </w:tabs>
        <w:ind w:left="567" w:hanging="567"/>
      </w:pPr>
      <w:r>
        <w:t>1.</w:t>
      </w:r>
      <w:r>
        <w:tab/>
      </w:r>
      <w:r>
        <w:t>die Bezeichnung der Urkunde;</w:t>
      </w:r>
    </w:p>
    <w:p>
      <w:pPr>
        <w:tabs>
          <w:tab w:pos="567" w:val="left"/>
        </w:tabs>
        <w:ind w:left="567" w:hanging="567"/>
      </w:pPr>
      <w:r>
        <w:t>2.</w:t>
      </w:r>
      <w:r>
        <w:tab/>
      </w:r>
      <w:r>
        <w:t>die Bezeichnung der Tatsachen, die durch die Urkunde bewiesen werden sollen;</w:t>
      </w:r>
    </w:p>
    <w:p>
      <w:pPr>
        <w:tabs>
          <w:tab w:pos="567" w:val="left"/>
        </w:tabs>
        <w:ind w:left="567" w:hanging="567"/>
      </w:pPr>
      <w:r>
        <w:t>3.</w:t>
      </w:r>
      <w:r>
        <w:tab/>
      </w:r>
      <w:r>
        <w:t>die möglichst vollständige Bezeichnung des Inhalts der Urkunde;</w:t>
      </w:r>
    </w:p>
    <w:p>
      <w:pPr>
        <w:tabs>
          <w:tab w:pos="567" w:val="left"/>
        </w:tabs>
        <w:ind w:left="567" w:hanging="567"/>
      </w:pPr>
      <w:r>
        <w:t>4.</w:t>
      </w:r>
      <w:r>
        <w:tab/>
      </w:r>
      <w:r>
        <w:t>die Angabe der Umstände, auf welche die Behauptung sich stützt, dass die Urkunde sich in dem Besitz des Gegners befindet;</w:t>
      </w:r>
    </w:p>
    <w:p>
      <w:pPr>
        <w:tabs>
          <w:tab w:pos="567" w:val="left"/>
        </w:tabs>
        <w:ind w:left="567" w:hanging="567"/>
      </w:pPr>
      <w:r>
        <w:t>5.</w:t>
      </w:r>
      <w:r>
        <w:tab/>
      </w:r>
      <w:r>
        <w:t xml:space="preserve">die Bezeichnung des Grundes, der die Verpflichtung zur Vorlegung der Urkunde ergibt. </w:t>
      </w:r>
      <w:r>
        <w:rPr>
          <w:rStyle w:val="Satznummer"/>
        </w:rPr>
        <w:t>2</w:t>
      </w:r>
      <w:r>
        <w:t>Der Grund ist glaubhaft zu machen.</w:t>
      </w:r>
    </w:p>
    <w:p>
      <w:pPr>
        <w:pStyle w:val="Heading4"/>
      </w:pPr>
      <w:bookmarkStart w:id="493" w:name="b492"/>
      <w:r>
        <w:t>§ 425 Anordnung der Vorlegung durch Gegner</w:t>
      </w:r>
      <w:r>
        <w:t xml:space="preserve"> </w:t>
      </w:r>
      <w:r>
        <w:rPr>
          <w:rStyle w:val="Suchmarke"/>
        </w:rPr>
        <w:t>#425#</w:t>
      </w:r>
      <w:bookmarkEnd w:id="493"/>
    </w:p>
    <w:p>
      <w:r>
        <w:t>Erachtet das Gericht die Tatsache, die durch die Urkunde bewiesen werden soll, für erheblich und den Antrag für begründet, so ordnet es, wenn der Gegner zugesteht, dass die Urkunde sich in seinen Händen befinde, oder wenn der Gegner sich über den Antrag nicht erklärt, die Vorlegung der Urkunde an.</w:t>
      </w:r>
    </w:p>
    <w:p>
      <w:pPr>
        <w:pStyle w:val="Heading4"/>
      </w:pPr>
      <w:bookmarkStart w:id="494" w:name="b493"/>
      <w:r>
        <w:t>§ 426 Vernehmung des Gegners über den Verbleib</w:t>
      </w:r>
      <w:r>
        <w:t xml:space="preserve"> </w:t>
      </w:r>
      <w:r>
        <w:rPr>
          <w:rStyle w:val="Suchmarke"/>
        </w:rPr>
        <w:t>#426#</w:t>
      </w:r>
      <w:bookmarkEnd w:id="494"/>
    </w:p>
    <w:p>
      <w:r>
        <w:rPr>
          <w:rStyle w:val="Satznummer"/>
        </w:rPr>
        <w:t>1</w:t>
      </w:r>
      <w:r>
        <w:t xml:space="preserve">Bestreitet der Gegner, dass die Urkunde sich in seinem Besitz befinde, so ist er über ihren Verbleib zu vernehmen. </w:t>
      </w:r>
      <w:r>
        <w:rPr>
          <w:rStyle w:val="Satznummer"/>
        </w:rPr>
        <w:t>2</w:t>
      </w:r>
      <w:r>
        <w:t xml:space="preserve">In der Ladung zum Vernehmungstermin ist ihm aufzugeben, nach dem Verbleib der Urkunde sorgfältig zu forschen. </w:t>
      </w:r>
      <w:r>
        <w:rPr>
          <w:rStyle w:val="Satznummer"/>
        </w:rPr>
        <w:t>3</w:t>
      </w:r>
      <w:r>
        <w:t xml:space="preserve">Im Übrigen gelten die Vorschriften der </w:t>
      </w:r>
      <w:hyperlink w:anchor="b517" w:history="1">
        <w:r>
          <w:rPr>
            <w:color w:val="0A3A8C"/>
            <w:u w:val="single"/>
          </w:rPr>
          <w:t xml:space="preserve">§§ 449</w:t>
        </w:r>
      </w:hyperlink>
      <w:r>
        <w:t xml:space="preserve"> bis </w:t>
      </w:r>
      <w:hyperlink w:anchor="b522" w:history="1">
        <w:r>
          <w:rPr>
            <w:color w:val="0A3A8C"/>
            <w:u w:val="single"/>
          </w:rPr>
          <w:t xml:space="preserve">454</w:t>
        </w:r>
      </w:hyperlink>
      <w:r>
        <w:t xml:space="preserve"> entsprechend. </w:t>
      </w:r>
      <w:r>
        <w:rPr>
          <w:rStyle w:val="Satznummer"/>
        </w:rPr>
        <w:t>4</w:t>
      </w:r>
      <w:r>
        <w:t>Gelangt das Gericht zu der Überzeugung, dass sich die Urkunde im Besitz des Gegners befindet, so ordnet es die Vorlegung an.</w:t>
      </w:r>
    </w:p>
    <w:p>
      <w:pPr>
        <w:pStyle w:val="Heading4"/>
      </w:pPr>
      <w:bookmarkStart w:id="495" w:name="b494"/>
      <w:r>
        <w:t>§ 427 Folgen der Nichtvorlegung durch Gegner</w:t>
      </w:r>
      <w:r>
        <w:t xml:space="preserve"> </w:t>
      </w:r>
      <w:r>
        <w:rPr>
          <w:rStyle w:val="Suchmarke"/>
        </w:rPr>
        <w:t>#427#</w:t>
      </w:r>
      <w:bookmarkEnd w:id="495"/>
    </w:p>
    <w:p>
      <w:r>
        <w:rPr>
          <w:rStyle w:val="Satznummer"/>
        </w:rPr>
        <w:t>1</w:t>
      </w:r>
      <w:r>
        <w:t xml:space="preserve">Kommt der Gegner der Anordnung, die Urkunde vorzulegen, nicht nach oder gelangt das Gericht im Falle des </w:t>
      </w:r>
      <w:hyperlink w:anchor="b493" w:history="1">
        <w:r>
          <w:rPr>
            <w:color w:val="0A3A8C"/>
            <w:u w:val="single"/>
          </w:rPr>
          <w:t xml:space="preserve">§ 426</w:t>
        </w:r>
      </w:hyperlink>
      <w:r>
        <w:t xml:space="preserve"> zu der Überzeugung, dass er nach dem Verbleib der Urkunde nicht sorgfältig geforscht habe, so kann eine vom Beweisführer beigebrachte Abschrift der Urkunde als richtig angesehen werden. </w:t>
      </w:r>
      <w:r>
        <w:rPr>
          <w:rStyle w:val="Satznummer"/>
        </w:rPr>
        <w:t>2</w:t>
      </w:r>
      <w:r>
        <w:t>Ist eine Abschrift der Urkunde nicht beigebracht, so können die Behauptungen des Beweisführers über die Beschaffenheit und den Inhalt der Urkunde als bewiesen angenommen werden.</w:t>
      </w:r>
    </w:p>
    <w:p>
      <w:pPr>
        <w:pStyle w:val="Heading4"/>
      </w:pPr>
      <w:bookmarkStart w:id="496" w:name="b495"/>
      <w:r>
        <w:t>§ 428 Vorlegung durch Dritte; Beweisantritt</w:t>
      </w:r>
      <w:r>
        <w:t xml:space="preserve"> </w:t>
      </w:r>
      <w:r>
        <w:rPr>
          <w:rStyle w:val="Suchmarke"/>
        </w:rPr>
        <w:t>#428#</w:t>
      </w:r>
      <w:bookmarkEnd w:id="496"/>
    </w:p>
    <w:p>
      <w:r>
        <w:t xml:space="preserve">Befindet sich die Urkunde nach der Behauptung des Beweisführers im Besitz eines Dritten, so wird der Beweis durch den Antrag angetreten, zur Herbeischaffung der Urkunde eine Frist zu bestimmen oder eine Anordnung nach </w:t>
      </w:r>
      <w:hyperlink w:anchor="b179" w:history="1">
        <w:r>
          <w:rPr>
            <w:color w:val="0A3A8C"/>
            <w:u w:val="single"/>
          </w:rPr>
          <w:t xml:space="preserve">§ 142</w:t>
        </w:r>
      </w:hyperlink>
      <w:r>
        <w:t xml:space="preserve"> zu erlassen.</w:t>
      </w:r>
    </w:p>
    <w:p>
      <w:pPr>
        <w:pStyle w:val="Heading4"/>
      </w:pPr>
      <w:bookmarkStart w:id="497" w:name="b496"/>
      <w:r>
        <w:t>§ 429 Vorlegungspflicht Dritter</w:t>
      </w:r>
      <w:r>
        <w:t xml:space="preserve"> </w:t>
      </w:r>
      <w:r>
        <w:rPr>
          <w:rStyle w:val="Suchmarke"/>
        </w:rPr>
        <w:t>#429#</w:t>
      </w:r>
      <w:bookmarkEnd w:id="497"/>
    </w:p>
    <w:p>
      <w:r>
        <w:rPr>
          <w:rStyle w:val="Satznummer"/>
        </w:rPr>
        <w:t>1</w:t>
      </w:r>
      <w:r>
        <w:t xml:space="preserve">Der Dritte ist aus denselben Gründen wie der Gegner des Beweisführers zur Vorlegung einer Urkunde verpflichtet; er kann zur Vorlegung nur im Wege der Klage genötigt werden. </w:t>
      </w:r>
      <w:r>
        <w:rPr>
          <w:rStyle w:val="Satznummer"/>
        </w:rPr>
        <w:t>2</w:t>
      </w:r>
      <w:hyperlink w:anchor="b179" w:history="1">
        <w:r>
          <w:rPr>
            <w:color w:val="0A3A8C"/>
            <w:u w:val="single"/>
          </w:rPr>
          <w:t xml:space="preserve">§ 142</w:t>
        </w:r>
      </w:hyperlink>
      <w:r>
        <w:t xml:space="preserve"> bleibt unberührt.</w:t>
      </w:r>
    </w:p>
    <w:p>
      <w:pPr>
        <w:pStyle w:val="Heading4"/>
      </w:pPr>
      <w:bookmarkStart w:id="498" w:name="b497"/>
      <w:r>
        <w:t>§ 430 Antrag bei Vorlegung durch Dritte</w:t>
      </w:r>
      <w:r>
        <w:t xml:space="preserve"> </w:t>
      </w:r>
      <w:r>
        <w:rPr>
          <w:rStyle w:val="Suchmarke"/>
        </w:rPr>
        <w:t>#430#</w:t>
      </w:r>
      <w:bookmarkEnd w:id="498"/>
    </w:p>
    <w:p>
      <w:r>
        <w:t xml:space="preserve">Zur Begründung des nach </w:t>
      </w:r>
      <w:hyperlink w:anchor="b495" w:history="1">
        <w:r>
          <w:rPr>
            <w:color w:val="0A3A8C"/>
            <w:u w:val="single"/>
          </w:rPr>
          <w:t xml:space="preserve">§ 428</w:t>
        </w:r>
      </w:hyperlink>
      <w:r>
        <w:t xml:space="preserve"> zu stellenden Antrages hat der Beweisführer den Erfordernissen des </w:t>
      </w:r>
      <w:hyperlink w:anchor="b491" w:history="1">
        <w:r>
          <w:rPr>
            <w:color w:val="0A3A8C"/>
            <w:u w:val="single"/>
          </w:rPr>
          <w:t xml:space="preserve">§ 424</w:t>
        </w:r>
      </w:hyperlink>
      <w:r>
        <w:t xml:space="preserve"> Nr. 1 bis 3, 5 zu genügen und außerdem glaubhaft zu machen, dass die Urkunde sich in den Händen des Dritten befinde.</w:t>
      </w:r>
    </w:p>
    <w:p>
      <w:pPr>
        <w:pStyle w:val="Heading4"/>
      </w:pPr>
      <w:bookmarkStart w:id="499" w:name="b498"/>
      <w:r>
        <w:t>§ 431 Vorlegungsfrist bei Vorlegung durch Dritte</w:t>
      </w:r>
      <w:r>
        <w:t xml:space="preserve"> </w:t>
      </w:r>
      <w:r>
        <w:rPr>
          <w:rStyle w:val="Suchmarke"/>
        </w:rPr>
        <w:t>#431#</w:t>
      </w:r>
      <w:bookmarkEnd w:id="499"/>
    </w:p>
    <w:p>
      <w:r>
        <w:t>(1) Ist die Tatsache, die durch die Urkunde bewiesen werden soll, erheblich und entspricht der Antrag den Vorschriften des vorstehenden Paragraphen, so hat das Gericht durch Beschluss eine Frist zur Vorlegung der Urkunde zu bestimmen.</w:t>
      </w:r>
    </w:p>
    <w:p>
      <w:r>
        <w:t>(2) Der Gegner kann die Fortsetzung des Verfahrens vor dem Ablauf der Frist beantragen, wenn die Klage gegen den Dritten erledigt ist oder wenn der Beweisführer die Erhebung der Klage oder die Betreibung des Prozesses oder der Zwangsvollstreckung verzögert.</w:t>
      </w:r>
    </w:p>
    <w:p>
      <w:pPr>
        <w:pStyle w:val="Heading4"/>
      </w:pPr>
      <w:bookmarkStart w:id="500" w:name="b499"/>
      <w:r>
        <w:t>§ 432 Vorlegung durch Behörden oder Beamte; Beweisantritt</w:t>
      </w:r>
      <w:r>
        <w:t xml:space="preserve"> </w:t>
      </w:r>
      <w:r>
        <w:rPr>
          <w:rStyle w:val="Suchmarke"/>
        </w:rPr>
        <w:t>#432#</w:t>
      </w:r>
      <w:bookmarkEnd w:id="500"/>
    </w:p>
    <w:p>
      <w:r>
        <w:t>(1) Befindet sich die Urkunde nach der Behauptung des Beweisführers in den Händen einer öffentlichen Behörde oder eines öffentlichen Beamten, so wird der Beweis durch den Antrag angetreten, die Behörde oder den Beamten um die Mitteilung der Urkunde zu ersuchen.</w:t>
      </w:r>
    </w:p>
    <w:p>
      <w:r>
        <w:t>(2) Diese Vorschrift ist auf Urkunden, welche die Parteien nach den gesetzlichen Vorschriften ohne Mitwirkung des Gerichts zu beschaffen imstande sind, nicht anzuwenden.</w:t>
      </w:r>
    </w:p>
    <w:p>
      <w:r>
        <w:t xml:space="preserve">(3) Verweigert die Behörde oder der Beamte die Mitteilung der Urkunde in Fällen, in denen eine Verpflichtung zur Vorlegung auf </w:t>
      </w:r>
      <w:hyperlink w:anchor="b489" w:history="1">
        <w:r>
          <w:rPr>
            <w:color w:val="0A3A8C"/>
            <w:u w:val="single"/>
          </w:rPr>
          <w:t xml:space="preserve">§ 422</w:t>
        </w:r>
      </w:hyperlink>
      <w:r>
        <w:t xml:space="preserve"> gestützt wird, so gelten die Vorschriften der </w:t>
      </w:r>
      <w:hyperlink w:anchor="b495" w:history="1">
        <w:r>
          <w:rPr>
            <w:color w:val="0A3A8C"/>
            <w:u w:val="single"/>
          </w:rPr>
          <w:t xml:space="preserve">§§ 428</w:t>
        </w:r>
      </w:hyperlink>
      <w:r>
        <w:t xml:space="preserve"> bis </w:t>
      </w:r>
      <w:hyperlink w:anchor="b498" w:history="1">
        <w:r>
          <w:rPr>
            <w:color w:val="0A3A8C"/>
            <w:u w:val="single"/>
          </w:rPr>
          <w:t xml:space="preserve">431</w:t>
        </w:r>
      </w:hyperlink>
      <w:r>
        <w:t>.</w:t>
      </w:r>
    </w:p>
    <w:p>
      <w:pPr>
        <w:pStyle w:val="Heading4"/>
      </w:pPr>
      <w:bookmarkStart w:id="501" w:name="b500"/>
      <w:r>
        <w:t>§ 433</w:t>
      </w:r>
      <w:r>
        <w:t xml:space="preserve"> </w:t>
      </w:r>
      <w:r>
        <w:rPr>
          <w:rStyle w:val="Suchmarke"/>
        </w:rPr>
        <w:t>#433#</w:t>
      </w:r>
      <w:bookmarkEnd w:id="501"/>
    </w:p>
    <w:p>
      <w:r>
        <w:t>(weggefallen)</w:t>
      </w:r>
    </w:p>
    <w:p>
      <w:pPr>
        <w:pStyle w:val="Heading4"/>
      </w:pPr>
      <w:bookmarkStart w:id="502" w:name="b501"/>
      <w:r>
        <w:t>§ 434 Vorlegung vor beauftragtem oder ersuchtem Richter</w:t>
      </w:r>
      <w:r>
        <w:t xml:space="preserve"> </w:t>
      </w:r>
      <w:r>
        <w:rPr>
          <w:rStyle w:val="Suchmarke"/>
        </w:rPr>
        <w:t>#434#</w:t>
      </w:r>
      <w:bookmarkEnd w:id="502"/>
    </w:p>
    <w:p>
      <w:r>
        <w:t>Wenn eine Urkunde bei der mündlichen Verhandlung wegen erheblicher Hindernisse nicht vorgelegt werden kann oder wenn es bedenklich erscheint, sie wegen ihrer Wichtigkeit und der Besorgnis ihres Verlustes oder ihrer Beschädigung vorzulegen, so kann das Prozessgericht anordnen, dass sie vor einem seiner Mitglieder oder vor einem anderen Gericht vorgelegt werde.</w:t>
      </w:r>
    </w:p>
    <w:p>
      <w:pPr>
        <w:pStyle w:val="Heading4"/>
      </w:pPr>
      <w:bookmarkStart w:id="503" w:name="b502"/>
      <w:r>
        <w:t>§ 435 Vorlegung öffentlicher Urkunden in Urschrift oder beglaubigter Abschrift</w:t>
      </w:r>
      <w:r>
        <w:t xml:space="preserve"> </w:t>
      </w:r>
      <w:r>
        <w:rPr>
          <w:rStyle w:val="Suchmarke"/>
        </w:rPr>
        <w:t>#435#</w:t>
      </w:r>
      <w:bookmarkEnd w:id="503"/>
    </w:p>
    <w:p>
      <w:r>
        <w:rPr>
          <w:rStyle w:val="Satznummer"/>
        </w:rPr>
        <w:t>1</w:t>
      </w:r>
      <w:r>
        <w:t xml:space="preserve">Eine öffentliche Urkunde kann in Urschrift oder in einer beglaubigten Abschrift, die hinsichtlich der Beglaubigung die Erfordernisse einer öffentlichen Urkunde an sich trägt, vorgelegt werden; das Gericht kann jedoch anordnen, dass der Beweisführer die Urschrift vorlege oder die Tatsachen angebe und glaubhaft mache, die ihn an der Vorlegung der Urschrift verhindern. </w:t>
      </w:r>
      <w:r>
        <w:rPr>
          <w:rStyle w:val="Satznummer"/>
        </w:rPr>
        <w:t>2</w:t>
      </w:r>
      <w:r>
        <w:t>Bleibt die Anordnung erfolglos, so entscheidet das Gericht nach freier Überzeugung, welche Beweiskraft der beglaubigten Abschrift beizulegen sei.</w:t>
      </w:r>
    </w:p>
    <w:p>
      <w:pPr>
        <w:pStyle w:val="Heading4"/>
      </w:pPr>
      <w:bookmarkStart w:id="504" w:name="b503"/>
      <w:r>
        <w:t>§ 436 Verzicht nach Vorlegung</w:t>
      </w:r>
      <w:r>
        <w:t xml:space="preserve"> </w:t>
      </w:r>
      <w:r>
        <w:rPr>
          <w:rStyle w:val="Suchmarke"/>
        </w:rPr>
        <w:t>#436#</w:t>
      </w:r>
      <w:bookmarkEnd w:id="504"/>
    </w:p>
    <w:p>
      <w:r>
        <w:t>Der Beweisführer kann nach der Vorlegung einer Urkunde nur mit Zustimmung des Gegners auf dieses Beweismittel verzichten.</w:t>
      </w:r>
    </w:p>
    <w:p>
      <w:pPr>
        <w:pStyle w:val="Heading4"/>
      </w:pPr>
      <w:bookmarkStart w:id="505" w:name="b504"/>
      <w:r>
        <w:t>§ 437 Echtheit inländischer öffentlicher Urkunden</w:t>
      </w:r>
      <w:r>
        <w:t xml:space="preserve"> </w:t>
      </w:r>
      <w:r>
        <w:rPr>
          <w:rStyle w:val="Suchmarke"/>
        </w:rPr>
        <w:t>#437#</w:t>
      </w:r>
      <w:bookmarkEnd w:id="505"/>
    </w:p>
    <w:p>
      <w:r>
        <w:t>(1) Urkunden, die nach Form und Inhalt als von einer öffentlichen Behörde oder von einer mit öffentlichem Glauben versehenen Person errichtet sich darstellen, haben die Vermutung der Echtheit für sich.</w:t>
      </w:r>
    </w:p>
    <w:p>
      <w:r>
        <w:t>(2) Das Gericht kann, wenn es die Echtheit für zweifelhaft hält, auch von Amts wegen die Behörde oder die Person, von der die Urkunde errichtet sein soll, zu einer Erklärung über die Echtheit veranlassen.</w:t>
      </w:r>
    </w:p>
    <w:p>
      <w:pPr>
        <w:pStyle w:val="Heading4"/>
      </w:pPr>
      <w:bookmarkStart w:id="506" w:name="b505"/>
      <w:r>
        <w:t>§ 438 Echtheit ausländischer öffentlicher Urkunden</w:t>
      </w:r>
      <w:r>
        <w:t xml:space="preserve"> </w:t>
      </w:r>
      <w:r>
        <w:rPr>
          <w:rStyle w:val="Suchmarke"/>
        </w:rPr>
        <w:t>#438#</w:t>
      </w:r>
      <w:bookmarkEnd w:id="506"/>
    </w:p>
    <w:p>
      <w:r>
        <w:t>(1) Ob eine Urkunde, die als von einer ausländischen Behörde oder von einer mit öffentlichem Glauben versehenen Person des Auslandes errichtet sich darstellt, ohne näheren Nachweis als echt anzusehen sei, hat das Gericht nach den Umständen des Falles zu ermessen.</w:t>
      </w:r>
    </w:p>
    <w:p>
      <w:r>
        <w:t>(2) Zum Beweis der Echtheit einer solchen Urkunde genügt die Legalisation durch einen Konsul oder Gesandten des Bundes.</w:t>
      </w:r>
    </w:p>
    <w:p>
      <w:pPr>
        <w:pStyle w:val="Heading4"/>
      </w:pPr>
      <w:bookmarkStart w:id="507" w:name="b506"/>
      <w:r>
        <w:t>§ 439 Erklärung über Echtheit von Privaturkunden</w:t>
      </w:r>
      <w:r>
        <w:t xml:space="preserve"> </w:t>
      </w:r>
      <w:r>
        <w:rPr>
          <w:rStyle w:val="Suchmarke"/>
        </w:rPr>
        <w:t>#439#</w:t>
      </w:r>
      <w:bookmarkEnd w:id="507"/>
    </w:p>
    <w:p>
      <w:r>
        <w:t xml:space="preserve">(1) Über die Echtheit einer Privaturkunde hat sich der Gegner des Beweisführers nach der Vorschrift des </w:t>
      </w:r>
      <w:hyperlink w:anchor="b175" w:history="1">
        <w:r>
          <w:rPr>
            <w:color w:val="0A3A8C"/>
            <w:u w:val="single"/>
          </w:rPr>
          <w:t xml:space="preserve">§ 138</w:t>
        </w:r>
      </w:hyperlink>
      <w:r>
        <w:t xml:space="preserve"> zu erklären.</w:t>
      </w:r>
    </w:p>
    <w:p>
      <w:r>
        <w:t>(2) Befindet sich unter der Urkunde eine Namensunterschrift, so ist die Erklärung auf die Echtheit der Unterschrift zu richten.</w:t>
      </w:r>
    </w:p>
    <w:p>
      <w:r>
        <w:t>(3) Wird die Erklärung nicht abgegeben, so ist die Urkunde als anerkannt anzusehen, wenn nicht die Absicht, die Echtheit bestreiten zu wollen, aus den übrigen Erklärungen der Partei hervorgeht.</w:t>
      </w:r>
    </w:p>
    <w:p>
      <w:pPr>
        <w:pStyle w:val="Heading4"/>
      </w:pPr>
      <w:bookmarkStart w:id="508" w:name="b507"/>
      <w:r>
        <w:t>§ 440 Beweis der Echtheit von Privaturkunden</w:t>
      </w:r>
      <w:r>
        <w:t xml:space="preserve"> </w:t>
      </w:r>
      <w:r>
        <w:rPr>
          <w:rStyle w:val="Suchmarke"/>
        </w:rPr>
        <w:t>#440#</w:t>
      </w:r>
      <w:bookmarkEnd w:id="508"/>
    </w:p>
    <w:p>
      <w:r>
        <w:t>(1) Die Echtheit einer nicht anerkannten Privaturkunde ist zu beweisen.</w:t>
      </w:r>
    </w:p>
    <w:p>
      <w:r>
        <w:t>(2) Steht die Echtheit der Namensunterschrift fest oder ist das unter einer Urkunde befindliche Handzeichen notariell beglaubigt, so hat die über der Unterschrift oder dem Handzeichen stehende Schrift die Vermutung der Echtheit für sich.</w:t>
      </w:r>
    </w:p>
    <w:p>
      <w:pPr>
        <w:pStyle w:val="Heading4"/>
      </w:pPr>
      <w:bookmarkStart w:id="509" w:name="b508"/>
      <w:r>
        <w:t>§ 441 Schriftvergleichung</w:t>
      </w:r>
      <w:r>
        <w:t xml:space="preserve"> </w:t>
      </w:r>
      <w:r>
        <w:rPr>
          <w:rStyle w:val="Suchmarke"/>
        </w:rPr>
        <w:t>#441#</w:t>
      </w:r>
      <w:bookmarkEnd w:id="509"/>
    </w:p>
    <w:p>
      <w:r>
        <w:t>(1) Der Beweis der Echtheit oder Unechtheit einer Urkunde kann auch durch Schriftvergleichung geführt werden.</w:t>
      </w:r>
    </w:p>
    <w:p>
      <w:r>
        <w:t xml:space="preserve">(2) In diesem Fall hat der Beweisführer zur Vergleichung geeignete Schriften vorzulegen oder ihre Mitteilung nach der Vorschrift des </w:t>
      </w:r>
      <w:hyperlink w:anchor="b499" w:history="1">
        <w:r>
          <w:rPr>
            <w:color w:val="0A3A8C"/>
            <w:u w:val="single"/>
          </w:rPr>
          <w:t xml:space="preserve">§ 432</w:t>
        </w:r>
      </w:hyperlink>
      <w:r>
        <w:t xml:space="preserve"> zu beantragen und erforderlichenfalls den Beweis ihrer Echtheit anzutreten.</w:t>
      </w:r>
    </w:p>
    <w:p>
      <w:r>
        <w:t xml:space="preserve">(3) </w:t>
      </w:r>
      <w:r>
        <w:rPr>
          <w:rStyle w:val="Satznummer"/>
        </w:rPr>
        <w:t>1</w:t>
      </w:r>
      <w:r>
        <w:t xml:space="preserve">Befinden sich zur Vergleichung geeignete Schriften in den Händen des Gegners, so ist dieser auf Antrag des Beweisführers zur Vorlegung verpflichtet. </w:t>
      </w:r>
      <w:r>
        <w:rPr>
          <w:rStyle w:val="Satznummer"/>
        </w:rPr>
        <w:t>2</w:t>
      </w:r>
      <w:r>
        <w:t xml:space="preserve">Die Vorschriften der </w:t>
      </w:r>
      <w:hyperlink w:anchor="b488" w:history="1">
        <w:r>
          <w:rPr>
            <w:color w:val="0A3A8C"/>
            <w:u w:val="single"/>
          </w:rPr>
          <w:t xml:space="preserve">§§ 421</w:t>
        </w:r>
      </w:hyperlink>
      <w:r>
        <w:t xml:space="preserve"> bis </w:t>
      </w:r>
      <w:hyperlink w:anchor="b493" w:history="1">
        <w:r>
          <w:rPr>
            <w:color w:val="0A3A8C"/>
            <w:u w:val="single"/>
          </w:rPr>
          <w:t xml:space="preserve">426</w:t>
        </w:r>
      </w:hyperlink>
      <w:r>
        <w:t xml:space="preserve"> gelten entsprechend. </w:t>
      </w:r>
      <w:r>
        <w:rPr>
          <w:rStyle w:val="Satznummer"/>
        </w:rPr>
        <w:t>3</w:t>
      </w:r>
      <w:r>
        <w:t xml:space="preserve">Kommt der Gegner der Anordnung, die zur Vergleichung geeigneten Schriften vorzulegen, nicht nach oder gelangt das Gericht im Falle des </w:t>
      </w:r>
      <w:hyperlink w:anchor="b493" w:history="1">
        <w:r>
          <w:rPr>
            <w:color w:val="0A3A8C"/>
            <w:u w:val="single"/>
          </w:rPr>
          <w:t xml:space="preserve">§ 426</w:t>
        </w:r>
      </w:hyperlink>
      <w:r>
        <w:t xml:space="preserve"> zu der Überzeugung, dass der Gegner nach dem Verbleib der Schriften nicht sorgfältig geforscht habe, so kann die Urkunde als echt angesehen werden.</w:t>
      </w:r>
    </w:p>
    <w:p>
      <w:r>
        <w:t xml:space="preserve">(4) Macht der Beweisführer glaubhaft, dass in den Händen eines Dritten geeignete Vergleichungsschriften sich befinden, deren Vorlegung er im Wege der Klage zu erwirken imstande sei, so gelten die Vorschriften des </w:t>
      </w:r>
      <w:hyperlink w:anchor="b498" w:history="1">
        <w:r>
          <w:rPr>
            <w:color w:val="0A3A8C"/>
            <w:u w:val="single"/>
          </w:rPr>
          <w:t xml:space="preserve">§ 431</w:t>
        </w:r>
      </w:hyperlink>
      <w:r>
        <w:t xml:space="preserve"> entsprechend.</w:t>
      </w:r>
    </w:p>
    <w:p>
      <w:pPr>
        <w:pStyle w:val="Heading4"/>
      </w:pPr>
      <w:bookmarkStart w:id="510" w:name="b509"/>
      <w:r>
        <w:t>§ 442 Würdigung der Schriftvergleichung</w:t>
      </w:r>
      <w:r>
        <w:t xml:space="preserve"> </w:t>
      </w:r>
      <w:r>
        <w:rPr>
          <w:rStyle w:val="Suchmarke"/>
        </w:rPr>
        <w:t>#442#</w:t>
      </w:r>
      <w:bookmarkEnd w:id="510"/>
    </w:p>
    <w:p>
      <w:r>
        <w:t>Über das Ergebnis der Schriftvergleichung hat das Gericht nach freier Überzeugung, geeignetenfalls nach Anhörung von Sachverständigen, zu entscheiden.</w:t>
      </w:r>
    </w:p>
    <w:p>
      <w:pPr>
        <w:pStyle w:val="Heading4"/>
      </w:pPr>
      <w:bookmarkStart w:id="511" w:name="b510"/>
      <w:r>
        <w:t>§ 443 Verwahrung verdächtiger Urkunden</w:t>
      </w:r>
      <w:r>
        <w:t xml:space="preserve"> </w:t>
      </w:r>
      <w:r>
        <w:rPr>
          <w:rStyle w:val="Suchmarke"/>
        </w:rPr>
        <w:t>#443#</w:t>
      </w:r>
      <w:bookmarkEnd w:id="511"/>
    </w:p>
    <w:p>
      <w:r>
        <w:t>Urkunden, deren Echtheit bestritten ist oder deren Inhalt verändert sein soll, werden bis zur Erledigung des Rechtsstreits auf der Geschäftsstelle verwahrt, sofern nicht ihre Auslieferung an eine andere Behörde im Interesse der öffentlichen Ordnung erforderlich ist.</w:t>
      </w:r>
    </w:p>
    <w:p>
      <w:pPr>
        <w:pStyle w:val="Heading4"/>
      </w:pPr>
      <w:bookmarkStart w:id="512" w:name="b511"/>
      <w:r>
        <w:t>§ 444 Folgen der Beseitigung einer Urkunde</w:t>
      </w:r>
      <w:r>
        <w:t xml:space="preserve"> </w:t>
      </w:r>
      <w:r>
        <w:rPr>
          <w:rStyle w:val="Suchmarke"/>
        </w:rPr>
        <w:t>#444#</w:t>
      </w:r>
      <w:bookmarkEnd w:id="512"/>
    </w:p>
    <w:p>
      <w:r>
        <w:t>Ist eine Urkunde von einer Partei in der Absicht, ihre Benutzung dem Gegner zu entziehen, beseitigt oder zur Benutzung untauglich gemacht, so können die Behauptungen des Gegners über die Beschaffenheit und den Inhalt der Urkunde als bewiesen angesehen werden.</w:t>
      </w:r>
    </w:p>
    <w:p>
      <w:pPr>
        <w:pStyle w:val="Heading3"/>
      </w:pPr>
      <w:bookmarkStart w:id="513" w:name="b512"/>
      <w:r>
        <w:t>Titel 10 Beweis durch Parteivernehmung</w:t>
      </w:r>
      <w:bookmarkEnd w:id="513"/>
    </w:p>
    <w:p>
      <w:pPr>
        <w:pStyle w:val="Heading4"/>
      </w:pPr>
      <w:bookmarkStart w:id="514" w:name="b513"/>
      <w:r>
        <w:t>§ 445 Vernehmung des Gegners; Beweisantritt</w:t>
      </w:r>
      <w:r>
        <w:t xml:space="preserve"> </w:t>
      </w:r>
      <w:r>
        <w:rPr>
          <w:rStyle w:val="Suchmarke"/>
        </w:rPr>
        <w:t>#445#</w:t>
      </w:r>
      <w:bookmarkEnd w:id="514"/>
    </w:p>
    <w:p>
      <w:r>
        <w:t>(1) Eine Partei, die den ihr obliegenden Beweis mit anderen Beweismitteln nicht vollständig geführt oder andere Beweismittel nicht vorgebracht hat, kann den Beweis dadurch antreten, dass sie beantragt, den Gegner über die zu beweisenden Tatsachen zu vernehmen.</w:t>
      </w:r>
    </w:p>
    <w:p>
      <w:r>
        <w:t>(2) Der Antrag ist nicht zu berücksichtigen, wenn er Tatsachen betrifft, deren Gegenteil das Gericht für erwiesen erachtet.</w:t>
      </w:r>
    </w:p>
    <w:p>
      <w:pPr>
        <w:pStyle w:val="Heading4"/>
      </w:pPr>
      <w:bookmarkStart w:id="515" w:name="b514"/>
      <w:r>
        <w:t>§ 446 Weigerung des Gegners</w:t>
      </w:r>
      <w:r>
        <w:t xml:space="preserve"> </w:t>
      </w:r>
      <w:r>
        <w:rPr>
          <w:rStyle w:val="Suchmarke"/>
        </w:rPr>
        <w:t>#446#</w:t>
      </w:r>
      <w:bookmarkEnd w:id="515"/>
    </w:p>
    <w:p>
      <w:r>
        <w:t>Lehnt der Gegner ab, sich vernehmen zu lassen, oder gibt er auf Verlangen des Gerichts keine Erklärung ab, so hat das Gericht unter Berücksichtigung der gesamten Sachlage, insbesondere der für die Weigerung vorgebrachten Gründe, nach freier Überzeugung zu entscheiden, ob es die behauptete Tatsache als erwiesen ansehen will.</w:t>
      </w:r>
    </w:p>
    <w:p>
      <w:pPr>
        <w:pStyle w:val="Heading4"/>
      </w:pPr>
      <w:bookmarkStart w:id="516" w:name="b515"/>
      <w:r>
        <w:t>§ 447 Vernehmung der beweispflichtigen Partei auf Antrag</w:t>
      </w:r>
      <w:r>
        <w:t xml:space="preserve"> </w:t>
      </w:r>
      <w:r>
        <w:rPr>
          <w:rStyle w:val="Suchmarke"/>
        </w:rPr>
        <w:t>#447#</w:t>
      </w:r>
      <w:bookmarkEnd w:id="516"/>
    </w:p>
    <w:p>
      <w:r>
        <w:t>Das Gericht kann über eine streitige Tatsache auch die beweispflichtige Partei vernehmen, wenn eine Partei es beantragt und die andere damit einverstanden ist.</w:t>
      </w:r>
    </w:p>
    <w:p>
      <w:pPr>
        <w:pStyle w:val="Heading4"/>
      </w:pPr>
      <w:bookmarkStart w:id="517" w:name="b516"/>
      <w:r>
        <w:t>§ 448 Vernehmung von Amts wegen</w:t>
      </w:r>
      <w:r>
        <w:t xml:space="preserve"> </w:t>
      </w:r>
      <w:r>
        <w:rPr>
          <w:rStyle w:val="Suchmarke"/>
        </w:rPr>
        <w:t>#448#</w:t>
      </w:r>
      <w:bookmarkEnd w:id="517"/>
    </w:p>
    <w:p>
      <w:r>
        <w:t>Auch ohne Antrag einer Partei und ohne Rücksicht auf die Beweislast kann das Gericht, wenn das Ergebnis der Verhandlungen und einer etwaigen Beweisaufnahme nicht ausreicht, um seine Überzeugung von der Wahrheit oder Unwahrheit einer zu erweisenden Tatsache zu begründen, die Vernehmung einer Partei oder beider Parteien über die Tatsache anordnen.</w:t>
      </w:r>
    </w:p>
    <w:p>
      <w:pPr>
        <w:pStyle w:val="Heading4"/>
      </w:pPr>
      <w:bookmarkStart w:id="518" w:name="b517"/>
      <w:r>
        <w:t>§ 449 Vernehmung von Streitgenossen</w:t>
      </w:r>
      <w:r>
        <w:t xml:space="preserve"> </w:t>
      </w:r>
      <w:r>
        <w:rPr>
          <w:rStyle w:val="Suchmarke"/>
        </w:rPr>
        <w:t>#449#</w:t>
      </w:r>
      <w:bookmarkEnd w:id="518"/>
    </w:p>
    <w:p>
      <w:r>
        <w:t>Besteht die zu vernehmende Partei aus mehreren Streitgenossen, so bestimmt das Gericht nach Lage des Falles, ob alle oder nur einzelne Streitgenossen zu vernehmen sind.</w:t>
      </w:r>
    </w:p>
    <w:p>
      <w:pPr>
        <w:pStyle w:val="Heading4"/>
      </w:pPr>
      <w:bookmarkStart w:id="519" w:name="b518"/>
      <w:r>
        <w:t>§ 450 Beweisbeschluss</w:t>
      </w:r>
      <w:r>
        <w:t xml:space="preserve"> </w:t>
      </w:r>
      <w:r>
        <w:rPr>
          <w:rStyle w:val="Suchmarke"/>
        </w:rPr>
        <w:t>#450#</w:t>
      </w:r>
      <w:bookmarkEnd w:id="519"/>
    </w:p>
    <w:p>
      <w:r>
        <w:t xml:space="preserve">(1) </w:t>
      </w:r>
      <w:r>
        <w:rPr>
          <w:rStyle w:val="Satznummer"/>
        </w:rPr>
        <w:t>1</w:t>
      </w:r>
      <w:r>
        <w:t xml:space="preserve">Die Vernehmung einer Partei wird durch Beweisbeschluss angeordnet. </w:t>
      </w:r>
      <w:r>
        <w:rPr>
          <w:rStyle w:val="Satznummer"/>
        </w:rPr>
        <w:t>2</w:t>
      </w:r>
      <w:r>
        <w:t xml:space="preserve">Die Partei ist, wenn sie bei der Verkündung des Beschlusses nicht persönlich anwesend ist, zu der Vernehmung unter Mitteilung des Beweisbeschlusses von Amts wegen zu laden. </w:t>
      </w:r>
      <w:r>
        <w:rPr>
          <w:rStyle w:val="Satznummer"/>
        </w:rPr>
        <w:t>3</w:t>
      </w:r>
      <w:r>
        <w:t>Die Ladung ist der Partei selbst mitzuteilen, auch wenn sie einen Prozessbevollmächtigten bestellt hat; der Zustellung bedarf die Ladung nicht.</w:t>
      </w:r>
    </w:p>
    <w:p>
      <w:r>
        <w:t xml:space="preserve">(2) </w:t>
      </w:r>
      <w:r>
        <w:rPr>
          <w:rStyle w:val="Satznummer"/>
        </w:rPr>
        <w:t>1</w:t>
      </w:r>
      <w:r>
        <w:t xml:space="preserve">Die Ausführung des Beschlusses kann ausgesetzt werden, wenn nach seinem Erlass über die zu beweisende Tatsache neue Beweismittel vorgebracht werden. </w:t>
      </w:r>
      <w:r>
        <w:rPr>
          <w:rStyle w:val="Satznummer"/>
        </w:rPr>
        <w:t>2</w:t>
      </w:r>
      <w:r>
        <w:t>Nach Erhebung der neuen Beweise ist von der Parteivernehmung abzusehen, wenn das Gericht die Beweisfrage für geklärt erachtet.</w:t>
      </w:r>
    </w:p>
    <w:p>
      <w:pPr>
        <w:pStyle w:val="Heading4"/>
      </w:pPr>
      <w:bookmarkStart w:id="520" w:name="b519"/>
      <w:r>
        <w:t>§ 451 Ausführung der Vernehmung</w:t>
      </w:r>
      <w:r>
        <w:t xml:space="preserve"> </w:t>
      </w:r>
      <w:r>
        <w:rPr>
          <w:rStyle w:val="Suchmarke"/>
        </w:rPr>
        <w:t>#451#</w:t>
      </w:r>
      <w:bookmarkEnd w:id="520"/>
    </w:p>
    <w:p>
      <w:r>
        <w:t xml:space="preserve">Für die Vernehmung einer Partei gelten die Vorschriften der </w:t>
      </w:r>
      <w:hyperlink w:anchor="b436" w:history="1">
        <w:r>
          <w:rPr>
            <w:color w:val="0A3A8C"/>
            <w:u w:val="single"/>
          </w:rPr>
          <w:t xml:space="preserve">§§ 375</w:t>
        </w:r>
      </w:hyperlink>
      <w:r>
        <w:t xml:space="preserve">, </w:t>
      </w:r>
      <w:hyperlink w:anchor="b437" w:history="1">
        <w:r>
          <w:rPr>
            <w:color w:val="0A3A8C"/>
            <w:u w:val="single"/>
          </w:rPr>
          <w:t xml:space="preserve">376</w:t>
        </w:r>
      </w:hyperlink>
      <w:r>
        <w:t xml:space="preserve">, </w:t>
      </w:r>
      <w:hyperlink w:anchor="b456" w:history="1">
        <w:r>
          <w:rPr>
            <w:color w:val="0A3A8C"/>
            <w:u w:val="single"/>
          </w:rPr>
          <w:t xml:space="preserve">395</w:t>
        </w:r>
      </w:hyperlink>
      <w:r>
        <w:t xml:space="preserve"> Abs. 1, Abs. 2 Satz 1 und der </w:t>
      </w:r>
      <w:hyperlink w:anchor="b457" w:history="1">
        <w:r>
          <w:rPr>
            <w:color w:val="0A3A8C"/>
            <w:u w:val="single"/>
          </w:rPr>
          <w:t xml:space="preserve">§§ 396</w:t>
        </w:r>
      </w:hyperlink>
      <w:r>
        <w:t xml:space="preserve">, </w:t>
      </w:r>
      <w:hyperlink w:anchor="b458" w:history="1">
        <w:r>
          <w:rPr>
            <w:color w:val="0A3A8C"/>
            <w:u w:val="single"/>
          </w:rPr>
          <w:t xml:space="preserve">397</w:t>
        </w:r>
      </w:hyperlink>
      <w:r>
        <w:t xml:space="preserve">, </w:t>
      </w:r>
      <w:hyperlink w:anchor="b459" w:history="1">
        <w:r>
          <w:rPr>
            <w:color w:val="0A3A8C"/>
            <w:u w:val="single"/>
          </w:rPr>
          <w:t xml:space="preserve">398</w:t>
        </w:r>
      </w:hyperlink>
      <w:r>
        <w:t xml:space="preserve"> entsprechend.</w:t>
      </w:r>
    </w:p>
    <w:p>
      <w:pPr>
        <w:pStyle w:val="Heading4"/>
      </w:pPr>
      <w:bookmarkStart w:id="521" w:name="b520"/>
      <w:r>
        <w:t>§ 452 Beeidigung der Partei</w:t>
      </w:r>
      <w:r>
        <w:t xml:space="preserve"> </w:t>
      </w:r>
      <w:r>
        <w:rPr>
          <w:rStyle w:val="Suchmarke"/>
        </w:rPr>
        <w:t>#452#</w:t>
      </w:r>
      <w:bookmarkEnd w:id="521"/>
    </w:p>
    <w:p>
      <w:r>
        <w:t xml:space="preserve">(1) </w:t>
      </w:r>
      <w:r>
        <w:rPr>
          <w:rStyle w:val="Satznummer"/>
        </w:rPr>
        <w:t>1</w:t>
      </w:r>
      <w:r>
        <w:t xml:space="preserve">Reicht das Ergebnis der unbeeidigten Aussage einer Partei nicht aus, um das Gericht von der Wahrheit oder Unwahrheit der zu erweisenden Tatsache zu überzeugen, so kann es anordnen, dass die Partei ihre Aussage zu beeidigen habe. </w:t>
      </w:r>
      <w:r>
        <w:rPr>
          <w:rStyle w:val="Satznummer"/>
        </w:rPr>
        <w:t>2</w:t>
      </w:r>
      <w:r>
        <w:t>Waren beide Parteien vernommen, so kann die Beeidigung der Aussage über dieselben Tatsachen nur von einer Partei gefordert werden.</w:t>
      </w:r>
    </w:p>
    <w:p>
      <w:r>
        <w:t>(2) Die Eidesnorm geht dahin, dass die Partei nach bestem Wissen die reine Wahrheit gesagt und nichts verschwiegen habe.</w:t>
      </w:r>
    </w:p>
    <w:p>
      <w:r>
        <w:t>(3) Der Gegner kann auf die Beeidigung verzichten.</w:t>
      </w:r>
    </w:p>
    <w:p>
      <w:r>
        <w:t>(4) Die Beeidigung einer Partei, die wegen wissentlicher Verletzung der Eidespflicht rechtskräftig verurteilt ist, ist unzulässig.</w:t>
      </w:r>
    </w:p>
    <w:p>
      <w:pPr>
        <w:pStyle w:val="Heading4"/>
      </w:pPr>
      <w:bookmarkStart w:id="522" w:name="b521"/>
      <w:r>
        <w:t>§ 453 Beweiswürdigung bei Parteivernehmung</w:t>
      </w:r>
      <w:r>
        <w:t xml:space="preserve"> </w:t>
      </w:r>
      <w:r>
        <w:rPr>
          <w:rStyle w:val="Suchmarke"/>
        </w:rPr>
        <w:t>#453#</w:t>
      </w:r>
      <w:bookmarkEnd w:id="522"/>
    </w:p>
    <w:p>
      <w:r>
        <w:t xml:space="preserve">(1) Das Gericht hat die Aussage der Partei nach </w:t>
      </w:r>
      <w:hyperlink w:anchor="b322" w:history="1">
        <w:r>
          <w:rPr>
            <w:color w:val="0A3A8C"/>
            <w:u w:val="single"/>
          </w:rPr>
          <w:t xml:space="preserve">§ 286</w:t>
        </w:r>
      </w:hyperlink>
      <w:r>
        <w:t xml:space="preserve"> frei zu würdigen.</w:t>
      </w:r>
    </w:p>
    <w:p>
      <w:r>
        <w:t xml:space="preserve">(2) Verweigert die Partei die Aussage oder den Eid, so gilt </w:t>
      </w:r>
      <w:hyperlink w:anchor="b514" w:history="1">
        <w:r>
          <w:rPr>
            <w:color w:val="0A3A8C"/>
            <w:u w:val="single"/>
          </w:rPr>
          <w:t xml:space="preserve">§ 446</w:t>
        </w:r>
      </w:hyperlink>
      <w:r>
        <w:t xml:space="preserve"> entsprechend.</w:t>
      </w:r>
    </w:p>
    <w:p>
      <w:pPr>
        <w:pStyle w:val="Heading4"/>
      </w:pPr>
      <w:bookmarkStart w:id="523" w:name="b522"/>
      <w:r>
        <w:t>§ 454 Ausbleiben der Partei</w:t>
      </w:r>
      <w:r>
        <w:t xml:space="preserve"> </w:t>
      </w:r>
      <w:r>
        <w:rPr>
          <w:rStyle w:val="Suchmarke"/>
        </w:rPr>
        <w:t>#454#</w:t>
      </w:r>
      <w:bookmarkEnd w:id="523"/>
    </w:p>
    <w:p>
      <w:r>
        <w:t>(1) Bleibt die Partei in dem zu ihrer Vernehmung oder Beeidigung bestimmten Termin aus, so entscheidet das Gericht unter Berücksichtigung aller Umstände, insbesondere auch etwaiger von der Partei für ihr Ausbleiben angegebener Gründe, nach freiem Ermessen, ob die Aussage als verweigert anzusehen ist.</w:t>
      </w:r>
    </w:p>
    <w:p>
      <w:r>
        <w:t>(2) War der Termin zur Vernehmung oder Beeidigung der Partei vor dem Prozessgericht bestimmt, so ist im Falle ihres Ausbleibens, wenn nicht das Gericht die Anberaumung eines neuen Vernehmungstermins für geboten erachtet, zur Hauptsache zu verhandeln.</w:t>
      </w:r>
    </w:p>
    <w:p>
      <w:pPr>
        <w:pStyle w:val="Heading4"/>
      </w:pPr>
      <w:bookmarkStart w:id="524" w:name="b523"/>
      <w:r>
        <w:t>§ 455 Prozessunfähige</w:t>
      </w:r>
      <w:r>
        <w:t xml:space="preserve"> </w:t>
      </w:r>
      <w:r>
        <w:rPr>
          <w:rStyle w:val="Suchmarke"/>
        </w:rPr>
        <w:t>#455#</w:t>
      </w:r>
      <w:bookmarkEnd w:id="524"/>
    </w:p>
    <w:p>
      <w:r>
        <w:t xml:space="preserve">(1) </w:t>
      </w:r>
      <w:r>
        <w:rPr>
          <w:rStyle w:val="Satznummer"/>
        </w:rPr>
        <w:t>1</w:t>
      </w:r>
      <w:r>
        <w:t xml:space="preserve">Ist eine Partei nicht prozessfähig, so ist vorbehaltlich der Vorschrift im Absatz 2 ihr gesetzlicher Vertreter zu vernehmen. </w:t>
      </w:r>
      <w:r>
        <w:rPr>
          <w:rStyle w:val="Satznummer"/>
        </w:rPr>
        <w:t>2</w:t>
      </w:r>
      <w:r>
        <w:t xml:space="preserve">Sind mehrere gesetzliche Vertreter vorhanden, so gilt </w:t>
      </w:r>
      <w:hyperlink w:anchor="b517" w:history="1">
        <w:r>
          <w:rPr>
            <w:color w:val="0A3A8C"/>
            <w:u w:val="single"/>
          </w:rPr>
          <w:t xml:space="preserve">§ 449</w:t>
        </w:r>
      </w:hyperlink>
      <w:r>
        <w:t xml:space="preserve"> entsprechend.</w:t>
      </w:r>
    </w:p>
    <w:p>
      <w:r>
        <w:t xml:space="preserve">(2) </w:t>
      </w:r>
      <w:r>
        <w:rPr>
          <w:rStyle w:val="Satznummer"/>
        </w:rPr>
        <w:t>1</w:t>
      </w:r>
      <w:r>
        <w:t xml:space="preserve">Minderjährige, die das 16. Lebensjahr vollendet haben, können über Tatsachen, die in ihren eigenen Handlungen bestehen oder Gegenstand ihrer Wahrnehmung gewesen sind, vernommen und auch nach </w:t>
      </w:r>
      <w:hyperlink w:anchor="b520" w:history="1">
        <w:r>
          <w:rPr>
            <w:color w:val="0A3A8C"/>
            <w:u w:val="single"/>
          </w:rPr>
          <w:t xml:space="preserve">§ 452</w:t>
        </w:r>
      </w:hyperlink>
      <w:r>
        <w:t xml:space="preserve"> beeidigt werden, wenn das Gericht dies nach den Umständen des Falles für angemessen erachtet. </w:t>
      </w:r>
      <w:r>
        <w:rPr>
          <w:rStyle w:val="Satznummer"/>
        </w:rPr>
        <w:t>2</w:t>
      </w:r>
      <w:r>
        <w:t>Das Gleiche gilt von einer prozessfähigen Person, die in dem Rechtsstreit durch einen Betreuer oder Pfleger vertreten wird.</w:t>
      </w:r>
    </w:p>
    <w:p>
      <w:pPr>
        <w:pStyle w:val="Heading4"/>
      </w:pPr>
      <w:bookmarkStart w:id="525" w:name="b524"/>
      <w:r>
        <w:t>§§ 456 bis 477 (weggefallen)</w:t>
      </w:r>
      <w:bookmarkEnd w:id="525"/>
    </w:p>
    <w:p>
      <w:pPr>
        <w:pStyle w:val="Heading3"/>
      </w:pPr>
      <w:bookmarkStart w:id="526" w:name="b525"/>
      <w:r>
        <w:t>Titel 11 Abnahme von Eiden und Bekräftigungen</w:t>
      </w:r>
      <w:bookmarkEnd w:id="526"/>
    </w:p>
    <w:p>
      <w:pPr>
        <w:pStyle w:val="Heading4"/>
      </w:pPr>
      <w:bookmarkStart w:id="527" w:name="b526"/>
      <w:r>
        <w:t>§ 478 Eidesleistung in Person</w:t>
      </w:r>
      <w:r>
        <w:t xml:space="preserve"> </w:t>
      </w:r>
      <w:r>
        <w:rPr>
          <w:rStyle w:val="Suchmarke"/>
        </w:rPr>
        <w:t>#478#</w:t>
      </w:r>
      <w:bookmarkEnd w:id="527"/>
    </w:p>
    <w:p>
      <w:r>
        <w:t>Der Eid muss von dem Schwurpflichtigen in Person geleistet werden.</w:t>
      </w:r>
    </w:p>
    <w:p>
      <w:pPr>
        <w:pStyle w:val="Heading4"/>
      </w:pPr>
      <w:bookmarkStart w:id="528" w:name="b527"/>
      <w:r>
        <w:t>§ 479 Eidesleistung vor beauftragtem oder ersuchtem Richter</w:t>
      </w:r>
      <w:r>
        <w:t xml:space="preserve"> </w:t>
      </w:r>
      <w:r>
        <w:rPr>
          <w:rStyle w:val="Suchmarke"/>
        </w:rPr>
        <w:t>#479#</w:t>
      </w:r>
      <w:bookmarkEnd w:id="528"/>
    </w:p>
    <w:p>
      <w:r>
        <w:t xml:space="preserve">(1) Das Prozessgericht kann anordnen, dass der Eid vor einem seiner Mitglieder oder vor einem anderen Gericht geleistet werde, wenn der Schwurpflichtige am Erscheinen vor dem Prozessgericht verhindert ist oder sich in großer Entfernung von dessen Sitz aufhält und die Leistung des Eides nach </w:t>
      </w:r>
      <w:hyperlink w:anchor="b320" w:history="1">
        <w:r>
          <w:rPr>
            <w:color w:val="0A3A8C"/>
            <w:u w:val="single"/>
          </w:rPr>
          <w:t xml:space="preserve">§ 284</w:t>
        </w:r>
      </w:hyperlink>
      <w:r>
        <w:t xml:space="preserve"> Absatz 2 und 3 nicht stattfindet.</w:t>
      </w:r>
    </w:p>
    <w:p>
      <w:r>
        <w:t>(2) Der Bundespräsident leistet den Eid in seiner Wohnung vor einem Mitglied des Prozessgerichts oder vor einem anderen Gericht.</w:t>
      </w:r>
    </w:p>
    <w:p>
      <w:pPr>
        <w:pStyle w:val="Heading4"/>
      </w:pPr>
      <w:bookmarkStart w:id="529" w:name="b528"/>
      <w:r>
        <w:t>§ 480 Eidesbelehrung</w:t>
      </w:r>
      <w:r>
        <w:t xml:space="preserve"> </w:t>
      </w:r>
      <w:r>
        <w:rPr>
          <w:rStyle w:val="Suchmarke"/>
        </w:rPr>
        <w:t>#480#</w:t>
      </w:r>
      <w:bookmarkEnd w:id="529"/>
    </w:p>
    <w:p>
      <w:r>
        <w:t>Vor der Leistung des Eides hat der Richter den Schwurpflichtigen in angemessener Weise über die Bedeutung des Eides sowie darüber zu belehren, dass er den Eid mit religiöser oder ohne religiöse Beteuerung leisten kann.</w:t>
      </w:r>
    </w:p>
    <w:p>
      <w:pPr>
        <w:pStyle w:val="Heading4"/>
      </w:pPr>
      <w:bookmarkStart w:id="530" w:name="b529"/>
      <w:r>
        <w:t>§ 481 Eidesleistung; Eidesformel</w:t>
      </w:r>
      <w:r>
        <w:t xml:space="preserve"> </w:t>
      </w:r>
      <w:r>
        <w:rPr>
          <w:rStyle w:val="Suchmarke"/>
        </w:rPr>
        <w:t>#481#</w:t>
      </w:r>
      <w:bookmarkEnd w:id="530"/>
    </w:p>
    <w:p>
      <w:r>
        <w:t>(1) Der Eid mit religiöser Beteuerung wird in der Weise geleistet, dass der Richter die Eidesnorm mit der Eingangsformel:</w:t>
      </w:r>
      <w:r>
        <w:br/>
      </w:r>
      <w:r>
        <w:t>"Sie schwören bei Gott dem Allmächtigen und Allwissenden"</w:t>
      </w:r>
      <w:r>
        <w:br/>
      </w:r>
      <w:r>
        <w:t>vorspricht und der Schwurpflichtige darauf die Worte spricht (Eidesformel):</w:t>
      </w:r>
      <w:r>
        <w:br/>
      </w:r>
      <w:r>
        <w:t>"Ich schwöre es, so wahr mir Gott helfe."</w:t>
      </w:r>
    </w:p>
    <w:p>
      <w:r>
        <w:t>(2) Der Eid ohne religiöse Beteuerung wird in der Weise geleistet, dass der Richter die Eidesnorm mit der Eingangsformel:</w:t>
      </w:r>
      <w:r>
        <w:br/>
      </w:r>
      <w:r>
        <w:t>"Sie schwören"</w:t>
      </w:r>
      <w:r>
        <w:br/>
      </w:r>
      <w:r>
        <w:t>vorspricht und der Schwurpflichtige darauf die Worte spricht (Eidesformel):</w:t>
      </w:r>
      <w:r>
        <w:br/>
      </w:r>
      <w:r>
        <w:t>"Ich schwöre es."</w:t>
      </w:r>
    </w:p>
    <w:p>
      <w:r>
        <w:t>(3) Gibt der Schwurpflichtige an, dass er als Mitglied einer Religions- oder Bekenntnisgemeinschaft eine Beteuerungsformel dieser Gemeinschaft verwenden wolle, so kann er diese dem Eid anfügen.</w:t>
      </w:r>
    </w:p>
    <w:p>
      <w:r>
        <w:t>(4) Der Schwörende soll bei der Eidesleistung die rechte Hand erheben.</w:t>
      </w:r>
    </w:p>
    <w:p>
      <w:r>
        <w:t>(5) Sollen mehrere Personen gleichzeitig einen Eid leisten, so wird die Eidesformel von jedem Schwurpflichtigen einzeln gesprochen.</w:t>
      </w:r>
    </w:p>
    <w:p>
      <w:pPr>
        <w:pStyle w:val="Heading4"/>
      </w:pPr>
      <w:bookmarkStart w:id="531" w:name="b530"/>
      <w:r>
        <w:t>§ 482</w:t>
      </w:r>
      <w:r>
        <w:t xml:space="preserve"> </w:t>
      </w:r>
      <w:r>
        <w:rPr>
          <w:rStyle w:val="Suchmarke"/>
        </w:rPr>
        <w:t>#482#</w:t>
      </w:r>
      <w:bookmarkEnd w:id="531"/>
    </w:p>
    <w:p>
      <w:r>
        <w:t>(weggefallen)</w:t>
      </w:r>
    </w:p>
    <w:p>
      <w:pPr>
        <w:pStyle w:val="Heading4"/>
      </w:pPr>
      <w:bookmarkStart w:id="532" w:name="b531"/>
      <w:r>
        <w:t>§ 483 Eidesleistung sprach- oder hörbehinderter Personen</w:t>
      </w:r>
      <w:r>
        <w:t xml:space="preserve"> </w:t>
      </w:r>
      <w:r>
        <w:rPr>
          <w:rStyle w:val="Suchmarke"/>
        </w:rPr>
        <w:t>#483#</w:t>
      </w:r>
      <w:bookmarkEnd w:id="532"/>
    </w:p>
    <w:p>
      <w:r>
        <w:t xml:space="preserve">(1) </w:t>
      </w:r>
      <w:r>
        <w:rPr>
          <w:rStyle w:val="Satznummer"/>
        </w:rPr>
        <w:t>1</w:t>
      </w:r>
      <w:r>
        <w:t xml:space="preserve">Eine hör- oder sprachbehinderte Person leistet den Eid nach ihrer Wahl mittels Nachsprechens der Eidesformel, mittels Abschreibens und Unterschreibens der Eidesformel oder mit Hilfe einer die Verständigung ermöglichenden Person, die vom Gericht hinzuzuziehen ist. </w:t>
      </w:r>
      <w:r>
        <w:rPr>
          <w:rStyle w:val="Satznummer"/>
        </w:rPr>
        <w:t>2</w:t>
      </w:r>
      <w:r>
        <w:t xml:space="preserve">Das Gericht hat die geeigneten technischen Hilfsmittel bereitzustellen. </w:t>
      </w:r>
      <w:r>
        <w:rPr>
          <w:rStyle w:val="Satznummer"/>
        </w:rPr>
        <w:t>3</w:t>
      </w:r>
      <w:r>
        <w:t>Die hör- oder sprachbehinderte Person ist auf ihr Wahlrecht hinzuweisen.</w:t>
      </w:r>
    </w:p>
    <w:p>
      <w:r>
        <w:t>(2) Das Gericht kann eine schriftliche Eidesleistung verlangen oder die Hinzuziehung einer die Verständigung ermöglichenden Person anordnen, wenn die hör- oder sprachbehinderte Person von ihrem Wahlrecht nach Absatz 1 keinen Gebrauch gemacht hat oder eine Eidesleistung in der nach Absatz 1 gewählten Form nicht oder nur mit unverhältnismäßigem Aufwand möglich ist.</w:t>
      </w:r>
    </w:p>
    <w:p>
      <w:pPr>
        <w:pStyle w:val="Heading4"/>
      </w:pPr>
      <w:bookmarkStart w:id="533" w:name="b532"/>
      <w:r>
        <w:t>§ 484 Eidesgleiche Bekräftigung</w:t>
      </w:r>
      <w:r>
        <w:t xml:space="preserve"> </w:t>
      </w:r>
      <w:r>
        <w:rPr>
          <w:rStyle w:val="Suchmarke"/>
        </w:rPr>
        <w:t>#484#</w:t>
      </w:r>
      <w:bookmarkEnd w:id="533"/>
    </w:p>
    <w:p>
      <w:r>
        <w:t xml:space="preserve">(1) </w:t>
      </w:r>
      <w:r>
        <w:rPr>
          <w:rStyle w:val="Satznummer"/>
        </w:rPr>
        <w:t>1</w:t>
      </w:r>
      <w:r>
        <w:t xml:space="preserve">Gibt der Schwurpflichtige an, dass er aus Glaubens- oder Gewissensgründen keinen Eid leisten wolle, so hat er eine Bekräftigung abzugeben. </w:t>
      </w:r>
      <w:r>
        <w:rPr>
          <w:rStyle w:val="Satznummer"/>
        </w:rPr>
        <w:t>2</w:t>
      </w:r>
      <w:r>
        <w:t>Diese Bekräftigung steht dem Eid gleich; hierauf ist der Verpflichtete hinzuweisen.</w:t>
      </w:r>
    </w:p>
    <w:p>
      <w:r>
        <w:t>(2) Die Bekräftigung wird in der Weise abgegeben, dass der Richter die Eidesnorm als Bekräftigungsnorm mit der Eingangsformel:</w:t>
      </w:r>
      <w:r>
        <w:br/>
      </w:r>
      <w:r>
        <w:t>"Sie bekräftigen im Bewusstsein Ihrer Verantwortung vor Gericht"</w:t>
      </w:r>
      <w:r>
        <w:br/>
      </w:r>
      <w:r>
        <w:t>vorspricht und der Verpflichtete darauf spricht:</w:t>
      </w:r>
      <w:r>
        <w:br/>
      </w:r>
      <w:r>
        <w:t>"Ja".</w:t>
      </w:r>
    </w:p>
    <w:p>
      <w:r>
        <w:t xml:space="preserve">(3) </w:t>
      </w:r>
      <w:hyperlink w:anchor="b529" w:history="1">
        <w:r>
          <w:rPr>
            <w:color w:val="0A3A8C"/>
            <w:u w:val="single"/>
          </w:rPr>
          <w:t xml:space="preserve">§ 481</w:t>
        </w:r>
      </w:hyperlink>
      <w:r>
        <w:t xml:space="preserve"> Abs. 3, 5, </w:t>
      </w:r>
      <w:hyperlink w:anchor="b531" w:history="1">
        <w:r>
          <w:rPr>
            <w:color w:val="0A3A8C"/>
            <w:u w:val="single"/>
          </w:rPr>
          <w:t xml:space="preserve">§ 483</w:t>
        </w:r>
      </w:hyperlink>
      <w:r>
        <w:t xml:space="preserve"> gelten entsprechend.</w:t>
      </w:r>
    </w:p>
    <w:p>
      <w:pPr>
        <w:pStyle w:val="Heading3"/>
      </w:pPr>
      <w:bookmarkStart w:id="534" w:name="b533"/>
      <w:r>
        <w:t>Titel 12 Selbständiges Beweisverfahren</w:t>
      </w:r>
      <w:bookmarkEnd w:id="534"/>
    </w:p>
    <w:p>
      <w:pPr>
        <w:pStyle w:val="Heading4"/>
      </w:pPr>
      <w:bookmarkStart w:id="535" w:name="b534"/>
      <w:r>
        <w:t>§ 485 Zulässigkeit</w:t>
      </w:r>
      <w:r>
        <w:t xml:space="preserve"> </w:t>
      </w:r>
      <w:r>
        <w:rPr>
          <w:rStyle w:val="Suchmarke"/>
        </w:rPr>
        <w:t>#485#</w:t>
      </w:r>
      <w:bookmarkEnd w:id="535"/>
    </w:p>
    <w:p>
      <w:r>
        <w:t>(1) Während oder außerhalb eines Streitverfahrens kann auf Antrag einer Partei die Einnahme des Augenscheins, die Vernehmung von Zeugen oder die Begutachtung durch einen Sachverständigen angeordnet werden, wenn der Gegner zustimmt oder zu besorgen ist, dass das Beweismittel verloren geht oder seine Benutzung erschwert wird.</w:t>
      </w:r>
    </w:p>
    <w:p>
      <w:r>
        <w:t xml:space="preserve">(2) </w:t>
      </w:r>
      <w:r>
        <w:rPr>
          <w:rStyle w:val="Satznummer"/>
        </w:rPr>
        <w:t>1</w:t>
      </w:r>
      <w:r>
        <w:t>Ist ein Rechtsstreit noch nicht anhängig, kann eine Partei die schriftliche Begutachtung durch einen Sachverständigen beantragen, wenn sie ein rechtliches Interesse daran hat, dass</w:t>
      </w:r>
    </w:p>
    <w:p>
      <w:pPr>
        <w:tabs>
          <w:tab w:pos="567" w:val="left"/>
        </w:tabs>
        <w:ind w:left="567" w:hanging="567"/>
      </w:pPr>
      <w:r>
        <w:t>1.</w:t>
      </w:r>
      <w:r>
        <w:tab/>
      </w:r>
      <w:r>
        <w:t>der Zustand einer Person oder der Zustand oder Wert einer Sache,</w:t>
      </w:r>
    </w:p>
    <w:p>
      <w:pPr>
        <w:tabs>
          <w:tab w:pos="567" w:val="left"/>
        </w:tabs>
        <w:ind w:left="567" w:hanging="567"/>
      </w:pPr>
      <w:r>
        <w:t>2.</w:t>
      </w:r>
      <w:r>
        <w:tab/>
      </w:r>
      <w:r>
        <w:t>die Ursache eines Personenschadens, Sachschadens oder Sachmangels,</w:t>
      </w:r>
    </w:p>
    <w:p>
      <w:pPr>
        <w:tabs>
          <w:tab w:pos="567" w:val="left"/>
        </w:tabs>
        <w:ind w:left="567" w:hanging="567"/>
      </w:pPr>
      <w:r>
        <w:t>3.</w:t>
      </w:r>
      <w:r>
        <w:tab/>
      </w:r>
      <w:r>
        <w:t>der Aufwand für die Beseitigung eines Personenschadens, Sachschadens oder Sachmangels</w:t>
      </w:r>
    </w:p>
    <w:p>
      <w:r>
        <w:t xml:space="preserve">festgestellt wird. </w:t>
      </w:r>
      <w:r>
        <w:rPr>
          <w:rStyle w:val="Satznummer"/>
        </w:rPr>
        <w:t>2</w:t>
      </w:r>
      <w:r>
        <w:t>Ein rechtliches Interesse ist anzunehmen, wenn die Feststellung der Vermeidung eines Rechtsstreits dienen kann.</w:t>
      </w:r>
    </w:p>
    <w:p>
      <w:r>
        <w:t xml:space="preserve">(3) Soweit eine Begutachtung bereits gerichtlich angeordnet worden ist, findet eine neue Begutachtung nur statt, wenn die Voraussetzungen des </w:t>
      </w:r>
      <w:hyperlink w:anchor="b477" w:history="1">
        <w:r>
          <w:rPr>
            <w:color w:val="0A3A8C"/>
            <w:u w:val="single"/>
          </w:rPr>
          <w:t xml:space="preserve">§ 412</w:t>
        </w:r>
      </w:hyperlink>
      <w:r>
        <w:t xml:space="preserve"> erfüllt sind.</w:t>
      </w:r>
    </w:p>
    <w:p>
      <w:pPr>
        <w:pStyle w:val="Heading4"/>
      </w:pPr>
      <w:bookmarkStart w:id="536" w:name="b535"/>
      <w:r>
        <w:t>§ 486 Zuständiges Gericht</w:t>
      </w:r>
      <w:r>
        <w:t xml:space="preserve"> </w:t>
      </w:r>
      <w:r>
        <w:rPr>
          <w:rStyle w:val="Suchmarke"/>
        </w:rPr>
        <w:t>#486#</w:t>
      </w:r>
      <w:bookmarkEnd w:id="536"/>
    </w:p>
    <w:p>
      <w:r>
        <w:t>(1) Ist ein Rechtsstreit anhängig, so ist der Antrag bei dem Prozessgericht zu stellen.</w:t>
      </w:r>
    </w:p>
    <w:p>
      <w:r>
        <w:t xml:space="preserve">(2) </w:t>
      </w:r>
      <w:r>
        <w:rPr>
          <w:rStyle w:val="Satznummer"/>
        </w:rPr>
        <w:t>1</w:t>
      </w:r>
      <w:r>
        <w:t xml:space="preserve">Ist ein Rechtsstreit noch nicht anhängig, so ist der Antrag bei dem Gericht zu stellen, das nach dem Vortrag des Antragstellers zur Entscheidung in der Hauptsache berufen wäre. </w:t>
      </w:r>
      <w:r>
        <w:rPr>
          <w:rStyle w:val="Satznummer"/>
        </w:rPr>
        <w:t>2</w:t>
      </w:r>
      <w:r>
        <w:t>In dem nachfolgenden Streitverfahren kann sich der Antragsteller auf die Unzuständigkeit des Gerichts nicht berufen.</w:t>
      </w:r>
    </w:p>
    <w:p>
      <w:r>
        <w:t>(3) In Fällen dringender Gefahr kann der Antrag auch bei dem Amtsgericht gestellt werden, in dessen Bezirk die zu vernehmende oder zu begutachtende Person sich aufhält oder die in Augenschein zu nehmende oder zu begutachtende Sache sich befindet.</w:t>
      </w:r>
    </w:p>
    <w:p>
      <w:r>
        <w:t>(4) Der Antrag kann vor der Geschäftsstelle zu Protokoll erklärt werden.</w:t>
      </w:r>
    </w:p>
    <w:p>
      <w:pPr>
        <w:pStyle w:val="Heading4"/>
      </w:pPr>
      <w:bookmarkStart w:id="537" w:name="b536"/>
      <w:r>
        <w:t>§ 487 Inhalt des Antrages</w:t>
      </w:r>
      <w:r>
        <w:t xml:space="preserve"> </w:t>
      </w:r>
      <w:r>
        <w:rPr>
          <w:rStyle w:val="Suchmarke"/>
        </w:rPr>
        <w:t>#487#</w:t>
      </w:r>
      <w:bookmarkEnd w:id="537"/>
    </w:p>
    <w:p>
      <w:r>
        <w:t>Der Antrag muss enthalten:</w:t>
      </w:r>
    </w:p>
    <w:p>
      <w:pPr>
        <w:tabs>
          <w:tab w:pos="567" w:val="left"/>
        </w:tabs>
        <w:ind w:left="567" w:hanging="567"/>
      </w:pPr>
      <w:r>
        <w:t>1.</w:t>
      </w:r>
      <w:r>
        <w:tab/>
      </w:r>
      <w:r>
        <w:t>die Bezeichnung des Gegners;</w:t>
      </w:r>
    </w:p>
    <w:p>
      <w:pPr>
        <w:tabs>
          <w:tab w:pos="567" w:val="left"/>
        </w:tabs>
        <w:ind w:left="567" w:hanging="567"/>
      </w:pPr>
      <w:r>
        <w:t>2.</w:t>
      </w:r>
      <w:r>
        <w:tab/>
      </w:r>
      <w:r>
        <w:t>die Bezeichnung der Tatsachen, über die Beweis erhoben werden soll;</w:t>
      </w:r>
    </w:p>
    <w:p>
      <w:pPr>
        <w:tabs>
          <w:tab w:pos="567" w:val="left"/>
        </w:tabs>
        <w:ind w:left="567" w:hanging="567"/>
      </w:pPr>
      <w:r>
        <w:t>3.</w:t>
      </w:r>
      <w:r>
        <w:tab/>
      </w:r>
      <w:r>
        <w:t xml:space="preserve">die Benennung der Zeugen oder die Bezeichnung der übrigen nach </w:t>
      </w:r>
      <w:hyperlink w:anchor="b534" w:history="1">
        <w:r>
          <w:rPr>
            <w:color w:val="0A3A8C"/>
            <w:u w:val="single"/>
          </w:rPr>
          <w:t xml:space="preserve">§ 485</w:t>
        </w:r>
      </w:hyperlink>
      <w:r>
        <w:t xml:space="preserve"> zulässigen Beweismittel;</w:t>
      </w:r>
    </w:p>
    <w:p>
      <w:pPr>
        <w:tabs>
          <w:tab w:pos="567" w:val="left"/>
        </w:tabs>
        <w:ind w:left="567" w:hanging="567"/>
      </w:pPr>
      <w:r>
        <w:t>4.</w:t>
      </w:r>
      <w:r>
        <w:tab/>
      </w:r>
      <w:r>
        <w:t>die Glaubhaftmachung der Tatsachen, die die Zulässigkeit des selbständigen Beweisverfahrens und die Zuständigkeit des Gerichts begründen sollen.</w:t>
      </w:r>
    </w:p>
    <w:p>
      <w:pPr>
        <w:pStyle w:val="Heading4"/>
      </w:pPr>
      <w:bookmarkStart w:id="538" w:name="b537"/>
      <w:r>
        <w:t>§§ 488 und 489 (weggefallen)</w:t>
      </w:r>
      <w:bookmarkEnd w:id="538"/>
    </w:p>
    <w:p>
      <w:pPr>
        <w:pStyle w:val="Heading4"/>
      </w:pPr>
      <w:bookmarkStart w:id="539" w:name="b538"/>
      <w:r>
        <w:t>§ 490 Entscheidung über den Antrag</w:t>
      </w:r>
      <w:r>
        <w:t xml:space="preserve"> </w:t>
      </w:r>
      <w:r>
        <w:rPr>
          <w:rStyle w:val="Suchmarke"/>
        </w:rPr>
        <w:t>#490#</w:t>
      </w:r>
      <w:bookmarkEnd w:id="539"/>
    </w:p>
    <w:p>
      <w:r>
        <w:t>(1) Über den Antrag entscheidet das Gericht durch Beschluss.</w:t>
      </w:r>
    </w:p>
    <w:p>
      <w:r>
        <w:t xml:space="preserve">(2) </w:t>
      </w:r>
      <w:r>
        <w:rPr>
          <w:rStyle w:val="Satznummer"/>
        </w:rPr>
        <w:t>1</w:t>
      </w:r>
      <w:r>
        <w:t xml:space="preserve">In dem Beschluss, durch welchen dem Antrag stattgegeben wird, sind die Tatsachen, über die der Beweis zu erheben ist, und die Beweismittel unter Benennung der zu vernehmenden Zeugen und Sachverständigen zu bezeichnen. </w:t>
      </w:r>
      <w:r>
        <w:rPr>
          <w:rStyle w:val="Satznummer"/>
        </w:rPr>
        <w:t>2</w:t>
      </w:r>
      <w:r>
        <w:t>Der Beschluss ist nicht anfechtbar.</w:t>
      </w:r>
    </w:p>
    <w:p>
      <w:pPr>
        <w:pStyle w:val="Heading4"/>
      </w:pPr>
      <w:bookmarkStart w:id="540" w:name="b539"/>
      <w:r>
        <w:t>§ 491 Ladung des Gegners</w:t>
      </w:r>
      <w:r>
        <w:t xml:space="preserve"> </w:t>
      </w:r>
      <w:r>
        <w:rPr>
          <w:rStyle w:val="Suchmarke"/>
        </w:rPr>
        <w:t>#491#</w:t>
      </w:r>
      <w:bookmarkEnd w:id="540"/>
    </w:p>
    <w:p>
      <w:r>
        <w:t>(1) Der Gegner ist, sofern es nach den Umständen des Falles geschehen kann, unter Zustellung des Beschlusses und einer Abschrift des Antrags zu dem für die Beweisaufnahme bestimmten Termin so zeitig zu laden, dass er in diesem Termin seine Rechte wahrzunehmen vermag.</w:t>
      </w:r>
    </w:p>
    <w:p>
      <w:r>
        <w:t>(2) Die Nichtbefolgung dieser Vorschrift steht der Beweisaufnahme nicht entgegen.</w:t>
      </w:r>
    </w:p>
    <w:p>
      <w:pPr>
        <w:pStyle w:val="Heading4"/>
      </w:pPr>
      <w:bookmarkStart w:id="541" w:name="b540"/>
      <w:r>
        <w:t>§ 492 Beweisaufnahme</w:t>
      </w:r>
      <w:r>
        <w:t xml:space="preserve"> </w:t>
      </w:r>
      <w:r>
        <w:rPr>
          <w:rStyle w:val="Suchmarke"/>
        </w:rPr>
        <w:t>#492#</w:t>
      </w:r>
      <w:bookmarkEnd w:id="541"/>
    </w:p>
    <w:p>
      <w:r>
        <w:t>(1) Die Beweisaufnahme erfolgt nach den für die Aufnahme des betreffenden Beweismittels überhaupt geltenden Vorschriften.</w:t>
      </w:r>
    </w:p>
    <w:p>
      <w:r>
        <w:t>(2) Das Protokoll über die Beweisaufnahme ist bei dem Gericht, das sie angeordnet hat, aufzubewahren.</w:t>
      </w:r>
    </w:p>
    <w:p>
      <w:r>
        <w:t xml:space="preserve">(3) </w:t>
      </w:r>
      <w:r>
        <w:rPr>
          <w:rStyle w:val="Satznummer"/>
        </w:rPr>
        <w:t>1</w:t>
      </w:r>
      <w:r>
        <w:t xml:space="preserve">Das Gericht kann die Parteien zur mündlichen Erörterung laden, wenn eine Einigung zu erwarten ist; ein Vergleich ist zu gerichtlichem Protokoll zu nehmen. </w:t>
      </w:r>
      <w:r>
        <w:rPr>
          <w:rStyle w:val="Satznummer"/>
        </w:rPr>
        <w:t>2</w:t>
      </w:r>
      <w:r>
        <w:t xml:space="preserve">Für den Erörterungstermin gilt </w:t>
      </w:r>
      <w:hyperlink w:anchor="b159" w:history="1">
        <w:r>
          <w:rPr>
            <w:color w:val="0A3A8C"/>
            <w:u w:val="single"/>
          </w:rPr>
          <w:t xml:space="preserve">§ 128a</w:t>
        </w:r>
      </w:hyperlink>
      <w:r>
        <w:t xml:space="preserve"> entsprechend.</w:t>
      </w:r>
    </w:p>
    <w:p>
      <w:pPr>
        <w:pStyle w:val="Heading4"/>
      </w:pPr>
      <w:bookmarkStart w:id="542" w:name="b541"/>
      <w:r>
        <w:t>§ 493 Benutzung im Prozess</w:t>
      </w:r>
      <w:r>
        <w:t xml:space="preserve"> </w:t>
      </w:r>
      <w:r>
        <w:rPr>
          <w:rStyle w:val="Suchmarke"/>
        </w:rPr>
        <w:t>#493#</w:t>
      </w:r>
      <w:bookmarkEnd w:id="542"/>
    </w:p>
    <w:p>
      <w:r>
        <w:t>(1) Beruft sich eine Partei im Prozess auf Tatsachen, über die selbständig Beweis erhoben worden ist, so steht die selbständige Beweiserhebung einer Beweisaufnahme vor dem Prozessgericht gleich.</w:t>
      </w:r>
    </w:p>
    <w:p>
      <w:r>
        <w:t>(2) War der Gegner in einem Termin im selbständigen Beweisverfahren nicht erschienen, so kann das Ergebnis nur benutzt werden, wenn der Gegner rechtzeitig geladen war.</w:t>
      </w:r>
    </w:p>
    <w:p>
      <w:pPr>
        <w:pStyle w:val="Heading4"/>
      </w:pPr>
      <w:bookmarkStart w:id="543" w:name="b542"/>
      <w:r>
        <w:t>§ 494 Unbekannter Gegner</w:t>
      </w:r>
      <w:r>
        <w:t xml:space="preserve"> </w:t>
      </w:r>
      <w:r>
        <w:rPr>
          <w:rStyle w:val="Suchmarke"/>
        </w:rPr>
        <w:t>#494#</w:t>
      </w:r>
      <w:bookmarkEnd w:id="543"/>
    </w:p>
    <w:p>
      <w:r>
        <w:t>(1) Wird von dem Beweisführer ein Gegner nicht bezeichnet, so ist der Antrag nur dann zulässig, wenn der Beweisführer glaubhaft macht, dass er ohne sein Verschulden außerstande sei, den Gegner zu bezeichnen.</w:t>
      </w:r>
    </w:p>
    <w:p>
      <w:r>
        <w:t>(2) Wird dem Antrag stattgegeben, so kann das Gericht dem unbekannten Gegner zur Wahrnehmung seiner Rechte bei der Beweisaufnahme einen Vertreter bestellen.</w:t>
      </w:r>
    </w:p>
    <w:p>
      <w:pPr>
        <w:pStyle w:val="Heading4"/>
      </w:pPr>
      <w:bookmarkStart w:id="544" w:name="b543"/>
      <w:r>
        <w:t>§ 494a Frist zur Klageerhebung</w:t>
      </w:r>
      <w:r>
        <w:t xml:space="preserve"> </w:t>
      </w:r>
      <w:r>
        <w:rPr>
          <w:rStyle w:val="Suchmarke"/>
        </w:rPr>
        <w:t>#494a#</w:t>
      </w:r>
      <w:bookmarkEnd w:id="544"/>
    </w:p>
    <w:p>
      <w:r>
        <w:t>(1) Ist ein Rechtsstreit nicht anhängig, hat das Gericht nach Beendigung der Beweiserhebung auf Antrag ohne mündliche Verhandlung anzuordnen, dass der Antragsteller binnen einer zu bestimmenden Frist Klage zu erheben hat.</w:t>
      </w:r>
    </w:p>
    <w:p>
      <w:r>
        <w:t xml:space="preserve">(2) </w:t>
      </w:r>
      <w:r>
        <w:rPr>
          <w:rStyle w:val="Satznummer"/>
        </w:rPr>
        <w:t>1</w:t>
      </w:r>
      <w:r>
        <w:t xml:space="preserve">Kommt der Antragsteller dieser Anordnung nicht nach, hat das Gericht auf Antrag durch Beschluss auszusprechen, dass er die dem Gegner entstandenen Kosten zu tragen hat. </w:t>
      </w:r>
      <w:r>
        <w:rPr>
          <w:rStyle w:val="Satznummer"/>
        </w:rPr>
        <w:t>2</w:t>
      </w:r>
      <w:r>
        <w:t>Die Entscheidung unterliegt der sofortigen Beschwerde.</w:t>
      </w:r>
    </w:p>
    <w:p>
      <w:pPr>
        <w:pStyle w:val="Heading2"/>
      </w:pPr>
      <w:bookmarkStart w:id="545" w:name="b544"/>
      <w:r>
        <w:t>Abschnitt 2 Verfahren vor den Amtsgerichten</w:t>
      </w:r>
      <w:bookmarkEnd w:id="545"/>
    </w:p>
    <w:p>
      <w:pPr>
        <w:pStyle w:val="Heading3"/>
      </w:pPr>
      <w:bookmarkStart w:id="546" w:name="b545"/>
      <w:r>
        <w:t>§ 495 Anzuwendende Vorschriften</w:t>
      </w:r>
      <w:r>
        <w:t xml:space="preserve"> </w:t>
      </w:r>
      <w:r>
        <w:rPr>
          <w:rStyle w:val="Suchmarke"/>
        </w:rPr>
        <w:t>#495#</w:t>
      </w:r>
      <w:bookmarkEnd w:id="546"/>
    </w:p>
    <w:p>
      <w:r>
        <w:t>Für das Verfahren vor den Amtsgerichten gelten die Vorschriften über das Verfahren vor den Landgerichten, soweit nicht aus den allgemeinen Vorschriften des Buches 1, aus den nachfolgenden besonderen Bestimmungen und aus der Verfassung der Amtsgerichte sich Abweichungen ergeben.</w:t>
      </w:r>
    </w:p>
    <w:p>
      <w:pPr>
        <w:pStyle w:val="Heading3"/>
      </w:pPr>
      <w:bookmarkStart w:id="547" w:name="b546"/>
      <w:r>
        <w:t>§ 495a Verfahren nach billigem Ermessen</w:t>
      </w:r>
      <w:r>
        <w:t xml:space="preserve"> </w:t>
      </w:r>
      <w:r>
        <w:rPr>
          <w:rStyle w:val="Suchmarke"/>
        </w:rPr>
        <w:t>#495a#</w:t>
      </w:r>
      <w:bookmarkEnd w:id="547"/>
    </w:p>
    <w:p>
      <w:r>
        <w:rPr>
          <w:rStyle w:val="Satznummer"/>
        </w:rPr>
        <w:t>1</w:t>
      </w:r>
      <w:r>
        <w:t xml:space="preserve">Das Gericht kann sein Verfahren nach billigem Ermessen bestimmen, wenn der Streitwert 1 000 Euro nicht übersteigt. </w:t>
      </w:r>
      <w:r>
        <w:rPr>
          <w:rStyle w:val="Satznummer"/>
        </w:rPr>
        <w:t>2</w:t>
      </w:r>
      <w:r>
        <w:t>Auf Antrag muss mündlich verhandelt werden.</w:t>
      </w:r>
    </w:p>
    <w:p>
      <w:pPr>
        <w:pStyle w:val="Heading3"/>
      </w:pPr>
      <w:bookmarkStart w:id="548" w:name="b547"/>
      <w:r>
        <w:t>§ 496 Einreichung von Schriftsätzen; Erklärungen zu Protokoll</w:t>
      </w:r>
      <w:r>
        <w:t xml:space="preserve"> </w:t>
      </w:r>
      <w:r>
        <w:rPr>
          <w:rStyle w:val="Suchmarke"/>
        </w:rPr>
        <w:t>#496#</w:t>
      </w:r>
      <w:bookmarkEnd w:id="548"/>
    </w:p>
    <w:p>
      <w:r>
        <w:t>Die Klage, die Klageerwiderung sowie sonstige Anträge und Erklärungen einer Partei, die zugestellt werden sollen, sind bei dem Gericht schriftlich einzureichen oder mündlich zum Protokoll der Geschäftsstelle anzubringen.</w:t>
      </w:r>
    </w:p>
    <w:p>
      <w:pPr>
        <w:pStyle w:val="Heading3"/>
      </w:pPr>
      <w:bookmarkStart w:id="549" w:name="b548"/>
      <w:r>
        <w:t>§ 497 Ladungen</w:t>
      </w:r>
      <w:r>
        <w:t xml:space="preserve"> </w:t>
      </w:r>
      <w:r>
        <w:rPr>
          <w:rStyle w:val="Suchmarke"/>
        </w:rPr>
        <w:t>#497#</w:t>
      </w:r>
      <w:bookmarkEnd w:id="549"/>
    </w:p>
    <w:p>
      <w:r>
        <w:t xml:space="preserve">(1) </w:t>
      </w:r>
      <w:r>
        <w:rPr>
          <w:rStyle w:val="Satznummer"/>
        </w:rPr>
        <w:t>1</w:t>
      </w:r>
      <w:r>
        <w:t xml:space="preserve">Die Ladung des Klägers zu dem auf die Klage bestimmten Termin ist, sofern nicht das Gericht die Zustellung anordnet, ohne besondere Form mitzuteilen. </w:t>
      </w:r>
      <w:r>
        <w:rPr>
          <w:rStyle w:val="Satznummer"/>
        </w:rPr>
        <w:t>2</w:t>
      </w:r>
      <w:hyperlink w:anchor="b303" w:history="1">
        <w:r>
          <w:rPr>
            <w:color w:val="0A3A8C"/>
            <w:u w:val="single"/>
          </w:rPr>
          <w:t xml:space="preserve">§ 270</w:t>
        </w:r>
      </w:hyperlink>
      <w:r>
        <w:t xml:space="preserve"> Satz 2 gilt entsprechend.</w:t>
      </w:r>
    </w:p>
    <w:p>
      <w:r>
        <w:t xml:space="preserve">(2) </w:t>
      </w:r>
      <w:r>
        <w:rPr>
          <w:rStyle w:val="Satznummer"/>
        </w:rPr>
        <w:t>1</w:t>
      </w:r>
      <w:r>
        <w:t xml:space="preserve">Die Ladung einer Partei ist nicht erforderlich, wenn der Termin der Partei bei Einreichung oder Anbringung der Klage oder des Antrages, auf Grund dessen die Terminsbestimmung stattfindet, mitgeteilt worden ist. </w:t>
      </w:r>
      <w:r>
        <w:rPr>
          <w:rStyle w:val="Satznummer"/>
        </w:rPr>
        <w:t>2</w:t>
      </w:r>
      <w:r>
        <w:t>Die Mitteilung ist zu den Akten zu vermerken.</w:t>
      </w:r>
    </w:p>
    <w:p>
      <w:pPr>
        <w:pStyle w:val="Heading3"/>
      </w:pPr>
      <w:bookmarkStart w:id="550" w:name="b549"/>
      <w:r>
        <w:t>§ 498 Zustellung des Protokolls über die Klage</w:t>
      </w:r>
      <w:r>
        <w:t xml:space="preserve"> </w:t>
      </w:r>
      <w:r>
        <w:rPr>
          <w:rStyle w:val="Suchmarke"/>
        </w:rPr>
        <w:t>#498#</w:t>
      </w:r>
      <w:bookmarkEnd w:id="550"/>
    </w:p>
    <w:p>
      <w:r>
        <w:t>Ist die Klage zum Protokoll der Geschäftsstelle angebracht worden, so wird an Stelle der Klageschrift das Protokoll zugestellt.</w:t>
      </w:r>
    </w:p>
    <w:p>
      <w:pPr>
        <w:pStyle w:val="Heading3"/>
      </w:pPr>
      <w:bookmarkStart w:id="551" w:name="b550"/>
      <w:r>
        <w:t>§ 499 Belehrungen</w:t>
      </w:r>
      <w:r>
        <w:t xml:space="preserve"> </w:t>
      </w:r>
      <w:r>
        <w:rPr>
          <w:rStyle w:val="Suchmarke"/>
        </w:rPr>
        <w:t>#499#</w:t>
      </w:r>
      <w:bookmarkEnd w:id="551"/>
    </w:p>
    <w:p>
      <w:r>
        <w:t>(1) Mit der Zustellung der Klageschrift oder des Protokolls über die Klage ist der Beklagte darüber zu belehren, dass eine Vertretung durch einen Rechtsanwalt nicht vorgeschrieben ist.</w:t>
      </w:r>
    </w:p>
    <w:p>
      <w:r>
        <w:t xml:space="preserve">(2) Mit der Aufforderung nach </w:t>
      </w:r>
      <w:hyperlink w:anchor="b310" w:history="1">
        <w:r>
          <w:rPr>
            <w:color w:val="0A3A8C"/>
            <w:u w:val="single"/>
          </w:rPr>
          <w:t xml:space="preserve">§ 276</w:t>
        </w:r>
      </w:hyperlink>
      <w:r>
        <w:t xml:space="preserve"> ist der Beklagte auch über die Folgen eines schriftlich abgegebenen Anerkenntnisses zu belehren.</w:t>
      </w:r>
    </w:p>
    <w:p>
      <w:pPr>
        <w:pStyle w:val="Heading3"/>
      </w:pPr>
      <w:bookmarkStart w:id="552" w:name="b551"/>
      <w:r>
        <w:t>§§ 499a bis 503 (weggefallen)</w:t>
      </w:r>
      <w:bookmarkEnd w:id="552"/>
    </w:p>
    <w:p>
      <w:pPr>
        <w:pStyle w:val="Heading3"/>
      </w:pPr>
      <w:bookmarkStart w:id="553" w:name="b552"/>
      <w:r>
        <w:t>§ 504 Hinweis bei Unzuständigkeit des Amtsgerichts</w:t>
      </w:r>
      <w:r>
        <w:t xml:space="preserve"> </w:t>
      </w:r>
      <w:r>
        <w:rPr>
          <w:rStyle w:val="Suchmarke"/>
        </w:rPr>
        <w:t>#504#</w:t>
      </w:r>
      <w:bookmarkEnd w:id="553"/>
    </w:p>
    <w:p>
      <w:r>
        <w:t>Ist das Amtsgericht sachlich oder örtlich unzuständig, so hat es den Beklagten vor der Verhandlung zur Hauptsache darauf und auf die Folgen einer rügelosen Einlassung zur Hauptsache hinzuweisen.</w:t>
      </w:r>
    </w:p>
    <w:p>
      <w:pPr>
        <w:pStyle w:val="Heading3"/>
      </w:pPr>
      <w:bookmarkStart w:id="554" w:name="b553"/>
      <w:r>
        <w:t>§ 505</w:t>
      </w:r>
      <w:r>
        <w:t xml:space="preserve"> </w:t>
      </w:r>
      <w:r>
        <w:rPr>
          <w:rStyle w:val="Suchmarke"/>
        </w:rPr>
        <w:t>#505#</w:t>
      </w:r>
      <w:bookmarkEnd w:id="554"/>
    </w:p>
    <w:p>
      <w:r>
        <w:t>(weggefallen)</w:t>
      </w:r>
    </w:p>
    <w:p>
      <w:pPr>
        <w:pStyle w:val="Heading3"/>
      </w:pPr>
      <w:bookmarkStart w:id="555" w:name="b554"/>
      <w:r>
        <w:t>§ 506 Nachträgliche sachliche Unzuständigkeit</w:t>
      </w:r>
      <w:r>
        <w:t xml:space="preserve"> </w:t>
      </w:r>
      <w:r>
        <w:rPr>
          <w:rStyle w:val="Suchmarke"/>
        </w:rPr>
        <w:t>#506#</w:t>
      </w:r>
      <w:bookmarkEnd w:id="555"/>
    </w:p>
    <w:p>
      <w:r>
        <w:t>(1) Wird durch Widerklage oder durch Erweiterung des Klageantrages (</w:t>
      </w:r>
      <w:hyperlink w:anchor="b297" w:history="1">
        <w:r>
          <w:rPr>
            <w:color w:val="0A3A8C"/>
            <w:u w:val="single"/>
          </w:rPr>
          <w:t xml:space="preserve">§ 264</w:t>
        </w:r>
      </w:hyperlink>
      <w:r>
        <w:t xml:space="preserve"> Nr. 2, 3) ein Anspruch erhoben, der zur Zuständigkeit der Landgerichte gehört, oder wird nach </w:t>
      </w:r>
      <w:hyperlink w:anchor="b289" w:history="1">
        <w:r>
          <w:rPr>
            <w:color w:val="0A3A8C"/>
            <w:u w:val="single"/>
          </w:rPr>
          <w:t xml:space="preserve">§ 256</w:t>
        </w:r>
      </w:hyperlink>
      <w:r>
        <w:t xml:space="preserve"> Abs. 2 die Feststellung eines Rechtsverhältnisses beantragt, für das die Landgerichte zuständig sind, so hat das Amtsgericht, sofern eine Partei vor weiterer Verhandlung zur Hauptsache darauf anträgt, durch Beschluss sich für unzuständig zu erklären und den Rechtsstreit an das Landgericht zu verweisen.</w:t>
      </w:r>
    </w:p>
    <w:p>
      <w:r>
        <w:t xml:space="preserve">(2) Die Vorschriften des </w:t>
      </w:r>
      <w:hyperlink w:anchor="b316" w:history="1">
        <w:r>
          <w:rPr>
            <w:color w:val="0A3A8C"/>
            <w:u w:val="single"/>
          </w:rPr>
          <w:t xml:space="preserve">§ 281</w:t>
        </w:r>
      </w:hyperlink>
      <w:r>
        <w:t xml:space="preserve"> Abs. 2, Abs. 3 Satz 1 gelten entsprechend.</w:t>
      </w:r>
    </w:p>
    <w:p>
      <w:pPr>
        <w:pStyle w:val="Heading3"/>
      </w:pPr>
      <w:bookmarkStart w:id="556" w:name="b555"/>
      <w:r>
        <w:t>§§ 507 bis 509 (weggefallen)</w:t>
      </w:r>
      <w:bookmarkEnd w:id="556"/>
    </w:p>
    <w:p>
      <w:pPr>
        <w:pStyle w:val="Heading3"/>
      </w:pPr>
      <w:bookmarkStart w:id="557" w:name="b556"/>
      <w:r>
        <w:t>§ 510 Erklärung über Urkunden</w:t>
      </w:r>
      <w:r>
        <w:t xml:space="preserve"> </w:t>
      </w:r>
      <w:r>
        <w:rPr>
          <w:rStyle w:val="Suchmarke"/>
        </w:rPr>
        <w:t>#510#</w:t>
      </w:r>
      <w:bookmarkEnd w:id="557"/>
    </w:p>
    <w:p>
      <w:r>
        <w:t>Wegen unterbliebener Erklärung ist eine Urkunde nur dann als anerkannt anzusehen, wenn die Partei durch das Gericht zur Erklärung über die Echtheit der Urkunde aufgefordert ist.</w:t>
      </w:r>
    </w:p>
    <w:p>
      <w:pPr>
        <w:pStyle w:val="Heading3"/>
      </w:pPr>
      <w:bookmarkStart w:id="558" w:name="b557"/>
      <w:r>
        <w:t>§ 510a Inhalt des Protokolls</w:t>
      </w:r>
      <w:r>
        <w:t xml:space="preserve"> </w:t>
      </w:r>
      <w:r>
        <w:rPr>
          <w:rStyle w:val="Suchmarke"/>
        </w:rPr>
        <w:t>#510a#</w:t>
      </w:r>
      <w:bookmarkEnd w:id="558"/>
    </w:p>
    <w:p>
      <w:r>
        <w:t>Andere Erklärungen einer Partei als Geständnisse und Erklärungen über einen Antrag auf Parteivernehmung sind im Protokoll festzustellen, soweit das Gericht es für erforderlich hält.</w:t>
      </w:r>
    </w:p>
    <w:p>
      <w:pPr>
        <w:pStyle w:val="Heading3"/>
      </w:pPr>
      <w:bookmarkStart w:id="559" w:name="b558"/>
      <w:r>
        <w:t>§ 510b Urteil auf Vornahme einer Handlung</w:t>
      </w:r>
      <w:r>
        <w:t xml:space="preserve"> </w:t>
      </w:r>
      <w:r>
        <w:rPr>
          <w:rStyle w:val="Suchmarke"/>
        </w:rPr>
        <w:t>#510b#</w:t>
      </w:r>
      <w:bookmarkEnd w:id="559"/>
    </w:p>
    <w:p>
      <w:r>
        <w:t>Erfolgt die Verurteilung zur Vornahme einer Handlung, so kann der Beklagte zugleich auf Antrag des Klägers für den Fall, dass die Handlung nicht binnen einer zu bestimmenden Frist vorgenommen ist, zur Zahlung einer Entschädigung verurteilt werden; das Gericht hat die Entschädigung nach freiem Ermessen festzusetzen.</w:t>
      </w:r>
    </w:p>
    <w:p>
      <w:pPr>
        <w:pStyle w:val="Heading3"/>
      </w:pPr>
      <w:bookmarkStart w:id="560" w:name="b559"/>
      <w:r>
        <w:t>§ 510c</w:t>
      </w:r>
      <w:r>
        <w:t xml:space="preserve"> </w:t>
      </w:r>
      <w:r>
        <w:rPr>
          <w:rStyle w:val="Suchmarke"/>
        </w:rPr>
        <w:t>#510c#</w:t>
      </w:r>
      <w:bookmarkEnd w:id="560"/>
    </w:p>
    <w:p>
      <w:r>
        <w:t>(weggefallen)</w:t>
      </w:r>
    </w:p>
    <w:p>
      <w:pPr>
        <w:pStyle w:val="Heading1"/>
      </w:pPr>
      <w:bookmarkStart w:id="561" w:name="b560"/>
      <w:r>
        <w:t>Buch 3 Rechtsmittel</w:t>
      </w:r>
      <w:bookmarkEnd w:id="561"/>
    </w:p>
    <w:p>
      <w:pPr>
        <w:pStyle w:val="Heading2"/>
      </w:pPr>
      <w:bookmarkStart w:id="562" w:name="b561"/>
      <w:r>
        <w:t>Abschnitt 1 Berufung</w:t>
      </w:r>
      <w:bookmarkEnd w:id="562"/>
    </w:p>
    <w:p>
      <w:pPr>
        <w:pStyle w:val="Heading3"/>
      </w:pPr>
      <w:bookmarkStart w:id="563" w:name="b562"/>
      <w:r>
        <w:t>§ 511 Statthaftigkeit der Berufung</w:t>
      </w:r>
      <w:r>
        <w:t xml:space="preserve"> </w:t>
      </w:r>
      <w:r>
        <w:rPr>
          <w:rStyle w:val="Suchmarke"/>
        </w:rPr>
        <w:t>#511#</w:t>
      </w:r>
      <w:bookmarkEnd w:id="563"/>
    </w:p>
    <w:p>
      <w:r>
        <w:t>(1) Die Berufung findet gegen die im ersten Rechtszug erlassenen Endurteile der Amts- und Landgerichte statt.</w:t>
      </w:r>
    </w:p>
    <w:p>
      <w:r>
        <w:t>(2) Die Berufung ist nur zulässig, wenn</w:t>
      </w:r>
    </w:p>
    <w:p>
      <w:pPr>
        <w:tabs>
          <w:tab w:pos="567" w:val="left"/>
        </w:tabs>
        <w:ind w:left="567" w:hanging="567"/>
      </w:pPr>
      <w:r>
        <w:t>1.</w:t>
      </w:r>
      <w:r>
        <w:tab/>
      </w:r>
      <w:r>
        <w:t>der Wert des Beschwerdegegenstandes 1 000 Euro übersteigt oder</w:t>
      </w:r>
    </w:p>
    <w:p>
      <w:pPr>
        <w:tabs>
          <w:tab w:pos="567" w:val="left"/>
        </w:tabs>
        <w:ind w:left="567" w:hanging="567"/>
      </w:pPr>
      <w:r>
        <w:t>2.</w:t>
      </w:r>
      <w:r>
        <w:tab/>
      </w:r>
      <w:r>
        <w:t>das Gericht des ersten Rechtszuges die Berufung im Urteil zugelassen hat.</w:t>
      </w:r>
    </w:p>
    <w:p>
      <w:r>
        <w:t>(3) Der Berufungskläger hat den Wert nach Absatz 2 Nr. 1 glaubhaft zu machen; zur Versicherung an Eides statt darf er nicht zugelassen werden.</w:t>
      </w:r>
    </w:p>
    <w:p>
      <w:r>
        <w:t xml:space="preserve">(4) </w:t>
      </w:r>
      <w:r>
        <w:rPr>
          <w:rStyle w:val="Satznummer"/>
        </w:rPr>
        <w:t>1</w:t>
      </w:r>
      <w:r>
        <w:t>Das Gericht des ersten Rechtszuges lässt die Berufung zu, wenn</w:t>
      </w:r>
    </w:p>
    <w:p>
      <w:pPr>
        <w:tabs>
          <w:tab w:pos="567" w:val="left"/>
        </w:tabs>
        <w:ind w:left="567" w:hanging="567"/>
      </w:pPr>
      <w:r>
        <w:t>1.</w:t>
      </w:r>
      <w:r>
        <w:tab/>
      </w:r>
      <w:r>
        <w:t>die Rechtssache grundsätzliche Bedeutung hat oder die Fortbildung des Rechts oder die Sicherung einer einheitlichen Rechtsprechung eine Entscheidung des Berufungsgerichts erfordert und</w:t>
      </w:r>
    </w:p>
    <w:p>
      <w:pPr>
        <w:tabs>
          <w:tab w:pos="567" w:val="left"/>
        </w:tabs>
        <w:ind w:left="567" w:hanging="567"/>
      </w:pPr>
      <w:r>
        <w:t>2.</w:t>
      </w:r>
      <w:r>
        <w:tab/>
      </w:r>
      <w:r>
        <w:t>die Partei durch das Urteil mit nicht mehr als 1 000 Euro beschwert ist.</w:t>
      </w:r>
    </w:p>
    <w:p>
      <w:r>
        <w:rPr>
          <w:rStyle w:val="Satznummer"/>
        </w:rPr>
        <w:t>2</w:t>
      </w:r>
      <w:r>
        <w:t>Das Berufungsgericht ist an die Zulassung gebunden.</w:t>
      </w:r>
    </w:p>
    <w:p>
      <w:pPr>
        <w:pStyle w:val="Heading3"/>
      </w:pPr>
      <w:bookmarkStart w:id="564" w:name="b563"/>
      <w:r>
        <w:t>§ 512 Vorentscheidungen im ersten Rechtszug</w:t>
      </w:r>
      <w:r>
        <w:t xml:space="preserve"> </w:t>
      </w:r>
      <w:r>
        <w:rPr>
          <w:rStyle w:val="Suchmarke"/>
        </w:rPr>
        <w:t>#512#</w:t>
      </w:r>
      <w:bookmarkEnd w:id="564"/>
    </w:p>
    <w:p>
      <w:r>
        <w:t>Der Beurteilung des Berufungsgerichts unterliegen auch diejenigen Entscheidungen, die dem Endurteil vorausgegangen sind, sofern sie nicht nach den Vorschriften dieses Gesetzes unanfechtbar oder mit der sofortigen Beschwerde anfechtbar sind.</w:t>
      </w:r>
    </w:p>
    <w:p>
      <w:pPr>
        <w:pStyle w:val="Heading3"/>
      </w:pPr>
      <w:bookmarkStart w:id="565" w:name="b564"/>
      <w:r>
        <w:t>§ 513 Berufungsgründe</w:t>
      </w:r>
      <w:r>
        <w:t xml:space="preserve"> </w:t>
      </w:r>
      <w:r>
        <w:rPr>
          <w:rStyle w:val="Suchmarke"/>
        </w:rPr>
        <w:t>#513#</w:t>
      </w:r>
      <w:bookmarkEnd w:id="565"/>
    </w:p>
    <w:p>
      <w:r>
        <w:t>(1) Die Berufung kann nur darauf gestützt werden, dass die Entscheidung auf einer Rechtsverletzung (</w:t>
      </w:r>
      <w:hyperlink w:anchor="b598" w:history="1">
        <w:r>
          <w:rPr>
            <w:color w:val="0A3A8C"/>
            <w:u w:val="single"/>
          </w:rPr>
          <w:t xml:space="preserve">§ 546</w:t>
        </w:r>
      </w:hyperlink>
      <w:r>
        <w:t xml:space="preserve">) beruht oder nach </w:t>
      </w:r>
      <w:hyperlink w:anchor="b580" w:history="1">
        <w:r>
          <w:rPr>
            <w:color w:val="0A3A8C"/>
            <w:u w:val="single"/>
          </w:rPr>
          <w:t xml:space="preserve">§ 529</w:t>
        </w:r>
      </w:hyperlink>
      <w:r>
        <w:t xml:space="preserve"> zugrunde zu legende Tatsachen eine andere Entscheidung rechtfertigen.</w:t>
      </w:r>
    </w:p>
    <w:p>
      <w:r>
        <w:t>(2) Die Berufung kann nicht darauf gestützt werden, dass das Gericht des ersten Rechtszuges seine Zuständigkeit zu Unrecht angenommen hat.</w:t>
      </w:r>
    </w:p>
    <w:p>
      <w:pPr>
        <w:pStyle w:val="Heading3"/>
      </w:pPr>
      <w:bookmarkStart w:id="566" w:name="b565"/>
      <w:r>
        <w:t>§ 514 Versäumnisurteile</w:t>
      </w:r>
      <w:r>
        <w:t xml:space="preserve"> </w:t>
      </w:r>
      <w:r>
        <w:rPr>
          <w:rStyle w:val="Suchmarke"/>
        </w:rPr>
        <w:t>#514#</w:t>
      </w:r>
      <w:bookmarkEnd w:id="566"/>
    </w:p>
    <w:p>
      <w:r>
        <w:t>(1) Ein Versäumnisurteil kann von der Partei, gegen die es erlassen ist, mit der Berufung oder Anschlussberufung nicht angefochten werden.</w:t>
      </w:r>
    </w:p>
    <w:p>
      <w:r>
        <w:t xml:space="preserve">(2) </w:t>
      </w:r>
      <w:r>
        <w:rPr>
          <w:rStyle w:val="Satznummer"/>
        </w:rPr>
        <w:t>1</w:t>
      </w:r>
      <w:r>
        <w:t xml:space="preserve">Ein Versäumnisurteil, gegen das der Einspruch an sich nicht statthaft ist, unterliegt der Berufung oder Anschlussberufung insoweit, als sie darauf gestützt wird, dass der Fall der schuldhaften Versäumung nicht vorgelegen habe. </w:t>
      </w:r>
      <w:r>
        <w:rPr>
          <w:rStyle w:val="Satznummer"/>
        </w:rPr>
        <w:t>2</w:t>
      </w:r>
      <w:hyperlink w:anchor="b562" w:history="1">
        <w:r>
          <w:rPr>
            <w:color w:val="0A3A8C"/>
            <w:u w:val="single"/>
          </w:rPr>
          <w:t xml:space="preserve">§ 511</w:t>
        </w:r>
      </w:hyperlink>
      <w:r>
        <w:t xml:space="preserve"> Abs. 2 ist nicht anzuwenden.</w:t>
      </w:r>
    </w:p>
    <w:p>
      <w:pPr>
        <w:pStyle w:val="Heading3"/>
      </w:pPr>
      <w:bookmarkStart w:id="567" w:name="b566"/>
      <w:r>
        <w:t>§ 515 Verzicht auf Berufung</w:t>
      </w:r>
      <w:r>
        <w:t xml:space="preserve"> </w:t>
      </w:r>
      <w:r>
        <w:rPr>
          <w:rStyle w:val="Suchmarke"/>
        </w:rPr>
        <w:t>#515#</w:t>
      </w:r>
      <w:bookmarkEnd w:id="567"/>
    </w:p>
    <w:p>
      <w:r>
        <w:t>Die Wirksamkeit eines Verzichts auf das Recht der Berufung ist nicht davon abhängig, dass der Gegner die Verzichtsleistung angenommen hat.</w:t>
      </w:r>
    </w:p>
    <w:p>
      <w:pPr>
        <w:pStyle w:val="Heading3"/>
      </w:pPr>
      <w:bookmarkStart w:id="568" w:name="b567"/>
      <w:r>
        <w:t>§ 516 Zurücknahme der Berufung</w:t>
      </w:r>
      <w:r>
        <w:t xml:space="preserve"> </w:t>
      </w:r>
      <w:r>
        <w:rPr>
          <w:rStyle w:val="Suchmarke"/>
        </w:rPr>
        <w:t>#516#</w:t>
      </w:r>
      <w:bookmarkEnd w:id="568"/>
    </w:p>
    <w:p>
      <w:r>
        <w:t>(1) Der Berufungskläger kann die Berufung bis zur Verkündung des Berufungsurteils zurücknehmen.</w:t>
      </w:r>
    </w:p>
    <w:p>
      <w:r>
        <w:t xml:space="preserve">(2) </w:t>
      </w:r>
      <w:r>
        <w:rPr>
          <w:rStyle w:val="Satznummer"/>
        </w:rPr>
        <w:t>1</w:t>
      </w:r>
      <w:r>
        <w:t xml:space="preserve">Die Zurücknahme ist dem Gericht gegenüber zu erklären. </w:t>
      </w:r>
      <w:r>
        <w:rPr>
          <w:rStyle w:val="Satznummer"/>
        </w:rPr>
        <w:t>2</w:t>
      </w:r>
      <w:r>
        <w:t>Sie erfolgt, wenn sie nicht bei der mündlichen Verhandlung erklärt wird, durch Einreichung eines Schriftsatzes.</w:t>
      </w:r>
    </w:p>
    <w:p>
      <w:r>
        <w:t xml:space="preserve">(3) </w:t>
      </w:r>
      <w:r>
        <w:rPr>
          <w:rStyle w:val="Satznummer"/>
        </w:rPr>
        <w:t>1</w:t>
      </w:r>
      <w:r>
        <w:t xml:space="preserve">Die Zurücknahme hat den Verlust des eingelegten Rechtsmittels und die Verpflichtung zur Folge, die durch das Rechtsmittel entstandenen Kosten zu tragen. </w:t>
      </w:r>
      <w:r>
        <w:rPr>
          <w:rStyle w:val="Satznummer"/>
        </w:rPr>
        <w:t>2</w:t>
      </w:r>
      <w:r>
        <w:t>Diese Wirkungen sind durch Beschluss auszusprechen.</w:t>
      </w:r>
    </w:p>
    <w:p>
      <w:pPr>
        <w:pStyle w:val="Heading3"/>
      </w:pPr>
      <w:bookmarkStart w:id="569" w:name="b568"/>
      <w:r>
        <w:t>§ 517 Berufungsfrist</w:t>
      </w:r>
      <w:r>
        <w:t xml:space="preserve"> </w:t>
      </w:r>
      <w:r>
        <w:rPr>
          <w:rStyle w:val="Suchmarke"/>
        </w:rPr>
        <w:t>#517#</w:t>
      </w:r>
      <w:bookmarkEnd w:id="569"/>
    </w:p>
    <w:p>
      <w:r>
        <w:t>Die Berufungsfrist beträgt einen Monat; sie ist eine Notfrist und beginnt mit der Zustellung des in vollständiger Form abgefassten Urteils, spätestens aber mit dem Ablauf von fünf Monaten nach der Verkündung.</w:t>
      </w:r>
    </w:p>
    <w:p>
      <w:pPr>
        <w:pStyle w:val="Heading3"/>
      </w:pPr>
      <w:bookmarkStart w:id="570" w:name="b569"/>
      <w:r>
        <w:t>§ 518 Berufungsfrist bei Urteilsergänzung</w:t>
      </w:r>
      <w:r>
        <w:t xml:space="preserve"> </w:t>
      </w:r>
      <w:r>
        <w:rPr>
          <w:rStyle w:val="Suchmarke"/>
        </w:rPr>
        <w:t>#518#</w:t>
      </w:r>
      <w:bookmarkEnd w:id="570"/>
    </w:p>
    <w:p>
      <w:r>
        <w:rPr>
          <w:rStyle w:val="Satznummer"/>
        </w:rPr>
        <w:t>1</w:t>
      </w:r>
      <w:r>
        <w:t>Wird innerhalb der Berufungsfrist ein Urteil durch eine nachträgliche Entscheidung ergänzt (</w:t>
      </w:r>
      <w:hyperlink w:anchor="b367" w:history="1">
        <w:r>
          <w:rPr>
            <w:color w:val="0A3A8C"/>
            <w:u w:val="single"/>
          </w:rPr>
          <w:t xml:space="preserve">§ 321</w:t>
        </w:r>
      </w:hyperlink>
      <w:r>
        <w:t xml:space="preserve">), so beginnt mit der Zustellung der nachträglichen Entscheidung der Lauf der Berufungsfrist auch für die Berufung gegen das zuerst ergangene Urteil von neuem. </w:t>
      </w:r>
      <w:r>
        <w:rPr>
          <w:rStyle w:val="Satznummer"/>
        </w:rPr>
        <w:t>2</w:t>
      </w:r>
      <w:r>
        <w:t>Wird gegen beide Urteile von derselben Partei Berufung eingelegt, so sind beide Berufungen miteinander zu verbinden.</w:t>
      </w:r>
    </w:p>
    <w:p>
      <w:pPr>
        <w:pStyle w:val="Heading3"/>
      </w:pPr>
      <w:bookmarkStart w:id="571" w:name="b570"/>
      <w:r>
        <w:t>§ 519 Berufungsschrift</w:t>
      </w:r>
      <w:r>
        <w:t xml:space="preserve"> </w:t>
      </w:r>
      <w:r>
        <w:rPr>
          <w:rStyle w:val="Suchmarke"/>
        </w:rPr>
        <w:t>#519#</w:t>
      </w:r>
      <w:bookmarkEnd w:id="571"/>
    </w:p>
    <w:p>
      <w:r>
        <w:t>(1) Die Berufung wird durch Einreichung der Berufungsschrift bei dem Berufungsgericht eingelegt.</w:t>
      </w:r>
    </w:p>
    <w:p>
      <w:r>
        <w:t>(2) Die Berufungsschrift muss enthalten:</w:t>
      </w:r>
    </w:p>
    <w:p>
      <w:pPr>
        <w:tabs>
          <w:tab w:pos="567" w:val="left"/>
        </w:tabs>
        <w:ind w:left="567" w:hanging="567"/>
      </w:pPr>
      <w:r>
        <w:t>1.</w:t>
      </w:r>
      <w:r>
        <w:tab/>
      </w:r>
      <w:r>
        <w:t>die Bezeichnung des Urteils, gegen das die Berufung gerichtet wird;</w:t>
      </w:r>
    </w:p>
    <w:p>
      <w:pPr>
        <w:tabs>
          <w:tab w:pos="567" w:val="left"/>
        </w:tabs>
        <w:ind w:left="567" w:hanging="567"/>
      </w:pPr>
      <w:r>
        <w:t>2.</w:t>
      </w:r>
      <w:r>
        <w:tab/>
      </w:r>
      <w:r>
        <w:t>die Erklärung, dass gegen dieses Urteil Berufung eingelegt werde.</w:t>
      </w:r>
    </w:p>
    <w:p>
      <w:r>
        <w:t>(3) Mit der Berufungsschrift soll eine Ausfertigung oder beglaubigte Abschrift des angefochtenen Urteils vorgelegt werden.</w:t>
      </w:r>
    </w:p>
    <w:p>
      <w:r>
        <w:t>(4) Die allgemeinen Vorschriften über die vorbereitenden Schriftsätze sind auch auf die Berufungsschrift anzuwenden.</w:t>
      </w:r>
    </w:p>
    <w:p>
      <w:pPr>
        <w:pStyle w:val="Heading3"/>
      </w:pPr>
      <w:bookmarkStart w:id="572" w:name="b571"/>
      <w:r>
        <w:t>§ 520 Berufungsbegründung</w:t>
      </w:r>
      <w:r>
        <w:t xml:space="preserve"> </w:t>
      </w:r>
      <w:r>
        <w:rPr>
          <w:rStyle w:val="Suchmarke"/>
        </w:rPr>
        <w:t>#520#</w:t>
      </w:r>
      <w:bookmarkEnd w:id="572"/>
    </w:p>
    <w:p>
      <w:r>
        <w:t>(1) Der Berufungskläger muss die Berufung begründen.</w:t>
      </w:r>
    </w:p>
    <w:p>
      <w:r>
        <w:t xml:space="preserve">(2) </w:t>
      </w:r>
      <w:r>
        <w:rPr>
          <w:rStyle w:val="Satznummer"/>
        </w:rPr>
        <w:t>1</w:t>
      </w:r>
      <w:r>
        <w:t xml:space="preserve">Die Frist für die Berufungsbegründung beträgt zwei Monate und beginnt mit der Zustellung des in vollständiger Form abgefassten Urteils, spätestens aber mit Ablauf von fünf Monaten nach der Verkündung. </w:t>
      </w:r>
      <w:r>
        <w:rPr>
          <w:rStyle w:val="Satznummer"/>
        </w:rPr>
        <w:t>2</w:t>
      </w:r>
      <w:r>
        <w:t xml:space="preserve">Die Frist kann auf Antrag von dem Vorsitzenden verlängert werden, wenn der Gegner einwilligt. </w:t>
      </w:r>
      <w:r>
        <w:rPr>
          <w:rStyle w:val="Satznummer"/>
        </w:rPr>
        <w:t>3</w:t>
      </w:r>
      <w:r>
        <w:t>Ohne Einwilligung kann die Frist um bis zu einem Monat verlängert werden, wenn nach freier Überzeugung des Vorsitzenden der Rechtsstreit durch die Verlängerung nicht verzögert wird oder wenn der Berufungskläger erhebliche Gründe darlegt.</w:t>
      </w:r>
    </w:p>
    <w:p>
      <w:r>
        <w:t xml:space="preserve">(3) </w:t>
      </w:r>
      <w:r>
        <w:rPr>
          <w:rStyle w:val="Satznummer"/>
        </w:rPr>
        <w:t>1</w:t>
      </w:r>
      <w:r>
        <w:t xml:space="preserve">Die Berufungsbegründung ist, sofern sie nicht bereits in der Berufungsschrift enthalten ist, in einem Schriftsatz bei dem Berufungsgericht einzureichen. </w:t>
      </w:r>
      <w:r>
        <w:rPr>
          <w:rStyle w:val="Satznummer"/>
        </w:rPr>
        <w:t>2</w:t>
      </w:r>
      <w:r>
        <w:t>Die Berufungsbegründung muss enthalten:</w:t>
      </w:r>
    </w:p>
    <w:p>
      <w:pPr>
        <w:tabs>
          <w:tab w:pos="567" w:val="left"/>
        </w:tabs>
        <w:ind w:left="567" w:hanging="567"/>
      </w:pPr>
      <w:r>
        <w:t>1.</w:t>
      </w:r>
      <w:r>
        <w:tab/>
      </w:r>
      <w:r>
        <w:t>die Erklärung, inwieweit das Urteil angefochten wird und welche Abänderungen des Urteils beantragt werden (Berufungsanträge);</w:t>
      </w:r>
    </w:p>
    <w:p>
      <w:pPr>
        <w:tabs>
          <w:tab w:pos="567" w:val="left"/>
        </w:tabs>
        <w:ind w:left="567" w:hanging="567"/>
      </w:pPr>
      <w:r>
        <w:t>2.</w:t>
      </w:r>
      <w:r>
        <w:tab/>
      </w:r>
      <w:r>
        <w:t>die Bezeichnung der Umstände, aus denen sich die Rechtsverletzung und deren Erheblichkeit für die angefochtene Entscheidung ergibt;</w:t>
      </w:r>
    </w:p>
    <w:p>
      <w:pPr>
        <w:tabs>
          <w:tab w:pos="567" w:val="left"/>
        </w:tabs>
        <w:ind w:left="567" w:hanging="567"/>
      </w:pPr>
      <w:r>
        <w:t>3.</w:t>
      </w:r>
      <w:r>
        <w:tab/>
      </w:r>
      <w:r>
        <w:t>die Bezeichnung konkreter Anhaltspunkte, die Zweifel an der Richtigkeit oder Vollständigkeit der Tatsachenfeststellungen im angefochtenen Urteil begründen und deshalb eine erneute Feststellung gebieten;</w:t>
      </w:r>
    </w:p>
    <w:p>
      <w:pPr>
        <w:tabs>
          <w:tab w:pos="567" w:val="left"/>
        </w:tabs>
        <w:ind w:left="567" w:hanging="567"/>
      </w:pPr>
      <w:r>
        <w:t>4.</w:t>
      </w:r>
      <w:r>
        <w:tab/>
      </w:r>
      <w:r>
        <w:t xml:space="preserve">die Bezeichnung der neuen Angriffs- und Verteidigungsmittel sowie der Tatsachen, auf Grund derer die neuen Angriffs- und Verteidigungsmittel nach </w:t>
      </w:r>
      <w:hyperlink w:anchor="b582" w:history="1">
        <w:r>
          <w:rPr>
            <w:color w:val="0A3A8C"/>
            <w:u w:val="single"/>
          </w:rPr>
          <w:t xml:space="preserve">§ 531</w:t>
        </w:r>
      </w:hyperlink>
      <w:r>
        <w:t xml:space="preserve"> Abs. 2 zuzulassen sind.</w:t>
      </w:r>
    </w:p>
    <w:p>
      <w:r>
        <w:t>(4) Die Berufungsbegründung soll ferner enthalten:</w:t>
      </w:r>
    </w:p>
    <w:p>
      <w:pPr>
        <w:tabs>
          <w:tab w:pos="567" w:val="left"/>
        </w:tabs>
        <w:ind w:left="567" w:hanging="567"/>
      </w:pPr>
      <w:r>
        <w:t>1.</w:t>
      </w:r>
      <w:r>
        <w:tab/>
      </w:r>
      <w:r>
        <w:t>die Angabe des Wertes des nicht in einer bestimmten Geldsumme bestehenden Beschwerdegegenstandes, wenn von ihm die Zulässigkeit der Berufung abhängt;</w:t>
      </w:r>
    </w:p>
    <w:p>
      <w:pPr>
        <w:tabs>
          <w:tab w:pos="567" w:val="left"/>
        </w:tabs>
        <w:ind w:left="567" w:hanging="567"/>
      </w:pPr>
      <w:r>
        <w:t>2.</w:t>
      </w:r>
      <w:r>
        <w:tab/>
      </w:r>
      <w:r>
        <w:t>eine Äußerung dazu, ob einer Entscheidung der Sache durch den Einzelrichter Gründe entgegenstehen.</w:t>
      </w:r>
    </w:p>
    <w:p>
      <w:r>
        <w:t>(5) Die allgemeinen Vorschriften über die vorbereitenden Schriftsätze sind auch auf die Berufungsbegründung anzuwenden.</w:t>
      </w:r>
    </w:p>
    <w:p>
      <w:pPr>
        <w:pStyle w:val="Heading3"/>
      </w:pPr>
      <w:bookmarkStart w:id="573" w:name="b572"/>
      <w:r>
        <w:t>§ 521 Zustellung der Berufungsschrift und -begründung</w:t>
      </w:r>
      <w:r>
        <w:t xml:space="preserve"> </w:t>
      </w:r>
      <w:r>
        <w:rPr>
          <w:rStyle w:val="Suchmarke"/>
        </w:rPr>
        <w:t>#521#</w:t>
      </w:r>
      <w:bookmarkEnd w:id="573"/>
    </w:p>
    <w:p>
      <w:r>
        <w:t>(1) Die Berufungsschrift und die Berufungsbegründung sind der Gegenpartei zuzustellen.</w:t>
      </w:r>
    </w:p>
    <w:p>
      <w:r>
        <w:t xml:space="preserve">(2) </w:t>
      </w:r>
      <w:r>
        <w:rPr>
          <w:rStyle w:val="Satznummer"/>
        </w:rPr>
        <w:t>1</w:t>
      </w:r>
      <w:r>
        <w:t xml:space="preserve">Der Vorsitzende oder das Berufungsgericht kann der Gegenpartei eine Frist zur schriftlichen Berufungserwiderung und dem Berufungskläger eine Frist zur schriftlichen Stellungnahme auf die Berufungserwiderung setzen. </w:t>
      </w:r>
      <w:r>
        <w:rPr>
          <w:rStyle w:val="Satznummer"/>
        </w:rPr>
        <w:t>2</w:t>
      </w:r>
      <w:hyperlink w:anchor="b311" w:history="1">
        <w:r>
          <w:rPr>
            <w:color w:val="0A3A8C"/>
            <w:u w:val="single"/>
          </w:rPr>
          <w:t xml:space="preserve">§ 277</w:t>
        </w:r>
      </w:hyperlink>
      <w:r>
        <w:t xml:space="preserve"> gilt entsprechend.</w:t>
      </w:r>
    </w:p>
    <w:p>
      <w:pPr>
        <w:pStyle w:val="Heading3"/>
      </w:pPr>
      <w:bookmarkStart w:id="574" w:name="b573"/>
      <w:r>
        <w:t>§ 522 Zulässigkeitsprüfung; Zurückweisungsbeschluss</w:t>
      </w:r>
      <w:r>
        <w:t xml:space="preserve"> </w:t>
      </w:r>
      <w:r>
        <w:rPr>
          <w:rStyle w:val="Suchmarke"/>
        </w:rPr>
        <w:t>#522#</w:t>
      </w:r>
      <w:bookmarkEnd w:id="574"/>
    </w:p>
    <w:p>
      <w:r>
        <w:t xml:space="preserve">(1) </w:t>
      </w:r>
      <w:r>
        <w:rPr>
          <w:rStyle w:val="Satznummer"/>
        </w:rPr>
        <w:t>1</w:t>
      </w:r>
      <w:r>
        <w:t xml:space="preserve">Das Berufungsgericht hat von Amts wegen zu prüfen, ob die Berufung an sich statthaft und ob sie in der gesetzlichen Form und Frist eingelegt und begründet ist. </w:t>
      </w:r>
      <w:r>
        <w:rPr>
          <w:rStyle w:val="Satznummer"/>
        </w:rPr>
        <w:t>2</w:t>
      </w:r>
      <w:r>
        <w:t xml:space="preserve">Mangelt es an einem dieser Erfordernisse, so ist die Berufung als unzulässig zu verwerfen. </w:t>
      </w:r>
      <w:r>
        <w:rPr>
          <w:rStyle w:val="Satznummer"/>
        </w:rPr>
        <w:t>3</w:t>
      </w:r>
      <w:r>
        <w:t xml:space="preserve">Die Entscheidung kann durch Beschluss ergehen. </w:t>
      </w:r>
      <w:r>
        <w:rPr>
          <w:rStyle w:val="Satznummer"/>
        </w:rPr>
        <w:t>4</w:t>
      </w:r>
      <w:r>
        <w:t>Gegen den Beschluss findet die Rechtsbeschwerde statt.</w:t>
      </w:r>
    </w:p>
    <w:p>
      <w:r>
        <w:t xml:space="preserve">(2) </w:t>
      </w:r>
      <w:r>
        <w:rPr>
          <w:rStyle w:val="Satznummer"/>
        </w:rPr>
        <w:t>1</w:t>
      </w:r>
      <w:r>
        <w:t>Das Berufungsgericht soll die Berufung durch Beschluss unverzüglich zurückweisen, wenn es einstimmig davon überzeugt ist, dass</w:t>
      </w:r>
    </w:p>
    <w:p>
      <w:pPr>
        <w:tabs>
          <w:tab w:pos="567" w:val="left"/>
        </w:tabs>
        <w:ind w:left="567" w:hanging="567"/>
      </w:pPr>
      <w:r>
        <w:t>1.</w:t>
      </w:r>
      <w:r>
        <w:tab/>
      </w:r>
      <w:r>
        <w:t>die Berufung offensichtlich keine Aussicht auf Erfolg hat,</w:t>
      </w:r>
    </w:p>
    <w:p>
      <w:pPr>
        <w:tabs>
          <w:tab w:pos="567" w:val="left"/>
        </w:tabs>
        <w:ind w:left="567" w:hanging="567"/>
      </w:pPr>
      <w:r>
        <w:t>2.</w:t>
      </w:r>
      <w:r>
        <w:tab/>
      </w:r>
      <w:r>
        <w:t>die Rechtssache keine grundsätzliche Bedeutung hat,</w:t>
      </w:r>
    </w:p>
    <w:p>
      <w:pPr>
        <w:tabs>
          <w:tab w:pos="567" w:val="left"/>
        </w:tabs>
        <w:ind w:left="567" w:hanging="567"/>
      </w:pPr>
      <w:r>
        <w:t>3.</w:t>
      </w:r>
      <w:r>
        <w:tab/>
      </w:r>
      <w:r>
        <w:t>die Fortbildung des Rechts oder die Sicherung einer einheitlichen Rechtsprechung eine Entscheidung des Berufungsgerichts nicht erfordert und</w:t>
      </w:r>
    </w:p>
    <w:p>
      <w:pPr>
        <w:tabs>
          <w:tab w:pos="567" w:val="left"/>
        </w:tabs>
        <w:ind w:left="567" w:hanging="567"/>
      </w:pPr>
      <w:r>
        <w:t>4.</w:t>
      </w:r>
      <w:r>
        <w:tab/>
      </w:r>
      <w:r>
        <w:t>eine mündliche Verhandlung nicht geboten ist.</w:t>
      </w:r>
    </w:p>
    <w:p>
      <w:r>
        <w:rPr>
          <w:rStyle w:val="Satznummer"/>
        </w:rPr>
        <w:t>2</w:t>
      </w:r>
      <w:r>
        <w:t xml:space="preserve">Das Berufungsgericht oder der Vorsitzende hat zuvor die Parteien auf die beabsichtigte Zurückweisung der Berufung und die Gründe hierfür hinzuweisen und dem Berufungsführer binnen einer zu bestimmenden Frist Gelegenheit zur Stellungnahme zu geben. </w:t>
      </w:r>
      <w:r>
        <w:rPr>
          <w:rStyle w:val="Satznummer"/>
        </w:rPr>
        <w:t>3</w:t>
      </w:r>
      <w:r>
        <w:t xml:space="preserve">Der Beschluss nach Satz 1 ist zu begründen, soweit die Gründe für die Zurückweisung nicht bereits in dem Hinweis nach Satz 2 enthalten sind. </w:t>
      </w:r>
      <w:r>
        <w:rPr>
          <w:rStyle w:val="Satznummer"/>
        </w:rPr>
        <w:t>4</w:t>
      </w:r>
      <w:r>
        <w:t>Ein anfechtbarer Beschluss hat darüber hinaus eine Bezugnahme auf die tatsächlichen Feststellungen im angefochtenen Urteil mit Darstellung etwaiger Änderungen oder Ergänzungen zu enthalten.</w:t>
      </w:r>
    </w:p>
    <w:p>
      <w:r>
        <w:t>(3) Gegen den Beschluss nach Absatz 2 Satz 1 steht dem Berufungsführer das Rechtsmittel zu, das bei einer Entscheidung durch Urteil zulässig wäre.</w:t>
      </w:r>
    </w:p>
    <w:p>
      <w:pPr>
        <w:pStyle w:val="Heading3"/>
      </w:pPr>
      <w:bookmarkStart w:id="575" w:name="b574"/>
      <w:r>
        <w:t>§ 523 Terminsbestimmung</w:t>
      </w:r>
      <w:r>
        <w:t xml:space="preserve"> </w:t>
      </w:r>
      <w:r>
        <w:rPr>
          <w:rStyle w:val="Suchmarke"/>
        </w:rPr>
        <w:t>#523#</w:t>
      </w:r>
      <w:bookmarkEnd w:id="575"/>
    </w:p>
    <w:p>
      <w:r>
        <w:t xml:space="preserve">(1) </w:t>
      </w:r>
      <w:r>
        <w:rPr>
          <w:rStyle w:val="Satznummer"/>
        </w:rPr>
        <w:t>1</w:t>
      </w:r>
      <w:r>
        <w:t xml:space="preserve">Wird die Berufung nicht nach </w:t>
      </w:r>
      <w:hyperlink w:anchor="b573" w:history="1">
        <w:r>
          <w:rPr>
            <w:color w:val="0A3A8C"/>
            <w:u w:val="single"/>
          </w:rPr>
          <w:t xml:space="preserve">§ 522</w:t>
        </w:r>
      </w:hyperlink>
      <w:r>
        <w:t xml:space="preserve"> durch Beschluss verworfen oder zurückgewiesen, so entscheidet das Berufungsgericht über die Übertragung des Rechtsstreits auf den Einzelrichter. </w:t>
      </w:r>
      <w:r>
        <w:rPr>
          <w:rStyle w:val="Satznummer"/>
        </w:rPr>
        <w:t>2</w:t>
      </w:r>
      <w:r>
        <w:t>Sodann ist unverzüglich Termin zur mündlichen Verhandlung zu bestimmen.</w:t>
      </w:r>
    </w:p>
    <w:p>
      <w:r>
        <w:t xml:space="preserve">(2) Auf die Frist, die zwischen dem Zeitpunkt der Bekanntmachung des Termins und der mündlichen Verhandlung liegen muss, ist </w:t>
      </w:r>
      <w:hyperlink w:anchor="b308" w:history="1">
        <w:r>
          <w:rPr>
            <w:color w:val="0A3A8C"/>
            <w:u w:val="single"/>
          </w:rPr>
          <w:t xml:space="preserve">§ 274</w:t>
        </w:r>
      </w:hyperlink>
      <w:r>
        <w:t xml:space="preserve"> Abs. 3 entsprechend anzuwenden.</w:t>
      </w:r>
    </w:p>
    <w:p>
      <w:pPr>
        <w:pStyle w:val="Heading3"/>
      </w:pPr>
      <w:bookmarkStart w:id="576" w:name="b575"/>
      <w:r>
        <w:t>§ 524 Anschlussberufung</w:t>
      </w:r>
      <w:r>
        <w:t xml:space="preserve"> </w:t>
      </w:r>
      <w:r>
        <w:rPr>
          <w:rStyle w:val="Suchmarke"/>
        </w:rPr>
        <w:t>#524#</w:t>
      </w:r>
      <w:bookmarkEnd w:id="576"/>
    </w:p>
    <w:p>
      <w:r>
        <w:t xml:space="preserve">(1) </w:t>
      </w:r>
      <w:r>
        <w:rPr>
          <w:rStyle w:val="Satznummer"/>
        </w:rPr>
        <w:t>1</w:t>
      </w:r>
      <w:r>
        <w:t xml:space="preserve">Der Berufungsbeklagte kann sich der Berufung anschließen. </w:t>
      </w:r>
      <w:r>
        <w:rPr>
          <w:rStyle w:val="Satznummer"/>
        </w:rPr>
        <w:t>2</w:t>
      </w:r>
      <w:r>
        <w:t>Die Anschließung erfolgt durch Einreichung der Berufungsanschlussschrift bei dem Berufungsgericht.</w:t>
      </w:r>
    </w:p>
    <w:p>
      <w:r>
        <w:t xml:space="preserve">(2) </w:t>
      </w:r>
      <w:r>
        <w:rPr>
          <w:rStyle w:val="Satznummer"/>
        </w:rPr>
        <w:t>1</w:t>
      </w:r>
      <w:r>
        <w:t xml:space="preserve">Die Anschließung ist auch statthaft, wenn der Berufungsbeklagte auf die Berufung verzichtet hat oder die Berufungsfrist verstrichen ist. </w:t>
      </w:r>
      <w:r>
        <w:rPr>
          <w:rStyle w:val="Satznummer"/>
        </w:rPr>
        <w:t>2</w:t>
      </w:r>
      <w:r>
        <w:t xml:space="preserve">Sie ist zulässig bis zum Ablauf der dem Berufungsbeklagten gesetzten Frist zur Berufungserwiderung. </w:t>
      </w:r>
      <w:r>
        <w:rPr>
          <w:rStyle w:val="Satznummer"/>
        </w:rPr>
        <w:t>3</w:t>
      </w:r>
      <w:r>
        <w:t>Diese Frist gilt nicht, wenn die Anschließung eine Verurteilung zu künftig fällig werdenden wiederkehrenden Leistungen (</w:t>
      </w:r>
      <w:hyperlink w:anchor="b370" w:history="1">
        <w:r>
          <w:rPr>
            <w:color w:val="0A3A8C"/>
            <w:u w:val="single"/>
          </w:rPr>
          <w:t xml:space="preserve">§ 323</w:t>
        </w:r>
      </w:hyperlink>
      <w:r>
        <w:t>) zum Gegenstand hat.</w:t>
      </w:r>
    </w:p>
    <w:p>
      <w:r>
        <w:t xml:space="preserve">(3) </w:t>
      </w:r>
      <w:r>
        <w:rPr>
          <w:rStyle w:val="Satznummer"/>
        </w:rPr>
        <w:t>1</w:t>
      </w:r>
      <w:r>
        <w:t xml:space="preserve">Die Anschlussberufung muss in der Anschlussschrift begründet werden. </w:t>
      </w:r>
      <w:r>
        <w:rPr>
          <w:rStyle w:val="Satznummer"/>
        </w:rPr>
        <w:t>2</w:t>
      </w:r>
      <w:r>
        <w:t xml:space="preserve">Die Vorschriften des </w:t>
      </w:r>
      <w:hyperlink w:anchor="b570" w:history="1">
        <w:r>
          <w:rPr>
            <w:color w:val="0A3A8C"/>
            <w:u w:val="single"/>
          </w:rPr>
          <w:t xml:space="preserve">§ 519</w:t>
        </w:r>
      </w:hyperlink>
      <w:r>
        <w:t xml:space="preserve"> Abs. 2, 4 und des </w:t>
      </w:r>
      <w:hyperlink w:anchor="b571" w:history="1">
        <w:r>
          <w:rPr>
            <w:color w:val="0A3A8C"/>
            <w:u w:val="single"/>
          </w:rPr>
          <w:t xml:space="preserve">§ 520</w:t>
        </w:r>
      </w:hyperlink>
      <w:r>
        <w:t xml:space="preserve"> Abs. 3 sowie des </w:t>
      </w:r>
      <w:hyperlink w:anchor="b572" w:history="1">
        <w:r>
          <w:rPr>
            <w:color w:val="0A3A8C"/>
            <w:u w:val="single"/>
          </w:rPr>
          <w:t xml:space="preserve">§ 521</w:t>
        </w:r>
      </w:hyperlink>
      <w:r>
        <w:t xml:space="preserve"> gelten entsprechend.</w:t>
      </w:r>
    </w:p>
    <w:p>
      <w:r>
        <w:t>(4) Die Anschließung verliert ihre Wirkung, wenn die Berufung zurückgenommen, verworfen oder durch Beschluss zurückgewiesen wird.</w:t>
      </w:r>
    </w:p>
    <w:p>
      <w:pPr>
        <w:pStyle w:val="Heading3"/>
      </w:pPr>
      <w:bookmarkStart w:id="577" w:name="b576"/>
      <w:r>
        <w:t>§ 525 Allgemeine Verfahrensgrundsätze</w:t>
      </w:r>
      <w:r>
        <w:t xml:space="preserve"> </w:t>
      </w:r>
      <w:r>
        <w:rPr>
          <w:rStyle w:val="Suchmarke"/>
        </w:rPr>
        <w:t>#525#</w:t>
      </w:r>
      <w:bookmarkEnd w:id="577"/>
    </w:p>
    <w:p>
      <w:r>
        <w:rPr>
          <w:rStyle w:val="Satznummer"/>
        </w:rPr>
        <w:t>1</w:t>
      </w:r>
      <w:r>
        <w:t xml:space="preserve">Auf das weitere Verfahren sind die im ersten Rechtszuge für das Verfahren vor den Landgerichten geltenden Vorschriften entsprechend anzuwenden, soweit sich nicht Abweichungen aus den Vorschriften dieses Abschnitts ergeben. </w:t>
      </w:r>
      <w:r>
        <w:rPr>
          <w:rStyle w:val="Satznummer"/>
        </w:rPr>
        <w:t>2</w:t>
      </w:r>
      <w:r>
        <w:t>Einer Güteverhandlung bedarf es nicht.</w:t>
      </w:r>
    </w:p>
    <w:p>
      <w:pPr>
        <w:pStyle w:val="Heading3"/>
      </w:pPr>
      <w:bookmarkStart w:id="578" w:name="b577"/>
      <w:r>
        <w:t>§ 526 Entscheidender Richter</w:t>
      </w:r>
      <w:r>
        <w:t xml:space="preserve"> </w:t>
      </w:r>
      <w:r>
        <w:rPr>
          <w:rStyle w:val="Suchmarke"/>
        </w:rPr>
        <w:t>#526#</w:t>
      </w:r>
      <w:bookmarkEnd w:id="578"/>
    </w:p>
    <w:p>
      <w:r>
        <w:t>(1) Das Berufungsgericht kann durch Beschluss den Rechtsstreit einem seiner Mitglieder als Einzelrichter zur Entscheidung übertragen, wenn</w:t>
      </w:r>
    </w:p>
    <w:p>
      <w:pPr>
        <w:tabs>
          <w:tab w:pos="567" w:val="left"/>
        </w:tabs>
        <w:ind w:left="567" w:hanging="567"/>
      </w:pPr>
      <w:r>
        <w:t>1.</w:t>
      </w:r>
      <w:r>
        <w:tab/>
      </w:r>
      <w:r>
        <w:t>die angefochtene Entscheidung von einem Einzelrichter erlassen wurde,</w:t>
      </w:r>
    </w:p>
    <w:p>
      <w:pPr>
        <w:tabs>
          <w:tab w:pos="567" w:val="left"/>
        </w:tabs>
        <w:ind w:left="567" w:hanging="567"/>
      </w:pPr>
      <w:r>
        <w:t>2.</w:t>
      </w:r>
      <w:r>
        <w:tab/>
      </w:r>
      <w:r>
        <w:t>die Sache keine besonderen Schwierigkeiten tatsächlicher oder rechtlicher Art aufweist,</w:t>
      </w:r>
    </w:p>
    <w:p>
      <w:pPr>
        <w:tabs>
          <w:tab w:pos="567" w:val="left"/>
        </w:tabs>
        <w:ind w:left="567" w:hanging="567"/>
      </w:pPr>
      <w:r>
        <w:t>3.</w:t>
      </w:r>
      <w:r>
        <w:tab/>
      </w:r>
      <w:r>
        <w:t>die Rechtssache keine grundsätzliche Bedeutung hat und</w:t>
      </w:r>
    </w:p>
    <w:p>
      <w:pPr>
        <w:tabs>
          <w:tab w:pos="567" w:val="left"/>
        </w:tabs>
        <w:ind w:left="567" w:hanging="567"/>
      </w:pPr>
      <w:r>
        <w:t>4.</w:t>
      </w:r>
      <w:r>
        <w:tab/>
      </w:r>
      <w:r>
        <w:t>nicht bereits im Haupttermin zur Hauptsache verhandelt worden ist, es sei denn, dass inzwischen ein Vorbehalts-, Teil- oder Zwischenurteil ergangen ist.</w:t>
      </w:r>
    </w:p>
    <w:p>
      <w:r>
        <w:t xml:space="preserve">(2) </w:t>
      </w:r>
      <w:r>
        <w:rPr>
          <w:rStyle w:val="Satznummer"/>
        </w:rPr>
        <w:t>1</w:t>
      </w:r>
      <w:r>
        <w:t>Der Einzelrichter legt den Rechtsstreit dem Berufungsgericht zur Entscheidung über eine Übernahme vor, wenn</w:t>
      </w:r>
    </w:p>
    <w:p>
      <w:pPr>
        <w:tabs>
          <w:tab w:pos="567" w:val="left"/>
        </w:tabs>
        <w:ind w:left="567" w:hanging="567"/>
      </w:pPr>
      <w:r>
        <w:t>1.</w:t>
      </w:r>
      <w:r>
        <w:tab/>
      </w:r>
      <w:r>
        <w:t>sich aus einer wesentlichen Änderung der Prozesslage besondere tatsächliche oder rechtliche Schwierigkeiten der Sache oder die grundsätzliche Bedeutung der Rechtssache ergeben oder</w:t>
      </w:r>
    </w:p>
    <w:p>
      <w:pPr>
        <w:tabs>
          <w:tab w:pos="567" w:val="left"/>
        </w:tabs>
        <w:ind w:left="567" w:hanging="567"/>
      </w:pPr>
      <w:r>
        <w:t>2.</w:t>
      </w:r>
      <w:r>
        <w:tab/>
      </w:r>
      <w:r>
        <w:t>die Parteien dies übereinstimmend beantragen.</w:t>
      </w:r>
    </w:p>
    <w:p>
      <w:r>
        <w:rPr>
          <w:rStyle w:val="Satznummer"/>
        </w:rPr>
        <w:t>2</w:t>
      </w:r>
      <w:r>
        <w:t xml:space="preserve">Das Berufungsgericht übernimmt den Rechtsstreit, wenn die Voraussetzungen nach Satz 1 Nr. 1 vorliegen. </w:t>
      </w:r>
      <w:r>
        <w:rPr>
          <w:rStyle w:val="Satznummer"/>
        </w:rPr>
        <w:t>3</w:t>
      </w:r>
      <w:r>
        <w:t xml:space="preserve">Es entscheidet hierüber nach Anhörung der Parteien durch Beschluss. </w:t>
      </w:r>
      <w:r>
        <w:rPr>
          <w:rStyle w:val="Satznummer"/>
        </w:rPr>
        <w:t>4</w:t>
      </w:r>
      <w:r>
        <w:t>Eine erneute Übertragung auf den Einzelrichter ist ausgeschlossen.</w:t>
      </w:r>
    </w:p>
    <w:p>
      <w:r>
        <w:t>(3) Auf eine erfolgte oder unterlassene Übertragung, Vorlage oder Übernahme kann ein Rechtsmittel nicht gestützt werden.</w:t>
      </w:r>
    </w:p>
    <w:p>
      <w:r>
        <w:t>(4) In Sachen der Kammer für Handelssachen kann Einzelrichter nur der Vorsitzende sein.</w:t>
      </w:r>
    </w:p>
    <w:p>
      <w:pPr>
        <w:pStyle w:val="Heading3"/>
      </w:pPr>
      <w:bookmarkStart w:id="579" w:name="b578"/>
      <w:r>
        <w:t>§ 527 Vorbereitender Einzelrichter</w:t>
      </w:r>
      <w:r>
        <w:t xml:space="preserve"> </w:t>
      </w:r>
      <w:r>
        <w:rPr>
          <w:rStyle w:val="Suchmarke"/>
        </w:rPr>
        <w:t>#527#</w:t>
      </w:r>
      <w:bookmarkEnd w:id="579"/>
    </w:p>
    <w:p>
      <w:r>
        <w:t xml:space="preserve">(1) </w:t>
      </w:r>
      <w:r>
        <w:rPr>
          <w:rStyle w:val="Satznummer"/>
        </w:rPr>
        <w:t>1</w:t>
      </w:r>
      <w:r>
        <w:t xml:space="preserve">Wird der Rechtsstreit nicht nach § 526 dem Einzelrichter übertragen, kann das Berufungsgericht die Sache einem seiner Mitglieder als Einzelrichter zur Vorbereitung der Entscheidung zuweisen. </w:t>
      </w:r>
      <w:r>
        <w:rPr>
          <w:rStyle w:val="Satznummer"/>
        </w:rPr>
        <w:t>2</w:t>
      </w:r>
      <w:r>
        <w:t>In der Kammer für Handelssachen ist Einzelrichter der Vorsitzende; außerhalb der mündlichen Verhandlung bedarf es einer Zuweisung nicht.</w:t>
      </w:r>
    </w:p>
    <w:p>
      <w:r>
        <w:t xml:space="preserve">(2) </w:t>
      </w:r>
      <w:r>
        <w:rPr>
          <w:rStyle w:val="Satznummer"/>
        </w:rPr>
        <w:t>1</w:t>
      </w:r>
      <w:r>
        <w:t xml:space="preserve">Der Einzelrichter hat die Sache so weit zu fördern, dass sie in einer mündlichen Verhandlung vor dem Berufungsgericht erledigt werden kann. </w:t>
      </w:r>
      <w:r>
        <w:rPr>
          <w:rStyle w:val="Satznummer"/>
        </w:rPr>
        <w:t>2</w:t>
      </w:r>
      <w:r>
        <w:t>Er kann zu diesem Zweck einzelne Beweise erheben, soweit dies zur Vereinfachung der Verhandlung vor dem Berufungsgericht wünschenswert und von vornherein anzunehmen ist, dass das Berufungsgericht das Beweisergebnis auch ohne unmittelbaren Eindruck von dem Verlauf der Beweisaufnahme sachgemäß zu würdigen vermag.</w:t>
      </w:r>
    </w:p>
    <w:p>
      <w:r>
        <w:t>(3) Der Einzelrichter entscheidet</w:t>
      </w:r>
    </w:p>
    <w:p>
      <w:pPr>
        <w:tabs>
          <w:tab w:pos="567" w:val="left"/>
        </w:tabs>
        <w:ind w:left="567" w:hanging="567"/>
      </w:pPr>
      <w:r>
        <w:t>1.</w:t>
      </w:r>
      <w:r>
        <w:tab/>
      </w:r>
      <w:r>
        <w:t xml:space="preserve">über die Verweisung nach </w:t>
      </w:r>
      <w:hyperlink w:anchor="b125" w:history="1">
        <w:r>
          <w:rPr>
            <w:color w:val="0A3A8C"/>
            <w:u w:val="single"/>
          </w:rPr>
          <w:t xml:space="preserve">§ 100</w:t>
        </w:r>
      </w:hyperlink>
      <w:r>
        <w:t xml:space="preserve"> in Verbindung mit den §§ 97 bis 99 des Gerichtsverfassungsgesetzes;</w:t>
      </w:r>
    </w:p>
    <w:p>
      <w:pPr>
        <w:tabs>
          <w:tab w:pos="567" w:val="left"/>
        </w:tabs>
        <w:ind w:left="567" w:hanging="567"/>
      </w:pPr>
      <w:r>
        <w:t>2.</w:t>
      </w:r>
      <w:r>
        <w:tab/>
      </w:r>
      <w:r>
        <w:t>bei Zurücknahme der Klage oder der Berufung, Verzicht auf den geltend gemachten Anspruch oder Anerkenntnis des Anspruchs;</w:t>
      </w:r>
    </w:p>
    <w:p>
      <w:pPr>
        <w:tabs>
          <w:tab w:pos="567" w:val="left"/>
        </w:tabs>
        <w:ind w:left="567" w:hanging="567"/>
      </w:pPr>
      <w:r>
        <w:t>3.</w:t>
      </w:r>
      <w:r>
        <w:tab/>
      </w:r>
      <w:r>
        <w:t>bei Säumnis einer Partei oder beider Parteien;</w:t>
      </w:r>
    </w:p>
    <w:p>
      <w:pPr>
        <w:tabs>
          <w:tab w:pos="567" w:val="left"/>
        </w:tabs>
        <w:ind w:left="567" w:hanging="567"/>
      </w:pPr>
      <w:r>
        <w:t>4.</w:t>
      </w:r>
      <w:r>
        <w:tab/>
      </w:r>
      <w:r>
        <w:t>über die Verpflichtung, die Prozesskosten zu tragen, sofern nicht das Berufungsgericht gleichzeitig mit der Hauptsache hierüber entscheidet;</w:t>
      </w:r>
    </w:p>
    <w:p>
      <w:pPr>
        <w:tabs>
          <w:tab w:pos="567" w:val="left"/>
        </w:tabs>
        <w:ind w:left="567" w:hanging="567"/>
      </w:pPr>
      <w:r>
        <w:t>5.</w:t>
      </w:r>
      <w:r>
        <w:tab/>
      </w:r>
      <w:r>
        <w:t>über den Wert des Streitgegenstandes;</w:t>
      </w:r>
    </w:p>
    <w:p>
      <w:pPr>
        <w:tabs>
          <w:tab w:pos="567" w:val="left"/>
        </w:tabs>
        <w:ind w:left="567" w:hanging="567"/>
      </w:pPr>
      <w:r>
        <w:t>6.</w:t>
      </w:r>
      <w:r>
        <w:tab/>
      </w:r>
      <w:r>
        <w:t>über Kosten, Gebühren und Auslagen.</w:t>
      </w:r>
    </w:p>
    <w:p>
      <w:r>
        <w:t>(4) Im Einverständnis der Parteien kann der Einzelrichter auch im Übrigen entscheiden.</w:t>
      </w:r>
    </w:p>
    <w:p>
      <w:pPr>
        <w:pStyle w:val="Heading3"/>
      </w:pPr>
      <w:bookmarkStart w:id="580" w:name="b579"/>
      <w:r>
        <w:t>§ 528 Bindung an die Berufungsanträge</w:t>
      </w:r>
      <w:r>
        <w:t xml:space="preserve"> </w:t>
      </w:r>
      <w:r>
        <w:rPr>
          <w:rStyle w:val="Suchmarke"/>
        </w:rPr>
        <w:t>#528#</w:t>
      </w:r>
      <w:bookmarkEnd w:id="580"/>
    </w:p>
    <w:p>
      <w:r>
        <w:rPr>
          <w:rStyle w:val="Satznummer"/>
        </w:rPr>
        <w:t>1</w:t>
      </w:r>
      <w:r>
        <w:t xml:space="preserve">Der Prüfung und Entscheidung des Berufungsgerichts unterliegen nur die Berufungsanträge. </w:t>
      </w:r>
      <w:r>
        <w:rPr>
          <w:rStyle w:val="Satznummer"/>
        </w:rPr>
        <w:t>2</w:t>
      </w:r>
      <w:r>
        <w:t>Das Urteil des ersten Rechtszuges darf nur insoweit abgeändert werden, als eine Abänderung beantragt ist.</w:t>
      </w:r>
    </w:p>
    <w:p>
      <w:pPr>
        <w:pStyle w:val="Heading3"/>
      </w:pPr>
      <w:bookmarkStart w:id="581" w:name="b580"/>
      <w:r>
        <w:t>§ 529 Prüfungsumfang des Berufungsgerichts</w:t>
      </w:r>
      <w:r>
        <w:t xml:space="preserve"> </w:t>
      </w:r>
      <w:r>
        <w:rPr>
          <w:rStyle w:val="Suchmarke"/>
        </w:rPr>
        <w:t>#529#</w:t>
      </w:r>
      <w:bookmarkEnd w:id="581"/>
    </w:p>
    <w:p>
      <w:r>
        <w:t>(1) Das Berufungsgericht hat seiner Verhandlung und Entscheidung zugrunde zu legen:</w:t>
      </w:r>
    </w:p>
    <w:p>
      <w:pPr>
        <w:tabs>
          <w:tab w:pos="567" w:val="left"/>
        </w:tabs>
        <w:ind w:left="567" w:hanging="567"/>
      </w:pPr>
      <w:r>
        <w:t>1.</w:t>
      </w:r>
      <w:r>
        <w:tab/>
      </w:r>
      <w:r>
        <w:t>die vom Gericht des ersten Rechtszuges festgestellten Tatsachen, soweit nicht konkrete Anhaltspunkte Zweifel an der Richtigkeit oder Vollständigkeit der entscheidungserheblichen Feststellungen begründen und deshalb eine erneute Feststellung gebieten;</w:t>
      </w:r>
    </w:p>
    <w:p>
      <w:pPr>
        <w:tabs>
          <w:tab w:pos="567" w:val="left"/>
        </w:tabs>
        <w:ind w:left="567" w:hanging="567"/>
      </w:pPr>
      <w:r>
        <w:t>2.</w:t>
      </w:r>
      <w:r>
        <w:tab/>
      </w:r>
      <w:r>
        <w:t>neue Tatsachen, soweit deren Berücksichtigung zulässig ist.</w:t>
      </w:r>
    </w:p>
    <w:p>
      <w:r>
        <w:t xml:space="preserve">(2) </w:t>
      </w:r>
      <w:r>
        <w:rPr>
          <w:rStyle w:val="Satznummer"/>
        </w:rPr>
        <w:t>1</w:t>
      </w:r>
      <w:r>
        <w:t xml:space="preserve">Auf einen Mangel des Verfahrens, der nicht von Amts wegen zu berücksichtigen ist, wird das angefochtene Urteil nur geprüft, wenn dieser nach </w:t>
      </w:r>
      <w:hyperlink w:anchor="b571" w:history="1">
        <w:r>
          <w:rPr>
            <w:color w:val="0A3A8C"/>
            <w:u w:val="single"/>
          </w:rPr>
          <w:t xml:space="preserve">§ 520</w:t>
        </w:r>
      </w:hyperlink>
      <w:r>
        <w:t xml:space="preserve"> Abs. 3 geltend gemacht worden ist. </w:t>
      </w:r>
      <w:r>
        <w:rPr>
          <w:rStyle w:val="Satznummer"/>
        </w:rPr>
        <w:t>2</w:t>
      </w:r>
      <w:r>
        <w:t>Im Übrigen ist das Berufungsgericht an die geltend gemachten Berufungsgründe nicht gebunden.</w:t>
      </w:r>
    </w:p>
    <w:p>
      <w:pPr>
        <w:pStyle w:val="Heading3"/>
      </w:pPr>
      <w:bookmarkStart w:id="582" w:name="b581"/>
      <w:r>
        <w:t>§ 530 Verspätet vorgebrachte Angriffs- und Verteidigungsmittel</w:t>
      </w:r>
      <w:r>
        <w:t xml:space="preserve"> </w:t>
      </w:r>
      <w:r>
        <w:rPr>
          <w:rStyle w:val="Suchmarke"/>
        </w:rPr>
        <w:t>#530#</w:t>
      </w:r>
      <w:bookmarkEnd w:id="582"/>
    </w:p>
    <w:p>
      <w:r>
        <w:t xml:space="preserve">Werden Angriffs- oder Verteidigungsmittel entgegen den </w:t>
      </w:r>
      <w:hyperlink w:anchor="b571" w:history="1">
        <w:r>
          <w:rPr>
            <w:color w:val="0A3A8C"/>
            <w:u w:val="single"/>
          </w:rPr>
          <w:t xml:space="preserve">§§ 520</w:t>
        </w:r>
      </w:hyperlink>
      <w:r>
        <w:t xml:space="preserve"> und </w:t>
      </w:r>
      <w:hyperlink w:anchor="b572" w:history="1">
        <w:r>
          <w:rPr>
            <w:color w:val="0A3A8C"/>
            <w:u w:val="single"/>
          </w:rPr>
          <w:t xml:space="preserve">521</w:t>
        </w:r>
      </w:hyperlink>
      <w:r>
        <w:t xml:space="preserve"> Abs. 2 nicht rechtzeitig vorgebracht, so gilt </w:t>
      </w:r>
      <w:hyperlink w:anchor="b333" w:history="1">
        <w:r>
          <w:rPr>
            <w:color w:val="0A3A8C"/>
            <w:u w:val="single"/>
          </w:rPr>
          <w:t xml:space="preserve">§ 296</w:t>
        </w:r>
      </w:hyperlink>
      <w:r>
        <w:t xml:space="preserve"> Abs. 1 und 4 entsprechend.</w:t>
      </w:r>
    </w:p>
    <w:p>
      <w:pPr>
        <w:pStyle w:val="Heading3"/>
      </w:pPr>
      <w:bookmarkStart w:id="583" w:name="b582"/>
      <w:r>
        <w:t>§ 531 Zurückgewiesene und neue Angriffs- und Verteidigungsmittel</w:t>
      </w:r>
      <w:r>
        <w:t xml:space="preserve"> </w:t>
      </w:r>
      <w:r>
        <w:rPr>
          <w:rStyle w:val="Suchmarke"/>
        </w:rPr>
        <w:t>#531#</w:t>
      </w:r>
      <w:bookmarkEnd w:id="583"/>
    </w:p>
    <w:p>
      <w:r>
        <w:t>(1) Angriffs- und Verteidigungsmittel, die im ersten Rechtszuge zu Recht zurückgewiesen worden sind, bleiben ausgeschlossen.</w:t>
      </w:r>
    </w:p>
    <w:p>
      <w:r>
        <w:t xml:space="preserve">(2) </w:t>
      </w:r>
      <w:r>
        <w:rPr>
          <w:rStyle w:val="Satznummer"/>
        </w:rPr>
        <w:t>1</w:t>
      </w:r>
      <w:r>
        <w:t>Neue Angriffs- und Verteidigungsmittel sind nur zuzulassen, wenn sie</w:t>
      </w:r>
    </w:p>
    <w:p>
      <w:pPr>
        <w:tabs>
          <w:tab w:pos="567" w:val="left"/>
        </w:tabs>
        <w:ind w:left="567" w:hanging="567"/>
      </w:pPr>
      <w:r>
        <w:t>1.</w:t>
      </w:r>
      <w:r>
        <w:tab/>
      </w:r>
      <w:r>
        <w:t>einen Gesichtspunkt betreffen, der vom Gericht des ersten Rechtszuges erkennbar übersehen oder für unerheblich gehalten worden ist,</w:t>
      </w:r>
    </w:p>
    <w:p>
      <w:pPr>
        <w:tabs>
          <w:tab w:pos="567" w:val="left"/>
        </w:tabs>
        <w:ind w:left="567" w:hanging="567"/>
      </w:pPr>
      <w:r>
        <w:t>2.</w:t>
      </w:r>
      <w:r>
        <w:tab/>
      </w:r>
      <w:r>
        <w:t>infolge eines Verfahrensmangels im ersten Rechtszug nicht geltend gemacht wurden oder</w:t>
      </w:r>
    </w:p>
    <w:p>
      <w:pPr>
        <w:tabs>
          <w:tab w:pos="567" w:val="left"/>
        </w:tabs>
        <w:ind w:left="567" w:hanging="567"/>
      </w:pPr>
      <w:r>
        <w:t>3.</w:t>
      </w:r>
      <w:r>
        <w:tab/>
      </w:r>
      <w:r>
        <w:t>im ersten Rechtszug nicht geltend gemacht worden sind, ohne dass dies auf einer Nachlässigkeit der Partei beruht.</w:t>
      </w:r>
    </w:p>
    <w:p>
      <w:r>
        <w:rPr>
          <w:rStyle w:val="Satznummer"/>
        </w:rPr>
        <w:t>2</w:t>
      </w:r>
      <w:r>
        <w:t>Das Berufungsgericht kann die Glaubhaftmachung der Tatsachen verlangen, aus denen sich die Zulässigkeit der neuen Angriffs- und Verteidigungsmittel ergibt.</w:t>
      </w:r>
    </w:p>
    <w:p>
      <w:pPr>
        <w:pStyle w:val="Heading3"/>
      </w:pPr>
      <w:bookmarkStart w:id="584" w:name="b583"/>
      <w:r>
        <w:t>§ 532 Rügen der Unzulässigkeit der Klage</w:t>
      </w:r>
      <w:r>
        <w:t xml:space="preserve"> </w:t>
      </w:r>
      <w:r>
        <w:rPr>
          <w:rStyle w:val="Suchmarke"/>
        </w:rPr>
        <w:t>#532#</w:t>
      </w:r>
      <w:bookmarkEnd w:id="584"/>
    </w:p>
    <w:p>
      <w:r>
        <w:rPr>
          <w:rStyle w:val="Satznummer"/>
        </w:rPr>
        <w:t>1</w:t>
      </w:r>
      <w:r>
        <w:t xml:space="preserve">Verzichtbare Rügen, die die Zulässigkeit der Klage betreffen und die entgegen den </w:t>
      </w:r>
      <w:hyperlink w:anchor="b571" w:history="1">
        <w:r>
          <w:rPr>
            <w:color w:val="0A3A8C"/>
            <w:u w:val="single"/>
          </w:rPr>
          <w:t xml:space="preserve">§§ 520</w:t>
        </w:r>
      </w:hyperlink>
      <w:r>
        <w:t xml:space="preserve"> und </w:t>
      </w:r>
      <w:hyperlink w:anchor="b572" w:history="1">
        <w:r>
          <w:rPr>
            <w:color w:val="0A3A8C"/>
            <w:u w:val="single"/>
          </w:rPr>
          <w:t xml:space="preserve">521</w:t>
        </w:r>
      </w:hyperlink>
      <w:r>
        <w:t xml:space="preserve"> Abs. 2 nicht rechtzeitig vorgebracht werden, sind nur zuzulassen, wenn die Partei die Verspätung genügend entschuldigt. </w:t>
      </w:r>
      <w:r>
        <w:rPr>
          <w:rStyle w:val="Satznummer"/>
        </w:rPr>
        <w:t>2</w:t>
      </w:r>
      <w:r>
        <w:t xml:space="preserve">Dasselbe gilt für verzichtbare neue Rügen, die die Zulässigkeit der Klage betreffen, wenn die Partei sie im ersten Rechtszug hätte vorbringen können. </w:t>
      </w:r>
      <w:r>
        <w:rPr>
          <w:rStyle w:val="Satznummer"/>
        </w:rPr>
        <w:t>3</w:t>
      </w:r>
      <w:r>
        <w:t>Der Entschuldigungsgrund ist auf Verlangen des Gerichts glaubhaft zu machen.</w:t>
      </w:r>
    </w:p>
    <w:p>
      <w:pPr>
        <w:pStyle w:val="Heading3"/>
      </w:pPr>
      <w:bookmarkStart w:id="585" w:name="b584"/>
      <w:r>
        <w:t>§ 533 Klageänderung; Aufrechnungserklärung; Widerklage</w:t>
      </w:r>
      <w:r>
        <w:t xml:space="preserve"> </w:t>
      </w:r>
      <w:r>
        <w:rPr>
          <w:rStyle w:val="Suchmarke"/>
        </w:rPr>
        <w:t>#533#</w:t>
      </w:r>
      <w:bookmarkEnd w:id="585"/>
    </w:p>
    <w:p>
      <w:r>
        <w:t>Klageänderung, Aufrechnungserklärung und Widerklage sind nur zulässig, wenn</w:t>
      </w:r>
    </w:p>
    <w:p>
      <w:pPr>
        <w:tabs>
          <w:tab w:pos="567" w:val="left"/>
        </w:tabs>
        <w:ind w:left="567" w:hanging="567"/>
      </w:pPr>
      <w:r>
        <w:t>1.</w:t>
      </w:r>
      <w:r>
        <w:tab/>
      </w:r>
      <w:r>
        <w:t>der Gegner einwilligt oder das Gericht dies für sachdienlich hält und</w:t>
      </w:r>
    </w:p>
    <w:p>
      <w:pPr>
        <w:tabs>
          <w:tab w:pos="567" w:val="left"/>
        </w:tabs>
        <w:ind w:left="567" w:hanging="567"/>
      </w:pPr>
      <w:r>
        <w:t>2.</w:t>
      </w:r>
      <w:r>
        <w:tab/>
      </w:r>
      <w:r>
        <w:t xml:space="preserve">diese auf Tatsachen gestützt werden können, die das Berufungsgericht seiner Verhandlung und Entscheidung über die Berufung ohnehin nach </w:t>
      </w:r>
      <w:hyperlink w:anchor="b580" w:history="1">
        <w:r>
          <w:rPr>
            <w:color w:val="0A3A8C"/>
            <w:u w:val="single"/>
          </w:rPr>
          <w:t xml:space="preserve">§ 529</w:t>
        </w:r>
      </w:hyperlink>
      <w:r>
        <w:t xml:space="preserve"> zugrunde zu legen hat.</w:t>
      </w:r>
    </w:p>
    <w:p>
      <w:pPr>
        <w:pStyle w:val="Heading3"/>
      </w:pPr>
      <w:bookmarkStart w:id="586" w:name="b585"/>
      <w:r>
        <w:t>§ 534 Verlust des Rügerechts</w:t>
      </w:r>
      <w:r>
        <w:t xml:space="preserve"> </w:t>
      </w:r>
      <w:r>
        <w:rPr>
          <w:rStyle w:val="Suchmarke"/>
        </w:rPr>
        <w:t>#534#</w:t>
      </w:r>
      <w:bookmarkEnd w:id="586"/>
    </w:p>
    <w:p>
      <w:r>
        <w:t xml:space="preserve">Die Verletzung einer das Verfahren des ersten Rechtszuges betreffenden Vorschrift kann in der Berufungsinstanz nicht mehr gerügt werden, wenn die Partei das Rügerecht bereits im ersten Rechtszuge nach der Vorschrift des </w:t>
      </w:r>
      <w:hyperlink w:anchor="b332" w:history="1">
        <w:r>
          <w:rPr>
            <w:color w:val="0A3A8C"/>
            <w:u w:val="single"/>
          </w:rPr>
          <w:t xml:space="preserve">§ 295</w:t>
        </w:r>
      </w:hyperlink>
      <w:r>
        <w:t xml:space="preserve"> verloren hat.</w:t>
      </w:r>
    </w:p>
    <w:p>
      <w:pPr>
        <w:pStyle w:val="Heading3"/>
      </w:pPr>
      <w:bookmarkStart w:id="587" w:name="b586"/>
      <w:r>
        <w:t>§ 535 Gerichtliches Geständnis</w:t>
      </w:r>
      <w:r>
        <w:t xml:space="preserve"> </w:t>
      </w:r>
      <w:r>
        <w:rPr>
          <w:rStyle w:val="Suchmarke"/>
        </w:rPr>
        <w:t>#535#</w:t>
      </w:r>
      <w:bookmarkEnd w:id="587"/>
    </w:p>
    <w:p>
      <w:r>
        <w:t>Das im ersten Rechtszuge abgelegte gerichtliche Geständnis behält seine Wirksamkeit auch für die Berufungsinstanz.</w:t>
      </w:r>
    </w:p>
    <w:p>
      <w:pPr>
        <w:pStyle w:val="Heading3"/>
      </w:pPr>
      <w:bookmarkStart w:id="588" w:name="b587"/>
      <w:r>
        <w:t>§ 536 Parteivernehmung</w:t>
      </w:r>
      <w:r>
        <w:t xml:space="preserve"> </w:t>
      </w:r>
      <w:r>
        <w:rPr>
          <w:rStyle w:val="Suchmarke"/>
        </w:rPr>
        <w:t>#536#</w:t>
      </w:r>
      <w:bookmarkEnd w:id="588"/>
    </w:p>
    <w:p>
      <w:r>
        <w:t>(1) Das Berufungsgericht darf die Vernehmung oder Beeidigung einer Partei, die im ersten Rechtszuge die Vernehmung abgelehnt oder die Aussage oder den Eid verweigert hatte, nur anordnen, wenn es der Überzeugung ist, dass die Partei zu der Ablehnung oder Weigerung genügende Gründe hatte und diese Gründe seitdem weggefallen sind.</w:t>
      </w:r>
    </w:p>
    <w:p>
      <w:r>
        <w:t>(2) War eine Partei im ersten Rechtszuge vernommen und auf ihre Aussage beeidigt, so darf das Berufungsgericht die eidliche Vernehmung des Gegners nur anordnen, wenn die Vernehmung oder Beeidigung im ersten Rechtszuge unzulässig war.</w:t>
      </w:r>
    </w:p>
    <w:p>
      <w:pPr>
        <w:pStyle w:val="Heading3"/>
      </w:pPr>
      <w:bookmarkStart w:id="589" w:name="b588"/>
      <w:r>
        <w:t>§ 537 Vorläufige Vollstreckbarkeit</w:t>
      </w:r>
      <w:r>
        <w:t xml:space="preserve"> </w:t>
      </w:r>
      <w:r>
        <w:rPr>
          <w:rStyle w:val="Suchmarke"/>
        </w:rPr>
        <w:t>#537#</w:t>
      </w:r>
      <w:bookmarkEnd w:id="589"/>
    </w:p>
    <w:p>
      <w:r>
        <w:t xml:space="preserve">(1) </w:t>
      </w:r>
      <w:r>
        <w:rPr>
          <w:rStyle w:val="Satznummer"/>
        </w:rPr>
        <w:t>1</w:t>
      </w:r>
      <w:r>
        <w:t xml:space="preserve">Ein nicht oder nicht unbedingt für vorläufig vollstreckbar erklärtes Urteil des ersten Rechtszuges ist, soweit es durch die Berufungsanträge nicht angefochten wird, auf Antrag von dem Berufungsgericht durch Beschluss für vorläufig vollstreckbar zu erklären. </w:t>
      </w:r>
      <w:r>
        <w:rPr>
          <w:rStyle w:val="Satznummer"/>
        </w:rPr>
        <w:t>2</w:t>
      </w:r>
      <w:r>
        <w:t>Die Entscheidung ist erst nach Ablauf der Berufungsbegründungsfrist zulässig.</w:t>
      </w:r>
    </w:p>
    <w:p>
      <w:r>
        <w:t>(2) Eine Anfechtung des Beschlusses findet nicht statt.</w:t>
      </w:r>
    </w:p>
    <w:p>
      <w:pPr>
        <w:pStyle w:val="Heading3"/>
      </w:pPr>
      <w:bookmarkStart w:id="590" w:name="b589"/>
      <w:r>
        <w:t>§ 538 Zurückverweisung</w:t>
      </w:r>
      <w:r>
        <w:t xml:space="preserve"> </w:t>
      </w:r>
      <w:r>
        <w:rPr>
          <w:rStyle w:val="Suchmarke"/>
        </w:rPr>
        <w:t>#538#</w:t>
      </w:r>
      <w:bookmarkEnd w:id="590"/>
    </w:p>
    <w:p>
      <w:r>
        <w:t>(1) Das Berufungsgericht hat die notwendigen Beweise zu erheben und in der Sache selbst zu entscheiden.</w:t>
      </w:r>
    </w:p>
    <w:p>
      <w:r>
        <w:t xml:space="preserve">(2) </w:t>
      </w:r>
      <w:r>
        <w:rPr>
          <w:rStyle w:val="Satznummer"/>
        </w:rPr>
        <w:t>1</w:t>
      </w:r>
      <w:r>
        <w:t>Das Berufungsgericht darf die Sache, soweit ihre weitere Verhandlung erforderlich ist, unter Aufhebung des Urteils und des Verfahrens an das Gericht des ersten Rechtszuges nur zurückverweisen,</w:t>
      </w:r>
    </w:p>
    <w:p>
      <w:pPr>
        <w:tabs>
          <w:tab w:pos="567" w:val="left"/>
        </w:tabs>
        <w:ind w:left="567" w:hanging="567"/>
      </w:pPr>
      <w:r>
        <w:t>1.</w:t>
      </w:r>
      <w:r>
        <w:tab/>
      </w:r>
      <w:r>
        <w:t>soweit das Verfahren im ersten Rechtszuge an einem wesentlichen Mangel leidet und auf Grund dieses Mangels eine umfangreiche oder aufwändige Beweisaufnahme notwendig ist,</w:t>
      </w:r>
    </w:p>
    <w:p>
      <w:pPr>
        <w:tabs>
          <w:tab w:pos="567" w:val="left"/>
        </w:tabs>
        <w:ind w:left="567" w:hanging="567"/>
      </w:pPr>
      <w:r>
        <w:t>2.</w:t>
      </w:r>
      <w:r>
        <w:tab/>
      </w:r>
      <w:r>
        <w:t>wenn durch das angefochtene Urteil ein Einspruch als unzulässig verworfen ist,</w:t>
      </w:r>
    </w:p>
    <w:p>
      <w:pPr>
        <w:tabs>
          <w:tab w:pos="567" w:val="left"/>
        </w:tabs>
        <w:ind w:left="567" w:hanging="567"/>
      </w:pPr>
      <w:r>
        <w:t>3.</w:t>
      </w:r>
      <w:r>
        <w:tab/>
      </w:r>
      <w:r>
        <w:t>wenn durch das angefochtene Urteil nur über die Zulässigkeit der Klage entschieden ist,</w:t>
      </w:r>
    </w:p>
    <w:p>
      <w:pPr>
        <w:tabs>
          <w:tab w:pos="567" w:val="left"/>
        </w:tabs>
        <w:ind w:left="567" w:hanging="567"/>
      </w:pPr>
      <w:r>
        <w:t>4.</w:t>
      </w:r>
      <w:r>
        <w:tab/>
      </w:r>
      <w:r>
        <w:t>wenn im Falle eines nach Grund und Betrag streitigen Anspruchs durch das angefochtene Urteil über den Grund des Anspruchs vorab entschieden oder die Klage abgewiesen ist, es sei denn, dass der Streit über den Betrag des Anspruchs zur Entscheidung reif ist,</w:t>
      </w:r>
    </w:p>
    <w:p>
      <w:pPr>
        <w:tabs>
          <w:tab w:pos="567" w:val="left"/>
        </w:tabs>
        <w:ind w:left="567" w:hanging="567"/>
      </w:pPr>
      <w:r>
        <w:t>5.</w:t>
      </w:r>
      <w:r>
        <w:tab/>
      </w:r>
      <w:r>
        <w:t>wenn das angefochtene Urteil im Urkunden- oder Wechselprozess unter Vorbehalt der Rechte erlassen ist,</w:t>
      </w:r>
    </w:p>
    <w:p>
      <w:pPr>
        <w:tabs>
          <w:tab w:pos="567" w:val="left"/>
        </w:tabs>
        <w:ind w:left="567" w:hanging="567"/>
      </w:pPr>
      <w:r>
        <w:t>6.</w:t>
      </w:r>
      <w:r>
        <w:tab/>
      </w:r>
      <w:r>
        <w:t>wenn das angefochtene Urteil ein Versäumnisurteil ist oder</w:t>
      </w:r>
    </w:p>
    <w:p>
      <w:pPr>
        <w:tabs>
          <w:tab w:pos="567" w:val="left"/>
        </w:tabs>
        <w:ind w:left="567" w:hanging="567"/>
      </w:pPr>
      <w:r>
        <w:t>7.</w:t>
      </w:r>
      <w:r>
        <w:tab/>
      </w:r>
      <w:r>
        <w:t xml:space="preserve">wenn das angefochtene Urteil ein entgegen den Voraussetzungen des </w:t>
      </w:r>
      <w:hyperlink w:anchor="b342" w:history="1">
        <w:r>
          <w:rPr>
            <w:color w:val="0A3A8C"/>
            <w:u w:val="single"/>
          </w:rPr>
          <w:t xml:space="preserve">§ 301</w:t>
        </w:r>
      </w:hyperlink>
      <w:r>
        <w:t xml:space="preserve"> erlassenes Teilurteil ist</w:t>
      </w:r>
    </w:p>
    <w:p>
      <w:r>
        <w:t xml:space="preserve">und eine Partei die Zurückverweisung beantragt. </w:t>
      </w:r>
      <w:r>
        <w:rPr>
          <w:rStyle w:val="Satznummer"/>
        </w:rPr>
        <w:t>2</w:t>
      </w:r>
      <w:r>
        <w:t xml:space="preserve">Im Fall der Nummer 3 hat das Berufungsgericht sämtliche Rügen zu erledigen. </w:t>
      </w:r>
      <w:r>
        <w:rPr>
          <w:rStyle w:val="Satznummer"/>
        </w:rPr>
        <w:t>3</w:t>
      </w:r>
      <w:r>
        <w:t>Im Fall der Nummer 7 bedarf es eines Antrags nicht.</w:t>
      </w:r>
    </w:p>
    <w:p>
      <w:pPr>
        <w:pStyle w:val="Heading3"/>
      </w:pPr>
      <w:bookmarkStart w:id="591" w:name="b590"/>
      <w:r>
        <w:t>§ 539 Versäumnisverfahren</w:t>
      </w:r>
      <w:r>
        <w:t xml:space="preserve"> </w:t>
      </w:r>
      <w:r>
        <w:rPr>
          <w:rStyle w:val="Suchmarke"/>
        </w:rPr>
        <w:t>#539#</w:t>
      </w:r>
      <w:bookmarkEnd w:id="591"/>
    </w:p>
    <w:p>
      <w:r>
        <w:t>(1) Erscheint der Berufungskläger im Termin zur mündlichen Verhandlung nicht, so ist seine Berufung auf Antrag durch Versäumnisurteil zurückzuweisen.</w:t>
      </w:r>
    </w:p>
    <w:p>
      <w:r>
        <w:t xml:space="preserve">(2) </w:t>
      </w:r>
      <w:r>
        <w:rPr>
          <w:rStyle w:val="Satznummer"/>
        </w:rPr>
        <w:t>1</w:t>
      </w:r>
      <w:r>
        <w:t xml:space="preserve">Erscheint der Berufungsbeklagte nicht und beantragt der Berufungskläger gegen ihn das Versäumnisurteil, so ist das zulässige tatsächliche Vorbringen des Berufungsklägers als zugestanden anzunehmen. </w:t>
      </w:r>
      <w:r>
        <w:rPr>
          <w:rStyle w:val="Satznummer"/>
        </w:rPr>
        <w:t>2</w:t>
      </w:r>
      <w:r>
        <w:t>Soweit es den Berufungsantrag rechtfertigt, ist nach dem Antrag zu erkennen; soweit dies nicht der Fall ist, ist die Berufung zurückzuweisen.</w:t>
      </w:r>
    </w:p>
    <w:p>
      <w:r>
        <w:t>(3) Im Übrigen gelten die Vorschriften über das Versäumnisverfahren im ersten Rechtszug sinngemäß.</w:t>
      </w:r>
    </w:p>
    <w:p>
      <w:pPr>
        <w:pStyle w:val="Heading3"/>
      </w:pPr>
      <w:bookmarkStart w:id="592" w:name="b591"/>
      <w:r>
        <w:t>§ 540 Inhalt des Berufungsurteils</w:t>
      </w:r>
      <w:r>
        <w:t xml:space="preserve"> </w:t>
      </w:r>
      <w:r>
        <w:rPr>
          <w:rStyle w:val="Suchmarke"/>
        </w:rPr>
        <w:t>#540#</w:t>
      </w:r>
      <w:bookmarkEnd w:id="592"/>
    </w:p>
    <w:p>
      <w:r>
        <w:t xml:space="preserve">(1) </w:t>
      </w:r>
      <w:r>
        <w:rPr>
          <w:rStyle w:val="Satznummer"/>
        </w:rPr>
        <w:t>1</w:t>
      </w:r>
      <w:r>
        <w:t>Anstelle von Tatbestand und Entscheidungsgründen enthält das Urteil</w:t>
      </w:r>
    </w:p>
    <w:p>
      <w:pPr>
        <w:tabs>
          <w:tab w:pos="567" w:val="left"/>
        </w:tabs>
        <w:ind w:left="567" w:hanging="567"/>
      </w:pPr>
      <w:r>
        <w:t>1.</w:t>
      </w:r>
      <w:r>
        <w:tab/>
      </w:r>
      <w:r>
        <w:t>die Bezugnahme auf die tatsächlichen Feststellungen im angefochtenen Urteil mit Darstellung etwaiger Änderungen oder Ergänzungen,</w:t>
      </w:r>
    </w:p>
    <w:p>
      <w:pPr>
        <w:tabs>
          <w:tab w:pos="567" w:val="left"/>
        </w:tabs>
        <w:ind w:left="567" w:hanging="567"/>
      </w:pPr>
      <w:r>
        <w:t>2.</w:t>
      </w:r>
      <w:r>
        <w:tab/>
      </w:r>
      <w:r>
        <w:t>eine kurze Begründung für die Abänderung, Aufhebung oder Bestätigung der angefochtenen Entscheidung.</w:t>
      </w:r>
    </w:p>
    <w:p>
      <w:r>
        <w:rPr>
          <w:rStyle w:val="Satznummer"/>
        </w:rPr>
        <w:t>2</w:t>
      </w:r>
      <w:r>
        <w:t>Wird das Urteil in dem Termin, in dem die mündliche Verhandlung geschlossen worden ist, verkündet, so können die nach Satz 1 erforderlichen Darlegungen auch in das Protokoll aufgenommen werden.</w:t>
      </w:r>
    </w:p>
    <w:p>
      <w:r>
        <w:t xml:space="preserve">(2) Die </w:t>
      </w:r>
      <w:hyperlink w:anchor="b358" w:history="1">
        <w:r>
          <w:rPr>
            <w:color w:val="0A3A8C"/>
            <w:u w:val="single"/>
          </w:rPr>
          <w:t xml:space="preserve">§§ 313a</w:t>
        </w:r>
      </w:hyperlink>
      <w:r>
        <w:t xml:space="preserve">, </w:t>
      </w:r>
      <w:hyperlink w:anchor="b359" w:history="1">
        <w:r>
          <w:rPr>
            <w:color w:val="0A3A8C"/>
            <w:u w:val="single"/>
          </w:rPr>
          <w:t xml:space="preserve">313b</w:t>
        </w:r>
      </w:hyperlink>
      <w:r>
        <w:t xml:space="preserve"> gelten entsprechend.</w:t>
      </w:r>
    </w:p>
    <w:p>
      <w:pPr>
        <w:pStyle w:val="Heading3"/>
      </w:pPr>
      <w:bookmarkStart w:id="593" w:name="b592"/>
      <w:r>
        <w:t>§ 541 Prozessakten</w:t>
      </w:r>
      <w:r>
        <w:t xml:space="preserve"> </w:t>
      </w:r>
      <w:r>
        <w:rPr>
          <w:rStyle w:val="Suchmarke"/>
        </w:rPr>
        <w:t>#541#</w:t>
      </w:r>
      <w:bookmarkEnd w:id="593"/>
    </w:p>
    <w:p>
      <w:r>
        <w:t xml:space="preserve">(1) </w:t>
      </w:r>
      <w:r>
        <w:rPr>
          <w:rStyle w:val="Satznummer"/>
        </w:rPr>
        <w:t>1</w:t>
      </w:r>
      <w:r>
        <w:t xml:space="preserve">Die Geschäftsstelle des Berufungsgerichts hat, nachdem die Berufungsschrift eingereicht ist, unverzüglich von der Geschäftsstelle des Gerichts des ersten Rechtszuges die Prozessakten einzufordern. </w:t>
      </w:r>
      <w:r>
        <w:rPr>
          <w:rStyle w:val="Satznummer"/>
        </w:rPr>
        <w:t>2</w:t>
      </w:r>
      <w:r>
        <w:t>Die Akten sind unverzüglich an das Berufungsgericht zu übersenden.</w:t>
      </w:r>
    </w:p>
    <w:p>
      <w:r>
        <w:t>(2) Nach Erledigung der Berufung sind die Akten der Geschäftsstelle des Gerichts des ersten Rechtszuges nebst einer beglaubigten Abschrift der in der Berufungsinstanz ergangenen Entscheidung zurückzusenden.</w:t>
      </w:r>
    </w:p>
    <w:p>
      <w:pPr>
        <w:pStyle w:val="Heading2"/>
      </w:pPr>
      <w:bookmarkStart w:id="594" w:name="b593"/>
      <w:r>
        <w:t>Abschnitt 2 Revision</w:t>
      </w:r>
      <w:bookmarkEnd w:id="594"/>
    </w:p>
    <w:p>
      <w:pPr>
        <w:pStyle w:val="Heading3"/>
      </w:pPr>
      <w:bookmarkStart w:id="595" w:name="b594"/>
      <w:r>
        <w:t>§ 542 Statthaftigkeit der Revision</w:t>
      </w:r>
      <w:r>
        <w:t xml:space="preserve"> </w:t>
      </w:r>
      <w:r>
        <w:rPr>
          <w:rStyle w:val="Suchmarke"/>
        </w:rPr>
        <w:t>#542#</w:t>
      </w:r>
      <w:bookmarkEnd w:id="595"/>
    </w:p>
    <w:p>
      <w:r>
        <w:t>(1) Die Revision findet gegen die in der Berufungsinstanz erlassenen Endurteile nach Maßgabe der folgenden Vorschriften statt.</w:t>
      </w:r>
    </w:p>
    <w:p>
      <w:r>
        <w:t xml:space="preserve">(2) </w:t>
      </w:r>
      <w:r>
        <w:rPr>
          <w:rStyle w:val="Satznummer"/>
        </w:rPr>
        <w:t>1</w:t>
      </w:r>
      <w:r>
        <w:t xml:space="preserve">Gegen Urteile, durch die über die Anordnung, Abänderung oder Aufhebung eines Arrestes oder einer einstweiligen Verfügung entschieden worden ist, findet die Revision nicht statt. </w:t>
      </w:r>
      <w:r>
        <w:rPr>
          <w:rStyle w:val="Satznummer"/>
        </w:rPr>
        <w:t>2</w:t>
      </w:r>
      <w:r>
        <w:t>Dasselbe gilt für Urteile über die vorzeitige Besitzeinweisung im Enteignungsverfahren oder im Umlegungsverfahren.</w:t>
      </w:r>
    </w:p>
    <w:p>
      <w:pPr>
        <w:pStyle w:val="Heading3"/>
      </w:pPr>
      <w:bookmarkStart w:id="596" w:name="b595"/>
      <w:r>
        <w:t>§ 543 Zulassungsrevision</w:t>
      </w:r>
      <w:r>
        <w:t xml:space="preserve"> </w:t>
      </w:r>
      <w:r>
        <w:rPr>
          <w:rStyle w:val="Suchmarke"/>
        </w:rPr>
        <w:t>#543#</w:t>
      </w:r>
      <w:bookmarkEnd w:id="596"/>
    </w:p>
    <w:p>
      <w:r>
        <w:t>(1) Die Revision findet nur statt, wenn sie</w:t>
      </w:r>
    </w:p>
    <w:p>
      <w:pPr>
        <w:tabs>
          <w:tab w:pos="567" w:val="left"/>
        </w:tabs>
        <w:ind w:left="567" w:hanging="567"/>
      </w:pPr>
      <w:r>
        <w:t>1.</w:t>
      </w:r>
      <w:r>
        <w:tab/>
      </w:r>
      <w:r>
        <w:t>das Berufungsgericht in dem Urteil oder</w:t>
      </w:r>
    </w:p>
    <w:p>
      <w:pPr>
        <w:tabs>
          <w:tab w:pos="567" w:val="left"/>
        </w:tabs>
        <w:ind w:left="567" w:hanging="567"/>
      </w:pPr>
      <w:r>
        <w:t>2.</w:t>
      </w:r>
      <w:r>
        <w:tab/>
      </w:r>
      <w:r>
        <w:t>das Revisionsgericht auf Beschwerde gegen die Nichtzulassung</w:t>
      </w:r>
    </w:p>
    <w:p>
      <w:r>
        <w:t>zugelassen hat.</w:t>
      </w:r>
    </w:p>
    <w:p>
      <w:r>
        <w:t xml:space="preserve">(2) </w:t>
      </w:r>
      <w:r>
        <w:rPr>
          <w:rStyle w:val="Satznummer"/>
        </w:rPr>
        <w:t>1</w:t>
      </w:r>
      <w:r>
        <w:t>Die Revision ist zuzulassen, wenn</w:t>
      </w:r>
    </w:p>
    <w:p>
      <w:pPr>
        <w:tabs>
          <w:tab w:pos="567" w:val="left"/>
        </w:tabs>
        <w:ind w:left="567" w:hanging="567"/>
      </w:pPr>
      <w:r>
        <w:t>1.</w:t>
      </w:r>
      <w:r>
        <w:tab/>
      </w:r>
      <w:r>
        <w:t>die Rechtssache grundsätzliche Bedeutung hat oder</w:t>
      </w:r>
    </w:p>
    <w:p>
      <w:pPr>
        <w:tabs>
          <w:tab w:pos="567" w:val="left"/>
        </w:tabs>
        <w:ind w:left="567" w:hanging="567"/>
      </w:pPr>
      <w:r>
        <w:t>2.</w:t>
      </w:r>
      <w:r>
        <w:tab/>
      </w:r>
      <w:r>
        <w:t>die Fortbildung des Rechts oder die Sicherung einer einheitlichen Rechtsprechung eine Entscheidung des Revisionsgerichts erfordert.</w:t>
      </w:r>
    </w:p>
    <w:p>
      <w:r>
        <w:rPr>
          <w:rStyle w:val="Satznummer"/>
        </w:rPr>
        <w:t>2</w:t>
      </w:r>
      <w:r>
        <w:t>Das Revisionsgericht ist an die Zulassung durch das Berufungsgericht gebunden.</w:t>
      </w:r>
    </w:p>
    <w:p>
      <w:pPr>
        <w:pStyle w:val="Heading3"/>
      </w:pPr>
      <w:bookmarkStart w:id="597" w:name="b596"/>
      <w:r>
        <w:t>§ 544 Nichtzulassungsbeschwerde</w:t>
      </w:r>
      <w:r>
        <w:t xml:space="preserve"> </w:t>
      </w:r>
      <w:r>
        <w:rPr>
          <w:rStyle w:val="Suchmarke"/>
        </w:rPr>
        <w:t>#544#</w:t>
      </w:r>
      <w:bookmarkEnd w:id="597"/>
    </w:p>
    <w:p>
      <w:r>
        <w:t>(1) Die Nichtzulassung der Revision durch das Berufungsgericht unterliegt der Beschwerde (Nichtzulassungsbeschwerde).</w:t>
      </w:r>
    </w:p>
    <w:p>
      <w:r>
        <w:t>(2) Die Nichtzulassungsbeschwerde ist nur zulässig, wenn</w:t>
      </w:r>
    </w:p>
    <w:p>
      <w:pPr>
        <w:tabs>
          <w:tab w:pos="567" w:val="left"/>
        </w:tabs>
        <w:ind w:left="567" w:hanging="567"/>
      </w:pPr>
      <w:r>
        <w:t>1.</w:t>
      </w:r>
      <w:r>
        <w:tab/>
      </w:r>
      <w:r>
        <w:t>der Wert der mit der Revision geltend zu machenden Beschwer 25 000 Euro übersteigt oder</w:t>
      </w:r>
    </w:p>
    <w:p>
      <w:pPr>
        <w:tabs>
          <w:tab w:pos="567" w:val="left"/>
        </w:tabs>
        <w:ind w:left="567" w:hanging="567"/>
      </w:pPr>
      <w:r>
        <w:t>2.</w:t>
      </w:r>
      <w:r>
        <w:tab/>
      </w:r>
      <w:r>
        <w:t>das Berufungsgericht die Berufung als unzulässig verworfen hat.</w:t>
      </w:r>
    </w:p>
    <w:p>
      <w:r>
        <w:t xml:space="preserve">(3) </w:t>
      </w:r>
      <w:r>
        <w:rPr>
          <w:rStyle w:val="Satznummer"/>
        </w:rPr>
        <w:t>1</w:t>
      </w:r>
      <w:r>
        <w:t xml:space="preserve">Die Nichtzulassungsbeschwerde ist innerhalb einer Notfrist von einem Monat nach Zustellung des in vollständiger Form abgefassten Urteils, spätestens aber bis zum Ablauf von sechs Monaten nach der Verkündung des Urteils bei dem Revisionsgericht einzulegen. </w:t>
      </w:r>
      <w:r>
        <w:rPr>
          <w:rStyle w:val="Satznummer"/>
        </w:rPr>
        <w:t>2</w:t>
      </w:r>
      <w:r>
        <w:t>Mit der Beschwerdeschrift soll eine Ausfertigung oder beglaubigte Abschrift des Urteils, gegen das die Revision eingelegt werden soll, vorgelegt werden.</w:t>
      </w:r>
    </w:p>
    <w:p>
      <w:r>
        <w:t xml:space="preserve">(4) </w:t>
      </w:r>
      <w:r>
        <w:rPr>
          <w:rStyle w:val="Satznummer"/>
        </w:rPr>
        <w:t>1</w:t>
      </w:r>
      <w:r>
        <w:t xml:space="preserve">Die Beschwerde ist innerhalb von zwei Monaten nach Zustellung des in vollständiger Form abgefassten Urteils, spätestens aber bis zum Ablauf von sieben Monaten nach der Verkündung des Urteils zu begründen. </w:t>
      </w:r>
      <w:r>
        <w:rPr>
          <w:rStyle w:val="Satznummer"/>
        </w:rPr>
        <w:t>2</w:t>
      </w:r>
      <w:hyperlink w:anchor="b603" w:history="1">
        <w:r>
          <w:rPr>
            <w:color w:val="0A3A8C"/>
            <w:u w:val="single"/>
          </w:rPr>
          <w:t xml:space="preserve">§ 551</w:t>
        </w:r>
      </w:hyperlink>
      <w:r>
        <w:t xml:space="preserve"> Abs. 2 Satz 5 und 6 gilt entsprechend. </w:t>
      </w:r>
      <w:r>
        <w:rPr>
          <w:rStyle w:val="Satznummer"/>
        </w:rPr>
        <w:t>3</w:t>
      </w:r>
      <w:r>
        <w:t>In der Begründung müssen die Zulassungsgründe (</w:t>
      </w:r>
      <w:hyperlink w:anchor="b595" w:history="1">
        <w:r>
          <w:rPr>
            <w:color w:val="0A3A8C"/>
            <w:u w:val="single"/>
          </w:rPr>
          <w:t xml:space="preserve">§ 543</w:t>
        </w:r>
      </w:hyperlink>
      <w:r>
        <w:t xml:space="preserve"> Abs. 2) dargelegt werden.</w:t>
      </w:r>
    </w:p>
    <w:p>
      <w:r>
        <w:t>(5) Das Revisionsgericht gibt dem Gegner des Beschwerdeführers Gelegenheit zur Stellungnahme.</w:t>
      </w:r>
    </w:p>
    <w:p>
      <w:r>
        <w:t xml:space="preserve">(6) </w:t>
      </w:r>
      <w:r>
        <w:rPr>
          <w:rStyle w:val="Satznummer"/>
        </w:rPr>
        <w:t>1</w:t>
      </w:r>
      <w:r>
        <w:t xml:space="preserve">Das Revisionsgericht entscheidet über die Beschwerde durch Beschluss. </w:t>
      </w:r>
      <w:r>
        <w:rPr>
          <w:rStyle w:val="Satznummer"/>
        </w:rPr>
        <w:t>2</w:t>
      </w:r>
      <w:r>
        <w:t xml:space="preserve">Der Beschluss soll kurz begründet werden; von einer Begründung kann abgesehen werden, wenn sie nicht geeignet wäre, zur Klärung der Voraussetzungen beizutragen, unter denen eine Revision zuzulassen ist, oder wenn der Beschwerde stattgegeben wird. </w:t>
      </w:r>
      <w:r>
        <w:rPr>
          <w:rStyle w:val="Satznummer"/>
        </w:rPr>
        <w:t>3</w:t>
      </w:r>
      <w:r>
        <w:t>Die Entscheidung über die Beschwerde ist den Parteien zuzustellen.</w:t>
      </w:r>
    </w:p>
    <w:p>
      <w:r>
        <w:t xml:space="preserve">(7) </w:t>
      </w:r>
      <w:r>
        <w:rPr>
          <w:rStyle w:val="Satznummer"/>
        </w:rPr>
        <w:t>1</w:t>
      </w:r>
      <w:r>
        <w:t xml:space="preserve">Die Einlegung der Beschwerde hemmt die Rechtskraft des Urteils. </w:t>
      </w:r>
      <w:r>
        <w:rPr>
          <w:rStyle w:val="Satznummer"/>
        </w:rPr>
        <w:t>2</w:t>
      </w:r>
      <w:hyperlink w:anchor="b717" w:history="1">
        <w:r>
          <w:rPr>
            <w:color w:val="0A3A8C"/>
            <w:u w:val="single"/>
          </w:rPr>
          <w:t xml:space="preserve">§ 719</w:t>
        </w:r>
      </w:hyperlink>
      <w:r>
        <w:t xml:space="preserve"> Abs. 2 und 3 ist entsprechend anzuwenden. </w:t>
      </w:r>
      <w:r>
        <w:rPr>
          <w:rStyle w:val="Satznummer"/>
        </w:rPr>
        <w:t>3</w:t>
      </w:r>
      <w:r>
        <w:t>Mit der Ablehnung der Beschwerde durch das Revisionsgericht wird das Urteil rechtskräftig.</w:t>
      </w:r>
    </w:p>
    <w:p>
      <w:r>
        <w:t xml:space="preserve">(8) </w:t>
      </w:r>
      <w:r>
        <w:rPr>
          <w:rStyle w:val="Satznummer"/>
        </w:rPr>
        <w:t>1</w:t>
      </w:r>
      <w:r>
        <w:t xml:space="preserve">Wird der Beschwerde gegen die Nichtzulassung der Revision stattgegeben, so wird das Beschwerdeverfahren als Revisionsverfahren fortgesetzt. </w:t>
      </w:r>
      <w:r>
        <w:rPr>
          <w:rStyle w:val="Satznummer"/>
        </w:rPr>
        <w:t>2</w:t>
      </w:r>
      <w:r>
        <w:t xml:space="preserve">In diesem Fall gilt die form- und fristgerechte Einlegung der Nichtzulassungsbeschwerde als Einlegung der Revision. </w:t>
      </w:r>
      <w:r>
        <w:rPr>
          <w:rStyle w:val="Satznummer"/>
        </w:rPr>
        <w:t>3</w:t>
      </w:r>
      <w:r>
        <w:t>Mit der Zustellung der Entscheidung beginnt die Revisionsbegründungsfrist.</w:t>
      </w:r>
    </w:p>
    <w:p>
      <w:r>
        <w:t>(9) Hat das Berufungsgericht den Anspruch des Beschwerdeführers auf rechtliches Gehör in entscheidungserheblicher Weise verletzt, so kann das Revisionsgericht abweichend von Absatz 8 in dem der Beschwerde stattgebenden Beschluss das angefochtene Urteil aufheben und den Rechtsstreit zur neuen Verhandlung und Entscheidung an das Berufungsgericht zurückverweisen.</w:t>
      </w:r>
    </w:p>
    <w:p>
      <w:pPr>
        <w:pStyle w:val="Heading3"/>
      </w:pPr>
      <w:bookmarkStart w:id="598" w:name="b597"/>
      <w:r>
        <w:t>§ 545 Revisionsgründe</w:t>
      </w:r>
      <w:r>
        <w:t xml:space="preserve"> </w:t>
      </w:r>
      <w:r>
        <w:rPr>
          <w:rStyle w:val="Suchmarke"/>
        </w:rPr>
        <w:t>#545#</w:t>
      </w:r>
      <w:bookmarkEnd w:id="598"/>
    </w:p>
    <w:p>
      <w:r>
        <w:t>(1) Die Revision kann nur darauf gestützt werden, dass die Entscheidung auf einer Verletzung des Rechts beruht.</w:t>
      </w:r>
    </w:p>
    <w:p>
      <w:r>
        <w:t>(2) Die Revision kann nicht darauf gestützt werden, dass das Gericht des ersten Rechtszuges seine Zuständigkeit zu Unrecht angenommen oder verneint hat.</w:t>
      </w:r>
    </w:p>
    <w:p>
      <w:pPr>
        <w:pStyle w:val="Heading3"/>
      </w:pPr>
      <w:bookmarkStart w:id="599" w:name="b598"/>
      <w:r>
        <w:t>§ 546 Begriff der Rechtsverletzung</w:t>
      </w:r>
      <w:r>
        <w:t xml:space="preserve"> </w:t>
      </w:r>
      <w:r>
        <w:rPr>
          <w:rStyle w:val="Suchmarke"/>
        </w:rPr>
        <w:t>#546#</w:t>
      </w:r>
      <w:bookmarkEnd w:id="599"/>
    </w:p>
    <w:p>
      <w:r>
        <w:t>Das Recht ist verletzt, wenn eine Rechtsnorm nicht oder nicht richtig angewendet worden ist.</w:t>
      </w:r>
    </w:p>
    <w:p>
      <w:pPr>
        <w:pStyle w:val="Heading3"/>
      </w:pPr>
      <w:bookmarkStart w:id="600" w:name="b599"/>
      <w:r>
        <w:t>§ 547 Absolute Revisionsgründe</w:t>
      </w:r>
      <w:r>
        <w:t xml:space="preserve"> </w:t>
      </w:r>
      <w:r>
        <w:rPr>
          <w:rStyle w:val="Suchmarke"/>
        </w:rPr>
        <w:t>#547#</w:t>
      </w:r>
      <w:bookmarkEnd w:id="600"/>
    </w:p>
    <w:p>
      <w:r>
        <w:t>Eine Entscheidung ist stets als auf einer Verletzung des Rechts beruhend anzusehen,</w:t>
      </w:r>
    </w:p>
    <w:p>
      <w:pPr>
        <w:tabs>
          <w:tab w:pos="567" w:val="left"/>
        </w:tabs>
        <w:ind w:left="567" w:hanging="567"/>
      </w:pPr>
      <w:r>
        <w:t>1.</w:t>
      </w:r>
      <w:r>
        <w:tab/>
      </w:r>
      <w:r>
        <w:t>wenn das erkennende Gericht nicht vorschriftsmäßig besetzt war;</w:t>
      </w:r>
    </w:p>
    <w:p>
      <w:pPr>
        <w:tabs>
          <w:tab w:pos="567" w:val="left"/>
        </w:tabs>
        <w:ind w:left="567" w:hanging="567"/>
      </w:pPr>
      <w:r>
        <w:t>2.</w:t>
      </w:r>
      <w:r>
        <w:tab/>
      </w:r>
      <w:r>
        <w:t>wenn bei der Entscheidung ein Richter mitgewirkt hat, der von der Ausübung des Richteramts kraft Gesetzes ausgeschlossen war, sofern nicht dieses Hindernis mittels eines Ablehnungsgesuchs ohne Erfolg geltend gemacht ist;</w:t>
      </w:r>
    </w:p>
    <w:p>
      <w:pPr>
        <w:tabs>
          <w:tab w:pos="567" w:val="left"/>
        </w:tabs>
        <w:ind w:left="567" w:hanging="567"/>
      </w:pPr>
      <w:r>
        <w:t>3.</w:t>
      </w:r>
      <w:r>
        <w:tab/>
      </w:r>
      <w:r>
        <w:t>wenn bei der Entscheidung ein Richter mitgewirkt hat, obgleich er wegen Besorgnis der Befangenheit abgelehnt und das Ablehnungsgesuch für begründet erklärt war;</w:t>
      </w:r>
    </w:p>
    <w:p>
      <w:pPr>
        <w:tabs>
          <w:tab w:pos="567" w:val="left"/>
        </w:tabs>
        <w:ind w:left="567" w:hanging="567"/>
      </w:pPr>
      <w:r>
        <w:t>4.</w:t>
      </w:r>
      <w:r>
        <w:tab/>
      </w:r>
      <w:r>
        <w:t>wenn eine Partei in dem Verfahren nicht nach Vorschrift der Gesetze vertreten war, sofern sie nicht die Prozessführung ausdrücklich oder stillschweigend genehmigt hat;</w:t>
      </w:r>
    </w:p>
    <w:p>
      <w:pPr>
        <w:tabs>
          <w:tab w:pos="567" w:val="left"/>
        </w:tabs>
        <w:ind w:left="567" w:hanging="567"/>
      </w:pPr>
      <w:r>
        <w:t>5.</w:t>
      </w:r>
      <w:r>
        <w:tab/>
      </w:r>
      <w:r>
        <w:t>wenn die Entscheidung auf Grund einer mündlichen Verhandlung ergangen ist, bei der die Vorschriften über die Öffentlichkeit des Verfahrens verletzt sind;</w:t>
      </w:r>
    </w:p>
    <w:p>
      <w:pPr>
        <w:tabs>
          <w:tab w:pos="567" w:val="left"/>
        </w:tabs>
        <w:ind w:left="567" w:hanging="567"/>
      </w:pPr>
      <w:r>
        <w:t>6.</w:t>
      </w:r>
      <w:r>
        <w:tab/>
      </w:r>
      <w:r>
        <w:t>wenn die Entscheidung entgegen den Bestimmungen dieses Gesetzes nicht mit Gründen versehen ist.</w:t>
      </w:r>
    </w:p>
    <w:p>
      <w:pPr>
        <w:pStyle w:val="Heading3"/>
      </w:pPr>
      <w:bookmarkStart w:id="601" w:name="b600"/>
      <w:r>
        <w:t>§ 548 Revisionsfrist</w:t>
      </w:r>
      <w:r>
        <w:t xml:space="preserve"> </w:t>
      </w:r>
      <w:r>
        <w:rPr>
          <w:rStyle w:val="Suchmarke"/>
        </w:rPr>
        <w:t>#548#</w:t>
      </w:r>
      <w:bookmarkEnd w:id="601"/>
    </w:p>
    <w:p>
      <w:r>
        <w:t>Die Frist für die Einlegung der Revision (Revisionsfrist) beträgt einen Monat; sie ist eine Notfrist und beginnt mit der Zustellung des in vollständiger Form abgefassten Berufungsurteils, spätestens aber mit dem Ablauf von fünf Monaten nach der Verkündung.</w:t>
      </w:r>
    </w:p>
    <w:p>
      <w:pPr>
        <w:pStyle w:val="Heading3"/>
      </w:pPr>
      <w:bookmarkStart w:id="602" w:name="b601"/>
      <w:r>
        <w:t>§ 549 Revisionseinlegung</w:t>
      </w:r>
      <w:r>
        <w:t xml:space="preserve"> </w:t>
      </w:r>
      <w:r>
        <w:rPr>
          <w:rStyle w:val="Suchmarke"/>
        </w:rPr>
        <w:t>#549#</w:t>
      </w:r>
      <w:bookmarkEnd w:id="602"/>
    </w:p>
    <w:p>
      <w:r>
        <w:t xml:space="preserve">(1) </w:t>
      </w:r>
      <w:r>
        <w:rPr>
          <w:rStyle w:val="Satznummer"/>
        </w:rPr>
        <w:t>1</w:t>
      </w:r>
      <w:r>
        <w:t xml:space="preserve">Die Revision wird durch Einreichung der Revisionsschrift bei dem Revisionsgericht eingelegt. </w:t>
      </w:r>
      <w:r>
        <w:rPr>
          <w:rStyle w:val="Satznummer"/>
        </w:rPr>
        <w:t>2</w:t>
      </w:r>
      <w:r>
        <w:t>Die Revisionsschrift muss enthalten:</w:t>
      </w:r>
    </w:p>
    <w:p>
      <w:pPr>
        <w:tabs>
          <w:tab w:pos="567" w:val="left"/>
        </w:tabs>
        <w:ind w:left="567" w:hanging="567"/>
      </w:pPr>
      <w:r>
        <w:t>1.</w:t>
      </w:r>
      <w:r>
        <w:tab/>
      </w:r>
      <w:r>
        <w:t>die Bezeichnung des Urteils, gegen das die Revision gerichtet wird;</w:t>
      </w:r>
    </w:p>
    <w:p>
      <w:pPr>
        <w:tabs>
          <w:tab w:pos="567" w:val="left"/>
        </w:tabs>
        <w:ind w:left="567" w:hanging="567"/>
      </w:pPr>
      <w:r>
        <w:t>2.</w:t>
      </w:r>
      <w:r>
        <w:tab/>
      </w:r>
      <w:r>
        <w:t>die Erklärung, dass gegen dieses Urteil Revision eingelegt werde.</w:t>
      </w:r>
    </w:p>
    <w:p>
      <w:r>
        <w:rPr>
          <w:rStyle w:val="Satznummer"/>
        </w:rPr>
        <w:t>3</w:t>
      </w:r>
      <w:hyperlink w:anchor="b596" w:history="1">
        <w:r>
          <w:rPr>
            <w:color w:val="0A3A8C"/>
            <w:u w:val="single"/>
          </w:rPr>
          <w:t xml:space="preserve">§ 544</w:t>
        </w:r>
      </w:hyperlink>
      <w:r>
        <w:t xml:space="preserve"> Absatz 8 Satz 2 bleibt unberührt.</w:t>
      </w:r>
    </w:p>
    <w:p>
      <w:r>
        <w:t>(2) Die allgemeinen Vorschriften über die vorbereitenden Schriftsätze sind auch auf die Revisionsschrift anzuwenden.</w:t>
      </w:r>
    </w:p>
    <w:p>
      <w:pPr>
        <w:pStyle w:val="Heading3"/>
      </w:pPr>
      <w:bookmarkStart w:id="603" w:name="b602"/>
      <w:r>
        <w:t>§ 550 Zustellung der Revisionsschrift</w:t>
      </w:r>
      <w:r>
        <w:t xml:space="preserve"> </w:t>
      </w:r>
      <w:r>
        <w:rPr>
          <w:rStyle w:val="Suchmarke"/>
        </w:rPr>
        <w:t>#550#</w:t>
      </w:r>
      <w:bookmarkEnd w:id="603"/>
    </w:p>
    <w:p>
      <w:r>
        <w:t xml:space="preserve">(1) Mit der Revisionsschrift soll eine Ausfertigung oder beglaubigte Abschrift des angefochtenen Urteils vorgelegt werden, soweit dies nicht bereits nach </w:t>
      </w:r>
      <w:hyperlink w:anchor="b596" w:history="1">
        <w:r>
          <w:rPr>
            <w:color w:val="0A3A8C"/>
            <w:u w:val="single"/>
          </w:rPr>
          <w:t xml:space="preserve">§ 544</w:t>
        </w:r>
      </w:hyperlink>
      <w:r>
        <w:t xml:space="preserve"> Absatz 3 Satz 2 geschehen ist.</w:t>
      </w:r>
    </w:p>
    <w:p>
      <w:r>
        <w:t>(2) Die Revisionsschrift ist der Gegenpartei zuzustellen.</w:t>
      </w:r>
    </w:p>
    <w:p>
      <w:pPr>
        <w:pStyle w:val="Heading3"/>
      </w:pPr>
      <w:bookmarkStart w:id="604" w:name="b603"/>
      <w:r>
        <w:t>§ 551 Revisionsbegründung</w:t>
      </w:r>
      <w:r>
        <w:t xml:space="preserve"> </w:t>
      </w:r>
      <w:r>
        <w:rPr>
          <w:rStyle w:val="Suchmarke"/>
        </w:rPr>
        <w:t>#551#</w:t>
      </w:r>
      <w:bookmarkEnd w:id="604"/>
    </w:p>
    <w:p>
      <w:r>
        <w:t>(1) Der Revisionskläger muss die Revision begründen.</w:t>
      </w:r>
    </w:p>
    <w:p>
      <w:r>
        <w:t xml:space="preserve">(2) </w:t>
      </w:r>
      <w:r>
        <w:rPr>
          <w:rStyle w:val="Satznummer"/>
        </w:rPr>
        <w:t>1</w:t>
      </w:r>
      <w:r>
        <w:t xml:space="preserve">Die Revisionsbegründung ist, sofern sie nicht bereits in der Revisionsschrift enthalten ist, in einem Schriftsatz bei dem Revisionsgericht einzureichen. </w:t>
      </w:r>
      <w:r>
        <w:rPr>
          <w:rStyle w:val="Satznummer"/>
        </w:rPr>
        <w:t>2</w:t>
      </w:r>
      <w:r>
        <w:t xml:space="preserve">Die Frist für die Revisionsbegründung beträgt zwei Monate. </w:t>
      </w:r>
      <w:r>
        <w:rPr>
          <w:rStyle w:val="Satznummer"/>
        </w:rPr>
        <w:t>3</w:t>
      </w:r>
      <w:r>
        <w:t xml:space="preserve">Sie beginnt mit der Zustellung des in vollständiger Form abgefassten Urteils, spätestens aber mit Ablauf von fünf Monaten nach der Verkündung. </w:t>
      </w:r>
      <w:r>
        <w:rPr>
          <w:rStyle w:val="Satznummer"/>
        </w:rPr>
        <w:t>4</w:t>
      </w:r>
      <w:hyperlink w:anchor="b596" w:history="1">
        <w:r>
          <w:rPr>
            <w:color w:val="0A3A8C"/>
            <w:u w:val="single"/>
          </w:rPr>
          <w:t xml:space="preserve">§ 544</w:t>
        </w:r>
      </w:hyperlink>
      <w:r>
        <w:t xml:space="preserve"> Absatz 8 Satz 3 bleibt unberührt. </w:t>
      </w:r>
      <w:r>
        <w:rPr>
          <w:rStyle w:val="Satznummer"/>
        </w:rPr>
        <w:t>5</w:t>
      </w:r>
      <w:r>
        <w:t xml:space="preserve">Die Frist kann auf Antrag von dem Vorsitzenden verlängert werden, wenn der Gegner einwilligt. </w:t>
      </w:r>
      <w:r>
        <w:rPr>
          <w:rStyle w:val="Satznummer"/>
        </w:rPr>
        <w:t>6</w:t>
      </w:r>
      <w:r>
        <w:t>Ohne Einwilligung kann die Frist um bis zu zwei Monate verlängert werden, wenn nach freier Überzeugung des Vorsitzenden der Rechtsstreit durch die Verlängerung nicht verzögert wird oder wenn der Revisionskläger erhebliche Gründe darlegt; kann dem Revisionskläger innerhalb dieser Frist Einsicht in die Prozessakten nicht für einen angemessenen Zeitraum gewährt werden, kann der Vorsitzende auf Antrag die Frist um bis zu zwei Monate nach Übersendung der Prozessakten verlängern.</w:t>
      </w:r>
    </w:p>
    <w:p>
      <w:r>
        <w:t xml:space="preserve">(3) </w:t>
      </w:r>
      <w:r>
        <w:rPr>
          <w:rStyle w:val="Satznummer"/>
        </w:rPr>
        <w:t>1</w:t>
      </w:r>
      <w:r>
        <w:t>Die Revisionsbegründung muss enthalten:</w:t>
      </w:r>
    </w:p>
    <w:p>
      <w:pPr>
        <w:tabs>
          <w:tab w:pos="567" w:val="left"/>
        </w:tabs>
        <w:ind w:left="567" w:hanging="567"/>
      </w:pPr>
      <w:r>
        <w:t>1.</w:t>
      </w:r>
      <w:r>
        <w:tab/>
      </w:r>
      <w:r>
        <w:t>die Erklärung, inwieweit das Urteil angefochten und dessen Aufhebung beantragt werde (Revisionsanträge);</w:t>
      </w:r>
    </w:p>
    <w:p>
      <w:pPr>
        <w:tabs>
          <w:tab w:pos="567" w:val="left"/>
        </w:tabs>
        <w:ind w:left="567" w:hanging="567"/>
      </w:pPr>
      <w:r>
        <w:t>2.</w:t>
      </w:r>
      <w:r>
        <w:tab/>
      </w:r>
      <w:r>
        <w:t>die Angabe der Revisionsgründe, und zwar:</w:t>
      </w:r>
    </w:p>
    <w:p>
      <w:pPr>
        <w:tabs>
          <w:tab w:pos="1134" w:val="left"/>
        </w:tabs>
        <w:ind w:left="1134" w:hanging="567"/>
      </w:pPr>
      <w:r>
        <w:t>a)</w:t>
      </w:r>
      <w:r>
        <w:tab/>
      </w:r>
      <w:r>
        <w:t>die bestimmte Bezeichnung der Umstände, aus denen sich die Rechtsverletzung ergibt;</w:t>
      </w:r>
    </w:p>
    <w:p>
      <w:pPr>
        <w:tabs>
          <w:tab w:pos="1134" w:val="left"/>
        </w:tabs>
        <w:ind w:left="1134" w:hanging="567"/>
      </w:pPr>
      <w:r>
        <w:t>b)</w:t>
      </w:r>
      <w:r>
        <w:tab/>
      </w:r>
      <w:r>
        <w:t>soweit die Revision darauf gestützt wird, dass das Gesetz in Bezug auf das Verfahren verletzt sei, die Bezeichnung der Tatsachen, die den Mangel ergeben.</w:t>
      </w:r>
    </w:p>
    <w:p>
      <w:r>
        <w:rPr>
          <w:rStyle w:val="Satznummer"/>
        </w:rPr>
        <w:t>2</w:t>
      </w:r>
      <w:r>
        <w:t>Ist die Revision auf Grund einer Nichtzulassungsbeschwerde zugelassen worden, kann zur Begründung der Revision auf die Begründung der Nichtzulassungsbeschwerde Bezug genommen werden.</w:t>
      </w:r>
    </w:p>
    <w:p>
      <w:r>
        <w:t xml:space="preserve">(4) </w:t>
      </w:r>
      <w:hyperlink w:anchor="b601" w:history="1">
        <w:r>
          <w:rPr>
            <w:color w:val="0A3A8C"/>
            <w:u w:val="single"/>
          </w:rPr>
          <w:t xml:space="preserve">§ 549</w:t>
        </w:r>
      </w:hyperlink>
      <w:r>
        <w:t xml:space="preserve"> Abs. 2 und </w:t>
      </w:r>
      <w:hyperlink w:anchor="b602" w:history="1">
        <w:r>
          <w:rPr>
            <w:color w:val="0A3A8C"/>
            <w:u w:val="single"/>
          </w:rPr>
          <w:t xml:space="preserve">§ 550</w:t>
        </w:r>
      </w:hyperlink>
      <w:r>
        <w:t xml:space="preserve"> Abs. 2 sind auf die Revisionsbegründung entsprechend anzuwenden.</w:t>
      </w:r>
    </w:p>
    <w:p>
      <w:pPr>
        <w:pStyle w:val="Heading3"/>
      </w:pPr>
      <w:bookmarkStart w:id="605" w:name="b604"/>
      <w:r>
        <w:t>§ 552 Zulässigkeitsprüfung</w:t>
      </w:r>
      <w:r>
        <w:t xml:space="preserve"> </w:t>
      </w:r>
      <w:r>
        <w:rPr>
          <w:rStyle w:val="Suchmarke"/>
        </w:rPr>
        <w:t>#552#</w:t>
      </w:r>
      <w:bookmarkEnd w:id="605"/>
    </w:p>
    <w:p>
      <w:r>
        <w:t xml:space="preserve">(1) </w:t>
      </w:r>
      <w:r>
        <w:rPr>
          <w:rStyle w:val="Satznummer"/>
        </w:rPr>
        <w:t>1</w:t>
      </w:r>
      <w:r>
        <w:t xml:space="preserve">Das Revisionsgericht hat von Amts wegen zu prüfen, ob die Revision an sich statthaft und ob sie in der gesetzlichen Form und Frist eingelegt und begründet ist. </w:t>
      </w:r>
      <w:r>
        <w:rPr>
          <w:rStyle w:val="Satznummer"/>
        </w:rPr>
        <w:t>2</w:t>
      </w:r>
      <w:r>
        <w:t>Mangelt es an einem dieser Erfordernisse, so ist die Revision als unzulässig zu verwerfen.</w:t>
      </w:r>
    </w:p>
    <w:p>
      <w:r>
        <w:t>(2) Die Entscheidung kann durch Beschluss ergehen.</w:t>
      </w:r>
    </w:p>
    <w:p>
      <w:pPr>
        <w:pStyle w:val="Heading3"/>
      </w:pPr>
      <w:bookmarkStart w:id="606" w:name="b605"/>
      <w:r>
        <w:t>§ 552a Zurückweisungsbeschluss</w:t>
      </w:r>
      <w:r>
        <w:t xml:space="preserve"> </w:t>
      </w:r>
      <w:r>
        <w:rPr>
          <w:rStyle w:val="Suchmarke"/>
        </w:rPr>
        <w:t>#552a#</w:t>
      </w:r>
      <w:bookmarkEnd w:id="606"/>
    </w:p>
    <w:p>
      <w:r>
        <w:rPr>
          <w:rStyle w:val="Satznummer"/>
        </w:rPr>
        <w:t>1</w:t>
      </w:r>
      <w:r>
        <w:t xml:space="preserve">Das Revisionsgericht weist die von dem Berufungsgericht zugelassene Revision durch einstimmigen Beschluss zurück, wenn es davon überzeugt ist, dass die Voraussetzungen für die Zulassung der Revision nicht vorliegen und die Revision keine Aussicht auf Erfolg hat. </w:t>
      </w:r>
      <w:r>
        <w:rPr>
          <w:rStyle w:val="Satznummer"/>
        </w:rPr>
        <w:t>2</w:t>
      </w:r>
      <w:hyperlink w:anchor="b573" w:history="1">
        <w:r>
          <w:rPr>
            <w:color w:val="0A3A8C"/>
            <w:u w:val="single"/>
          </w:rPr>
          <w:t xml:space="preserve">§ 522</w:t>
        </w:r>
      </w:hyperlink>
      <w:r>
        <w:t xml:space="preserve"> Abs. 2 Satz 2 und 3 gilt entsprechend.</w:t>
      </w:r>
    </w:p>
    <w:p>
      <w:pPr>
        <w:pStyle w:val="Heading3"/>
      </w:pPr>
      <w:bookmarkStart w:id="607" w:name="b606"/>
      <w:r>
        <w:t>§ 552b Bestimmung zum Leitentscheidungsverfahren</w:t>
      </w:r>
      <w:r>
        <w:t xml:space="preserve"> </w:t>
      </w:r>
      <w:r>
        <w:rPr>
          <w:rStyle w:val="Suchmarke"/>
        </w:rPr>
        <w:t>#552b#</w:t>
      </w:r>
      <w:bookmarkEnd w:id="607"/>
    </w:p>
    <w:p>
      <w:r>
        <w:rPr>
          <w:rStyle w:val="Satznummer"/>
        </w:rPr>
        <w:t>1</w:t>
      </w:r>
      <w:r>
        <w:t xml:space="preserve">Wirft die Revision Rechtsfragen auf, deren Entscheidung für eine Vielzahl anderer Verfahren von Bedeutung ist, so kann das Revisionsgericht nach Eingang einer Revisionserwiderung oder nach Ablauf eines Monats nach Zustellung der Revisionsbegründung das Revisionsverfahren durch Beschluss zum Leitentscheidungsverfahren bestimmen. </w:t>
      </w:r>
      <w:r>
        <w:rPr>
          <w:rStyle w:val="Satznummer"/>
        </w:rPr>
        <w:t>2</w:t>
      </w:r>
      <w:r>
        <w:t>Der Beschluss enthält eine Darstellung des Sachverhalts und der Rechtsfragen, deren Entscheidung für eine Vielzahl anderer Verfahren von Bedeutung ist.</w:t>
      </w:r>
    </w:p>
    <w:p>
      <w:pPr>
        <w:pStyle w:val="Heading3"/>
      </w:pPr>
      <w:bookmarkStart w:id="608" w:name="b607"/>
      <w:r>
        <w:t>§ 553 Terminsbestimmung; Einlassungsfrist</w:t>
      </w:r>
      <w:r>
        <w:t xml:space="preserve"> </w:t>
      </w:r>
      <w:r>
        <w:rPr>
          <w:rStyle w:val="Suchmarke"/>
        </w:rPr>
        <w:t>#553#</w:t>
      </w:r>
      <w:bookmarkEnd w:id="608"/>
    </w:p>
    <w:p>
      <w:r>
        <w:t xml:space="preserve">(1) Wird die Revision nicht durch Beschluss als unzulässig verworfen oder gemäß </w:t>
      </w:r>
      <w:hyperlink w:anchor="b605" w:history="1">
        <w:r>
          <w:rPr>
            <w:color w:val="0A3A8C"/>
            <w:u w:val="single"/>
          </w:rPr>
          <w:t xml:space="preserve">§ 552a</w:t>
        </w:r>
      </w:hyperlink>
      <w:r>
        <w:t xml:space="preserve"> zurückgewiesen, so ist Termin zur mündlichen Verhandlung zu bestimmen und den Parteien bekannt zu machen.</w:t>
      </w:r>
    </w:p>
    <w:p>
      <w:r>
        <w:t xml:space="preserve">(2) Auf die Frist, die zwischen dem Zeitpunkt der Bekanntmachung des Termins und der mündlichen Verhandlung liegen muss, ist </w:t>
      </w:r>
      <w:hyperlink w:anchor="b308" w:history="1">
        <w:r>
          <w:rPr>
            <w:color w:val="0A3A8C"/>
            <w:u w:val="single"/>
          </w:rPr>
          <w:t xml:space="preserve">§ 274</w:t>
        </w:r>
      </w:hyperlink>
      <w:r>
        <w:t xml:space="preserve"> Abs. 3 entsprechend anzuwenden.</w:t>
      </w:r>
    </w:p>
    <w:p>
      <w:pPr>
        <w:pStyle w:val="Heading3"/>
      </w:pPr>
      <w:bookmarkStart w:id="609" w:name="b608"/>
      <w:r>
        <w:t>§ 554 Anschlussrevision</w:t>
      </w:r>
      <w:r>
        <w:t xml:space="preserve"> </w:t>
      </w:r>
      <w:r>
        <w:rPr>
          <w:rStyle w:val="Suchmarke"/>
        </w:rPr>
        <w:t>#554#</w:t>
      </w:r>
      <w:bookmarkEnd w:id="609"/>
    </w:p>
    <w:p>
      <w:r>
        <w:t xml:space="preserve">(1) </w:t>
      </w:r>
      <w:r>
        <w:rPr>
          <w:rStyle w:val="Satznummer"/>
        </w:rPr>
        <w:t>1</w:t>
      </w:r>
      <w:r>
        <w:t xml:space="preserve">Der Revisionsbeklagte kann sich der Revision anschließen. </w:t>
      </w:r>
      <w:r>
        <w:rPr>
          <w:rStyle w:val="Satznummer"/>
        </w:rPr>
        <w:t>2</w:t>
      </w:r>
      <w:r>
        <w:t>Die Anschließung erfolgt durch Einreichung der Revisionsanschlussschrift bei dem Revisionsgericht.</w:t>
      </w:r>
    </w:p>
    <w:p>
      <w:r>
        <w:t xml:space="preserve">(2) </w:t>
      </w:r>
      <w:r>
        <w:rPr>
          <w:rStyle w:val="Satznummer"/>
        </w:rPr>
        <w:t>1</w:t>
      </w:r>
      <w:r>
        <w:t xml:space="preserve">Die Anschließung ist auch statthaft, wenn der Revisionsbeklagte auf die Revision verzichtet hat, die Revisionsfrist verstrichen oder die Revision nicht zugelassen worden ist. </w:t>
      </w:r>
      <w:r>
        <w:rPr>
          <w:rStyle w:val="Satznummer"/>
        </w:rPr>
        <w:t>2</w:t>
      </w:r>
      <w:r>
        <w:t>Die Anschließung ist bis zum Ablauf eines Monats nach der Zustellung der Revisionsbegründung zu erklären.</w:t>
      </w:r>
    </w:p>
    <w:p>
      <w:r>
        <w:t xml:space="preserve">(3) </w:t>
      </w:r>
      <w:r>
        <w:rPr>
          <w:rStyle w:val="Satznummer"/>
        </w:rPr>
        <w:t>1</w:t>
      </w:r>
      <w:r>
        <w:t xml:space="preserve">Die Anschlussrevision muss in der Anschlussschrift begründet werden. </w:t>
      </w:r>
      <w:r>
        <w:rPr>
          <w:rStyle w:val="Satznummer"/>
        </w:rPr>
        <w:t>2</w:t>
      </w:r>
      <w:hyperlink w:anchor="b601" w:history="1">
        <w:r>
          <w:rPr>
            <w:color w:val="0A3A8C"/>
            <w:u w:val="single"/>
          </w:rPr>
          <w:t xml:space="preserve">§ 549</w:t>
        </w:r>
      </w:hyperlink>
      <w:r>
        <w:t xml:space="preserve"> Abs. 1 Satz 2 und Abs. 2 und die </w:t>
      </w:r>
      <w:hyperlink w:anchor="b602" w:history="1">
        <w:r>
          <w:rPr>
            <w:color w:val="0A3A8C"/>
            <w:u w:val="single"/>
          </w:rPr>
          <w:t xml:space="preserve">§§ 550</w:t>
        </w:r>
      </w:hyperlink>
      <w:r>
        <w:t xml:space="preserve"> und </w:t>
      </w:r>
      <w:hyperlink w:anchor="b603" w:history="1">
        <w:r>
          <w:rPr>
            <w:color w:val="0A3A8C"/>
            <w:u w:val="single"/>
          </w:rPr>
          <w:t xml:space="preserve">551</w:t>
        </w:r>
      </w:hyperlink>
      <w:r>
        <w:t xml:space="preserve"> Abs. 3 gelten entsprechend.</w:t>
      </w:r>
    </w:p>
    <w:p>
      <w:r>
        <w:t>(4) Die Anschließung verliert ihre Wirkung, wenn die Revision zurückgenommen, verworfen oder durch Beschluss zurückgewiesen wird.</w:t>
      </w:r>
    </w:p>
    <w:p>
      <w:pPr>
        <w:pStyle w:val="Heading3"/>
      </w:pPr>
      <w:bookmarkStart w:id="610" w:name="b609"/>
      <w:r>
        <w:t>§ 555 Anwendbare Vorschriften</w:t>
      </w:r>
      <w:r>
        <w:t xml:space="preserve"> </w:t>
      </w:r>
      <w:r>
        <w:rPr>
          <w:rStyle w:val="Suchmarke"/>
        </w:rPr>
        <w:t>#555#</w:t>
      </w:r>
      <w:bookmarkEnd w:id="610"/>
    </w:p>
    <w:p>
      <w:r>
        <w:t>(1) Auf das weitere Verfahren sind die im ersten Rechtszug für das Verfahren vor den Landgerichten geltenden Vorschriften entsprechend anzuwenden, soweit die Vorschriften dieses Abschnitts nicht Abweichendes regeln.</w:t>
      </w:r>
    </w:p>
    <w:p>
      <w:r>
        <w:t>(2) Einer Güteverhandlung bedarf es nicht.</w:t>
      </w:r>
    </w:p>
    <w:p>
      <w:r>
        <w:t xml:space="preserve">(3) Die </w:t>
      </w:r>
      <w:hyperlink w:anchor="b403" w:history="1">
        <w:r>
          <w:rPr>
            <w:color w:val="0A3A8C"/>
            <w:u w:val="single"/>
          </w:rPr>
          <w:t xml:space="preserve">§§ 348</w:t>
        </w:r>
      </w:hyperlink>
      <w:r>
        <w:t xml:space="preserve"> bis </w:t>
      </w:r>
      <w:hyperlink w:anchor="b406" w:history="1">
        <w:r>
          <w:rPr>
            <w:color w:val="0A3A8C"/>
            <w:u w:val="single"/>
          </w:rPr>
          <w:t xml:space="preserve">350</w:t>
        </w:r>
      </w:hyperlink>
      <w:r>
        <w:t xml:space="preserve"> sind nicht anzuwenden.</w:t>
      </w:r>
    </w:p>
    <w:p>
      <w:r>
        <w:t>(4) Ein Anerkenntnisurteil ergeht nur auf gesonderten Antrag des Klägers.</w:t>
      </w:r>
    </w:p>
    <w:p>
      <w:r>
        <w:t>(5) Auf die Revision sind folgende für die Berufung geltende Vorschriften entsprechend anzuwenden:</w:t>
      </w:r>
    </w:p>
    <w:p>
      <w:pPr>
        <w:tabs>
          <w:tab w:pos="567" w:val="left"/>
        </w:tabs>
        <w:ind w:left="567" w:hanging="567"/>
      </w:pPr>
      <w:r>
        <w:t>1.</w:t>
      </w:r>
      <w:r>
        <w:tab/>
      </w:r>
      <w:r>
        <w:t>Vorschriften über die Anfechtbarkeit der Versäumnisurteile,</w:t>
      </w:r>
    </w:p>
    <w:p>
      <w:pPr>
        <w:tabs>
          <w:tab w:pos="567" w:val="left"/>
        </w:tabs>
        <w:ind w:left="567" w:hanging="567"/>
      </w:pPr>
      <w:r>
        <w:t>2.</w:t>
      </w:r>
      <w:r>
        <w:tab/>
      </w:r>
      <w:r>
        <w:t>Vorschriften über die Verzichtsleistung auf das Rechtsmittel und seine Zurücknahme,</w:t>
      </w:r>
    </w:p>
    <w:p>
      <w:pPr>
        <w:tabs>
          <w:tab w:pos="567" w:val="left"/>
        </w:tabs>
        <w:ind w:left="567" w:hanging="567"/>
      </w:pPr>
      <w:r>
        <w:t>3.</w:t>
      </w:r>
      <w:r>
        <w:tab/>
      </w:r>
      <w:r>
        <w:t>Vorschriften über die Rügen der Unzulässigkeit der Klage sowie</w:t>
      </w:r>
    </w:p>
    <w:p>
      <w:pPr>
        <w:tabs>
          <w:tab w:pos="567" w:val="left"/>
        </w:tabs>
        <w:ind w:left="567" w:hanging="567"/>
      </w:pPr>
      <w:r>
        <w:t>4.</w:t>
      </w:r>
      <w:r>
        <w:tab/>
      </w:r>
      <w:r>
        <w:t>Vorschriften über die Einforderung, Übersendung und Zurücksendung der Prozessakten.</w:t>
      </w:r>
    </w:p>
    <w:p>
      <w:r>
        <w:t>(6) Die Revision kann ohne Einwilligung des Revisionsbeklagten nur bis zum Beginn der mündlichen Verhandlung des Revisionsbeklagten zur Hauptsache zurückgenommen werden.</w:t>
      </w:r>
    </w:p>
    <w:p>
      <w:pPr>
        <w:pStyle w:val="Heading3"/>
      </w:pPr>
      <w:bookmarkStart w:id="611" w:name="b610"/>
      <w:r>
        <w:t>§ 556 Verlust des Rügerechts</w:t>
      </w:r>
      <w:r>
        <w:t xml:space="preserve"> </w:t>
      </w:r>
      <w:r>
        <w:rPr>
          <w:rStyle w:val="Suchmarke"/>
        </w:rPr>
        <w:t>#556#</w:t>
      </w:r>
      <w:bookmarkEnd w:id="611"/>
    </w:p>
    <w:p>
      <w:r>
        <w:t xml:space="preserve">Die Verletzung einer das Verfahren der Berufungsinstanz betreffenden Vorschrift kann in der Revisionsinstanz nicht mehr gerügt werden, wenn die Partei das Rügerecht bereits in der Berufungsinstanz nach der Vorschrift des </w:t>
      </w:r>
      <w:hyperlink w:anchor="b332" w:history="1">
        <w:r>
          <w:rPr>
            <w:color w:val="0A3A8C"/>
            <w:u w:val="single"/>
          </w:rPr>
          <w:t xml:space="preserve">§ 295</w:t>
        </w:r>
      </w:hyperlink>
      <w:r>
        <w:t xml:space="preserve"> verloren hat.</w:t>
      </w:r>
    </w:p>
    <w:p>
      <w:pPr>
        <w:pStyle w:val="Heading3"/>
      </w:pPr>
      <w:bookmarkStart w:id="612" w:name="b611"/>
      <w:r>
        <w:t>§ 557 Umfang der Revisionsprüfung</w:t>
      </w:r>
      <w:r>
        <w:t xml:space="preserve"> </w:t>
      </w:r>
      <w:r>
        <w:rPr>
          <w:rStyle w:val="Suchmarke"/>
        </w:rPr>
        <w:t>#557#</w:t>
      </w:r>
      <w:bookmarkEnd w:id="612"/>
    </w:p>
    <w:p>
      <w:r>
        <w:t>(1) Der Prüfung des Revisionsgerichts unterliegen nur die von den Parteien gestellten Anträge.</w:t>
      </w:r>
    </w:p>
    <w:p>
      <w:r>
        <w:t>(2) Der Beurteilung des Revisionsgerichts unterliegen auch diejenigen Entscheidungen, die dem Endurteil vorausgegangen sind, sofern sie nicht nach den Vorschriften dieses Gesetzes unanfechtbar sind.</w:t>
      </w:r>
    </w:p>
    <w:p>
      <w:r>
        <w:t xml:space="preserve">(3) </w:t>
      </w:r>
      <w:r>
        <w:rPr>
          <w:rStyle w:val="Satznummer"/>
        </w:rPr>
        <w:t>1</w:t>
      </w:r>
      <w:r>
        <w:t xml:space="preserve">Das Revisionsgericht ist an die geltend gemachten Revisionsgründe nicht gebunden. </w:t>
      </w:r>
      <w:r>
        <w:rPr>
          <w:rStyle w:val="Satznummer"/>
        </w:rPr>
        <w:t>2</w:t>
      </w:r>
      <w:r>
        <w:t xml:space="preserve">Auf Verfahrensmängel, die nicht von Amts wegen zu berücksichtigen sind, darf das angefochtene Urteil nur geprüft werden, wenn die Mängel nach den </w:t>
      </w:r>
      <w:hyperlink w:anchor="b603" w:history="1">
        <w:r>
          <w:rPr>
            <w:color w:val="0A3A8C"/>
            <w:u w:val="single"/>
          </w:rPr>
          <w:t xml:space="preserve">§§ 551</w:t>
        </w:r>
      </w:hyperlink>
      <w:r>
        <w:t xml:space="preserve"> und </w:t>
      </w:r>
      <w:hyperlink w:anchor="b608" w:history="1">
        <w:r>
          <w:rPr>
            <w:color w:val="0A3A8C"/>
            <w:u w:val="single"/>
          </w:rPr>
          <w:t xml:space="preserve">554</w:t>
        </w:r>
      </w:hyperlink>
      <w:r>
        <w:t xml:space="preserve"> Abs. 3 gerügt worden sind.</w:t>
      </w:r>
    </w:p>
    <w:p>
      <w:pPr>
        <w:pStyle w:val="Heading3"/>
      </w:pPr>
      <w:bookmarkStart w:id="613" w:name="b612"/>
      <w:r>
        <w:t>§ 558 Vorläufige Vollstreckbarkeit</w:t>
      </w:r>
      <w:r>
        <w:t xml:space="preserve"> </w:t>
      </w:r>
      <w:r>
        <w:rPr>
          <w:rStyle w:val="Suchmarke"/>
        </w:rPr>
        <w:t>#558#</w:t>
      </w:r>
      <w:bookmarkEnd w:id="613"/>
    </w:p>
    <w:p>
      <w:r>
        <w:rPr>
          <w:rStyle w:val="Satznummer"/>
        </w:rPr>
        <w:t>1</w:t>
      </w:r>
      <w:r>
        <w:t xml:space="preserve">Ein nicht oder nicht unbedingt für vorläufig vollstreckbar erklärtes Urteil des Berufungsgerichts ist, soweit es durch die Revisionsanträge nicht angefochten wird, auf Antrag von dem Revisionsgericht durch Beschluss für vorläufig vollstreckbar zu erklären. </w:t>
      </w:r>
      <w:r>
        <w:rPr>
          <w:rStyle w:val="Satznummer"/>
        </w:rPr>
        <w:t>2</w:t>
      </w:r>
      <w:r>
        <w:t>Die Entscheidung ist erst nach Ablauf der Revisionsbegründungsfrist zulässig.</w:t>
      </w:r>
    </w:p>
    <w:p>
      <w:pPr>
        <w:pStyle w:val="Heading3"/>
      </w:pPr>
      <w:bookmarkStart w:id="614" w:name="b613"/>
      <w:r>
        <w:t>§ 559 Beschränkte Nachprüfung tatsächlicher Feststellungen</w:t>
      </w:r>
      <w:r>
        <w:t xml:space="preserve"> </w:t>
      </w:r>
      <w:r>
        <w:rPr>
          <w:rStyle w:val="Suchmarke"/>
        </w:rPr>
        <w:t>#559#</w:t>
      </w:r>
      <w:bookmarkEnd w:id="614"/>
    </w:p>
    <w:p>
      <w:r>
        <w:t xml:space="preserve">(1) </w:t>
      </w:r>
      <w:r>
        <w:rPr>
          <w:rStyle w:val="Satznummer"/>
        </w:rPr>
        <w:t>1</w:t>
      </w:r>
      <w:r>
        <w:t xml:space="preserve">Der Beurteilung des Revisionsgerichts unterliegt nur dasjenige Parteivorbringen, das aus dem Berufungsurteil oder dem Sitzungsprotokoll ersichtlich ist. </w:t>
      </w:r>
      <w:r>
        <w:rPr>
          <w:rStyle w:val="Satznummer"/>
        </w:rPr>
        <w:t>2</w:t>
      </w:r>
      <w:r>
        <w:t>Außerdem können nur die in § 551 Abs. 3 Nr. 2 Buchstabe b erwähnten Tatsachen berücksichtigt werden.</w:t>
      </w:r>
    </w:p>
    <w:p>
      <w:r>
        <w:t>(2) Hat das Berufungsgericht festgestellt, dass eine tatsächliche Behauptung wahr oder nicht wahr sei, so ist diese Feststellung für das Revisionsgericht bindend, es sei denn, dass in Bezug auf die Feststellung ein zulässiger und begründeter Revisionsangriff erhoben ist.</w:t>
      </w:r>
    </w:p>
    <w:p>
      <w:pPr>
        <w:pStyle w:val="Heading3"/>
      </w:pPr>
      <w:bookmarkStart w:id="615" w:name="b614"/>
      <w:r>
        <w:t>§ 560 Nicht revisible Gesetze</w:t>
      </w:r>
      <w:r>
        <w:t xml:space="preserve"> </w:t>
      </w:r>
      <w:r>
        <w:rPr>
          <w:rStyle w:val="Suchmarke"/>
        </w:rPr>
        <w:t>#560#</w:t>
      </w:r>
      <w:bookmarkEnd w:id="615"/>
    </w:p>
    <w:p>
      <w:r>
        <w:t xml:space="preserve">Die Entscheidung des Berufungsgerichts über das Bestehen und den Inhalt von Gesetzen, auf deren Verletzung die Revision nach </w:t>
      </w:r>
      <w:hyperlink w:anchor="b597" w:history="1">
        <w:r>
          <w:rPr>
            <w:color w:val="0A3A8C"/>
            <w:u w:val="single"/>
          </w:rPr>
          <w:t xml:space="preserve">§ 545</w:t>
        </w:r>
      </w:hyperlink>
      <w:r>
        <w:t xml:space="preserve"> nicht gestützt werden kann, ist für die auf die Revision ergehende Entscheidung maßgebend.</w:t>
      </w:r>
    </w:p>
    <w:p>
      <w:pPr>
        <w:pStyle w:val="Heading3"/>
      </w:pPr>
      <w:bookmarkStart w:id="616" w:name="b615"/>
      <w:r>
        <w:t>§ 561 Revisionszurückweisung</w:t>
      </w:r>
      <w:r>
        <w:t xml:space="preserve"> </w:t>
      </w:r>
      <w:r>
        <w:rPr>
          <w:rStyle w:val="Suchmarke"/>
        </w:rPr>
        <w:t>#561#</w:t>
      </w:r>
      <w:bookmarkEnd w:id="616"/>
    </w:p>
    <w:p>
      <w:r>
        <w:t>Ergibt die Begründung des Berufungsurteils zwar eine Rechtsverletzung, stellt die Entscheidung selbst aber aus anderen Gründen sich als richtig dar, so ist die Revision zurückzuweisen.</w:t>
      </w:r>
    </w:p>
    <w:p>
      <w:pPr>
        <w:pStyle w:val="Heading3"/>
      </w:pPr>
      <w:bookmarkStart w:id="617" w:name="b616"/>
      <w:r>
        <w:t>§ 562 Aufhebung des angefochtenen Urteils</w:t>
      </w:r>
      <w:r>
        <w:t xml:space="preserve"> </w:t>
      </w:r>
      <w:r>
        <w:rPr>
          <w:rStyle w:val="Suchmarke"/>
        </w:rPr>
        <w:t>#562#</w:t>
      </w:r>
      <w:bookmarkEnd w:id="617"/>
    </w:p>
    <w:p>
      <w:r>
        <w:t>(1) Insoweit die Revision für begründet erachtet wird, ist das angefochtene Urteil aufzuheben.</w:t>
      </w:r>
    </w:p>
    <w:p>
      <w:r>
        <w:t>(2) Wird das Urteil wegen eines Mangels des Verfahrens aufgehoben, so ist zugleich das Verfahren insoweit aufzuheben, als es durch den Mangel betroffen wird.</w:t>
      </w:r>
    </w:p>
    <w:p>
      <w:pPr>
        <w:pStyle w:val="Heading3"/>
      </w:pPr>
      <w:bookmarkStart w:id="618" w:name="b617"/>
      <w:r>
        <w:t>§ 563 Zurückverweisung; eigene Sachentscheidung</w:t>
      </w:r>
      <w:r>
        <w:t xml:space="preserve"> </w:t>
      </w:r>
      <w:r>
        <w:rPr>
          <w:rStyle w:val="Suchmarke"/>
        </w:rPr>
        <w:t>#563#</w:t>
      </w:r>
      <w:bookmarkEnd w:id="618"/>
    </w:p>
    <w:p>
      <w:r>
        <w:t xml:space="preserve">(1) </w:t>
      </w:r>
      <w:r>
        <w:rPr>
          <w:rStyle w:val="Satznummer"/>
        </w:rPr>
        <w:t>1</w:t>
      </w:r>
      <w:r>
        <w:t xml:space="preserve">Im Falle der Aufhebung des Urteils ist die Sache zur neuen Verhandlung und Entscheidung an das Berufungsgericht zurückzuverweisen. </w:t>
      </w:r>
      <w:r>
        <w:rPr>
          <w:rStyle w:val="Satznummer"/>
        </w:rPr>
        <w:t>2</w:t>
      </w:r>
      <w:r>
        <w:t>Die Zurückverweisung kann an einen anderen Spruchkörper des Berufungsgerichts erfolgen.</w:t>
      </w:r>
    </w:p>
    <w:p>
      <w:r>
        <w:t>(2) Das Berufungsgericht hat die rechtliche Beurteilung, die der Aufhebung zugrunde gelegt ist, auch seiner Entscheidung zugrunde zu legen.</w:t>
      </w:r>
    </w:p>
    <w:p>
      <w:r>
        <w:t>(3) Das Revisionsgericht hat jedoch in der Sache selbst zu entscheiden, wenn die Aufhebung des Urteils nur wegen Rechtsverletzung bei Anwendung des Gesetzes auf das festgestellte Sachverhältnis erfolgt und nach letzterem die Sache zur Endentscheidung reif ist.</w:t>
      </w:r>
    </w:p>
    <w:p>
      <w:r>
        <w:t xml:space="preserve">(4) Kommt im Fall des Absatzes 3 für die in der Sache selbst zu erlassende Entscheidung die Anwendbarkeit von Gesetzen, auf deren Verletzung die Revision nach </w:t>
      </w:r>
      <w:hyperlink w:anchor="b597" w:history="1">
        <w:r>
          <w:rPr>
            <w:color w:val="0A3A8C"/>
            <w:u w:val="single"/>
          </w:rPr>
          <w:t xml:space="preserve">§ 545</w:t>
        </w:r>
      </w:hyperlink>
      <w:r>
        <w:t xml:space="preserve"> nicht gestützt werden kann, in Frage, so kann die Sache zur Verhandlung und Entscheidung an das Berufungsgericht zurückverwiesen werden.</w:t>
      </w:r>
    </w:p>
    <w:p>
      <w:pPr>
        <w:pStyle w:val="Heading3"/>
      </w:pPr>
      <w:bookmarkStart w:id="619" w:name="b618"/>
      <w:r>
        <w:t>§ 564 Keine Begründung der Entscheidung bei Rügen von Verfahrensmängeln</w:t>
      </w:r>
      <w:r>
        <w:t xml:space="preserve"> </w:t>
      </w:r>
      <w:r>
        <w:rPr>
          <w:rStyle w:val="Suchmarke"/>
        </w:rPr>
        <w:t>#564#</w:t>
      </w:r>
      <w:bookmarkEnd w:id="619"/>
    </w:p>
    <w:p>
      <w:r>
        <w:rPr>
          <w:rStyle w:val="Satznummer"/>
        </w:rPr>
        <w:t>1</w:t>
      </w:r>
      <w:r>
        <w:t xml:space="preserve">Die Entscheidung braucht nicht begründet zu werden, soweit das Revisionsgericht Rügen von Verfahrensmängeln nicht für durchgreifend erachtet. </w:t>
      </w:r>
      <w:r>
        <w:rPr>
          <w:rStyle w:val="Satznummer"/>
        </w:rPr>
        <w:t>2</w:t>
      </w:r>
      <w:r>
        <w:t xml:space="preserve">Dies gilt nicht für Rügen nach </w:t>
      </w:r>
      <w:hyperlink w:anchor="b599" w:history="1">
        <w:r>
          <w:rPr>
            <w:color w:val="0A3A8C"/>
            <w:u w:val="single"/>
          </w:rPr>
          <w:t xml:space="preserve">§ 547</w:t>
        </w:r>
      </w:hyperlink>
      <w:r>
        <w:t>.</w:t>
      </w:r>
    </w:p>
    <w:p>
      <w:pPr>
        <w:pStyle w:val="Heading3"/>
      </w:pPr>
      <w:bookmarkStart w:id="620" w:name="b619"/>
      <w:r>
        <w:t>§ 565 Leitentscheidung</w:t>
      </w:r>
      <w:r>
        <w:t xml:space="preserve"> </w:t>
      </w:r>
      <w:r>
        <w:rPr>
          <w:rStyle w:val="Suchmarke"/>
        </w:rPr>
        <w:t>#565#</w:t>
      </w:r>
      <w:bookmarkEnd w:id="620"/>
    </w:p>
    <w:p>
      <w:r>
        <w:t xml:space="preserve">(1) </w:t>
      </w:r>
      <w:r>
        <w:rPr>
          <w:rStyle w:val="Satznummer"/>
        </w:rPr>
        <w:t>1</w:t>
      </w:r>
      <w:r>
        <w:t xml:space="preserve">Endet die zum Leitentscheidungsverfahren bestimmte Revision, ohne dass ein mit inhaltlicher Begründung versehenes Urteil ergeht, so trifft das Revisionsgericht durch Beschluss eine Leitentscheidung. </w:t>
      </w:r>
      <w:r>
        <w:rPr>
          <w:rStyle w:val="Satznummer"/>
        </w:rPr>
        <w:t>2</w:t>
      </w:r>
      <w:r>
        <w:t>Der Beschluss ergeht ohne mündliche Verhandlung.</w:t>
      </w:r>
    </w:p>
    <w:p>
      <w:r>
        <w:t>(2) In dem Beschluss wird</w:t>
      </w:r>
    </w:p>
    <w:p>
      <w:pPr>
        <w:tabs>
          <w:tab w:pos="567" w:val="left"/>
        </w:tabs>
        <w:ind w:left="567" w:hanging="567"/>
      </w:pPr>
      <w:r>
        <w:t>1.</w:t>
      </w:r>
      <w:r>
        <w:tab/>
      </w:r>
      <w:r>
        <w:t>festgestellt, dass die Revision beendet ist, und</w:t>
      </w:r>
    </w:p>
    <w:p>
      <w:pPr>
        <w:tabs>
          <w:tab w:pos="567" w:val="left"/>
        </w:tabs>
        <w:ind w:left="567" w:hanging="567"/>
      </w:pPr>
      <w:r>
        <w:t>2.</w:t>
      </w:r>
      <w:r>
        <w:tab/>
      </w:r>
      <w:r>
        <w:t xml:space="preserve">eine Leitentscheidung zu den im Beschluss nach </w:t>
      </w:r>
      <w:hyperlink w:anchor="b606" w:history="1">
        <w:r>
          <w:rPr>
            <w:color w:val="0A3A8C"/>
            <w:u w:val="single"/>
          </w:rPr>
          <w:t xml:space="preserve">§ 552b</w:t>
        </w:r>
      </w:hyperlink>
      <w:r>
        <w:t xml:space="preserve"> benannten Rechtsfragen getroffen.</w:t>
      </w:r>
    </w:p>
    <w:p>
      <w:r>
        <w:t xml:space="preserve">(3) </w:t>
      </w:r>
      <w:r>
        <w:rPr>
          <w:rStyle w:val="Satznummer"/>
        </w:rPr>
        <w:t>1</w:t>
      </w:r>
      <w:r>
        <w:t xml:space="preserve">Der Beschluss ist zu begründen. </w:t>
      </w:r>
      <w:r>
        <w:rPr>
          <w:rStyle w:val="Satznummer"/>
        </w:rPr>
        <w:t>2</w:t>
      </w:r>
      <w:r>
        <w:t>Die Begründung ist auf die Erwägungen zur Entscheidung der maßgeblichen Rechtsfragen zu beschränken.</w:t>
      </w:r>
    </w:p>
    <w:p>
      <w:pPr>
        <w:pStyle w:val="Heading3"/>
      </w:pPr>
      <w:bookmarkStart w:id="621" w:name="b620"/>
      <w:r>
        <w:t>§ 566 Sprungrevision</w:t>
      </w:r>
      <w:r>
        <w:t xml:space="preserve"> </w:t>
      </w:r>
      <w:r>
        <w:rPr>
          <w:rStyle w:val="Suchmarke"/>
        </w:rPr>
        <w:t>#566#</w:t>
      </w:r>
      <w:bookmarkEnd w:id="621"/>
    </w:p>
    <w:p>
      <w:r>
        <w:t xml:space="preserve">(1) </w:t>
      </w:r>
      <w:r>
        <w:rPr>
          <w:rStyle w:val="Satznummer"/>
        </w:rPr>
        <w:t>1</w:t>
      </w:r>
      <w:r>
        <w:t>Gegen die im ersten Rechtszug erlassenen Endurteile, die ohne Zulassung der Berufung unterliegen, findet auf Antrag unter Übergehung der Berufungsinstanz unmittelbar die Revision (Sprungrevision) statt, wenn</w:t>
      </w:r>
    </w:p>
    <w:p>
      <w:pPr>
        <w:tabs>
          <w:tab w:pos="567" w:val="left"/>
        </w:tabs>
        <w:ind w:left="567" w:hanging="567"/>
      </w:pPr>
      <w:r>
        <w:t>1.</w:t>
      </w:r>
      <w:r>
        <w:tab/>
      </w:r>
      <w:r>
        <w:t>der Gegner in die Übergehung der Berufungsinstanz einwilligt und</w:t>
      </w:r>
    </w:p>
    <w:p>
      <w:pPr>
        <w:tabs>
          <w:tab w:pos="567" w:val="left"/>
        </w:tabs>
        <w:ind w:left="567" w:hanging="567"/>
      </w:pPr>
      <w:r>
        <w:t>2.</w:t>
      </w:r>
      <w:r>
        <w:tab/>
      </w:r>
      <w:r>
        <w:t>das Revisionsgericht die Sprungrevision zulässt.</w:t>
      </w:r>
    </w:p>
    <w:p>
      <w:r>
        <w:rPr>
          <w:rStyle w:val="Satznummer"/>
        </w:rPr>
        <w:t>2</w:t>
      </w:r>
      <w:r>
        <w:t>Der Antrag auf Zulassung der Sprungrevision sowie die Erklärung der Einwilligung gelten als Verzicht auf das Rechtsmittel der Berufung.</w:t>
      </w:r>
    </w:p>
    <w:p>
      <w:r>
        <w:t xml:space="preserve">(2) </w:t>
      </w:r>
      <w:r>
        <w:rPr>
          <w:rStyle w:val="Satznummer"/>
        </w:rPr>
        <w:t>1</w:t>
      </w:r>
      <w:r>
        <w:t xml:space="preserve">Die Zulassung ist durch Einreichung eines Schriftsatzes (Zulassungsschrift) bei dem Revisionsgericht zu beantragen. </w:t>
      </w:r>
      <w:r>
        <w:rPr>
          <w:rStyle w:val="Satznummer"/>
        </w:rPr>
        <w:t>2</w:t>
      </w:r>
      <w:r>
        <w:t xml:space="preserve">Die </w:t>
      </w:r>
      <w:hyperlink w:anchor="b600" w:history="1">
        <w:r>
          <w:rPr>
            <w:color w:val="0A3A8C"/>
            <w:u w:val="single"/>
          </w:rPr>
          <w:t xml:space="preserve">§§ 548</w:t>
        </w:r>
      </w:hyperlink>
      <w:r>
        <w:t xml:space="preserve"> bis </w:t>
      </w:r>
      <w:hyperlink w:anchor="b602" w:history="1">
        <w:r>
          <w:rPr>
            <w:color w:val="0A3A8C"/>
            <w:u w:val="single"/>
          </w:rPr>
          <w:t xml:space="preserve">550</w:t>
        </w:r>
      </w:hyperlink>
      <w:r>
        <w:t xml:space="preserve"> gelten entsprechend. </w:t>
      </w:r>
      <w:r>
        <w:rPr>
          <w:rStyle w:val="Satznummer"/>
        </w:rPr>
        <w:t>3</w:t>
      </w:r>
      <w:r>
        <w:t xml:space="preserve">In dem Antrag müssen die Voraussetzungen für die Zulassung der Sprungrevision (Absatz 4) dargelegt werden. </w:t>
      </w:r>
      <w:r>
        <w:rPr>
          <w:rStyle w:val="Satznummer"/>
        </w:rPr>
        <w:t>4</w:t>
      </w:r>
      <w:r>
        <w:t>Die schriftliche Erklärung der Einwilligung des Antragsgegners ist dem Zulassungsantrag beizufügen; sie kann auch von dem Prozessbevollmächtigten des ersten Rechtszuges oder, wenn der Rechtsstreit im ersten Rechtszug nicht als Anwaltsprozess zu führen gewesen ist, zu Protokoll der Geschäftsstelle abgegeben werden.</w:t>
      </w:r>
    </w:p>
    <w:p>
      <w:r>
        <w:t xml:space="preserve">(3) </w:t>
      </w:r>
      <w:r>
        <w:rPr>
          <w:rStyle w:val="Satznummer"/>
        </w:rPr>
        <w:t>1</w:t>
      </w:r>
      <w:r>
        <w:t xml:space="preserve">Der Antrag auf Zulassung der Sprungrevision hemmt die Rechtskraft des Urteils. </w:t>
      </w:r>
      <w:r>
        <w:rPr>
          <w:rStyle w:val="Satznummer"/>
        </w:rPr>
        <w:t>2</w:t>
      </w:r>
      <w:hyperlink w:anchor="b717" w:history="1">
        <w:r>
          <w:rPr>
            <w:color w:val="0A3A8C"/>
            <w:u w:val="single"/>
          </w:rPr>
          <w:t xml:space="preserve">§ 719</w:t>
        </w:r>
      </w:hyperlink>
      <w:r>
        <w:t xml:space="preserve"> Abs. 2 und 3 ist entsprechend anzuwenden. </w:t>
      </w:r>
      <w:r>
        <w:rPr>
          <w:rStyle w:val="Satznummer"/>
        </w:rPr>
        <w:t>3</w:t>
      </w:r>
      <w:r>
        <w:t>Die Geschäftsstelle des Revisionsgerichts hat, nachdem der Antrag eingereicht ist, unverzüglich von der Geschäftsstelle des Gerichts des ersten Rechtszuges die Prozessakten einzufordern.</w:t>
      </w:r>
    </w:p>
    <w:p>
      <w:r>
        <w:t xml:space="preserve">(4) </w:t>
      </w:r>
      <w:r>
        <w:rPr>
          <w:rStyle w:val="Satznummer"/>
        </w:rPr>
        <w:t>1</w:t>
      </w:r>
      <w:r>
        <w:t>Die Sprungrevision ist nur zuzulassen, wenn</w:t>
      </w:r>
    </w:p>
    <w:p>
      <w:pPr>
        <w:tabs>
          <w:tab w:pos="567" w:val="left"/>
        </w:tabs>
        <w:ind w:left="567" w:hanging="567"/>
      </w:pPr>
      <w:r>
        <w:t>1.</w:t>
      </w:r>
      <w:r>
        <w:tab/>
      </w:r>
      <w:r>
        <w:t>die Rechtssache grundsätzliche Bedeutung hat oder</w:t>
      </w:r>
    </w:p>
    <w:p>
      <w:pPr>
        <w:tabs>
          <w:tab w:pos="567" w:val="left"/>
        </w:tabs>
        <w:ind w:left="567" w:hanging="567"/>
      </w:pPr>
      <w:r>
        <w:t>2.</w:t>
      </w:r>
      <w:r>
        <w:tab/>
      </w:r>
      <w:r>
        <w:t>die Fortbildung des Rechts oder die Sicherung einer einheitlichen Rechtsprechung eine Entscheidung des Revisionsgerichts erfordert.</w:t>
      </w:r>
    </w:p>
    <w:p>
      <w:r>
        <w:rPr>
          <w:rStyle w:val="Satznummer"/>
        </w:rPr>
        <w:t>2</w:t>
      </w:r>
      <w:r>
        <w:t>Die Sprungrevision kann nicht auf einen Mangel des Verfahrens gestützt werden.</w:t>
      </w:r>
    </w:p>
    <w:p>
      <w:r>
        <w:t xml:space="preserve">(5) </w:t>
      </w:r>
      <w:r>
        <w:rPr>
          <w:rStyle w:val="Satznummer"/>
        </w:rPr>
        <w:t>1</w:t>
      </w:r>
      <w:r>
        <w:t xml:space="preserve">Das Revisionsgericht entscheidet über den Antrag auf Zulassung der Sprungrevision durch Beschluss. </w:t>
      </w:r>
      <w:r>
        <w:rPr>
          <w:rStyle w:val="Satznummer"/>
        </w:rPr>
        <w:t>2</w:t>
      </w:r>
      <w:r>
        <w:t>Der Beschluss ist den Parteien zuzustellen.</w:t>
      </w:r>
    </w:p>
    <w:p>
      <w:r>
        <w:t>(6) Wird der Antrag auf Zulassung der Revision abgelehnt, so wird das Urteil rechtskräftig.</w:t>
      </w:r>
    </w:p>
    <w:p>
      <w:r>
        <w:t xml:space="preserve">(7) </w:t>
      </w:r>
      <w:r>
        <w:rPr>
          <w:rStyle w:val="Satznummer"/>
        </w:rPr>
        <w:t>1</w:t>
      </w:r>
      <w:r>
        <w:t xml:space="preserve">Wird die Revision zugelassen, so wird das Verfahren als Revisionsverfahren fortgesetzt. </w:t>
      </w:r>
      <w:r>
        <w:rPr>
          <w:rStyle w:val="Satznummer"/>
        </w:rPr>
        <w:t>2</w:t>
      </w:r>
      <w:r>
        <w:t xml:space="preserve">In diesem Fall gilt der form- und fristgerechte Antrag auf Zulassung als Einlegung der Revision. </w:t>
      </w:r>
      <w:r>
        <w:rPr>
          <w:rStyle w:val="Satznummer"/>
        </w:rPr>
        <w:t>3</w:t>
      </w:r>
      <w:r>
        <w:t>Mit der Zustellung der Entscheidung beginnt die Revisionsbegründungsfrist.</w:t>
      </w:r>
    </w:p>
    <w:p>
      <w:r>
        <w:t xml:space="preserve">(8) </w:t>
      </w:r>
      <w:r>
        <w:rPr>
          <w:rStyle w:val="Satznummer"/>
        </w:rPr>
        <w:t>1</w:t>
      </w:r>
      <w:r>
        <w:t xml:space="preserve">Das weitere Verfahren bestimmt sich nach den für die Revision geltenden Bestimmungen. </w:t>
      </w:r>
      <w:r>
        <w:rPr>
          <w:rStyle w:val="Satznummer"/>
        </w:rPr>
        <w:t>2</w:t>
      </w:r>
      <w:hyperlink w:anchor="b617" w:history="1">
        <w:r>
          <w:rPr>
            <w:color w:val="0A3A8C"/>
            <w:u w:val="single"/>
          </w:rPr>
          <w:t xml:space="preserve">§ 563</w:t>
        </w:r>
      </w:hyperlink>
      <w:r>
        <w:t xml:space="preserve"> ist mit der Maßgabe anzuwenden, dass die Zurückverweisung an das erstinstanzliche Gericht erfolgt. </w:t>
      </w:r>
      <w:r>
        <w:rPr>
          <w:rStyle w:val="Satznummer"/>
        </w:rPr>
        <w:t>3</w:t>
      </w:r>
      <w:r>
        <w:t>Wird gegen die nachfolgende Entscheidung des erstinstanzlichen Gerichts Berufung eingelegt, so hat das Berufungsgericht die rechtliche Beurteilung, die der Aufhebung durch das Revisionsgericht zugrunde gelegt ist, auch seiner Entscheidung zugrunde zu legen.</w:t>
      </w:r>
    </w:p>
    <w:p>
      <w:pPr>
        <w:pStyle w:val="Heading2"/>
      </w:pPr>
      <w:bookmarkStart w:id="622" w:name="b621"/>
      <w:r>
        <w:t>Abschnitt 3 Beschwerde</w:t>
      </w:r>
      <w:bookmarkEnd w:id="622"/>
    </w:p>
    <w:p>
      <w:pPr>
        <w:pStyle w:val="Heading3"/>
      </w:pPr>
      <w:bookmarkStart w:id="623" w:name="b622"/>
      <w:r>
        <w:t>Titel 1 Sofortige Beschwerde</w:t>
      </w:r>
      <w:bookmarkEnd w:id="623"/>
    </w:p>
    <w:p>
      <w:pPr>
        <w:pStyle w:val="Heading4"/>
      </w:pPr>
      <w:bookmarkStart w:id="624" w:name="b623"/>
      <w:r>
        <w:t>§ 567 Sofortige Beschwerde; Anschlussbeschwerde</w:t>
      </w:r>
      <w:r>
        <w:t xml:space="preserve"> </w:t>
      </w:r>
      <w:r>
        <w:rPr>
          <w:rStyle w:val="Suchmarke"/>
        </w:rPr>
        <w:t>#567#</w:t>
      </w:r>
      <w:bookmarkEnd w:id="624"/>
    </w:p>
    <w:p>
      <w:r>
        <w:t>(1) Die sofortige Beschwerde findet statt gegen die im ersten Rechtszug ergangenen Entscheidungen der Amtsgerichte und Landgerichte, wenn</w:t>
      </w:r>
    </w:p>
    <w:p>
      <w:pPr>
        <w:tabs>
          <w:tab w:pos="567" w:val="left"/>
        </w:tabs>
        <w:ind w:left="567" w:hanging="567"/>
      </w:pPr>
      <w:r>
        <w:t>1.</w:t>
      </w:r>
      <w:r>
        <w:tab/>
      </w:r>
      <w:r>
        <w:t>dies im Gesetz ausdrücklich bestimmt ist oder</w:t>
      </w:r>
    </w:p>
    <w:p>
      <w:pPr>
        <w:tabs>
          <w:tab w:pos="567" w:val="left"/>
        </w:tabs>
        <w:ind w:left="567" w:hanging="567"/>
      </w:pPr>
      <w:r>
        <w:t>2.</w:t>
      </w:r>
      <w:r>
        <w:tab/>
      </w:r>
      <w:r>
        <w:t>es sich um solche eine mündliche Verhandlung nicht erfordernde Entscheidungen handelt, durch die ein das Verfahren betreffendes Gesuch zurückgewiesen worden ist.</w:t>
      </w:r>
    </w:p>
    <w:p>
      <w:r>
        <w:t>(2) Gegen Entscheidungen über Kosten ist die Beschwerde nur zulässig, wenn der Wert des Beschwerdegegenstands 300 Euro übersteigt.</w:t>
      </w:r>
    </w:p>
    <w:p>
      <w:r>
        <w:t xml:space="preserve">(3) </w:t>
      </w:r>
      <w:r>
        <w:rPr>
          <w:rStyle w:val="Satznummer"/>
        </w:rPr>
        <w:t>1</w:t>
      </w:r>
      <w:r>
        <w:t xml:space="preserve">Der Beschwerdegegner kann sich der Beschwerde anschließen, selbst wenn er auf die Beschwerde verzichtet hat oder die Beschwerdefrist verstrichen ist. </w:t>
      </w:r>
      <w:r>
        <w:rPr>
          <w:rStyle w:val="Satznummer"/>
        </w:rPr>
        <w:t>2</w:t>
      </w:r>
      <w:r>
        <w:t>Die Anschließung verliert ihre Wirkung, wenn die Beschwerde zurückgenommen oder als unzulässig verworfen wird.</w:t>
      </w:r>
    </w:p>
    <w:p>
      <w:pPr>
        <w:pStyle w:val="Heading4"/>
      </w:pPr>
      <w:bookmarkStart w:id="625" w:name="b624"/>
      <w:r>
        <w:t>§ 568 Originärer Einzelrichter</w:t>
      </w:r>
      <w:r>
        <w:t xml:space="preserve"> </w:t>
      </w:r>
      <w:r>
        <w:rPr>
          <w:rStyle w:val="Suchmarke"/>
        </w:rPr>
        <w:t>#568#</w:t>
      </w:r>
      <w:bookmarkEnd w:id="625"/>
    </w:p>
    <w:p>
      <w:r>
        <w:rPr>
          <w:rStyle w:val="Satznummer"/>
        </w:rPr>
        <w:t>1</w:t>
      </w:r>
      <w:r>
        <w:t xml:space="preserve">Das Beschwerdegericht entscheidet durch eines seiner Mitglieder als Einzelrichter, wenn die angefochtene Entscheidung von einem Einzelrichter oder einem Rechtspfleger erlassen wurde. </w:t>
      </w:r>
      <w:r>
        <w:rPr>
          <w:rStyle w:val="Satznummer"/>
        </w:rPr>
        <w:t>2</w:t>
      </w:r>
      <w:r>
        <w:t>Der Einzelrichter überträgt das Verfahren dem Beschwerdegericht zur Entscheidung in der im Gerichtsverfassungsgesetz vorgeschriebenen Besetzung, wenn</w:t>
      </w:r>
    </w:p>
    <w:p>
      <w:pPr>
        <w:tabs>
          <w:tab w:pos="567" w:val="left"/>
        </w:tabs>
        <w:ind w:left="567" w:hanging="567"/>
      </w:pPr>
      <w:r>
        <w:t>1.</w:t>
      </w:r>
      <w:r>
        <w:tab/>
      </w:r>
      <w:r>
        <w:t>die Sache besondere Schwierigkeiten tatsächlicher oder rechtlicher Art aufweist oder</w:t>
      </w:r>
    </w:p>
    <w:p>
      <w:pPr>
        <w:tabs>
          <w:tab w:pos="567" w:val="left"/>
        </w:tabs>
        <w:ind w:left="567" w:hanging="567"/>
      </w:pPr>
      <w:r>
        <w:t>2.</w:t>
      </w:r>
      <w:r>
        <w:tab/>
      </w:r>
      <w:r>
        <w:t>die Rechtssache grundsätzliche Bedeutung hat.</w:t>
      </w:r>
    </w:p>
    <w:p>
      <w:r>
        <w:rPr>
          <w:rStyle w:val="Satznummer"/>
        </w:rPr>
        <w:t>3</w:t>
      </w:r>
      <w:r>
        <w:t>Auf eine erfolgte oder unterlassene Übertragung kann ein Rechtsmittel nicht gestützt werden.</w:t>
      </w:r>
    </w:p>
    <w:p>
      <w:pPr>
        <w:pStyle w:val="Heading4"/>
      </w:pPr>
      <w:bookmarkStart w:id="626" w:name="b625"/>
      <w:r>
        <w:t>§ 569 Frist und Form</w:t>
      </w:r>
      <w:r>
        <w:t xml:space="preserve"> </w:t>
      </w:r>
      <w:r>
        <w:rPr>
          <w:rStyle w:val="Suchmarke"/>
        </w:rPr>
        <w:t>#569#</w:t>
      </w:r>
      <w:bookmarkEnd w:id="626"/>
    </w:p>
    <w:p>
      <w:r>
        <w:t xml:space="preserve">(1) </w:t>
      </w:r>
      <w:r>
        <w:rPr>
          <w:rStyle w:val="Satznummer"/>
        </w:rPr>
        <w:t>1</w:t>
      </w:r>
      <w:r>
        <w:t xml:space="preserve">Die sofortige Beschwerde ist, soweit keine andere Frist bestimmt ist, binnen einer Notfrist von zwei Wochen bei dem Gericht, dessen Entscheidung angefochten wird, oder bei dem Beschwerdegericht einzulegen. </w:t>
      </w:r>
      <w:r>
        <w:rPr>
          <w:rStyle w:val="Satznummer"/>
        </w:rPr>
        <w:t>2</w:t>
      </w:r>
      <w:r>
        <w:t xml:space="preserve">Die Notfrist beginnt, soweit nichts anderes bestimmt ist, mit der Zustellung der Entscheidung, spätestens mit dem Ablauf von fünf Monaten nach der Verkündung des Beschlusses. </w:t>
      </w:r>
      <w:r>
        <w:rPr>
          <w:rStyle w:val="Satznummer"/>
        </w:rPr>
        <w:t>3</w:t>
      </w:r>
      <w:r>
        <w:t>Liegen die Erfordernisse der Nichtigkeits- oder der Restitutionsklage vor, so kann die Beschwerde auch nach Ablauf der Notfrist innerhalb der für diese Klagen geltenden Notfristen erhoben werden.</w:t>
      </w:r>
    </w:p>
    <w:p>
      <w:r>
        <w:t xml:space="preserve">(2) </w:t>
      </w:r>
      <w:r>
        <w:rPr>
          <w:rStyle w:val="Satznummer"/>
        </w:rPr>
        <w:t>1</w:t>
      </w:r>
      <w:r>
        <w:t xml:space="preserve">Die Beschwerde wird durch Einreichung einer Beschwerdeschrift eingelegt. </w:t>
      </w:r>
      <w:r>
        <w:rPr>
          <w:rStyle w:val="Satznummer"/>
        </w:rPr>
        <w:t>2</w:t>
      </w:r>
      <w:r>
        <w:t>Die Beschwerdeschrift muss die Bezeichnung der angefochtenen Entscheidung sowie die Erklärung enthalten, dass Beschwerde gegen diese Entscheidung eingelegt werde.</w:t>
      </w:r>
    </w:p>
    <w:p>
      <w:r>
        <w:t>(3) Die Beschwerde kann auch durch Erklärung zu Protokoll der Geschäftsstelle eingelegt werden, wenn</w:t>
      </w:r>
    </w:p>
    <w:p>
      <w:pPr>
        <w:tabs>
          <w:tab w:pos="567" w:val="left"/>
        </w:tabs>
        <w:ind w:left="567" w:hanging="567"/>
      </w:pPr>
      <w:r>
        <w:t>1.</w:t>
      </w:r>
      <w:r>
        <w:tab/>
      </w:r>
      <w:r>
        <w:t>der Rechtsstreit im ersten Rechtszug nicht als Anwaltsprozess zu führen ist oder war,</w:t>
      </w:r>
    </w:p>
    <w:p>
      <w:pPr>
        <w:tabs>
          <w:tab w:pos="567" w:val="left"/>
        </w:tabs>
        <w:ind w:left="567" w:hanging="567"/>
      </w:pPr>
      <w:r>
        <w:t>2.</w:t>
      </w:r>
      <w:r>
        <w:tab/>
      </w:r>
      <w:r>
        <w:t>die Beschwerde die Prozesskostenhilfe betrifft oder</w:t>
      </w:r>
    </w:p>
    <w:p>
      <w:pPr>
        <w:tabs>
          <w:tab w:pos="567" w:val="left"/>
        </w:tabs>
        <w:ind w:left="567" w:hanging="567"/>
      </w:pPr>
      <w:r>
        <w:t>3.</w:t>
      </w:r>
      <w:r>
        <w:tab/>
      </w:r>
      <w:r>
        <w:t xml:space="preserve">sie von einem Zeugen, Sachverständigen oder Dritten im Sinne der </w:t>
      </w:r>
      <w:hyperlink w:anchor="b179" w:history="1">
        <w:r>
          <w:rPr>
            <w:color w:val="0A3A8C"/>
            <w:u w:val="single"/>
          </w:rPr>
          <w:t xml:space="preserve">§§ 142</w:t>
        </w:r>
      </w:hyperlink>
      <w:r>
        <w:t xml:space="preserve">, </w:t>
      </w:r>
      <w:hyperlink w:anchor="b181" w:history="1">
        <w:r>
          <w:rPr>
            <w:color w:val="0A3A8C"/>
            <w:u w:val="single"/>
          </w:rPr>
          <w:t xml:space="preserve">144</w:t>
        </w:r>
      </w:hyperlink>
      <w:r>
        <w:t xml:space="preserve"> erhoben wird.</w:t>
      </w:r>
    </w:p>
    <w:p>
      <w:pPr>
        <w:pStyle w:val="Heading4"/>
      </w:pPr>
      <w:bookmarkStart w:id="627" w:name="b626"/>
      <w:r>
        <w:t>§ 570 Aufschiebende Wirkung; einstweilige Anordnungen</w:t>
      </w:r>
      <w:r>
        <w:t xml:space="preserve"> </w:t>
      </w:r>
      <w:r>
        <w:rPr>
          <w:rStyle w:val="Suchmarke"/>
        </w:rPr>
        <w:t>#570#</w:t>
      </w:r>
      <w:bookmarkEnd w:id="627"/>
    </w:p>
    <w:p>
      <w:r>
        <w:t>(1) Die Beschwerde hat nur dann aufschiebende Wirkung, wenn sie die Festsetzung eines Ordnungs- oder Zwangsmittels zum Gegenstand hat.</w:t>
      </w:r>
    </w:p>
    <w:p>
      <w:r>
        <w:t>(2) Das Gericht oder der Vorsitzende, dessen Entscheidung angefochten wird, kann die Vollziehung der Entscheidung aussetzen.</w:t>
      </w:r>
    </w:p>
    <w:p>
      <w:r>
        <w:t>(3) Das Beschwerdegericht kann vor der Entscheidung eine einstweilige Anordnung erlassen; es kann insbesondere die Vollziehung der angefochtenen Entscheidung aussetzen.</w:t>
      </w:r>
    </w:p>
    <w:p>
      <w:pPr>
        <w:pStyle w:val="Heading4"/>
      </w:pPr>
      <w:bookmarkStart w:id="628" w:name="b627"/>
      <w:r>
        <w:t>§ 571 Begründung, Präklusion, Ausnahmen vom Anwaltszwang</w:t>
      </w:r>
      <w:r>
        <w:t xml:space="preserve"> </w:t>
      </w:r>
      <w:r>
        <w:rPr>
          <w:rStyle w:val="Suchmarke"/>
        </w:rPr>
        <w:t>#571#</w:t>
      </w:r>
      <w:bookmarkEnd w:id="628"/>
    </w:p>
    <w:p>
      <w:r>
        <w:t>(1) Die Beschwerde soll begründet werden.</w:t>
      </w:r>
    </w:p>
    <w:p>
      <w:r>
        <w:t xml:space="preserve">(2) </w:t>
      </w:r>
      <w:r>
        <w:rPr>
          <w:rStyle w:val="Satznummer"/>
        </w:rPr>
        <w:t>1</w:t>
      </w:r>
      <w:r>
        <w:t xml:space="preserve">Die Beschwerde kann auf neue Angriffs- und Verteidigungsmittel gestützt werden. </w:t>
      </w:r>
      <w:r>
        <w:rPr>
          <w:rStyle w:val="Satznummer"/>
        </w:rPr>
        <w:t>2</w:t>
      </w:r>
      <w:r>
        <w:t>Sie kann nicht darauf gestützt werden, dass das Gericht des ersten Rechtszuges seine Zuständigkeit zu Unrecht angenommen hat.</w:t>
      </w:r>
    </w:p>
    <w:p>
      <w:r>
        <w:t xml:space="preserve">(3) </w:t>
      </w:r>
      <w:r>
        <w:rPr>
          <w:rStyle w:val="Satznummer"/>
        </w:rPr>
        <w:t>1</w:t>
      </w:r>
      <w:r>
        <w:t xml:space="preserve">Der Vorsitzende oder das Beschwerdegericht kann für das Vorbringen von Angriffs- und Verteidigungsmitteln eine Frist setzen. </w:t>
      </w:r>
      <w:r>
        <w:rPr>
          <w:rStyle w:val="Satznummer"/>
        </w:rPr>
        <w:t>2</w:t>
      </w:r>
      <w:r>
        <w:t xml:space="preserve">Werden Angriffs- und Verteidigungsmittel nicht innerhalb der Frist vorgebracht, so sind sie nur zuzulassen, wenn nach der freien Überzeugung des Gerichts ihre Zulassung die Erledigung des Verfahrens nicht verzögern würde oder wenn die Partei die Verspätung genügend entschuldigt. </w:t>
      </w:r>
      <w:r>
        <w:rPr>
          <w:rStyle w:val="Satznummer"/>
        </w:rPr>
        <w:t>3</w:t>
      </w:r>
      <w:r>
        <w:t>Der Entschuldigungsgrund ist auf Verlangen des Gerichts glaubhaft zu machen.</w:t>
      </w:r>
    </w:p>
    <w:p>
      <w:r>
        <w:t>(4) Ordnet das Gericht eine schriftliche Erklärung an, so kann diese zu Protokoll der Geschäftsstelle abgegeben werden, wenn die Beschwerde zu Protokoll der Geschäftsstelle eingelegt werden darf (</w:t>
      </w:r>
      <w:hyperlink w:anchor="b625" w:history="1">
        <w:r>
          <w:rPr>
            <w:color w:val="0A3A8C"/>
            <w:u w:val="single"/>
          </w:rPr>
          <w:t xml:space="preserve">§ 569</w:t>
        </w:r>
      </w:hyperlink>
      <w:r>
        <w:t xml:space="preserve"> Abs. 3).</w:t>
      </w:r>
    </w:p>
    <w:p>
      <w:pPr>
        <w:pStyle w:val="Heading4"/>
      </w:pPr>
      <w:bookmarkStart w:id="629" w:name="b628"/>
      <w:r>
        <w:t>§ 572 Gang des Beschwerdeverfahrens</w:t>
      </w:r>
      <w:r>
        <w:t xml:space="preserve"> </w:t>
      </w:r>
      <w:r>
        <w:rPr>
          <w:rStyle w:val="Suchmarke"/>
        </w:rPr>
        <w:t>#572#</w:t>
      </w:r>
      <w:bookmarkEnd w:id="629"/>
    </w:p>
    <w:p>
      <w:r>
        <w:t xml:space="preserve">(1) </w:t>
      </w:r>
      <w:r>
        <w:rPr>
          <w:rStyle w:val="Satznummer"/>
        </w:rPr>
        <w:t>1</w:t>
      </w:r>
      <w:r>
        <w:t xml:space="preserve">Erachtet das Gericht oder der Vorsitzende, dessen Entscheidung angefochten wird, die Beschwerde für begründet, so haben sie ihr abzuhelfen; andernfalls ist die Beschwerde unverzüglich dem Beschwerdegericht vorzulegen. </w:t>
      </w:r>
      <w:r>
        <w:rPr>
          <w:rStyle w:val="Satznummer"/>
        </w:rPr>
        <w:t>2</w:t>
      </w:r>
      <w:hyperlink w:anchor="b364" w:history="1">
        <w:r>
          <w:rPr>
            <w:color w:val="0A3A8C"/>
            <w:u w:val="single"/>
          </w:rPr>
          <w:t xml:space="preserve">§ 318</w:t>
        </w:r>
      </w:hyperlink>
      <w:r>
        <w:t xml:space="preserve"> bleibt unberührt.</w:t>
      </w:r>
    </w:p>
    <w:p>
      <w:r>
        <w:t xml:space="preserve">(2) </w:t>
      </w:r>
      <w:r>
        <w:rPr>
          <w:rStyle w:val="Satznummer"/>
        </w:rPr>
        <w:t>1</w:t>
      </w:r>
      <w:r>
        <w:t xml:space="preserve">Das Beschwerdegericht hat von Amts wegen zu prüfen, ob die Beschwerde an sich statthaft und ob sie in der gesetzlichen Form und Frist eingelegt ist. </w:t>
      </w:r>
      <w:r>
        <w:rPr>
          <w:rStyle w:val="Satznummer"/>
        </w:rPr>
        <w:t>2</w:t>
      </w:r>
      <w:r>
        <w:t>Mangelt es an einem dieser Erfordernisse, so ist die Beschwerde als unzulässig zu verwerfen.</w:t>
      </w:r>
    </w:p>
    <w:p>
      <w:r>
        <w:t>(3) Erachtet das Beschwerdegericht die Beschwerde für begründet, so kann es dem Gericht oder Vorsitzenden, von dem die beschwerende Entscheidung erlassen war, die erforderliche Anordnung übertragen.</w:t>
      </w:r>
    </w:p>
    <w:p>
      <w:r>
        <w:t>(4) Die Entscheidung über die Beschwerde ergeht durch Beschluss.</w:t>
      </w:r>
    </w:p>
    <w:p>
      <w:pPr>
        <w:pStyle w:val="Heading4"/>
      </w:pPr>
      <w:bookmarkStart w:id="630" w:name="b629"/>
      <w:r>
        <w:t>§ 573 Erinnerung</w:t>
      </w:r>
      <w:r>
        <w:t xml:space="preserve"> </w:t>
      </w:r>
      <w:r>
        <w:rPr>
          <w:rStyle w:val="Suchmarke"/>
        </w:rPr>
        <w:t>#573#</w:t>
      </w:r>
      <w:bookmarkEnd w:id="630"/>
    </w:p>
    <w:p>
      <w:r>
        <w:t xml:space="preserve">(1) </w:t>
      </w:r>
      <w:r>
        <w:rPr>
          <w:rStyle w:val="Satznummer"/>
        </w:rPr>
        <w:t>1</w:t>
      </w:r>
      <w:r>
        <w:t xml:space="preserve">Gegen die Entscheidungen des beauftragten oder ersuchten Richters oder des Urkundsbeamten der Geschäftsstelle kann binnen einer Notfrist von zwei Wochen die Entscheidung des Gerichts beantragt werden (Erinnerung). </w:t>
      </w:r>
      <w:r>
        <w:rPr>
          <w:rStyle w:val="Satznummer"/>
        </w:rPr>
        <w:t>2</w:t>
      </w:r>
      <w:r>
        <w:t xml:space="preserve">Die Erinnerung ist schriftlich oder zu Protokoll der Geschäftsstelle einzulegen. </w:t>
      </w:r>
      <w:r>
        <w:rPr>
          <w:rStyle w:val="Satznummer"/>
        </w:rPr>
        <w:t>3</w:t>
      </w:r>
      <w:hyperlink w:anchor="b625" w:history="1">
        <w:r>
          <w:rPr>
            <w:color w:val="0A3A8C"/>
            <w:u w:val="single"/>
          </w:rPr>
          <w:t xml:space="preserve">§ 569</w:t>
        </w:r>
      </w:hyperlink>
      <w:r>
        <w:t xml:space="preserve"> Abs. 1 Satz 1 und 2, Abs. 2 und die </w:t>
      </w:r>
      <w:hyperlink w:anchor="b626" w:history="1">
        <w:r>
          <w:rPr>
            <w:color w:val="0A3A8C"/>
            <w:u w:val="single"/>
          </w:rPr>
          <w:t xml:space="preserve">§§ 570</w:t>
        </w:r>
      </w:hyperlink>
      <w:r>
        <w:t xml:space="preserve"> und </w:t>
      </w:r>
      <w:hyperlink w:anchor="b628" w:history="1">
        <w:r>
          <w:rPr>
            <w:color w:val="0A3A8C"/>
            <w:u w:val="single"/>
          </w:rPr>
          <w:t xml:space="preserve">572</w:t>
        </w:r>
      </w:hyperlink>
      <w:r>
        <w:t xml:space="preserve"> gelten entsprechend.</w:t>
      </w:r>
    </w:p>
    <w:p>
      <w:r>
        <w:t>(2) Gegen die im ersten Rechtszug ergangene Entscheidung des Gerichts über die Erinnerung findet die sofortige Beschwerde statt.</w:t>
      </w:r>
    </w:p>
    <w:p>
      <w:r>
        <w:t>(3) Die Vorschrift des Absatzes 1 gilt auch für die Oberlandesgerichte und den Bundesgerichtshof.</w:t>
      </w:r>
    </w:p>
    <w:p>
      <w:pPr>
        <w:pStyle w:val="Heading3"/>
      </w:pPr>
      <w:bookmarkStart w:id="631" w:name="b630"/>
      <w:r>
        <w:t>Titel 2 Rechtsbeschwerde</w:t>
      </w:r>
      <w:bookmarkEnd w:id="631"/>
    </w:p>
    <w:p>
      <w:pPr>
        <w:pStyle w:val="Heading4"/>
      </w:pPr>
      <w:bookmarkStart w:id="632" w:name="b631"/>
      <w:r>
        <w:t>§ 574 Rechtsbeschwerde; Anschlussrechtsbeschwerde</w:t>
      </w:r>
      <w:r>
        <w:t xml:space="preserve"> </w:t>
      </w:r>
      <w:r>
        <w:rPr>
          <w:rStyle w:val="Suchmarke"/>
        </w:rPr>
        <w:t>#574#</w:t>
      </w:r>
      <w:bookmarkEnd w:id="632"/>
    </w:p>
    <w:p>
      <w:r>
        <w:t xml:space="preserve">(1) </w:t>
      </w:r>
      <w:r>
        <w:rPr>
          <w:rStyle w:val="Satznummer"/>
        </w:rPr>
        <w:t>1</w:t>
      </w:r>
      <w:r>
        <w:t>Gegen einen Beschluss ist die Rechtsbeschwerde statthaft, wenn</w:t>
      </w:r>
    </w:p>
    <w:p>
      <w:pPr>
        <w:tabs>
          <w:tab w:pos="567" w:val="left"/>
        </w:tabs>
        <w:ind w:left="567" w:hanging="567"/>
      </w:pPr>
      <w:r>
        <w:t>1.</w:t>
      </w:r>
      <w:r>
        <w:tab/>
      </w:r>
      <w:r>
        <w:t>dies im Gesetz ausdrücklich bestimmt ist oder</w:t>
      </w:r>
    </w:p>
    <w:p>
      <w:pPr>
        <w:tabs>
          <w:tab w:pos="567" w:val="left"/>
        </w:tabs>
        <w:ind w:left="567" w:hanging="567"/>
      </w:pPr>
      <w:r>
        <w:t>2.</w:t>
      </w:r>
      <w:r>
        <w:tab/>
      </w:r>
      <w:r>
        <w:t>das Beschwerdegericht, das Berufungsgericht oder das Oberlandesgericht im ersten Rechtszug sie in dem Beschluss zugelassen hat.</w:t>
      </w:r>
    </w:p>
    <w:p>
      <w:r>
        <w:rPr>
          <w:rStyle w:val="Satznummer"/>
        </w:rPr>
        <w:t>2</w:t>
      </w:r>
      <w:hyperlink w:anchor="b594" w:history="1">
        <w:r>
          <w:rPr>
            <w:color w:val="0A3A8C"/>
            <w:u w:val="single"/>
          </w:rPr>
          <w:t xml:space="preserve">§ 542</w:t>
        </w:r>
      </w:hyperlink>
      <w:r>
        <w:t xml:space="preserve"> Abs. 2 gilt entsprechend.</w:t>
      </w:r>
    </w:p>
    <w:p>
      <w:r>
        <w:t>(2) In den Fällen des Absatzes 1 Nr. 1 ist die Rechtsbeschwerde nur zulässig, wenn</w:t>
      </w:r>
    </w:p>
    <w:p>
      <w:pPr>
        <w:tabs>
          <w:tab w:pos="567" w:val="left"/>
        </w:tabs>
        <w:ind w:left="567" w:hanging="567"/>
      </w:pPr>
      <w:r>
        <w:t>1.</w:t>
      </w:r>
      <w:r>
        <w:tab/>
      </w:r>
      <w:r>
        <w:t>die Rechtssache grundsätzliche Bedeutung hat oder</w:t>
      </w:r>
    </w:p>
    <w:p>
      <w:pPr>
        <w:tabs>
          <w:tab w:pos="567" w:val="left"/>
        </w:tabs>
        <w:ind w:left="567" w:hanging="567"/>
      </w:pPr>
      <w:r>
        <w:t>2.</w:t>
      </w:r>
      <w:r>
        <w:tab/>
      </w:r>
      <w:r>
        <w:t>die Fortbildung des Rechts oder die Sicherung einer einheitlichen Rechtsprechung eine Entscheidung des Rechtsbeschwerdegerichts erfordert.</w:t>
      </w:r>
    </w:p>
    <w:p>
      <w:r>
        <w:t xml:space="preserve">(3) </w:t>
      </w:r>
      <w:r>
        <w:rPr>
          <w:rStyle w:val="Satznummer"/>
        </w:rPr>
        <w:t>1</w:t>
      </w:r>
      <w:r>
        <w:t xml:space="preserve">In den Fällen des Absatzes 1 Nr. 2 ist die Rechtsbeschwerde zuzulassen, wenn die Voraussetzungen des Absatzes 2 vorliegen. </w:t>
      </w:r>
      <w:r>
        <w:rPr>
          <w:rStyle w:val="Satznummer"/>
        </w:rPr>
        <w:t>2</w:t>
      </w:r>
      <w:r>
        <w:t>Das Rechtsbeschwerdegericht ist an die Zulassung gebunden.</w:t>
      </w:r>
    </w:p>
    <w:p>
      <w:r>
        <w:t xml:space="preserve">(4) </w:t>
      </w:r>
      <w:r>
        <w:rPr>
          <w:rStyle w:val="Satznummer"/>
        </w:rPr>
        <w:t>1</w:t>
      </w:r>
      <w:r>
        <w:t xml:space="preserve">Der Rechtsbeschwerdegegner kann sich bis zum Ablauf einer Notfrist von einem Monat nach der Zustellung der Begründungsschrift der Rechtsbeschwerde durch Einreichen der Rechtsbeschwerdeanschlussschrift beim Rechtsbeschwerdegericht anschließen, auch wenn er auf die Rechtsbeschwerde verzichtet hat, die Rechtsbeschwerdefrist verstrichen oder die Rechtsbeschwerde nicht zugelassen worden ist. </w:t>
      </w:r>
      <w:r>
        <w:rPr>
          <w:rStyle w:val="Satznummer"/>
        </w:rPr>
        <w:t>2</w:t>
      </w:r>
      <w:r>
        <w:t xml:space="preserve">Die Anschlussbeschwerde ist in der Anschlussschrift zu begründen. </w:t>
      </w:r>
      <w:r>
        <w:rPr>
          <w:rStyle w:val="Satznummer"/>
        </w:rPr>
        <w:t>3</w:t>
      </w:r>
      <w:r>
        <w:t>Die Anschließung verliert ihre Wirkung, wenn die Rechtsbeschwerde zurückgenommen oder als unzulässig verworfen wird.</w:t>
      </w:r>
    </w:p>
    <w:p>
      <w:pPr>
        <w:pStyle w:val="Heading4"/>
      </w:pPr>
      <w:bookmarkStart w:id="633" w:name="b632"/>
      <w:r>
        <w:t>§ 575 Frist, Form und Begründung der Rechtsbeschwerde</w:t>
      </w:r>
      <w:r>
        <w:t xml:space="preserve"> </w:t>
      </w:r>
      <w:r>
        <w:rPr>
          <w:rStyle w:val="Suchmarke"/>
        </w:rPr>
        <w:t>#575#</w:t>
      </w:r>
      <w:bookmarkEnd w:id="633"/>
    </w:p>
    <w:p>
      <w:r>
        <w:t xml:space="preserve">(1) </w:t>
      </w:r>
      <w:r>
        <w:rPr>
          <w:rStyle w:val="Satznummer"/>
        </w:rPr>
        <w:t>1</w:t>
      </w:r>
      <w:r>
        <w:t xml:space="preserve">Die Rechtsbeschwerde ist binnen einer Notfrist von einem Monat nach Zustellung des Beschlusses durch Einreichen einer Beschwerdeschrift bei dem Rechtsbeschwerdegericht einzulegen. </w:t>
      </w:r>
      <w:r>
        <w:rPr>
          <w:rStyle w:val="Satznummer"/>
        </w:rPr>
        <w:t>2</w:t>
      </w:r>
      <w:r>
        <w:t>Die Rechtsbeschwerdeschrift muss enthalten:</w:t>
      </w:r>
    </w:p>
    <w:p>
      <w:pPr>
        <w:tabs>
          <w:tab w:pos="567" w:val="left"/>
        </w:tabs>
        <w:ind w:left="567" w:hanging="567"/>
      </w:pPr>
      <w:r>
        <w:t>1.</w:t>
      </w:r>
      <w:r>
        <w:tab/>
      </w:r>
      <w:r>
        <w:t>die Bezeichnung der Entscheidung, gegen die die Rechtsbeschwerde gerichtet wird und</w:t>
      </w:r>
    </w:p>
    <w:p>
      <w:pPr>
        <w:tabs>
          <w:tab w:pos="567" w:val="left"/>
        </w:tabs>
        <w:ind w:left="567" w:hanging="567"/>
      </w:pPr>
      <w:r>
        <w:t>2.</w:t>
      </w:r>
      <w:r>
        <w:tab/>
      </w:r>
      <w:r>
        <w:t>die Erklärung, dass gegen diese Entscheidung Rechtsbeschwerde eingelegt werde.</w:t>
      </w:r>
    </w:p>
    <w:p>
      <w:r>
        <w:rPr>
          <w:rStyle w:val="Satznummer"/>
        </w:rPr>
        <w:t>3</w:t>
      </w:r>
      <w:r>
        <w:t>Mit der Rechtsbeschwerdeschrift soll eine Ausfertigung oder beglaubigte Abschrift der angefochtenen Entscheidung vorgelegt werden.</w:t>
      </w:r>
    </w:p>
    <w:p>
      <w:r>
        <w:t xml:space="preserve">(2) </w:t>
      </w:r>
      <w:r>
        <w:rPr>
          <w:rStyle w:val="Satznummer"/>
        </w:rPr>
        <w:t>1</w:t>
      </w:r>
      <w:r>
        <w:t xml:space="preserve">Die Rechtsbeschwerde ist, sofern die Beschwerdeschrift keine Begründung enthält, binnen einer Frist von einem Monat zu begründen. </w:t>
      </w:r>
      <w:r>
        <w:rPr>
          <w:rStyle w:val="Satznummer"/>
        </w:rPr>
        <w:t>2</w:t>
      </w:r>
      <w:r>
        <w:t xml:space="preserve">Die Frist beginnt mit der Zustellung der angefochtenen Entscheidung. </w:t>
      </w:r>
      <w:r>
        <w:rPr>
          <w:rStyle w:val="Satznummer"/>
        </w:rPr>
        <w:t>3</w:t>
      </w:r>
      <w:hyperlink w:anchor="b603" w:history="1">
        <w:r>
          <w:rPr>
            <w:color w:val="0A3A8C"/>
            <w:u w:val="single"/>
          </w:rPr>
          <w:t xml:space="preserve">§ 551</w:t>
        </w:r>
      </w:hyperlink>
      <w:r>
        <w:t xml:space="preserve"> Abs. 2 Satz 5 und 6 gilt entsprechend.</w:t>
      </w:r>
    </w:p>
    <w:p>
      <w:r>
        <w:t>(3) Die Begründung der Rechtsbeschwerde muss enthalten:</w:t>
      </w:r>
    </w:p>
    <w:p>
      <w:pPr>
        <w:tabs>
          <w:tab w:pos="567" w:val="left"/>
        </w:tabs>
        <w:ind w:left="567" w:hanging="567"/>
      </w:pPr>
      <w:r>
        <w:t>1.</w:t>
      </w:r>
      <w:r>
        <w:tab/>
      </w:r>
      <w:r>
        <w:t>die Erklärung, inwieweit die Entscheidung des Beschwerdegerichts oder des Berufungsgerichts angefochten und deren Aufhebung beantragt werde (Rechtsbeschwerdeanträge),</w:t>
      </w:r>
    </w:p>
    <w:p>
      <w:pPr>
        <w:tabs>
          <w:tab w:pos="567" w:val="left"/>
        </w:tabs>
        <w:ind w:left="567" w:hanging="567"/>
      </w:pPr>
      <w:r>
        <w:t>2.</w:t>
      </w:r>
      <w:r>
        <w:tab/>
      </w:r>
      <w:r>
        <w:t xml:space="preserve">in den Fällen des </w:t>
      </w:r>
      <w:hyperlink w:anchor="b631" w:history="1">
        <w:r>
          <w:rPr>
            <w:color w:val="0A3A8C"/>
            <w:u w:val="single"/>
          </w:rPr>
          <w:t xml:space="preserve">§ 574</w:t>
        </w:r>
      </w:hyperlink>
      <w:r>
        <w:t xml:space="preserve"> Abs. 1 Nr. 1 eine Darlegung zu den Zulässigkeitsvoraussetzungen des </w:t>
      </w:r>
      <w:hyperlink w:anchor="b631" w:history="1">
        <w:r>
          <w:rPr>
            <w:color w:val="0A3A8C"/>
            <w:u w:val="single"/>
          </w:rPr>
          <w:t xml:space="preserve">§ 574</w:t>
        </w:r>
      </w:hyperlink>
      <w:r>
        <w:t xml:space="preserve"> Abs. 2,</w:t>
      </w:r>
    </w:p>
    <w:p>
      <w:pPr>
        <w:tabs>
          <w:tab w:pos="567" w:val="left"/>
        </w:tabs>
        <w:ind w:left="567" w:hanging="567"/>
      </w:pPr>
      <w:r>
        <w:t>3.</w:t>
      </w:r>
      <w:r>
        <w:tab/>
      </w:r>
      <w:r>
        <w:t>die Angabe der Rechtsbeschwerdegründe, und zwar</w:t>
      </w:r>
    </w:p>
    <w:p>
      <w:pPr>
        <w:tabs>
          <w:tab w:pos="1134" w:val="left"/>
        </w:tabs>
        <w:ind w:left="1134" w:hanging="567"/>
      </w:pPr>
      <w:r>
        <w:t>a)</w:t>
      </w:r>
      <w:r>
        <w:tab/>
      </w:r>
      <w:r>
        <w:t>die bestimmte Bezeichnung der Umstände, aus denen sich die Rechtsverletzung ergibt;</w:t>
      </w:r>
    </w:p>
    <w:p>
      <w:pPr>
        <w:tabs>
          <w:tab w:pos="1134" w:val="left"/>
        </w:tabs>
        <w:ind w:left="1134" w:hanging="567"/>
      </w:pPr>
      <w:r>
        <w:t>b)</w:t>
      </w:r>
      <w:r>
        <w:tab/>
      </w:r>
      <w:r>
        <w:t>soweit die Rechtsbeschwerde darauf gestützt wird, dass das Gesetz in Bezug auf das Verfahren verletzt sei, die Bezeichnung der Tatsachen, die den Mangel ergeben.</w:t>
      </w:r>
    </w:p>
    <w:p>
      <w:r>
        <w:t xml:space="preserve">(4) </w:t>
      </w:r>
      <w:r>
        <w:rPr>
          <w:rStyle w:val="Satznummer"/>
        </w:rPr>
        <w:t>1</w:t>
      </w:r>
      <w:r>
        <w:t xml:space="preserve">Die allgemeinen Vorschriften über die vorbereitenden Schriftsätze sind auch auf die Beschwerde- und die Begründungsschrift anzuwenden. </w:t>
      </w:r>
      <w:r>
        <w:rPr>
          <w:rStyle w:val="Satznummer"/>
        </w:rPr>
        <w:t>2</w:t>
      </w:r>
      <w:r>
        <w:t>Die Beschwerde- und die Begründungsschrift sind der Gegenpartei zuzustellen.</w:t>
      </w:r>
    </w:p>
    <w:p>
      <w:r>
        <w:t xml:space="preserve">(5) Die </w:t>
      </w:r>
      <w:hyperlink w:anchor="b592" w:history="1">
        <w:r>
          <w:rPr>
            <w:color w:val="0A3A8C"/>
            <w:u w:val="single"/>
          </w:rPr>
          <w:t xml:space="preserve">§§ 541</w:t>
        </w:r>
      </w:hyperlink>
      <w:r>
        <w:t xml:space="preserve"> und </w:t>
      </w:r>
      <w:hyperlink w:anchor="b626" w:history="1">
        <w:r>
          <w:rPr>
            <w:color w:val="0A3A8C"/>
            <w:u w:val="single"/>
          </w:rPr>
          <w:t xml:space="preserve">570</w:t>
        </w:r>
      </w:hyperlink>
      <w:r>
        <w:t xml:space="preserve"> Abs. 1, 3 gelten entsprechend.</w:t>
      </w:r>
    </w:p>
    <w:p>
      <w:pPr>
        <w:pStyle w:val="Heading4"/>
      </w:pPr>
      <w:bookmarkStart w:id="634" w:name="b633"/>
      <w:r>
        <w:t>§ 576 Gründe der Rechtsbeschwerde</w:t>
      </w:r>
      <w:r>
        <w:t xml:space="preserve"> </w:t>
      </w:r>
      <w:r>
        <w:rPr>
          <w:rStyle w:val="Suchmarke"/>
        </w:rPr>
        <w:t>#576#</w:t>
      </w:r>
      <w:bookmarkEnd w:id="634"/>
    </w:p>
    <w:p>
      <w:r>
        <w:t>(1) Die Rechtsbeschwerde kann nur darauf gestützt werden, dass die Entscheidung auf der Verletzung des Bundesrechts oder einer Vorschrift beruht, deren Geltungsbereich sich über den Bezirk eines Oberlandesgerichts hinaus erstreckt.</w:t>
      </w:r>
    </w:p>
    <w:p>
      <w:r>
        <w:t>(2) Die Rechtsbeschwerde kann nicht darauf gestützt werden, dass das Gericht des ersten Rechtszuges seine Zuständigkeit zu Unrecht angenommen oder verneint hat.</w:t>
      </w:r>
    </w:p>
    <w:p>
      <w:r>
        <w:t xml:space="preserve">(3) Die </w:t>
      </w:r>
      <w:hyperlink w:anchor="b598" w:history="1">
        <w:r>
          <w:rPr>
            <w:color w:val="0A3A8C"/>
            <w:u w:val="single"/>
          </w:rPr>
          <w:t xml:space="preserve">§§ 546</w:t>
        </w:r>
      </w:hyperlink>
      <w:r>
        <w:t xml:space="preserve">, </w:t>
      </w:r>
      <w:hyperlink w:anchor="b599" w:history="1">
        <w:r>
          <w:rPr>
            <w:color w:val="0A3A8C"/>
            <w:u w:val="single"/>
          </w:rPr>
          <w:t xml:space="preserve">547</w:t>
        </w:r>
      </w:hyperlink>
      <w:r>
        <w:t xml:space="preserve">, </w:t>
      </w:r>
      <w:hyperlink w:anchor="b610" w:history="1">
        <w:r>
          <w:rPr>
            <w:color w:val="0A3A8C"/>
            <w:u w:val="single"/>
          </w:rPr>
          <w:t xml:space="preserve">556</w:t>
        </w:r>
      </w:hyperlink>
      <w:r>
        <w:t xml:space="preserve"> und </w:t>
      </w:r>
      <w:hyperlink w:anchor="b614" w:history="1">
        <w:r>
          <w:rPr>
            <w:color w:val="0A3A8C"/>
            <w:u w:val="single"/>
          </w:rPr>
          <w:t xml:space="preserve">560</w:t>
        </w:r>
      </w:hyperlink>
      <w:r>
        <w:t xml:space="preserve"> gelten entsprechend.</w:t>
      </w:r>
    </w:p>
    <w:p>
      <w:pPr>
        <w:pStyle w:val="Heading4"/>
      </w:pPr>
      <w:bookmarkStart w:id="635" w:name="b634"/>
      <w:r>
        <w:t>§ 577 Prüfung und Entscheidung der Rechtsbeschwerde</w:t>
      </w:r>
      <w:r>
        <w:t xml:space="preserve"> </w:t>
      </w:r>
      <w:r>
        <w:rPr>
          <w:rStyle w:val="Suchmarke"/>
        </w:rPr>
        <w:t>#577#</w:t>
      </w:r>
      <w:bookmarkEnd w:id="635"/>
    </w:p>
    <w:p>
      <w:r>
        <w:t xml:space="preserve">(1) </w:t>
      </w:r>
      <w:r>
        <w:rPr>
          <w:rStyle w:val="Satznummer"/>
        </w:rPr>
        <w:t>1</w:t>
      </w:r>
      <w:r>
        <w:t xml:space="preserve">Das Rechtsbeschwerdegericht hat von Amts wegen zu prüfen, ob die Rechtsbeschwerde an sich statthaft und ob sie in der gesetzlichen Form und Frist eingelegt und begründet ist. </w:t>
      </w:r>
      <w:r>
        <w:rPr>
          <w:rStyle w:val="Satznummer"/>
        </w:rPr>
        <w:t>2</w:t>
      </w:r>
      <w:r>
        <w:t>Mangelt es an einem dieser Erfordernisse, so ist die Rechtsbeschwerde als unzulässig zu verwerfen.</w:t>
      </w:r>
    </w:p>
    <w:p>
      <w:r>
        <w:t xml:space="preserve">(2) </w:t>
      </w:r>
      <w:r>
        <w:rPr>
          <w:rStyle w:val="Satznummer"/>
        </w:rPr>
        <w:t>1</w:t>
      </w:r>
      <w:r>
        <w:t xml:space="preserve">Der Prüfung des Rechtsbeschwerdegerichts unterliegen nur die von den Parteien gestellten Anträge. </w:t>
      </w:r>
      <w:r>
        <w:rPr>
          <w:rStyle w:val="Satznummer"/>
        </w:rPr>
        <w:t>2</w:t>
      </w:r>
      <w:r>
        <w:t xml:space="preserve">Das Rechtsbeschwerdegericht ist an die geltend gemachten Rechtsbeschwerdegründe nicht gebunden. </w:t>
      </w:r>
      <w:r>
        <w:rPr>
          <w:rStyle w:val="Satznummer"/>
        </w:rPr>
        <w:t>3</w:t>
      </w:r>
      <w:r>
        <w:t xml:space="preserve">Auf Verfahrensmängel, die nicht von Amts wegen zu berücksichtigen sind, darf die angefochtene Entscheidung nur geprüft werden, wenn die Mängel nach </w:t>
      </w:r>
      <w:hyperlink w:anchor="b632" w:history="1">
        <w:r>
          <w:rPr>
            <w:color w:val="0A3A8C"/>
            <w:u w:val="single"/>
          </w:rPr>
          <w:t xml:space="preserve">§ 575</w:t>
        </w:r>
      </w:hyperlink>
      <w:r>
        <w:t xml:space="preserve"> Abs. 3 und </w:t>
      </w:r>
      <w:hyperlink w:anchor="b631" w:history="1">
        <w:r>
          <w:rPr>
            <w:color w:val="0A3A8C"/>
            <w:u w:val="single"/>
          </w:rPr>
          <w:t xml:space="preserve">§ 574</w:t>
        </w:r>
      </w:hyperlink>
      <w:r>
        <w:t xml:space="preserve"> Abs. 4 Satz 2 gerügt worden sind. </w:t>
      </w:r>
      <w:r>
        <w:rPr>
          <w:rStyle w:val="Satznummer"/>
        </w:rPr>
        <w:t>4</w:t>
      </w:r>
      <w:hyperlink w:anchor="b613" w:history="1">
        <w:r>
          <w:rPr>
            <w:color w:val="0A3A8C"/>
            <w:u w:val="single"/>
          </w:rPr>
          <w:t xml:space="preserve">§ 559</w:t>
        </w:r>
      </w:hyperlink>
      <w:r>
        <w:t xml:space="preserve"> gilt entsprechend.</w:t>
      </w:r>
    </w:p>
    <w:p>
      <w:r>
        <w:t>(3) Ergibt die Begründung der angefochtenen Entscheidung zwar eine Rechtsverletzung, stellt die Entscheidung selbst aber aus anderen Gründen sich als richtig dar, so ist die Rechtsbeschwerde zurückzuweisen.</w:t>
      </w:r>
    </w:p>
    <w:p>
      <w:r>
        <w:t xml:space="preserve">(4) </w:t>
      </w:r>
      <w:r>
        <w:rPr>
          <w:rStyle w:val="Satznummer"/>
        </w:rPr>
        <w:t>1</w:t>
      </w:r>
      <w:r>
        <w:t xml:space="preserve">Wird die Rechtsbeschwerde für begründet erachtet, ist die angefochtene Entscheidung aufzuheben und die Sache zur erneuten Entscheidung zurückzuverweisen. </w:t>
      </w:r>
      <w:r>
        <w:rPr>
          <w:rStyle w:val="Satznummer"/>
        </w:rPr>
        <w:t>2</w:t>
      </w:r>
      <w:hyperlink w:anchor="b616" w:history="1">
        <w:r>
          <w:rPr>
            <w:color w:val="0A3A8C"/>
            <w:u w:val="single"/>
          </w:rPr>
          <w:t xml:space="preserve">§ 562</w:t>
        </w:r>
      </w:hyperlink>
      <w:r>
        <w:t xml:space="preserve"> Abs. 2 gilt entsprechend. </w:t>
      </w:r>
      <w:r>
        <w:rPr>
          <w:rStyle w:val="Satznummer"/>
        </w:rPr>
        <w:t>3</w:t>
      </w:r>
      <w:r>
        <w:t xml:space="preserve">Die Zurückverweisung kann an einen anderen Spruchkörper des Gerichts erfolgen, das die angefochtene Entscheidung erlassen hat. </w:t>
      </w:r>
      <w:r>
        <w:rPr>
          <w:rStyle w:val="Satznummer"/>
        </w:rPr>
        <w:t>4</w:t>
      </w:r>
      <w:r>
        <w:t>Das Gericht, an das die Sache zurückverwiesen ist, hat die rechtliche Beurteilung, die der Aufhebung zugrunde liegt, auch seiner Entscheidung zugrunde zu legen.</w:t>
      </w:r>
    </w:p>
    <w:p>
      <w:r>
        <w:t xml:space="preserve">(5) </w:t>
      </w:r>
      <w:r>
        <w:rPr>
          <w:rStyle w:val="Satznummer"/>
        </w:rPr>
        <w:t>1</w:t>
      </w:r>
      <w:r>
        <w:t xml:space="preserve">Das Rechtsbeschwerdegericht hat in der Sache selbst zu entscheiden, wenn die Aufhebung der Entscheidung nur wegen Rechtsverletzung bei Anwendung des Rechts auf das festgestellte Sachverhältnis erfolgt und nach letzterem die Sache zur Endentscheidung reif ist. </w:t>
      </w:r>
      <w:r>
        <w:rPr>
          <w:rStyle w:val="Satznummer"/>
        </w:rPr>
        <w:t>2</w:t>
      </w:r>
      <w:hyperlink w:anchor="b617" w:history="1">
        <w:r>
          <w:rPr>
            <w:color w:val="0A3A8C"/>
            <w:u w:val="single"/>
          </w:rPr>
          <w:t xml:space="preserve">§ 563</w:t>
        </w:r>
      </w:hyperlink>
      <w:r>
        <w:t xml:space="preserve"> Abs. 4 gilt entsprechend.</w:t>
      </w:r>
    </w:p>
    <w:p>
      <w:r>
        <w:t xml:space="preserve">(6) </w:t>
      </w:r>
      <w:r>
        <w:rPr>
          <w:rStyle w:val="Satznummer"/>
        </w:rPr>
        <w:t>1</w:t>
      </w:r>
      <w:r>
        <w:t xml:space="preserve">Die Entscheidung über die Rechtsbeschwerde ergeht durch Beschluss. </w:t>
      </w:r>
      <w:r>
        <w:rPr>
          <w:rStyle w:val="Satznummer"/>
        </w:rPr>
        <w:t>2</w:t>
      </w:r>
      <w:hyperlink w:anchor="b618" w:history="1">
        <w:r>
          <w:rPr>
            <w:color w:val="0A3A8C"/>
            <w:u w:val="single"/>
          </w:rPr>
          <w:t xml:space="preserve">§ 564</w:t>
        </w:r>
      </w:hyperlink>
      <w:r>
        <w:t xml:space="preserve"> gilt entsprechend. </w:t>
      </w:r>
      <w:r>
        <w:rPr>
          <w:rStyle w:val="Satznummer"/>
        </w:rPr>
        <w:t>3</w:t>
      </w:r>
      <w:r>
        <w:t>Im Übrigen kann von einer Begründung abgesehen werden, wenn sie nicht geeignet wäre, zur Klärung von Rechtsfragen grundsätzlicher Bedeutung, zur Fortbildung des Rechts oder zur Sicherung einer einheitlichen Rechtsprechung beizutragen.</w:t>
      </w:r>
    </w:p>
    <w:p>
      <w:pPr>
        <w:pStyle w:val="Heading1"/>
      </w:pPr>
      <w:bookmarkStart w:id="636" w:name="b635"/>
      <w:r>
        <w:t>Buch 4 Wiederaufnahme des Verfahrens</w:t>
      </w:r>
      <w:bookmarkEnd w:id="636"/>
    </w:p>
    <w:p>
      <w:pPr>
        <w:pStyle w:val="Heading2"/>
      </w:pPr>
      <w:bookmarkStart w:id="637" w:name="b636"/>
      <w:r>
        <w:t>§ 578 Arten der Wiederaufnahme</w:t>
      </w:r>
      <w:r>
        <w:t xml:space="preserve"> </w:t>
      </w:r>
      <w:r>
        <w:rPr>
          <w:rStyle w:val="Suchmarke"/>
        </w:rPr>
        <w:t>#578#</w:t>
      </w:r>
      <w:bookmarkEnd w:id="637"/>
    </w:p>
    <w:p>
      <w:r>
        <w:t>(1) Die Wiederaufnahme eines durch rechtskräftiges Endurteil geschlossenen Verfahrens kann durch Nichtigkeitsklage und durch Restitutionsklage erfolgen.</w:t>
      </w:r>
    </w:p>
    <w:p>
      <w:r>
        <w:t>(2) Werden beide Klagen von derselben Partei oder von verschiedenen Parteien erhoben, so ist die Verhandlung und Entscheidung über die Restitutionsklage bis zur rechtskräftigen Entscheidung über die Nichtigkeitsklage auszusetzen.</w:t>
      </w:r>
    </w:p>
    <w:p>
      <w:pPr>
        <w:pStyle w:val="Heading2"/>
      </w:pPr>
      <w:bookmarkStart w:id="638" w:name="b637"/>
      <w:r>
        <w:t>§ 579 Nichtigkeitsklage</w:t>
      </w:r>
      <w:r>
        <w:t xml:space="preserve"> </w:t>
      </w:r>
      <w:r>
        <w:rPr>
          <w:rStyle w:val="Suchmarke"/>
        </w:rPr>
        <w:t>#579#</w:t>
      </w:r>
      <w:bookmarkEnd w:id="638"/>
    </w:p>
    <w:p>
      <w:r>
        <w:t>(1) Die Nichtigkeitsklage findet statt:</w:t>
      </w:r>
    </w:p>
    <w:p>
      <w:pPr>
        <w:tabs>
          <w:tab w:pos="567" w:val="left"/>
        </w:tabs>
        <w:ind w:left="567" w:hanging="567"/>
      </w:pPr>
      <w:r>
        <w:t>1.</w:t>
      </w:r>
      <w:r>
        <w:tab/>
      </w:r>
      <w:r>
        <w:t>wenn das erkennende Gericht nicht vorschriftsmäßig besetzt war;</w:t>
      </w:r>
    </w:p>
    <w:p>
      <w:pPr>
        <w:tabs>
          <w:tab w:pos="567" w:val="left"/>
        </w:tabs>
        <w:ind w:left="567" w:hanging="567"/>
      </w:pPr>
      <w:r>
        <w:t>2.</w:t>
      </w:r>
      <w:r>
        <w:tab/>
      </w:r>
      <w:r>
        <w:t>wenn ein Richter bei der Entscheidung mitgewirkt hat, der von der Ausübung des Richteramts kraft Gesetzes ausgeschlossen war, sofern nicht dieses Hindernis mittels eines Ablehnungsgesuchs oder eines Rechtsmittels ohne Erfolg geltend gemacht ist;</w:t>
      </w:r>
    </w:p>
    <w:p>
      <w:pPr>
        <w:tabs>
          <w:tab w:pos="567" w:val="left"/>
        </w:tabs>
        <w:ind w:left="567" w:hanging="567"/>
      </w:pPr>
      <w:r>
        <w:t>3.</w:t>
      </w:r>
      <w:r>
        <w:tab/>
      </w:r>
      <w:r>
        <w:t>wenn bei der Entscheidung ein Richter mitgewirkt hat, obgleich er wegen Besorgnis der Befangenheit abgelehnt und das Ablehnungsgesuch für begründet erklärt war;</w:t>
      </w:r>
    </w:p>
    <w:p>
      <w:pPr>
        <w:tabs>
          <w:tab w:pos="567" w:val="left"/>
        </w:tabs>
        <w:ind w:left="567" w:hanging="567"/>
      </w:pPr>
      <w:r>
        <w:t>4.</w:t>
      </w:r>
      <w:r>
        <w:tab/>
      </w:r>
      <w:r>
        <w:t>wenn eine Partei in dem Verfahren nicht nach Vorschrift der Gesetze vertreten war, sofern sie nicht die Prozessführung ausdrücklich oder stillschweigend genehmigt hat.</w:t>
      </w:r>
    </w:p>
    <w:p>
      <w:r>
        <w:t>(2) In den Fällen der Nummern 1, 3 findet die Klage nicht statt, wenn die Nichtigkeit mittels eines Rechtsmittels geltend gemacht werden konnte.</w:t>
      </w:r>
    </w:p>
    <w:p>
      <w:pPr>
        <w:pStyle w:val="Heading2"/>
      </w:pPr>
      <w:bookmarkStart w:id="639" w:name="b638"/>
      <w:r>
        <w:t>§ 580 Restitutionsklage</w:t>
      </w:r>
      <w:r>
        <w:t xml:space="preserve"> </w:t>
      </w:r>
      <w:r>
        <w:rPr>
          <w:rStyle w:val="Suchmarke"/>
        </w:rPr>
        <w:t>#580#</w:t>
      </w:r>
      <w:bookmarkEnd w:id="639"/>
    </w:p>
    <w:p>
      <w:r>
        <w:t>Die Restitutionsklage findet statt:</w:t>
      </w:r>
    </w:p>
    <w:p>
      <w:pPr>
        <w:tabs>
          <w:tab w:pos="567" w:val="left"/>
        </w:tabs>
        <w:ind w:left="567" w:hanging="567"/>
      </w:pPr>
      <w:r>
        <w:t>1.</w:t>
      </w:r>
      <w:r>
        <w:tab/>
      </w:r>
      <w:r>
        <w:t>wenn der Gegner durch Beeidigung einer Aussage, auf die das Urteil gegründet ist, sich einer vorsätzlichen oder fahrlässigen Verletzung der Eidespflicht schuldig gemacht hat;</w:t>
      </w:r>
    </w:p>
    <w:p>
      <w:pPr>
        <w:tabs>
          <w:tab w:pos="567" w:val="left"/>
        </w:tabs>
        <w:ind w:left="567" w:hanging="567"/>
      </w:pPr>
      <w:r>
        <w:t>2.</w:t>
      </w:r>
      <w:r>
        <w:tab/>
      </w:r>
      <w:r>
        <w:t>wenn eine Urkunde, auf die das Urteil gegründet ist, fälschlich angefertigt oder verfälscht war;</w:t>
      </w:r>
    </w:p>
    <w:p>
      <w:pPr>
        <w:tabs>
          <w:tab w:pos="567" w:val="left"/>
        </w:tabs>
        <w:ind w:left="567" w:hanging="567"/>
      </w:pPr>
      <w:r>
        <w:t>3.</w:t>
      </w:r>
      <w:r>
        <w:tab/>
      </w:r>
      <w:r>
        <w:t>wenn bei einem Zeugnis oder Gutachten, auf welches das Urteil gegründet ist, der Zeuge oder Sachverständige sich einer strafbaren Verletzung der Wahrheitspflicht schuldig gemacht hat;</w:t>
      </w:r>
    </w:p>
    <w:p>
      <w:pPr>
        <w:tabs>
          <w:tab w:pos="567" w:val="left"/>
        </w:tabs>
        <w:ind w:left="567" w:hanging="567"/>
      </w:pPr>
      <w:r>
        <w:t>4.</w:t>
      </w:r>
      <w:r>
        <w:tab/>
      </w:r>
      <w:r>
        <w:t>wenn das Urteil von dem Vertreter der Partei oder von dem Gegner oder dessen Vertreter durch eine in Beziehung auf den Rechtsstreit verübte Straftat erwirkt ist;</w:t>
      </w:r>
    </w:p>
    <w:p>
      <w:pPr>
        <w:tabs>
          <w:tab w:pos="567" w:val="left"/>
        </w:tabs>
        <w:ind w:left="567" w:hanging="567"/>
      </w:pPr>
      <w:r>
        <w:t>5.</w:t>
      </w:r>
      <w:r>
        <w:tab/>
      </w:r>
      <w:r>
        <w:t>wenn ein Richter bei dem Urteil mitgewirkt hat, der sich in Beziehung auf den Rechtsstreit einer strafbaren Verletzung seiner Amtspflichten gegen die Partei schuldig gemacht hat;</w:t>
      </w:r>
    </w:p>
    <w:p>
      <w:pPr>
        <w:tabs>
          <w:tab w:pos="567" w:val="left"/>
        </w:tabs>
        <w:ind w:left="567" w:hanging="567"/>
      </w:pPr>
      <w:r>
        <w:t>6.</w:t>
      </w:r>
      <w:r>
        <w:tab/>
      </w:r>
      <w:r>
        <w:t>wenn das Urteil eines ordentlichen Gerichts, eines früheren Sondergerichts oder eines Verwaltungsgerichts, auf welches das Urteil gegründet ist, durch ein anderes rechtskräftiges Urteil aufgehoben ist;</w:t>
      </w:r>
    </w:p>
    <w:p>
      <w:pPr>
        <w:tabs>
          <w:tab w:pos="567" w:val="left"/>
        </w:tabs>
        <w:ind w:left="567" w:hanging="567"/>
      </w:pPr>
      <w:r>
        <w:t>7.</w:t>
      </w:r>
      <w:r>
        <w:tab/>
      </w:r>
      <w:r>
        <w:t>wenn die Partei</w:t>
      </w:r>
    </w:p>
    <w:p>
      <w:pPr>
        <w:tabs>
          <w:tab w:pos="1134" w:val="left"/>
        </w:tabs>
        <w:ind w:left="1134" w:hanging="567"/>
      </w:pPr>
      <w:r>
        <w:t>a)</w:t>
      </w:r>
      <w:r>
        <w:tab/>
      </w:r>
      <w:r>
        <w:t>ein in derselben Sache erlassenes, früher rechtskräftig gewordenes Urteil oder</w:t>
      </w:r>
    </w:p>
    <w:p>
      <w:pPr>
        <w:tabs>
          <w:tab w:pos="1134" w:val="left"/>
        </w:tabs>
        <w:ind w:left="1134" w:hanging="567"/>
      </w:pPr>
      <w:r>
        <w:t>b)</w:t>
      </w:r>
      <w:r>
        <w:tab/>
      </w:r>
      <w:r>
        <w:t>eine andere Urkunde auffindet oder zu benutzen in den Stand gesetzt wird, die eine ihr günstigere Entscheidung herbeigeführt haben würde;</w:t>
      </w:r>
    </w:p>
    <w:p>
      <w:pPr>
        <w:tabs>
          <w:tab w:pos="567" w:val="left"/>
        </w:tabs>
        <w:ind w:left="567" w:hanging="567"/>
      </w:pPr>
      <w:r>
        <w:t>8.</w:t>
      </w:r>
      <w:r>
        <w:tab/>
      </w:r>
      <w:r>
        <w:t>wenn der Europäische Gerichtshof für Menschenrechte eine Verletzung der Europäischen Konvention zum Schutz der Menschenrechte und Grundfreiheiten oder ihrer Protokolle festgestellt hat und das Urteil auf dieser Verletzung beruht.</w:t>
      </w:r>
    </w:p>
    <w:p>
      <w:pPr>
        <w:pStyle w:val="Heading2"/>
      </w:pPr>
      <w:bookmarkStart w:id="640" w:name="b639"/>
      <w:r>
        <w:t>§ 581 Besondere Voraussetzungen der Restitutionsklage</w:t>
      </w:r>
      <w:r>
        <w:t xml:space="preserve"> </w:t>
      </w:r>
      <w:r>
        <w:rPr>
          <w:rStyle w:val="Suchmarke"/>
        </w:rPr>
        <w:t>#581#</w:t>
      </w:r>
      <w:bookmarkEnd w:id="640"/>
    </w:p>
    <w:p>
      <w:r>
        <w:t>(1) In den Fällen des vorhergehenden Paragraphen Nummern 1 bis 5 findet die Restitutionsklage nur statt, wenn wegen der Straftat eine rechtskräftige Verurteilung ergangen ist oder wenn die Einleitung oder Durchführung eines Strafverfahrens aus anderen Gründen als wegen Mangels an Beweis nicht erfolgen kann.</w:t>
      </w:r>
    </w:p>
    <w:p>
      <w:r>
        <w:t>(2) Der Beweis der Tatsachen, welche die Restitutionsklage begründen, kann durch den Antrag auf Parteivernehmung nicht geführt werden.</w:t>
      </w:r>
    </w:p>
    <w:p>
      <w:pPr>
        <w:pStyle w:val="Heading2"/>
      </w:pPr>
      <w:bookmarkStart w:id="641" w:name="b640"/>
      <w:r>
        <w:t>§ 582 Hilfsnatur der Restitutionsklage</w:t>
      </w:r>
      <w:r>
        <w:t xml:space="preserve"> </w:t>
      </w:r>
      <w:r>
        <w:rPr>
          <w:rStyle w:val="Suchmarke"/>
        </w:rPr>
        <w:t>#582#</w:t>
      </w:r>
      <w:bookmarkEnd w:id="641"/>
    </w:p>
    <w:p>
      <w:r>
        <w:t>Die Restitutionsklage ist nur zulässig, wenn die Partei ohne ihr Verschulden außerstande war, den Restitutionsgrund in dem früheren Verfahren, insbesondere durch Einspruch oder Berufung oder mittels Anschließung an eine Berufung, geltend zu machen.</w:t>
      </w:r>
    </w:p>
    <w:p>
      <w:pPr>
        <w:pStyle w:val="Heading2"/>
      </w:pPr>
      <w:bookmarkStart w:id="642" w:name="b641"/>
      <w:r>
        <w:t>§ 583 Vorentscheidungen</w:t>
      </w:r>
      <w:r>
        <w:t xml:space="preserve"> </w:t>
      </w:r>
      <w:r>
        <w:rPr>
          <w:rStyle w:val="Suchmarke"/>
        </w:rPr>
        <w:t>#583#</w:t>
      </w:r>
      <w:bookmarkEnd w:id="642"/>
    </w:p>
    <w:p>
      <w:r>
        <w:t>Mit den Klagen können Anfechtungsgründe, durch die eine dem angefochtenen Urteil vorausgegangene Entscheidung derselben oder einer unteren Instanz betroffen wird, geltend gemacht werden, sofern das angefochtene Urteil auf dieser Entscheidung beruht.</w:t>
      </w:r>
    </w:p>
    <w:p>
      <w:pPr>
        <w:pStyle w:val="Heading2"/>
      </w:pPr>
      <w:bookmarkStart w:id="643" w:name="b642"/>
      <w:r>
        <w:t>§ 584 Ausschließliche Zuständigkeit für Nichtigkeits- und Restitutionsklagen</w:t>
      </w:r>
      <w:r>
        <w:t xml:space="preserve"> </w:t>
      </w:r>
      <w:r>
        <w:rPr>
          <w:rStyle w:val="Suchmarke"/>
        </w:rPr>
        <w:t>#584#</w:t>
      </w:r>
      <w:bookmarkEnd w:id="643"/>
    </w:p>
    <w:p>
      <w:r>
        <w:t xml:space="preserve">(1) Für die Klagen ist ausschließlich zuständig: das Gericht, das im ersten Rechtszug erkannt hat; wenn das angefochtene Urteil oder auch nur eines von mehreren angefochtenen Urteilen von dem Berufungsgericht erlassen wurde oder wenn ein in der Revisionsinstanz erlassenes Urteil auf Grund des </w:t>
      </w:r>
      <w:hyperlink w:anchor="b638" w:history="1">
        <w:r>
          <w:rPr>
            <w:color w:val="0A3A8C"/>
            <w:u w:val="single"/>
          </w:rPr>
          <w:t xml:space="preserve">§ 580</w:t>
        </w:r>
      </w:hyperlink>
      <w:r>
        <w:t xml:space="preserve"> Nr. 1 bis 3, 6, 7 angefochten wird, das Berufungsgericht; wenn ein in der Revisionsinstanz erlassenes Urteil auf Grund der </w:t>
      </w:r>
      <w:hyperlink w:anchor="b637" w:history="1">
        <w:r>
          <w:rPr>
            <w:color w:val="0A3A8C"/>
            <w:u w:val="single"/>
          </w:rPr>
          <w:t xml:space="preserve">§§ 579</w:t>
        </w:r>
      </w:hyperlink>
      <w:r>
        <w:t xml:space="preserve">, </w:t>
      </w:r>
      <w:hyperlink w:anchor="b638" w:history="1">
        <w:r>
          <w:rPr>
            <w:color w:val="0A3A8C"/>
            <w:u w:val="single"/>
          </w:rPr>
          <w:t xml:space="preserve">580</w:t>
        </w:r>
      </w:hyperlink>
      <w:r>
        <w:t xml:space="preserve"> Nr. 4, 5 angefochten wird, das Revisionsgericht.</w:t>
      </w:r>
    </w:p>
    <w:p>
      <w:r>
        <w:t>(2) Sind die Klagen gegen einen Vollstreckungsbescheid gerichtet, so gehören sie ausschließlich vor das Gericht, das für eine Entscheidung im Streitverfahren zuständig gewesen wäre.</w:t>
      </w:r>
    </w:p>
    <w:p>
      <w:pPr>
        <w:pStyle w:val="Heading2"/>
      </w:pPr>
      <w:bookmarkStart w:id="644" w:name="b643"/>
      <w:r>
        <w:t>§ 585 Allgemeine Verfahrensgrundsätze</w:t>
      </w:r>
      <w:r>
        <w:t xml:space="preserve"> </w:t>
      </w:r>
      <w:r>
        <w:rPr>
          <w:rStyle w:val="Suchmarke"/>
        </w:rPr>
        <w:t>#585#</w:t>
      </w:r>
      <w:bookmarkEnd w:id="644"/>
    </w:p>
    <w:p>
      <w:r>
        <w:t>Für die Erhebung der Klagen und das weitere Verfahren gelten die allgemeinen Vorschriften entsprechend, sofern nicht aus den Vorschriften dieses Gesetzes sich eine Abweichung ergibt.</w:t>
      </w:r>
    </w:p>
    <w:p>
      <w:pPr>
        <w:pStyle w:val="Heading2"/>
      </w:pPr>
      <w:bookmarkStart w:id="645" w:name="b644"/>
      <w:r>
        <w:t>§ 586 Klagefrist</w:t>
      </w:r>
      <w:r>
        <w:t xml:space="preserve"> </w:t>
      </w:r>
      <w:r>
        <w:rPr>
          <w:rStyle w:val="Suchmarke"/>
        </w:rPr>
        <w:t>#586#</w:t>
      </w:r>
      <w:bookmarkEnd w:id="645"/>
    </w:p>
    <w:p>
      <w:r>
        <w:t>(1) Die Klagen sind vor Ablauf der Notfrist eines Monats zu erheben.</w:t>
      </w:r>
    </w:p>
    <w:p>
      <w:r>
        <w:t xml:space="preserve">(2) </w:t>
      </w:r>
      <w:r>
        <w:rPr>
          <w:rStyle w:val="Satznummer"/>
        </w:rPr>
        <w:t>1</w:t>
      </w:r>
      <w:r>
        <w:t xml:space="preserve">Die Frist beginnt mit dem Tag, an dem die Partei von dem Anfechtungsgrund Kenntnis erhalten hat, jedoch nicht vor eingetretener Rechtskraft des Urteils. </w:t>
      </w:r>
      <w:r>
        <w:rPr>
          <w:rStyle w:val="Satznummer"/>
        </w:rPr>
        <w:t>2</w:t>
      </w:r>
      <w:r>
        <w:t>Nach Ablauf von fünf Jahren, von dem Tag der Rechtskraft des Urteils an gerechnet, sind die Klagen unstatthaft.</w:t>
      </w:r>
    </w:p>
    <w:p>
      <w:r>
        <w:t>(3) Die Vorschriften des vorstehenden Absatzes sind auf die Nichtigkeitsklage wegen mangelnder Vertretung nicht anzuwenden; die Frist für die Erhebung der Klage läuft von dem Tag, an dem der Partei und bei mangelnder Prozessfähigkeit ihrem gesetzlichen Vertreter das Urteil zugestellt ist.</w:t>
      </w:r>
    </w:p>
    <w:p>
      <w:r>
        <w:t xml:space="preserve">(4) Die Vorschrift des Absatzes 2 Satz 2 ist auf die Restitutionsklage nach </w:t>
      </w:r>
      <w:hyperlink w:anchor="b638" w:history="1">
        <w:r>
          <w:rPr>
            <w:color w:val="0A3A8C"/>
            <w:u w:val="single"/>
          </w:rPr>
          <w:t xml:space="preserve">§ 580</w:t>
        </w:r>
      </w:hyperlink>
      <w:r>
        <w:t xml:space="preserve"> Nummer 8 nicht anzuwenden.</w:t>
      </w:r>
    </w:p>
    <w:p>
      <w:pPr>
        <w:pStyle w:val="Heading2"/>
      </w:pPr>
      <w:bookmarkStart w:id="646" w:name="b645"/>
      <w:r>
        <w:t>§ 587 Klageschrift</w:t>
      </w:r>
      <w:r>
        <w:t xml:space="preserve"> </w:t>
      </w:r>
      <w:r>
        <w:rPr>
          <w:rStyle w:val="Suchmarke"/>
        </w:rPr>
        <w:t>#587#</w:t>
      </w:r>
      <w:bookmarkEnd w:id="646"/>
    </w:p>
    <w:p>
      <w:r>
        <w:t>In der Klage muss die Bezeichnung des Urteils, gegen das die Nichtigkeits- oder Restitutionsklage gerichtet wird, und die Erklärung, welche dieser Klagen erhoben wird, enthalten sein.</w:t>
      </w:r>
    </w:p>
    <w:p>
      <w:pPr>
        <w:pStyle w:val="Heading2"/>
      </w:pPr>
      <w:bookmarkStart w:id="647" w:name="b646"/>
      <w:r>
        <w:t>§ 588 Inhalt der Klageschrift</w:t>
      </w:r>
      <w:r>
        <w:t xml:space="preserve"> </w:t>
      </w:r>
      <w:r>
        <w:rPr>
          <w:rStyle w:val="Suchmarke"/>
        </w:rPr>
        <w:t>#588#</w:t>
      </w:r>
      <w:bookmarkEnd w:id="647"/>
    </w:p>
    <w:p>
      <w:r>
        <w:t>(1) Als vorbereitender Schriftsatz soll die Klage enthalten:</w:t>
      </w:r>
    </w:p>
    <w:p>
      <w:pPr>
        <w:tabs>
          <w:tab w:pos="567" w:val="left"/>
        </w:tabs>
        <w:ind w:left="567" w:hanging="567"/>
      </w:pPr>
      <w:r>
        <w:t>1.</w:t>
      </w:r>
      <w:r>
        <w:tab/>
      </w:r>
      <w:r>
        <w:t>die Bezeichnung des Anfechtungsgrundes;</w:t>
      </w:r>
    </w:p>
    <w:p>
      <w:pPr>
        <w:tabs>
          <w:tab w:pos="567" w:val="left"/>
        </w:tabs>
        <w:ind w:left="567" w:hanging="567"/>
      </w:pPr>
      <w:r>
        <w:t>2.</w:t>
      </w:r>
      <w:r>
        <w:tab/>
      </w:r>
      <w:r>
        <w:t>die Angabe der Beweismittel für die Tatsachen, die den Grund und die Einhaltung der Notfrist ergeben;</w:t>
      </w:r>
    </w:p>
    <w:p>
      <w:pPr>
        <w:tabs>
          <w:tab w:pos="567" w:val="left"/>
        </w:tabs>
        <w:ind w:left="567" w:hanging="567"/>
      </w:pPr>
      <w:r>
        <w:t>3.</w:t>
      </w:r>
      <w:r>
        <w:tab/>
      </w:r>
      <w:r>
        <w:t>die Erklärung, inwieweit die Beseitigung des angefochtenen Urteils und welche andere Entscheidung in der Hauptsache beantragt werde.</w:t>
      </w:r>
    </w:p>
    <w:p>
      <w:r>
        <w:t xml:space="preserve">(2) </w:t>
      </w:r>
      <w:r>
        <w:rPr>
          <w:rStyle w:val="Satznummer"/>
        </w:rPr>
        <w:t>1</w:t>
      </w:r>
      <w:r>
        <w:t xml:space="preserve">Dem Schriftsatz, durch den eine Restitutionsklage erhoben wird, sind die Urkunden, auf die sie gestützt wird, in Urschrift oder in Abschrift beizufügen. </w:t>
      </w:r>
      <w:r>
        <w:rPr>
          <w:rStyle w:val="Satznummer"/>
        </w:rPr>
        <w:t>2</w:t>
      </w:r>
      <w:r>
        <w:t>Befinden sich die Urkunden nicht in den Händen des Klägers, so hat er zu erklären, welchen Antrag er wegen ihrer Herbeischaffung zu stellen beabsichtigt.</w:t>
      </w:r>
    </w:p>
    <w:p>
      <w:pPr>
        <w:pStyle w:val="Heading2"/>
      </w:pPr>
      <w:bookmarkStart w:id="648" w:name="b647"/>
      <w:r>
        <w:t>§ 589 Zulässigkeitsprüfung</w:t>
      </w:r>
      <w:r>
        <w:t xml:space="preserve"> </w:t>
      </w:r>
      <w:r>
        <w:rPr>
          <w:rStyle w:val="Suchmarke"/>
        </w:rPr>
        <w:t>#589#</w:t>
      </w:r>
      <w:bookmarkEnd w:id="648"/>
    </w:p>
    <w:p>
      <w:r>
        <w:t xml:space="preserve">(1) </w:t>
      </w:r>
      <w:r>
        <w:rPr>
          <w:rStyle w:val="Satznummer"/>
        </w:rPr>
        <w:t>1</w:t>
      </w:r>
      <w:r>
        <w:t xml:space="preserve">Das Gericht hat von Amts wegen zu prüfen, ob die Klage an sich statthaft und ob sie in der gesetzlichen Form und Frist erhoben sei. </w:t>
      </w:r>
      <w:r>
        <w:rPr>
          <w:rStyle w:val="Satznummer"/>
        </w:rPr>
        <w:t>2</w:t>
      </w:r>
      <w:r>
        <w:t>Mangelt es an einem dieser Erfordernisse, so ist die Klage als unzulässig zu verwerfen.</w:t>
      </w:r>
    </w:p>
    <w:p>
      <w:r>
        <w:t>(2) Die Tatsachen, die ergeben, dass die Klage vor Ablauf der Notfrist erhoben ist, sind glaubhaft zu machen.</w:t>
      </w:r>
    </w:p>
    <w:p>
      <w:pPr>
        <w:pStyle w:val="Heading2"/>
      </w:pPr>
      <w:bookmarkStart w:id="649" w:name="b648"/>
      <w:r>
        <w:t>§ 590 Neue Verhandlung</w:t>
      </w:r>
      <w:r>
        <w:t xml:space="preserve"> </w:t>
      </w:r>
      <w:r>
        <w:rPr>
          <w:rStyle w:val="Suchmarke"/>
        </w:rPr>
        <w:t>#590#</w:t>
      </w:r>
      <w:bookmarkEnd w:id="649"/>
    </w:p>
    <w:p>
      <w:r>
        <w:t>(1) Die Hauptsache wird, insoweit sie von dem Anfechtungsgrunde betroffen ist, von neuem verhandelt.</w:t>
      </w:r>
    </w:p>
    <w:p>
      <w:r>
        <w:t xml:space="preserve">(2) </w:t>
      </w:r>
      <w:r>
        <w:rPr>
          <w:rStyle w:val="Satznummer"/>
        </w:rPr>
        <w:t>1</w:t>
      </w:r>
      <w:r>
        <w:t xml:space="preserve">Das Gericht kann anordnen, dass die Verhandlung und Entscheidung über Grund und Zulässigkeit der Wiederaufnahme des Verfahrens vor der Verhandlung über die Hauptsache erfolge. </w:t>
      </w:r>
      <w:r>
        <w:rPr>
          <w:rStyle w:val="Satznummer"/>
        </w:rPr>
        <w:t>2</w:t>
      </w:r>
      <w:r>
        <w:t>In diesem Fall ist die Verhandlung über die Hauptsache als Fortsetzung der Verhandlung über Grund und Zulässigkeit der Wiederaufnahme des Verfahrens anzusehen.</w:t>
      </w:r>
    </w:p>
    <w:p>
      <w:r>
        <w:t>(3) Das für die Klagen zuständige Revisionsgericht hat die Verhandlung über Grund und Zulässigkeit der Wiederaufnahme des Verfahrens zu erledigen, auch wenn diese Erledigung von der Feststellung und Würdigung bestrittener Tatsachen abhängig ist.</w:t>
      </w:r>
    </w:p>
    <w:p>
      <w:pPr>
        <w:pStyle w:val="Heading2"/>
      </w:pPr>
      <w:bookmarkStart w:id="650" w:name="b649"/>
      <w:r>
        <w:t>§ 591 Rechtsmittel</w:t>
      </w:r>
      <w:r>
        <w:t xml:space="preserve"> </w:t>
      </w:r>
      <w:r>
        <w:rPr>
          <w:rStyle w:val="Suchmarke"/>
        </w:rPr>
        <w:t>#591#</w:t>
      </w:r>
      <w:bookmarkEnd w:id="650"/>
    </w:p>
    <w:p>
      <w:r>
        <w:t>Rechtsmittel sind insoweit zulässig, als sie gegen die Entscheidungen der mit den Klagen befassten Gerichte überhaupt stattfinden.</w:t>
      </w:r>
    </w:p>
    <w:p>
      <w:pPr>
        <w:pStyle w:val="Heading1"/>
      </w:pPr>
      <w:bookmarkStart w:id="651" w:name="b650"/>
      <w:r>
        <w:t>Buch 5 Urkunden- und Wechselprozess</w:t>
      </w:r>
      <w:bookmarkEnd w:id="651"/>
    </w:p>
    <w:p>
      <w:pPr>
        <w:pStyle w:val="Heading2"/>
      </w:pPr>
      <w:bookmarkStart w:id="652" w:name="b651"/>
      <w:r>
        <w:t>§ 592 Zulässigkeit</w:t>
      </w:r>
      <w:r>
        <w:t xml:space="preserve"> </w:t>
      </w:r>
      <w:r>
        <w:rPr>
          <w:rStyle w:val="Suchmarke"/>
        </w:rPr>
        <w:t>#592#</w:t>
      </w:r>
      <w:bookmarkEnd w:id="652"/>
    </w:p>
    <w:p>
      <w:r>
        <w:rPr>
          <w:rStyle w:val="Satznummer"/>
        </w:rPr>
        <w:t>1</w:t>
      </w:r>
      <w:r>
        <w:t xml:space="preserve">Ein Anspruch, welcher die Zahlung einer bestimmten Geldsumme oder die Leistung einer bestimmten Menge anderer vertretbarer Sachen oder Wertpapiere zum Gegenstand hat, kann im Urkundenprozess geltend gemacht werden, wenn die sämtlichen zur Begründung des Anspruchs erforderlichen Tatsachen durch Urkunden bewiesen werden können. </w:t>
      </w:r>
      <w:r>
        <w:rPr>
          <w:rStyle w:val="Satznummer"/>
        </w:rPr>
        <w:t>2</w:t>
      </w:r>
      <w:r>
        <w:t>Als ein Anspruch, welcher die Zahlung einer Geldsumme zum Gegenstand hat, gilt auch der Anspruch aus einer Hypothek, einer Grundschuld, einer Rentenschuld oder einer Schiffshypothek.</w:t>
      </w:r>
    </w:p>
    <w:p>
      <w:pPr>
        <w:pStyle w:val="Heading2"/>
      </w:pPr>
      <w:bookmarkStart w:id="653" w:name="b652"/>
      <w:r>
        <w:t>§ 593 Klageinhalt; Urkunden</w:t>
      </w:r>
      <w:r>
        <w:t xml:space="preserve"> </w:t>
      </w:r>
      <w:r>
        <w:rPr>
          <w:rStyle w:val="Suchmarke"/>
        </w:rPr>
        <w:t>#593#</w:t>
      </w:r>
      <w:bookmarkEnd w:id="653"/>
    </w:p>
    <w:p>
      <w:r>
        <w:t>(1) Die Klage muss die Erklärung enthalten, dass im Urkundenprozess geklagt werde.</w:t>
      </w:r>
    </w:p>
    <w:p>
      <w:r>
        <w:t xml:space="preserve">(2) </w:t>
      </w:r>
      <w:r>
        <w:rPr>
          <w:rStyle w:val="Satznummer"/>
        </w:rPr>
        <w:t>1</w:t>
      </w:r>
      <w:r>
        <w:t xml:space="preserve">Die Urkunden müssen in Abschrift der Klage oder einem vorbereitenden Schriftsatz beigefügt werden. </w:t>
      </w:r>
      <w:r>
        <w:rPr>
          <w:rStyle w:val="Satznummer"/>
        </w:rPr>
        <w:t>2</w:t>
      </w:r>
      <w:r>
        <w:t>Im letzteren Fall muss zwischen der Zustellung des Schriftsatzes und dem Termin zur mündlichen Verhandlung ein der Einlassungsfrist gleicher Zeitraum liegen.</w:t>
      </w:r>
    </w:p>
    <w:p>
      <w:pPr>
        <w:pStyle w:val="Heading2"/>
      </w:pPr>
      <w:bookmarkStart w:id="654" w:name="b653"/>
      <w:r>
        <w:t>§ 594</w:t>
      </w:r>
      <w:r>
        <w:t xml:space="preserve"> </w:t>
      </w:r>
      <w:r>
        <w:rPr>
          <w:rStyle w:val="Suchmarke"/>
        </w:rPr>
        <w:t>#594#</w:t>
      </w:r>
      <w:bookmarkEnd w:id="654"/>
    </w:p>
    <w:p>
      <w:r>
        <w:t>(weggefallen)</w:t>
      </w:r>
    </w:p>
    <w:p>
      <w:pPr>
        <w:pStyle w:val="Heading2"/>
      </w:pPr>
      <w:bookmarkStart w:id="655" w:name="b654"/>
      <w:r>
        <w:t>§ 595 Keine Widerklage; Beweismittel</w:t>
      </w:r>
      <w:r>
        <w:t xml:space="preserve"> </w:t>
      </w:r>
      <w:r>
        <w:rPr>
          <w:rStyle w:val="Suchmarke"/>
        </w:rPr>
        <w:t>#595#</w:t>
      </w:r>
      <w:bookmarkEnd w:id="655"/>
    </w:p>
    <w:p>
      <w:r>
        <w:t>(1) Widerklagen sind nicht statthaft.</w:t>
      </w:r>
    </w:p>
    <w:p>
      <w:r>
        <w:t xml:space="preserve">(2) Als Beweismittel sind bezüglich der Echtheit oder Unechtheit einer Urkunde sowie bezüglich anderer als der im </w:t>
      </w:r>
      <w:hyperlink w:anchor="b651" w:history="1">
        <w:r>
          <w:rPr>
            <w:color w:val="0A3A8C"/>
            <w:u w:val="single"/>
          </w:rPr>
          <w:t xml:space="preserve">§ 592</w:t>
        </w:r>
      </w:hyperlink>
      <w:r>
        <w:t xml:space="preserve"> erwähnten Tatsachen nur Urkunden und Antrag auf Parteivernehmung zulässig.</w:t>
      </w:r>
    </w:p>
    <w:p>
      <w:r>
        <w:t>(3) Der Urkundenbeweis kann nur durch Vorlegung der Urkunden angetreten werden.</w:t>
      </w:r>
    </w:p>
    <w:p>
      <w:pPr>
        <w:pStyle w:val="Heading2"/>
      </w:pPr>
      <w:bookmarkStart w:id="656" w:name="b655"/>
      <w:r>
        <w:t>§ 596 Abstehen vom Urkundenprozess</w:t>
      </w:r>
      <w:r>
        <w:t xml:space="preserve"> </w:t>
      </w:r>
      <w:r>
        <w:rPr>
          <w:rStyle w:val="Suchmarke"/>
        </w:rPr>
        <w:t>#596#</w:t>
      </w:r>
      <w:bookmarkEnd w:id="656"/>
    </w:p>
    <w:p>
      <w:r>
        <w:t>Der Kläger kann, ohne dass es der Einwilligung des Beklagten bedarf, bis zum Schluss der mündlichen Verhandlung von dem Urkundenprozess in der Weise abstehen, dass der Rechtsstreit im ordentlichen Verfahren anhängig bleibt.</w:t>
      </w:r>
    </w:p>
    <w:p>
      <w:pPr>
        <w:pStyle w:val="Heading2"/>
      </w:pPr>
      <w:bookmarkStart w:id="657" w:name="b656"/>
      <w:r>
        <w:t>§ 597 Klageabweisung</w:t>
      </w:r>
      <w:r>
        <w:t xml:space="preserve"> </w:t>
      </w:r>
      <w:r>
        <w:rPr>
          <w:rStyle w:val="Suchmarke"/>
        </w:rPr>
        <w:t>#597#</w:t>
      </w:r>
      <w:bookmarkEnd w:id="657"/>
    </w:p>
    <w:p>
      <w:r>
        <w:t>(1) Insoweit der in der Klage geltend gemachte Anspruch an sich oder infolge einer Einrede des Beklagten als unbegründet sich darstellt, ist der Kläger mit dem Anspruch abzuweisen.</w:t>
      </w:r>
    </w:p>
    <w:p>
      <w:r>
        <w:t>(2) Ist der Urkundenprozess unstatthaft, ist insbesondere ein dem Kläger obliegender Beweis nicht mit den im Urkundenprozess zulässigen Beweismitteln angetreten oder mit solchen Beweismitteln nicht vollständig geführt, so wird die Klage als in der gewählten Prozessart unstatthaft abgewiesen, selbst wenn in dem Termin zur mündlichen Verhandlung der Beklagte nicht erschienen ist oder der Klage nur auf Grund von Einwendungen widersprochen hat, die rechtlich unbegründet oder im Urkundenprozess unstatthaft sind.</w:t>
      </w:r>
    </w:p>
    <w:p>
      <w:pPr>
        <w:pStyle w:val="Heading2"/>
      </w:pPr>
      <w:bookmarkStart w:id="658" w:name="b657"/>
      <w:r>
        <w:t>§ 598 Zurückweisung von Einwendungen</w:t>
      </w:r>
      <w:r>
        <w:t xml:space="preserve"> </w:t>
      </w:r>
      <w:r>
        <w:rPr>
          <w:rStyle w:val="Suchmarke"/>
        </w:rPr>
        <w:t>#598#</w:t>
      </w:r>
      <w:bookmarkEnd w:id="658"/>
    </w:p>
    <w:p>
      <w:r>
        <w:t>Einwendungen des Beklagten sind, wenn der dem Beklagten obliegende Beweis nicht mit den im Urkundenprozess zulässigen Beweismitteln angetreten oder mit solchen Beweismitteln nicht vollständig geführt ist, als im Urkundenprozess unstatthaft zurückzuweisen.</w:t>
      </w:r>
    </w:p>
    <w:p>
      <w:pPr>
        <w:pStyle w:val="Heading2"/>
      </w:pPr>
      <w:bookmarkStart w:id="659" w:name="b658"/>
      <w:r>
        <w:t>§ 599 Vorbehaltsurteil</w:t>
      </w:r>
      <w:r>
        <w:t xml:space="preserve"> </w:t>
      </w:r>
      <w:r>
        <w:rPr>
          <w:rStyle w:val="Suchmarke"/>
        </w:rPr>
        <w:t>#599#</w:t>
      </w:r>
      <w:bookmarkEnd w:id="659"/>
    </w:p>
    <w:p>
      <w:r>
        <w:t>(1) Dem Beklagten, welcher dem geltend gemachten Anspruch widersprochen hat, ist in allen Fällen, in denen er verurteilt wird, die Ausführung seiner Rechte vorzubehalten.</w:t>
      </w:r>
    </w:p>
    <w:p>
      <w:r>
        <w:t xml:space="preserve">(2) Enthält das Urteil keinen Vorbehalt, so kann die Ergänzung des Urteils nach der Vorschrift des </w:t>
      </w:r>
      <w:hyperlink w:anchor="b367" w:history="1">
        <w:r>
          <w:rPr>
            <w:color w:val="0A3A8C"/>
            <w:u w:val="single"/>
          </w:rPr>
          <w:t xml:space="preserve">§ 321</w:t>
        </w:r>
      </w:hyperlink>
      <w:r>
        <w:t xml:space="preserve"> beantragt werden.</w:t>
      </w:r>
    </w:p>
    <w:p>
      <w:r>
        <w:t>(3) Das Urteil, das unter Vorbehalt der Rechte ergeht, ist für die Rechtsmittel und die Zwangsvollstreckung als Endurteil anzusehen.</w:t>
      </w:r>
    </w:p>
    <w:p>
      <w:pPr>
        <w:pStyle w:val="Heading2"/>
      </w:pPr>
      <w:bookmarkStart w:id="660" w:name="b659"/>
      <w:r>
        <w:t>§ 600 Nachverfahren</w:t>
      </w:r>
      <w:r>
        <w:t xml:space="preserve"> </w:t>
      </w:r>
      <w:r>
        <w:rPr>
          <w:rStyle w:val="Suchmarke"/>
        </w:rPr>
        <w:t>#600#</w:t>
      </w:r>
      <w:bookmarkEnd w:id="660"/>
    </w:p>
    <w:p>
      <w:r>
        <w:t>(1) Wird dem Beklagten die Ausführung seiner Rechte vorbehalten, so bleibt der Rechtsstreit im ordentlichen Verfahren anhängig.</w:t>
      </w:r>
    </w:p>
    <w:p>
      <w:r>
        <w:t xml:space="preserve">(2) Soweit sich in diesem Verfahren ergibt, dass der Anspruch des Klägers unbegründet war, gelten die Vorschriften des </w:t>
      </w:r>
      <w:hyperlink w:anchor="b343" w:history="1">
        <w:r>
          <w:rPr>
            <w:color w:val="0A3A8C"/>
            <w:u w:val="single"/>
          </w:rPr>
          <w:t xml:space="preserve">§ 302</w:t>
        </w:r>
      </w:hyperlink>
      <w:r>
        <w:t xml:space="preserve"> Abs. 4 Satz 2 bis 4.</w:t>
      </w:r>
    </w:p>
    <w:p>
      <w:r>
        <w:t>(3) Erscheint in diesem Verfahren eine Partei nicht, so sind die Vorschriften über das Versäumnisurteil entsprechend anzuwenden.</w:t>
      </w:r>
    </w:p>
    <w:p>
      <w:pPr>
        <w:pStyle w:val="Heading2"/>
      </w:pPr>
      <w:bookmarkStart w:id="661" w:name="b660"/>
      <w:r>
        <w:t>§ 601</w:t>
      </w:r>
      <w:r>
        <w:t xml:space="preserve"> </w:t>
      </w:r>
      <w:r>
        <w:rPr>
          <w:rStyle w:val="Suchmarke"/>
        </w:rPr>
        <w:t>#601#</w:t>
      </w:r>
      <w:bookmarkEnd w:id="661"/>
    </w:p>
    <w:p>
      <w:r>
        <w:t>(weggefallen)</w:t>
      </w:r>
    </w:p>
    <w:p>
      <w:pPr>
        <w:pStyle w:val="Heading2"/>
      </w:pPr>
      <w:bookmarkStart w:id="662" w:name="b661"/>
      <w:r>
        <w:t>§ 602 Wechselprozess</w:t>
      </w:r>
      <w:r>
        <w:t xml:space="preserve"> </w:t>
      </w:r>
      <w:r>
        <w:rPr>
          <w:rStyle w:val="Suchmarke"/>
        </w:rPr>
        <w:t>#602#</w:t>
      </w:r>
      <w:bookmarkEnd w:id="662"/>
    </w:p>
    <w:p>
      <w:r>
        <w:t>Werden im Urkundenprozess Ansprüche aus Wechseln im Sinne des Wechselgesetzes geltend gemacht (Wechselprozess), so sind die nachfolgenden besonderen Vorschriften anzuwenden.</w:t>
      </w:r>
    </w:p>
    <w:p>
      <w:pPr>
        <w:pStyle w:val="Heading2"/>
      </w:pPr>
      <w:bookmarkStart w:id="663" w:name="b662"/>
      <w:r>
        <w:t>§ 603 Gerichtsstand</w:t>
      </w:r>
      <w:r>
        <w:t xml:space="preserve"> </w:t>
      </w:r>
      <w:r>
        <w:rPr>
          <w:rStyle w:val="Suchmarke"/>
        </w:rPr>
        <w:t>#603#</w:t>
      </w:r>
      <w:bookmarkEnd w:id="663"/>
    </w:p>
    <w:p>
      <w:r>
        <w:t>(1) Wechselklagen können sowohl bei dem Gericht des Zahlungsortes als bei dem Gericht angestellt werden, bei dem der Beklagte seinen allgemeinen Gerichtsstand hat.</w:t>
      </w:r>
    </w:p>
    <w:p>
      <w:r>
        <w:t>(2) Wenn mehrere Wechselverpflichtete gemeinschaftlich verklagt werden, so ist außer dem Gericht des Zahlungsortes jedes Gericht zuständig, bei dem einer der Beklagten seinen allgemeinen Gerichtsstand hat.</w:t>
      </w:r>
    </w:p>
    <w:p>
      <w:pPr>
        <w:pStyle w:val="Heading2"/>
      </w:pPr>
      <w:bookmarkStart w:id="664" w:name="b663"/>
      <w:r>
        <w:t>§ 604 Klageinhalt; Ladungsfrist</w:t>
      </w:r>
      <w:r>
        <w:t xml:space="preserve"> </w:t>
      </w:r>
      <w:r>
        <w:rPr>
          <w:rStyle w:val="Suchmarke"/>
        </w:rPr>
        <w:t>#604#</w:t>
      </w:r>
      <w:bookmarkEnd w:id="664"/>
    </w:p>
    <w:p>
      <w:r>
        <w:t>(1) Die Klage muss die Erklärung enthalten, dass im Wechselprozess geklagt werde.</w:t>
      </w:r>
    </w:p>
    <w:p>
      <w:r>
        <w:t xml:space="preserve">(2) </w:t>
      </w:r>
      <w:r>
        <w:rPr>
          <w:rStyle w:val="Satznummer"/>
        </w:rPr>
        <w:t>1</w:t>
      </w:r>
      <w:r>
        <w:t xml:space="preserve">Die Ladungsfrist beträgt mindestens 24 Stunden, wenn die Ladung an dem Ort, der Sitz des Prozessgerichts ist, zugestellt wird. </w:t>
      </w:r>
      <w:r>
        <w:rPr>
          <w:rStyle w:val="Satznummer"/>
        </w:rPr>
        <w:t>2</w:t>
      </w:r>
      <w:r>
        <w:t>In Anwaltsprozessen beträgt sie mindestens drei Tage, wenn die Ladung an einem anderen Ort zugestellt wird, der im Bezirk des Prozessgerichts liegt oder von dem ein Teil zu dessen Bezirk gehört.</w:t>
      </w:r>
    </w:p>
    <w:p>
      <w:r>
        <w:t>(3) In den höheren Instanzen beträgt die Ladungsfrist mindestens 24 Stunden, wenn die Zustellung der Berufungs- oder Revisionsschrift oder der Ladung an dem Ort erfolgt, der Sitz des höheren Gerichts ist; mindestens drei Tage, wenn die Zustellung an einem anderen Ort erfolgt, der ganz oder zum Teil in dem Landgerichtsbezirk liegt, in dem das höhere Gericht seinen Sitz hat; mindestens eine Woche, wenn die Zustellung sonst im Inland erfolgt.</w:t>
      </w:r>
    </w:p>
    <w:p>
      <w:pPr>
        <w:pStyle w:val="Heading2"/>
      </w:pPr>
      <w:bookmarkStart w:id="665" w:name="b664"/>
      <w:r>
        <w:t>§ 605 Beweisvorschriften</w:t>
      </w:r>
      <w:r>
        <w:t xml:space="preserve"> </w:t>
      </w:r>
      <w:r>
        <w:rPr>
          <w:rStyle w:val="Suchmarke"/>
        </w:rPr>
        <w:t>#605#</w:t>
      </w:r>
      <w:bookmarkEnd w:id="665"/>
    </w:p>
    <w:p>
      <w:r>
        <w:t>(1) Soweit es zur Erhaltung des wechselmäßigen Anspruchs der rechtzeitigen Protesterhebung nicht bedarf, ist als Beweismittel bezüglich der Vorlegung des Wechsels der Antrag auf Parteivernehmung zulässig.</w:t>
      </w:r>
    </w:p>
    <w:p>
      <w:r>
        <w:t>(2) Zur Berücksichtigung einer Nebenforderung genügt, dass sie glaubhaft gemacht ist.</w:t>
      </w:r>
    </w:p>
    <w:p>
      <w:pPr>
        <w:pStyle w:val="Heading2"/>
      </w:pPr>
      <w:bookmarkStart w:id="666" w:name="b665"/>
      <w:r>
        <w:t>§ 605a Scheckprozess</w:t>
      </w:r>
      <w:r>
        <w:t xml:space="preserve"> </w:t>
      </w:r>
      <w:r>
        <w:rPr>
          <w:rStyle w:val="Suchmarke"/>
        </w:rPr>
        <w:t>#605a#</w:t>
      </w:r>
      <w:bookmarkEnd w:id="666"/>
    </w:p>
    <w:p>
      <w:r>
        <w:t xml:space="preserve">Werden im Urkundenprozess Ansprüche aus Schecks im Sinne des Scheckgesetzes geltend gemacht (Scheckprozess), so sind die </w:t>
      </w:r>
      <w:hyperlink w:anchor="b661" w:history="1">
        <w:r>
          <w:rPr>
            <w:color w:val="0A3A8C"/>
            <w:u w:val="single"/>
          </w:rPr>
          <w:t xml:space="preserve">§§ 602</w:t>
        </w:r>
      </w:hyperlink>
      <w:r>
        <w:t xml:space="preserve"> bis </w:t>
      </w:r>
      <w:hyperlink w:anchor="b664" w:history="1">
        <w:r>
          <w:rPr>
            <w:color w:val="0A3A8C"/>
            <w:u w:val="single"/>
          </w:rPr>
          <w:t xml:space="preserve">605</w:t>
        </w:r>
      </w:hyperlink>
      <w:r>
        <w:t xml:space="preserve"> entsprechend anzuwenden.</w:t>
      </w:r>
    </w:p>
    <w:p>
      <w:pPr>
        <w:pStyle w:val="Heading1"/>
      </w:pPr>
      <w:bookmarkStart w:id="667" w:name="b666"/>
      <w:r>
        <w:t>Buch 6 Weitere besondere Verfahren</w:t>
      </w:r>
      <w:bookmarkEnd w:id="667"/>
    </w:p>
    <w:p>
      <w:pPr>
        <w:pStyle w:val="Heading2"/>
      </w:pPr>
      <w:bookmarkStart w:id="668" w:name="b667"/>
      <w:r>
        <w:t>Abschnitt 1 Englischsprachige Verfahren</w:t>
      </w:r>
      <w:bookmarkEnd w:id="668"/>
    </w:p>
    <w:p>
      <w:pPr>
        <w:pStyle w:val="Heading3"/>
      </w:pPr>
      <w:bookmarkStart w:id="669" w:name="b668"/>
      <w:r>
        <w:t>§ 606 Klageschrift</w:t>
      </w:r>
      <w:r>
        <w:t xml:space="preserve"> </w:t>
      </w:r>
      <w:r>
        <w:rPr>
          <w:rStyle w:val="Suchmarke"/>
        </w:rPr>
        <w:t>#606#</w:t>
      </w:r>
      <w:bookmarkEnd w:id="669"/>
    </w:p>
    <w:p>
      <w:r>
        <w:rPr>
          <w:rStyle w:val="Satznummer"/>
        </w:rPr>
        <w:t>1</w:t>
      </w:r>
      <w:r>
        <w:t xml:space="preserve">Soll ein Verfahren nach Maßgabe des § 184a Absatz 1 des Gerichtsverfassungsgesetzes vollständig in englischer Sprache geführt werden, so ist dies in der englischsprachigen Klageschrift anzugeben. </w:t>
      </w:r>
      <w:r>
        <w:rPr>
          <w:rStyle w:val="Satznummer"/>
        </w:rPr>
        <w:t>2</w:t>
      </w:r>
      <w:r>
        <w:t>Sofern die Parteien eine Vereinbarung über die Führung des Verfahrens in englischer Sprache getroffen haben, ist diese Vereinbarung in der Klageschrift darzulegen.</w:t>
      </w:r>
    </w:p>
    <w:p>
      <w:pPr>
        <w:pStyle w:val="Heading3"/>
      </w:pPr>
      <w:bookmarkStart w:id="670" w:name="b669"/>
      <w:r>
        <w:t>§ 607 Beteiligung Dritter am Rechtsstreit</w:t>
      </w:r>
      <w:r>
        <w:t xml:space="preserve"> </w:t>
      </w:r>
      <w:r>
        <w:rPr>
          <w:rStyle w:val="Suchmarke"/>
        </w:rPr>
        <w:t>#607#</w:t>
      </w:r>
      <w:bookmarkEnd w:id="670"/>
    </w:p>
    <w:p>
      <w:r>
        <w:t xml:space="preserve">(1) </w:t>
      </w:r>
      <w:r>
        <w:rPr>
          <w:rStyle w:val="Satznummer"/>
        </w:rPr>
        <w:t>1</w:t>
      </w:r>
      <w:r>
        <w:t xml:space="preserve">In einem in englischer Sprache geführten Verfahren gilt ein englischsprachiger Schriftsatz, der die Einbeziehung eines Dritten in den Rechtsstreit bewirken soll, als nicht zugestellt, wenn der Dritte die englische Sprache nicht versteht und der Zustellung deshalb binnen zwei Wochen gegenüber dem Gericht widerspricht. </w:t>
      </w:r>
      <w:r>
        <w:rPr>
          <w:rStyle w:val="Satznummer"/>
        </w:rPr>
        <w:t>2</w:t>
      </w:r>
      <w:r>
        <w:t>Auf das Recht zum Widerspruch nach Satz 1 hat das Gericht den Dritten in deutscher Sprache hinzuweisen.</w:t>
      </w:r>
    </w:p>
    <w:p>
      <w:r>
        <w:t>(2) Hat der Dritte der Zustellung nach Absatz 1 Satz 1 widersprochen, so setzt das Gericht die betroffene Partei hiervon unverzüglich in Kenntnis und fordert diese auf, binnen einer Frist von zwei Wochen eine Übersetzung des Schriftsatzes in die deutsche Sprache einzureichen.</w:t>
      </w:r>
    </w:p>
    <w:p>
      <w:r>
        <w:t xml:space="preserve">(3) </w:t>
      </w:r>
      <w:r>
        <w:rPr>
          <w:rStyle w:val="Satznummer"/>
        </w:rPr>
        <w:t>1</w:t>
      </w:r>
      <w:r>
        <w:t xml:space="preserve">Hat der Dritte der Zustellung nach Absatz 1 Satz 1 widersprochen, so kann die Zustellung dadurch erfolgen, dass dem Dritten der englischsprachige Schriftsatz zusammen mit einer Übersetzung in die deutsche Sprache zugestellt wird. </w:t>
      </w:r>
      <w:r>
        <w:rPr>
          <w:rStyle w:val="Satznummer"/>
        </w:rPr>
        <w:t>2</w:t>
      </w:r>
      <w:r>
        <w:t xml:space="preserve">In diesem Fall ist der Tag der Zustellung des Schriftsatzes der Tag, an dem die Zustellung nach Satz 1 bewirkt wird. </w:t>
      </w:r>
      <w:r>
        <w:rPr>
          <w:rStyle w:val="Satznummer"/>
        </w:rPr>
        <w:t>3</w:t>
      </w:r>
      <w:r>
        <w:t>Soll durch die Zustellung eine Frist gewahrt werden oder die Verjährung neu beginnen oder nach § 204 des Bürgerlichen Gesetzbuchs gehemmt werden, tritt diese Wirkung mit dem Tag ein, an dem der englischsprachige Schriftsatz dem Dritten erstmals zugestellt worden ist, wenn die Frist des Absatzes 2 gewahrt wurde.</w:t>
      </w:r>
    </w:p>
    <w:p>
      <w:r>
        <w:t>(4) Kosten einer Übersetzung nach Absatz 2 werden nicht erstattet.</w:t>
      </w:r>
    </w:p>
    <w:p>
      <w:pPr>
        <w:pStyle w:val="Heading3"/>
      </w:pPr>
      <w:bookmarkStart w:id="671" w:name="b670"/>
      <w:r>
        <w:t>§ 608 Übersetzung</w:t>
      </w:r>
      <w:r>
        <w:t xml:space="preserve"> </w:t>
      </w:r>
      <w:r>
        <w:rPr>
          <w:rStyle w:val="Suchmarke"/>
        </w:rPr>
        <w:t>#608#</w:t>
      </w:r>
      <w:bookmarkEnd w:id="671"/>
    </w:p>
    <w:p>
      <w:r>
        <w:t xml:space="preserve">(1) </w:t>
      </w:r>
      <w:r>
        <w:rPr>
          <w:rStyle w:val="Satznummer"/>
        </w:rPr>
        <w:t>1</w:t>
      </w:r>
      <w:r>
        <w:t xml:space="preserve">Auf Antrag einer Partei ist eine vollstreckbare gerichtliche Entscheidung in die deutsche Sprache zu übersetzen. </w:t>
      </w:r>
      <w:r>
        <w:rPr>
          <w:rStyle w:val="Satznummer"/>
        </w:rPr>
        <w:t>2</w:t>
      </w:r>
      <w:r>
        <w:t xml:space="preserve">Die Übersetzung muss nicht den Tatbestand und die Entscheidungsgründe umfassen. </w:t>
      </w:r>
      <w:r>
        <w:rPr>
          <w:rStyle w:val="Satznummer"/>
        </w:rPr>
        <w:t>3</w:t>
      </w:r>
      <w:r>
        <w:t>Die Übersetzung ist untrennbar mit der vollständig abgefassten Entscheidung zu verbinden.</w:t>
      </w:r>
    </w:p>
    <w:p>
      <w:r>
        <w:t>(2) Auf Antrag einer Partei ist ein Vergleich nach § 794 Absatz 1 Nummer 1 in die deutsche Sprache zu übersetzen und die Übersetzung untrennbar mit dem Vergleich zu verbinden.</w:t>
      </w:r>
    </w:p>
    <w:p>
      <w:r>
        <w:t xml:space="preserve">(3) </w:t>
      </w:r>
      <w:r>
        <w:rPr>
          <w:rStyle w:val="Satznummer"/>
        </w:rPr>
        <w:t>1</w:t>
      </w:r>
      <w:r>
        <w:t xml:space="preserve">Ist die Veröffentlichung einer gerichtlichen Entscheidung beabsichtigt, hat das Gericht die Übersetzung der vollständig abgefassten Entscheidung in die deutsche Sprache zu veranlassen und beide Sprachfassungen zusammen zu veröffentlichen. </w:t>
      </w:r>
      <w:r>
        <w:rPr>
          <w:rStyle w:val="Satznummer"/>
        </w:rPr>
        <w:t>2</w:t>
      </w:r>
      <w:r>
        <w:t xml:space="preserve">Wird das Verfahren aufgrund einer Entscheidung nach </w:t>
      </w:r>
      <w:hyperlink w:anchor="b307" w:history="1">
        <w:r>
          <w:rPr>
            <w:color w:val="0A3A8C"/>
            <w:u w:val="single"/>
          </w:rPr>
          <w:t xml:space="preserve">§ 273a</w:t>
        </w:r>
      </w:hyperlink>
      <w:r>
        <w:t xml:space="preserve"> nichtöffentlich geführt, so soll die Übersetzung der Entscheidung dergestalt auszugsweise erfolgen, dass keine Rückschlüsse auf schutzwürdige Einzelheiten des Verfahrens möglich sind.</w:t>
      </w:r>
    </w:p>
    <w:p>
      <w:pPr>
        <w:pStyle w:val="Heading3"/>
      </w:pPr>
      <w:bookmarkStart w:id="672" w:name="b671"/>
      <w:r>
        <w:t>§ 609 Rechtsmittelschrift</w:t>
      </w:r>
      <w:r>
        <w:t xml:space="preserve"> </w:t>
      </w:r>
      <w:r>
        <w:rPr>
          <w:rStyle w:val="Suchmarke"/>
        </w:rPr>
        <w:t>#609#</w:t>
      </w:r>
      <w:bookmarkEnd w:id="672"/>
    </w:p>
    <w:p>
      <w:r>
        <w:t>(1) Rechtsmittelschriften gegen Entscheidungen in Verfahren, die in englischer Sprache geführt worden sind, sind in englischer Sprache einzureichen.</w:t>
      </w:r>
    </w:p>
    <w:p>
      <w:r>
        <w:t xml:space="preserve">(2) </w:t>
      </w:r>
      <w:r>
        <w:rPr>
          <w:rStyle w:val="Satznummer"/>
        </w:rPr>
        <w:t>1</w:t>
      </w:r>
      <w:r>
        <w:t xml:space="preserve">In Verfahren vor dem Bundesgerichtshof gilt Absatz 1 nur, wenn ein Antrag nach § 184b Absatz 1 Satz 1 Nummer 2 des Gerichtsverfassungsgesetzes gestellt wird. </w:t>
      </w:r>
      <w:r>
        <w:rPr>
          <w:rStyle w:val="Satznummer"/>
        </w:rPr>
        <w:t>2</w:t>
      </w:r>
      <w:r>
        <w:t>Wird der Antrag abgelehnt, ist die Rechtsmittelschrift auf Anforderung des Gerichts in deutscher Sprache nachzureichen.</w:t>
      </w:r>
    </w:p>
    <w:p>
      <w:pPr>
        <w:pStyle w:val="Heading2"/>
      </w:pPr>
      <w:bookmarkStart w:id="673" w:name="b672"/>
      <w:r>
        <w:t>Abschnitt 2 Verfahren vor den Commercial Courts und den Commercial Chambers</w:t>
      </w:r>
      <w:bookmarkEnd w:id="673"/>
    </w:p>
    <w:p>
      <w:pPr>
        <w:pStyle w:val="Heading3"/>
      </w:pPr>
      <w:bookmarkStart w:id="674" w:name="b673"/>
      <w:r>
        <w:t>§ 610 Anwendbare Vorschriften vor den Commercial Courts; Klageschrift</w:t>
      </w:r>
      <w:r>
        <w:t xml:space="preserve"> </w:t>
      </w:r>
      <w:r>
        <w:rPr>
          <w:rStyle w:val="Suchmarke"/>
        </w:rPr>
        <w:t>#610#</w:t>
      </w:r>
      <w:bookmarkEnd w:id="674"/>
    </w:p>
    <w:p>
      <w:r>
        <w:t xml:space="preserve">(1) Für das Verfahren vor den Commercial Courts im ersten Rechtszug (§ 119b Absatz 1 des Gerichtsverfassungsgesetzes) sind die im ersten Rechtszug für das Verfahren vor den Landgerichten geltenden Vorschriften mit Ausnahme der </w:t>
      </w:r>
      <w:hyperlink w:anchor="b403" w:history="1">
        <w:r>
          <w:rPr>
            <w:color w:val="0A3A8C"/>
            <w:u w:val="single"/>
          </w:rPr>
          <w:t xml:space="preserve">§§ 348</w:t>
        </w:r>
      </w:hyperlink>
      <w:r>
        <w:t xml:space="preserve"> bis </w:t>
      </w:r>
      <w:hyperlink w:anchor="b406" w:history="1">
        <w:r>
          <w:rPr>
            <w:color w:val="0A3A8C"/>
            <w:u w:val="single"/>
          </w:rPr>
          <w:t xml:space="preserve">350</w:t>
        </w:r>
      </w:hyperlink>
      <w:r>
        <w:t xml:space="preserve"> entsprechend anzuwenden, soweit sich aus den Vorschriften dieses Abschnittes keine Abweichungen ergeben.</w:t>
      </w:r>
    </w:p>
    <w:p>
      <w:r>
        <w:t xml:space="preserve">(2) </w:t>
      </w:r>
      <w:r>
        <w:rPr>
          <w:rStyle w:val="Satznummer"/>
        </w:rPr>
        <w:t>1</w:t>
      </w:r>
      <w:r>
        <w:t xml:space="preserve">In der Klageschrift ist zu beantragen, dass das Verfahren in erster Instanz vor dem Commercial Court geführt wird. </w:t>
      </w:r>
      <w:r>
        <w:rPr>
          <w:rStyle w:val="Satznummer"/>
        </w:rPr>
        <w:t>2</w:t>
      </w:r>
      <w:r>
        <w:t>Sofern die Parteien eine Vereinbarung über die Führung des Verfahrens in erster Instanz vor dem Commercial Court getroffen haben, ist diese Vereinbarung in der Klageschrift darzulegen.</w:t>
      </w:r>
    </w:p>
    <w:p>
      <w:pPr>
        <w:pStyle w:val="Heading3"/>
      </w:pPr>
      <w:bookmarkStart w:id="675" w:name="b674"/>
      <w:r>
        <w:t>§ 611 Verweisung an den Commercial Court</w:t>
      </w:r>
      <w:r>
        <w:t xml:space="preserve"> </w:t>
      </w:r>
      <w:r>
        <w:rPr>
          <w:rStyle w:val="Suchmarke"/>
        </w:rPr>
        <w:t>#611#</w:t>
      </w:r>
      <w:bookmarkEnd w:id="675"/>
    </w:p>
    <w:p>
      <w:r>
        <w:t xml:space="preserve">(1) </w:t>
      </w:r>
      <w:r>
        <w:rPr>
          <w:rStyle w:val="Satznummer"/>
        </w:rPr>
        <w:t>1</w:t>
      </w:r>
      <w:r>
        <w:t>Wird in Verfahren, in denen die Parteien die Zuständigkeit des Commercial Courts vereinbaren können, die Klage beim Landgericht anhängig gemacht, so hat sich dieses für unzuständig zu erklären und den Rechtsstreit an den vom Kläger bezeichneten Commercial Court zu verweisen, wenn</w:t>
      </w:r>
    </w:p>
    <w:p>
      <w:pPr>
        <w:tabs>
          <w:tab w:pos="567" w:val="left"/>
        </w:tabs>
        <w:ind w:left="567" w:hanging="567"/>
      </w:pPr>
      <w:r>
        <w:t>1.</w:t>
      </w:r>
      <w:r>
        <w:tab/>
      </w:r>
      <w:r>
        <w:t>der Kläger dies in der Klageschrift beantragt hat und</w:t>
      </w:r>
    </w:p>
    <w:p>
      <w:pPr>
        <w:tabs>
          <w:tab w:pos="567" w:val="left"/>
        </w:tabs>
        <w:ind w:left="567" w:hanging="567"/>
      </w:pPr>
      <w:r>
        <w:t>2.</w:t>
      </w:r>
      <w:r>
        <w:tab/>
      </w:r>
      <w:r>
        <w:t>der Beklagte der Verweisung bis zum Ende der Klageerwiderungsfrist zustimmt.</w:t>
      </w:r>
    </w:p>
    <w:p>
      <w:r>
        <w:rPr>
          <w:rStyle w:val="Satznummer"/>
        </w:rPr>
        <w:t>2</w:t>
      </w:r>
      <w:r>
        <w:t>Satz 1 gilt entsprechend, wenn der Beklagte in der Klageerwiderung die Verweisung an den Commercial Court beantragt und der Kläger innerhalb der hierfür vom Gericht gesetzten Frist zustimmt.</w:t>
      </w:r>
    </w:p>
    <w:p>
      <w:r>
        <w:t>(2) Wird durch Widerklage oder durch Erweiterung des Klageantrags (</w:t>
      </w:r>
      <w:hyperlink w:anchor="b297" w:history="1">
        <w:r>
          <w:rPr>
            <w:color w:val="0A3A8C"/>
            <w:u w:val="single"/>
          </w:rPr>
          <w:t xml:space="preserve">§ 264</w:t>
        </w:r>
      </w:hyperlink>
      <w:r>
        <w:t xml:space="preserve"> Nummer 2 oder 3) ein Anspruch erhoben, der die Zuständigkeit des Commercial Courts begründet, so hat sich das angerufene Gericht auf Antrag einer Partei für unzuständig zu erklären und den Rechtsstreit an den Commercial Court zu verweisen, sofern die Parteien die Anrufung des Commercial Courts vereinbart haben oder mit der Verweisung einverstanden sind.</w:t>
      </w:r>
    </w:p>
    <w:p>
      <w:r>
        <w:t xml:space="preserve">(3) Die Vorschrift des </w:t>
      </w:r>
      <w:hyperlink w:anchor="b316" w:history="1">
        <w:r>
          <w:rPr>
            <w:color w:val="0A3A8C"/>
            <w:u w:val="single"/>
          </w:rPr>
          <w:t xml:space="preserve">§ 281</w:t>
        </w:r>
      </w:hyperlink>
      <w:r>
        <w:t xml:space="preserve"> Absatz 2 und 3 Satz 1 gilt entsprechend.</w:t>
      </w:r>
    </w:p>
    <w:p>
      <w:pPr>
        <w:pStyle w:val="Heading3"/>
      </w:pPr>
      <w:bookmarkStart w:id="676" w:name="b675"/>
      <w:r>
        <w:t>§ 612 Organisationstermin</w:t>
      </w:r>
      <w:r>
        <w:t xml:space="preserve"> </w:t>
      </w:r>
      <w:r>
        <w:rPr>
          <w:rStyle w:val="Suchmarke"/>
        </w:rPr>
        <w:t>#612#</w:t>
      </w:r>
      <w:bookmarkEnd w:id="676"/>
    </w:p>
    <w:p>
      <w:r>
        <w:rPr>
          <w:rStyle w:val="Satznummer"/>
        </w:rPr>
        <w:t>1</w:t>
      </w:r>
      <w:r>
        <w:t xml:space="preserve">Der Commercial Court im ersten Rechtszug und die Commercial Chamber treffen mit den Parteien so früh wie möglich in einem Organisationstermin Vereinbarungen über die Organisation und den Ablauf des Verfahrens, sofern keine sachlichen oder organisatorischen Gründe entgegenstehen. </w:t>
      </w:r>
      <w:r>
        <w:rPr>
          <w:rStyle w:val="Satznummer"/>
        </w:rPr>
        <w:t>2</w:t>
      </w:r>
      <w:r>
        <w:t xml:space="preserve">Die </w:t>
      </w:r>
      <w:hyperlink w:anchor="b251" w:history="1">
        <w:r>
          <w:rPr>
            <w:color w:val="0A3A8C"/>
            <w:u w:val="single"/>
          </w:rPr>
          <w:t xml:space="preserve">§§ 224</w:t>
        </w:r>
      </w:hyperlink>
      <w:r>
        <w:t xml:space="preserve">, </w:t>
      </w:r>
      <w:hyperlink w:anchor="b333" w:history="1">
        <w:r>
          <w:rPr>
            <w:color w:val="0A3A8C"/>
            <w:u w:val="single"/>
          </w:rPr>
          <w:t xml:space="preserve">296</w:t>
        </w:r>
      </w:hyperlink>
      <w:r>
        <w:t xml:space="preserve"> und </w:t>
      </w:r>
      <w:hyperlink w:anchor="b410" w:history="1">
        <w:r>
          <w:rPr>
            <w:color w:val="0A3A8C"/>
            <w:u w:val="single"/>
          </w:rPr>
          <w:t xml:space="preserve">356</w:t>
        </w:r>
      </w:hyperlink>
      <w:r>
        <w:t xml:space="preserve"> gelten für Vereinbarungen, die im Rahmen eines Organisationstermins getroffen wurden, entsprechend.</w:t>
      </w:r>
    </w:p>
    <w:p>
      <w:pPr>
        <w:pStyle w:val="Heading3"/>
      </w:pPr>
      <w:bookmarkStart w:id="677" w:name="b676"/>
      <w:r>
        <w:t>§ 613 Wortprotokoll</w:t>
      </w:r>
      <w:r>
        <w:t xml:space="preserve"> </w:t>
      </w:r>
      <w:r>
        <w:rPr>
          <w:rStyle w:val="Suchmarke"/>
        </w:rPr>
        <w:t>#613#</w:t>
      </w:r>
      <w:bookmarkEnd w:id="677"/>
    </w:p>
    <w:p>
      <w:r>
        <w:t xml:space="preserve">(1) </w:t>
      </w:r>
      <w:r>
        <w:rPr>
          <w:rStyle w:val="Satznummer"/>
        </w:rPr>
        <w:t>1</w:t>
      </w:r>
      <w:r>
        <w:t xml:space="preserve">Vor dem Commercial Court und der Commercial Chamber ist auf übereinstimmenden Antrag der Parteien im ersten Rechtszug das Protokoll als ein während der Verhandlung oder einer Beweisaufnahme für die Parteien mitlesbares Wortprotokoll zu führen, soweit dem keine tatsächlichen Gründe entgegenstehen. </w:t>
      </w:r>
      <w:r>
        <w:rPr>
          <w:rStyle w:val="Satznummer"/>
        </w:rPr>
        <w:t>2</w:t>
      </w:r>
      <w:r>
        <w:t>Abweichend von Satz 1 können die Parteien übereinstimmend auf die Mitlesbarkeit des Wortprotokolls verzichten.</w:t>
      </w:r>
    </w:p>
    <w:p>
      <w:r>
        <w:t xml:space="preserve">(2) </w:t>
      </w:r>
      <w:r>
        <w:rPr>
          <w:rStyle w:val="Satznummer"/>
        </w:rPr>
        <w:t>1</w:t>
      </w:r>
      <w:r>
        <w:t xml:space="preserve">Das Gericht kann auch eine oder mehrere geeignete gerichtsfremde Protokollpersonen zuziehen, wenn dies zur ordnungsgemäßen Aufnahme des Wortprotokolls erforderlich ist. </w:t>
      </w:r>
      <w:r>
        <w:rPr>
          <w:rStyle w:val="Satznummer"/>
        </w:rPr>
        <w:t>2</w:t>
      </w:r>
      <w:r>
        <w:t xml:space="preserve">Jede Protokollperson hat einen Eid dahingehend zu leisten, dass sie das Wortprotokoll unparteiisch und nach bestem Wissen und Gewissen erstellen wird. </w:t>
      </w:r>
      <w:r>
        <w:rPr>
          <w:rStyle w:val="Satznummer"/>
        </w:rPr>
        <w:t>3</w:t>
      </w:r>
      <w:r>
        <w:t xml:space="preserve">Ist die Protokollperson gemäß § 189 Absatz 2 des Gerichtsverfassungsgesetzes allgemein beeidigt, genügt die Berufung auf diesen Eid. </w:t>
      </w:r>
      <w:r>
        <w:rPr>
          <w:rStyle w:val="Satznummer"/>
        </w:rPr>
        <w:t>4</w:t>
      </w:r>
      <w:r>
        <w:t xml:space="preserve">§ 189 Absatz 1 Satz 2 und 3 und Absatz 4 des Gerichtsverfassungsgesetzes ist entsprechend anzuwenden. </w:t>
      </w:r>
      <w:r>
        <w:rPr>
          <w:rStyle w:val="Satznummer"/>
        </w:rPr>
        <w:t>5</w:t>
      </w:r>
      <w:r>
        <w:t>Für die Zwecke der Protokollführung gelten Protokollpersonen nach Satz 1 als Urkundsbeamte der Geschäftsstelle.</w:t>
      </w:r>
    </w:p>
    <w:p>
      <w:r>
        <w:t>(3) Die Entscheidungen nach den Absätzen 1 und 2 sind unanfechtbar.</w:t>
      </w:r>
    </w:p>
    <w:p>
      <w:pPr>
        <w:pStyle w:val="Heading3"/>
      </w:pPr>
      <w:bookmarkStart w:id="678" w:name="b677"/>
      <w:r>
        <w:t>§ 614 Rechtsmittel gegen Urteile des Commercial Courts</w:t>
      </w:r>
      <w:r>
        <w:t xml:space="preserve"> </w:t>
      </w:r>
      <w:r>
        <w:rPr>
          <w:rStyle w:val="Suchmarke"/>
        </w:rPr>
        <w:t>#614#</w:t>
      </w:r>
      <w:bookmarkEnd w:id="678"/>
    </w:p>
    <w:p>
      <w:r>
        <w:rPr>
          <w:rStyle w:val="Satznummer"/>
        </w:rPr>
        <w:t>1</w:t>
      </w:r>
      <w:r>
        <w:t xml:space="preserve">Gegen Urteile des Commercial Courts findet die Revision statt. </w:t>
      </w:r>
      <w:r>
        <w:rPr>
          <w:rStyle w:val="Satznummer"/>
        </w:rPr>
        <w:t>2</w:t>
      </w:r>
      <w:r>
        <w:t>Die Revision gegen Urteile im ersten Rechtszug bedarf keiner Zulassung.</w:t>
      </w:r>
    </w:p>
    <w:p>
      <w:pPr>
        <w:pStyle w:val="Heading3"/>
      </w:pPr>
      <w:bookmarkStart w:id="679" w:name="b678"/>
      <w:r>
        <w:t>§§ 615 bis 687 (weggefallen)</w:t>
      </w:r>
      <w:bookmarkEnd w:id="679"/>
    </w:p>
    <w:p>
      <w:pPr>
        <w:pStyle w:val="Heading1"/>
      </w:pPr>
      <w:bookmarkStart w:id="680" w:name="b679"/>
      <w:r>
        <w:t>Buch 7 Mahnverfahren</w:t>
      </w:r>
      <w:bookmarkEnd w:id="680"/>
    </w:p>
    <w:p>
      <w:pPr>
        <w:pStyle w:val="Heading2"/>
      </w:pPr>
      <w:bookmarkStart w:id="681" w:name="b680"/>
      <w:r>
        <w:t>§ 688 Zulässigkeit</w:t>
      </w:r>
      <w:r>
        <w:t xml:space="preserve"> </w:t>
      </w:r>
      <w:r>
        <w:rPr>
          <w:rStyle w:val="Suchmarke"/>
        </w:rPr>
        <w:t>#688#</w:t>
      </w:r>
      <w:bookmarkEnd w:id="681"/>
    </w:p>
    <w:p>
      <w:r>
        <w:t>(1) Wegen eines Anspruchs, der die Zahlung einer bestimmten Geldsumme in Euro zum Gegenstand hat, ist auf Antrag des Antragstellers ein Mahnbescheid zu erlassen.</w:t>
      </w:r>
    </w:p>
    <w:p>
      <w:r>
        <w:t>(2) Das Mahnverfahren findet nicht statt:</w:t>
      </w:r>
    </w:p>
    <w:p>
      <w:pPr>
        <w:tabs>
          <w:tab w:pos="567" w:val="left"/>
        </w:tabs>
        <w:ind w:left="567" w:hanging="567"/>
      </w:pPr>
      <w:r>
        <w:t>1.</w:t>
      </w:r>
      <w:r>
        <w:tab/>
      </w:r>
      <w:r>
        <w:t>für Ansprüche eines Unternehmers aus einem Vertrag gemäß den §§ 491 bis 508 des Bürgerlichen Gesetzbuchs, wenn der gemäß § 492 Abs. 2 des Bürgerlichen Gesetzbuchs anzugebende effektive Jahreszins den bei Vertragsschluss geltenden Basiszinssatz nach § 247 des Bürgerlichen Gesetzbuchs um mehr als zwölf Prozentpunkte übersteigt;</w:t>
      </w:r>
    </w:p>
    <w:p>
      <w:pPr>
        <w:tabs>
          <w:tab w:pos="567" w:val="left"/>
        </w:tabs>
        <w:ind w:left="567" w:hanging="567"/>
      </w:pPr>
      <w:r>
        <w:t>2.</w:t>
      </w:r>
      <w:r>
        <w:tab/>
      </w:r>
      <w:r>
        <w:t>wenn die Geltendmachung des Anspruchs von einer noch nicht erbrachten Gegenleistung abhängig ist;</w:t>
      </w:r>
    </w:p>
    <w:p>
      <w:pPr>
        <w:tabs>
          <w:tab w:pos="567" w:val="left"/>
        </w:tabs>
        <w:ind w:left="567" w:hanging="567"/>
      </w:pPr>
      <w:r>
        <w:t>3.</w:t>
      </w:r>
      <w:r>
        <w:tab/>
      </w:r>
      <w:r>
        <w:t>wenn die Zustellung des Mahnbescheids durch öffentliche Bekanntmachung erfolgen müsste.</w:t>
      </w:r>
    </w:p>
    <w:p>
      <w:r>
        <w:t>(3) Müsste der Mahnbescheid im Ausland zugestellt werden, so findet das Mahnverfahren nur insoweit statt, als das Anerkennungs- und Vollstreckungsausführungsgesetz in der Fassung der Bekanntmachung vom 30. November 2015 (BGBl. I S. 2146) und das Auslandsunterhaltsgesetz vom 23. Mai 2011 (BGBl. I S. 898), das zuletzt durch Artikel 5 des Gesetzes vom 20. November 2015 (BGBl. I S. 2018) geändert worden ist, dies vorsehen oder die Zustellung in einem Mitgliedstaat der Europäischen Union erfolgen soll.</w:t>
      </w:r>
    </w:p>
    <w:p>
      <w:r>
        <w:t xml:space="preserve">(4) </w:t>
      </w:r>
      <w:r>
        <w:rPr>
          <w:rStyle w:val="Satznummer"/>
        </w:rPr>
        <w:t>1</w:t>
      </w:r>
      <w:r>
        <w:t xml:space="preserve">Die Vorschriften der Verordnung (EG) Nr. 1896/2006 des Europäischen Parlaments und des Rates vom 12. Dezember 2006 zur Einführung eines Europäischen Mahnverfahrens (ABl. L 399 vom 30.12.2006, S. 1; L 46 vom 21.2.2008, S. 52; L 333 vom 11.12.2008, S. 17), die zuletzt durch die Verordnung (EU) 2015/2421 (ABl. L 341 vom 24.12.2015, S. 1) geändert worden ist, bleiben unberührt. </w:t>
      </w:r>
      <w:r>
        <w:rPr>
          <w:rStyle w:val="Satznummer"/>
        </w:rPr>
        <w:t>2</w:t>
      </w:r>
      <w:r>
        <w:t xml:space="preserve">Für die Durchführung gelten die </w:t>
      </w:r>
      <w:hyperlink w:anchor="b1130" w:history="1">
        <w:r>
          <w:rPr>
            <w:color w:val="0A3A8C"/>
            <w:u w:val="single"/>
          </w:rPr>
          <w:t xml:space="preserve">§§ 1087</w:t>
        </w:r>
      </w:hyperlink>
      <w:r>
        <w:t xml:space="preserve"> bis </w:t>
      </w:r>
      <w:hyperlink w:anchor="b1143" w:history="1">
        <w:r>
          <w:rPr>
            <w:color w:val="0A3A8C"/>
            <w:u w:val="single"/>
          </w:rPr>
          <w:t xml:space="preserve">1096</w:t>
        </w:r>
      </w:hyperlink>
      <w:r>
        <w:t>.</w:t>
      </w:r>
    </w:p>
    <w:p>
      <w:pPr>
        <w:pStyle w:val="Heading2"/>
      </w:pPr>
      <w:bookmarkStart w:id="682" w:name="b681"/>
      <w:r>
        <w:t>§ 689 Zuständigkeit; maschinelle Bearbeitung</w:t>
      </w:r>
      <w:r>
        <w:t xml:space="preserve"> </w:t>
      </w:r>
      <w:r>
        <w:rPr>
          <w:rStyle w:val="Suchmarke"/>
        </w:rPr>
        <w:t>#689#</w:t>
      </w:r>
      <w:bookmarkEnd w:id="682"/>
    </w:p>
    <w:p>
      <w:r>
        <w:t xml:space="preserve">(1) </w:t>
      </w:r>
      <w:r>
        <w:rPr>
          <w:rStyle w:val="Satznummer"/>
        </w:rPr>
        <w:t>1</w:t>
      </w:r>
      <w:r>
        <w:t xml:space="preserve">Das Mahnverfahren wird von den Amtsgerichten durchgeführt. </w:t>
      </w:r>
      <w:r>
        <w:rPr>
          <w:rStyle w:val="Satznummer"/>
        </w:rPr>
        <w:t>2</w:t>
      </w:r>
      <w:r>
        <w:t xml:space="preserve">Eine maschinelle Bearbeitung ist zulässig. </w:t>
      </w:r>
      <w:r>
        <w:rPr>
          <w:rStyle w:val="Satznummer"/>
        </w:rPr>
        <w:t>3</w:t>
      </w:r>
      <w:r>
        <w:t xml:space="preserve">Bei dieser Bearbeitung sollen Eingänge spätestens an dem Arbeitstag erledigt sein, der dem Tag des Eingangs folgt. </w:t>
      </w:r>
      <w:r>
        <w:rPr>
          <w:rStyle w:val="Satznummer"/>
        </w:rPr>
        <w:t>4</w:t>
      </w:r>
      <w:r>
        <w:t>Die Akten werden elektronisch geführt (</w:t>
      </w:r>
      <w:hyperlink w:anchor="b337" w:history="1">
        <w:r>
          <w:rPr>
            <w:color w:val="0A3A8C"/>
            <w:u w:val="single"/>
          </w:rPr>
          <w:t xml:space="preserve">§ 298a</w:t>
        </w:r>
      </w:hyperlink>
      <w:r>
        <w:t>).</w:t>
      </w:r>
    </w:p>
    <w:p>
      <w:r>
        <w:t xml:space="preserve">(2) </w:t>
      </w:r>
      <w:r>
        <w:rPr>
          <w:rStyle w:val="Satznummer"/>
        </w:rPr>
        <w:t>1</w:t>
      </w:r>
      <w:r>
        <w:t xml:space="preserve">Ausschließlich zuständig ist das Amtsgericht, bei dem der Antragsteller seinen allgemeinen Gerichtsstand hat. </w:t>
      </w:r>
      <w:r>
        <w:rPr>
          <w:rStyle w:val="Satznummer"/>
        </w:rPr>
        <w:t>2</w:t>
      </w:r>
      <w:r>
        <w:t xml:space="preserve">Hat der Antragsteller im Inland keinen allgemeinen Gerichtsstand, so ist das Amtsgericht Wedding in Berlin ausschließlich zuständig. </w:t>
      </w:r>
      <w:r>
        <w:rPr>
          <w:rStyle w:val="Satznummer"/>
        </w:rPr>
        <w:t>3</w:t>
      </w:r>
      <w:r>
        <w:t>Sätze 1 und 2 gelten auch, soweit in anderen Vorschriften eine andere ausschließliche Zuständigkeit bestimmt ist.</w:t>
      </w:r>
    </w:p>
    <w:p>
      <w:r>
        <w:t xml:space="preserve">(3) </w:t>
      </w:r>
      <w:r>
        <w:rPr>
          <w:rStyle w:val="Satznummer"/>
        </w:rPr>
        <w:t>1</w:t>
      </w:r>
      <w:r>
        <w:t xml:space="preserve">Die Landesregierungen werden ermächtigt, durch Rechtsverordnung Mahnverfahren einem Amtsgericht für die Bezirke mehrerer Amtsgerichte zuzuweisen, wenn dies ihrer schnelleren und rationelleren Erledigung dient. </w:t>
      </w:r>
      <w:r>
        <w:rPr>
          <w:rStyle w:val="Satznummer"/>
        </w:rPr>
        <w:t>2</w:t>
      </w:r>
      <w:r>
        <w:t xml:space="preserve">Die Zuweisung kann auf Mahnverfahren beschränkt werden, die maschinell bearbeitet werden. </w:t>
      </w:r>
      <w:r>
        <w:rPr>
          <w:rStyle w:val="Satznummer"/>
        </w:rPr>
        <w:t>3</w:t>
      </w:r>
      <w:r>
        <w:t xml:space="preserve">Die Landesregierungen können die Ermächtigung durch Rechtsverordnung auf die Landesjustizverwaltungen übertragen. </w:t>
      </w:r>
      <w:r>
        <w:rPr>
          <w:rStyle w:val="Satznummer"/>
        </w:rPr>
        <w:t>4</w:t>
      </w:r>
      <w:r>
        <w:t>Mehrere Länder können die Zuständigkeit eines Amtsgerichts über die Landesgrenzen hinaus vereinbaren.</w:t>
      </w:r>
    </w:p>
    <w:p>
      <w:pPr>
        <w:pStyle w:val="Heading2"/>
      </w:pPr>
      <w:bookmarkStart w:id="683" w:name="b682"/>
      <w:r>
        <w:t>§ 690 Mahnantrag</w:t>
      </w:r>
      <w:r>
        <w:t xml:space="preserve"> </w:t>
      </w:r>
      <w:r>
        <w:rPr>
          <w:rStyle w:val="Suchmarke"/>
        </w:rPr>
        <w:t>#690#</w:t>
      </w:r>
      <w:bookmarkEnd w:id="683"/>
    </w:p>
    <w:p>
      <w:r>
        <w:t>(1) Der Antrag muss auf den Erlass eines Mahnbescheids gerichtet sein und enthalten:</w:t>
      </w:r>
    </w:p>
    <w:p>
      <w:pPr>
        <w:tabs>
          <w:tab w:pos="567" w:val="left"/>
        </w:tabs>
        <w:ind w:left="567" w:hanging="567"/>
      </w:pPr>
      <w:r>
        <w:t>1.</w:t>
      </w:r>
      <w:r>
        <w:tab/>
      </w:r>
      <w:r>
        <w:t>die Bezeichnung der Parteien, ihrer gesetzlichen Vertreter und der Prozessbevollmächtigten;</w:t>
      </w:r>
    </w:p>
    <w:p>
      <w:pPr>
        <w:tabs>
          <w:tab w:pos="567" w:val="left"/>
        </w:tabs>
        <w:ind w:left="567" w:hanging="567"/>
      </w:pPr>
      <w:r>
        <w:t>2.</w:t>
      </w:r>
      <w:r>
        <w:tab/>
      </w:r>
      <w:r>
        <w:t>die Bezeichnung des Gerichts, bei dem der Antrag gestellt wird;</w:t>
      </w:r>
    </w:p>
    <w:p>
      <w:pPr>
        <w:tabs>
          <w:tab w:pos="567" w:val="left"/>
        </w:tabs>
        <w:ind w:left="567" w:hanging="567"/>
      </w:pPr>
      <w:r>
        <w:t>3.</w:t>
      </w:r>
      <w:r>
        <w:tab/>
      </w:r>
      <w:r>
        <w:t>die Bezeichnung des Anspruchs unter bestimmter Angabe der verlangten Leistung; Haupt- und Nebenforderungen sind gesondert und einzeln zu bezeichnen, Ansprüche aus Verträgen gemäß den §§ 491 bis 508 des Bürgerlichen Gesetzbuchs, auch unter Angabe des Datums des Vertragsabschlusses und des gemäß § 492 Abs. 2 des Bürgerlichen Gesetzbuchs anzugebenden effektiven Jahreszinses;</w:t>
      </w:r>
    </w:p>
    <w:p>
      <w:pPr>
        <w:tabs>
          <w:tab w:pos="567" w:val="left"/>
        </w:tabs>
        <w:ind w:left="567" w:hanging="567"/>
      </w:pPr>
      <w:r>
        <w:t>4.</w:t>
      </w:r>
      <w:r>
        <w:tab/>
      </w:r>
      <w:r>
        <w:t>die Erklärung, dass der Anspruch nicht von einer Gegenleistung abhängt oder dass die Gegenleistung erbracht ist;</w:t>
      </w:r>
    </w:p>
    <w:p>
      <w:pPr>
        <w:tabs>
          <w:tab w:pos="567" w:val="left"/>
        </w:tabs>
        <w:ind w:left="567" w:hanging="567"/>
      </w:pPr>
      <w:r>
        <w:t>5.</w:t>
      </w:r>
      <w:r>
        <w:tab/>
      </w:r>
      <w:r>
        <w:t>die Bezeichnung des Gerichts, das für ein streitiges Verfahren zuständig ist.</w:t>
      </w:r>
    </w:p>
    <w:p>
      <w:r>
        <w:t>(2) Der Antrag bedarf der handschriftlichen Unterzeichnung.</w:t>
      </w:r>
    </w:p>
    <w:p>
      <w:r>
        <w:t>(3) (weggefallen)</w:t>
      </w:r>
    </w:p>
    <w:p>
      <w:pPr>
        <w:pStyle w:val="Heading2"/>
      </w:pPr>
      <w:bookmarkStart w:id="684" w:name="b683"/>
      <w:r>
        <w:t>§ 691 Zurückweisung des Mahnantrags</w:t>
      </w:r>
      <w:r>
        <w:t xml:space="preserve"> </w:t>
      </w:r>
      <w:r>
        <w:rPr>
          <w:rStyle w:val="Suchmarke"/>
        </w:rPr>
        <w:t>#691#</w:t>
      </w:r>
      <w:bookmarkEnd w:id="684"/>
    </w:p>
    <w:p>
      <w:r>
        <w:t xml:space="preserve">(1) </w:t>
      </w:r>
      <w:r>
        <w:rPr>
          <w:rStyle w:val="Satznummer"/>
        </w:rPr>
        <w:t>1</w:t>
      </w:r>
      <w:r>
        <w:t>Der Antrag wird zurückgewiesen:</w:t>
      </w:r>
    </w:p>
    <w:p>
      <w:pPr>
        <w:tabs>
          <w:tab w:pos="567" w:val="left"/>
        </w:tabs>
        <w:ind w:left="567" w:hanging="567"/>
      </w:pPr>
      <w:r>
        <w:t>1.</w:t>
      </w:r>
      <w:r>
        <w:tab/>
      </w:r>
      <w:r>
        <w:t xml:space="preserve">wenn er den Vorschriften der </w:t>
      </w:r>
      <w:hyperlink w:anchor="b680" w:history="1">
        <w:r>
          <w:rPr>
            <w:color w:val="0A3A8C"/>
            <w:u w:val="single"/>
          </w:rPr>
          <w:t xml:space="preserve">§§ 688</w:t>
        </w:r>
      </w:hyperlink>
      <w:r>
        <w:t xml:space="preserve">, </w:t>
      </w:r>
      <w:hyperlink w:anchor="b681" w:history="1">
        <w:r>
          <w:rPr>
            <w:color w:val="0A3A8C"/>
            <w:u w:val="single"/>
          </w:rPr>
          <w:t xml:space="preserve">689</w:t>
        </w:r>
      </w:hyperlink>
      <w:r>
        <w:t xml:space="preserve">, </w:t>
      </w:r>
      <w:hyperlink w:anchor="b682" w:history="1">
        <w:r>
          <w:rPr>
            <w:color w:val="0A3A8C"/>
            <w:u w:val="single"/>
          </w:rPr>
          <w:t xml:space="preserve">690</w:t>
        </w:r>
      </w:hyperlink>
      <w:r>
        <w:t xml:space="preserve">, </w:t>
      </w:r>
      <w:hyperlink w:anchor="b694" w:history="1">
        <w:r>
          <w:rPr>
            <w:color w:val="0A3A8C"/>
            <w:u w:val="single"/>
          </w:rPr>
          <w:t xml:space="preserve">702</w:t>
        </w:r>
      </w:hyperlink>
      <w:r>
        <w:t xml:space="preserve"> Absatz 2, </w:t>
      </w:r>
      <w:hyperlink w:anchor="b698" w:history="1">
        <w:r>
          <w:rPr>
            <w:color w:val="0A3A8C"/>
            <w:u w:val="single"/>
          </w:rPr>
          <w:t xml:space="preserve">§ 703c</w:t>
        </w:r>
      </w:hyperlink>
      <w:r>
        <w:t xml:space="preserve"> Abs. 2 nicht entspricht;</w:t>
      </w:r>
    </w:p>
    <w:p>
      <w:pPr>
        <w:tabs>
          <w:tab w:pos="567" w:val="left"/>
        </w:tabs>
        <w:ind w:left="567" w:hanging="567"/>
      </w:pPr>
      <w:r>
        <w:t>2.</w:t>
      </w:r>
      <w:r>
        <w:tab/>
      </w:r>
      <w:r>
        <w:t>wenn der Mahnbescheid nur wegen eines Teiles des Anspruchs nicht erlassen werden kann.</w:t>
      </w:r>
    </w:p>
    <w:p>
      <w:r>
        <w:rPr>
          <w:rStyle w:val="Satznummer"/>
        </w:rPr>
        <w:t>2</w:t>
      </w:r>
      <w:r>
        <w:t>Vor der Zurückweisung ist der Antragsteller zu hören.</w:t>
      </w:r>
    </w:p>
    <w:p>
      <w:r>
        <w:t>(2) Sollte durch die Zustellung des Mahnbescheids eine Frist gewahrt werden oder die Verjährung neu beginnen oder nach § 204 des Bürgerlichen Gesetzbuchs gehemmt werden, so tritt die Wirkung mit der Einreichung oder Anbringung des Antrags auf Erlass des Mahnbescheids ein, wenn innerhalb eines Monats seit der Zustellung der Zurückweisung des Antrags Klage eingereicht und diese demnächst zugestellt wird.</w:t>
      </w:r>
    </w:p>
    <w:p>
      <w:r>
        <w:t xml:space="preserve">(3) </w:t>
      </w:r>
      <w:r>
        <w:rPr>
          <w:rStyle w:val="Satznummer"/>
        </w:rPr>
        <w:t>1</w:t>
      </w:r>
      <w:r>
        <w:t xml:space="preserve">Gegen die Zurückweisung findet die sofortige Beschwerde statt, wenn der Antrag in einer nur maschinell lesbaren Form übermittelt und mit der Begründung zurückgewiesen worden ist, dass diese Form dem Gericht für seine maschinelle Bearbeitung nicht geeignet erscheine. </w:t>
      </w:r>
      <w:r>
        <w:rPr>
          <w:rStyle w:val="Satznummer"/>
        </w:rPr>
        <w:t>2</w:t>
      </w:r>
      <w:r>
        <w:t>Im Übrigen sind Entscheidungen nach Absatz 1 unanfechtbar.</w:t>
      </w:r>
    </w:p>
    <w:p>
      <w:pPr>
        <w:pStyle w:val="Heading2"/>
      </w:pPr>
      <w:bookmarkStart w:id="685" w:name="b684"/>
      <w:r>
        <w:t>§ 692 Mahnbescheid</w:t>
      </w:r>
      <w:r>
        <w:t xml:space="preserve"> </w:t>
      </w:r>
      <w:r>
        <w:rPr>
          <w:rStyle w:val="Suchmarke"/>
        </w:rPr>
        <w:t>#692#</w:t>
      </w:r>
      <w:bookmarkEnd w:id="685"/>
    </w:p>
    <w:p>
      <w:r>
        <w:t>(1) Der Mahnbescheid enthält:</w:t>
      </w:r>
    </w:p>
    <w:p>
      <w:pPr>
        <w:tabs>
          <w:tab w:pos="567" w:val="left"/>
        </w:tabs>
        <w:ind w:left="567" w:hanging="567"/>
      </w:pPr>
      <w:r>
        <w:t>1.</w:t>
      </w:r>
      <w:r>
        <w:tab/>
      </w:r>
      <w:r>
        <w:t xml:space="preserve">die in </w:t>
      </w:r>
      <w:hyperlink w:anchor="b682" w:history="1">
        <w:r>
          <w:rPr>
            <w:color w:val="0A3A8C"/>
            <w:u w:val="single"/>
          </w:rPr>
          <w:t xml:space="preserve">§ 690</w:t>
        </w:r>
      </w:hyperlink>
      <w:r>
        <w:t xml:space="preserve"> Abs. 1 Nr. 1 bis 5 bezeichneten Erfordernisse des Antrags;</w:t>
      </w:r>
    </w:p>
    <w:p>
      <w:pPr>
        <w:tabs>
          <w:tab w:pos="567" w:val="left"/>
        </w:tabs>
        <w:ind w:left="567" w:hanging="567"/>
      </w:pPr>
      <w:r>
        <w:t>2.</w:t>
      </w:r>
      <w:r>
        <w:tab/>
      </w:r>
      <w:r>
        <w:t>den Hinweis, dass das Gericht nicht geprüft hat, ob dem Antragsteller der geltend gemachte Anspruch zusteht;</w:t>
      </w:r>
    </w:p>
    <w:p>
      <w:pPr>
        <w:tabs>
          <w:tab w:pos="567" w:val="left"/>
        </w:tabs>
        <w:ind w:left="567" w:hanging="567"/>
      </w:pPr>
      <w:r>
        <w:t>3.</w:t>
      </w:r>
      <w:r>
        <w:tab/>
      </w:r>
      <w:r>
        <w:t>die Aufforderung, innerhalb von zwei Wochen seit der Zustellung des Mahnbescheids, soweit der geltend gemachte Anspruch als begründet angesehen wird, die behauptete Schuld nebst den geforderten Zinsen und der dem Betrag nach bezeichneten Kosten zu begleichen oder dem Gericht mitzuteilen, ob und in welchem Umfang dem geltend gemachten Anspruch widersprochen wird;</w:t>
      </w:r>
    </w:p>
    <w:p>
      <w:pPr>
        <w:tabs>
          <w:tab w:pos="567" w:val="left"/>
        </w:tabs>
        <w:ind w:left="567" w:hanging="567"/>
      </w:pPr>
      <w:r>
        <w:t>4.</w:t>
      </w:r>
      <w:r>
        <w:tab/>
      </w:r>
      <w:r>
        <w:t>den Hinweis, dass ein dem Mahnbescheid entsprechender Vollstreckungsbescheid ergehen kann, aus dem der Antragsteller die Zwangsvollstreckung betreiben kann, falls der Antragsgegner nicht bis zum Fristablauf Widerspruch erhoben hat;</w:t>
      </w:r>
    </w:p>
    <w:p>
      <w:pPr>
        <w:tabs>
          <w:tab w:pos="567" w:val="left"/>
        </w:tabs>
        <w:ind w:left="567" w:hanging="567"/>
      </w:pPr>
      <w:r>
        <w:t>5.</w:t>
      </w:r>
      <w:r>
        <w:tab/>
      </w:r>
      <w:r>
        <w:t xml:space="preserve">für den Fall, dass Formulare eingeführt sind, den Hinweis, dass der Widerspruch mit einem Formular der beigefügten Art erhoben werden soll, das auch bei jedem Amtsgericht erhältlich ist und ausgefüllt werden kann, und dass für Rechtsanwälte und registrierte Personen nach § 10 Absatz 1 Satz 1 Nummer 1 des Rechtsdienstleistungsgesetzes sowie Kreditdienstleistungsinstitute mit einer Erlaubnis nach § 10 Absatz 1 des Kreditzweitmarktgesetzes </w:t>
      </w:r>
      <w:hyperlink w:anchor="b694" w:history="1">
        <w:r>
          <w:rPr>
            <w:color w:val="0A3A8C"/>
            <w:u w:val="single"/>
          </w:rPr>
          <w:t xml:space="preserve">§ 702</w:t>
        </w:r>
      </w:hyperlink>
      <w:r>
        <w:t xml:space="preserve"> Absatz 2 Satz 2 gilt;</w:t>
      </w:r>
    </w:p>
    <w:p>
      <w:pPr>
        <w:tabs>
          <w:tab w:pos="567" w:val="left"/>
        </w:tabs>
        <w:ind w:left="567" w:hanging="567"/>
      </w:pPr>
      <w:r>
        <w:t>6.</w:t>
      </w:r>
      <w:r>
        <w:tab/>
      </w:r>
      <w:r>
        <w:t>für den Fall des Widerspruchs die Ankündigung, an welches Gericht die Sache abgegeben wird, mit dem Hinweis, dass diesem Gericht die Prüfung seiner Zuständigkeit vorbehalten bleibt.</w:t>
      </w:r>
    </w:p>
    <w:p>
      <w:r>
        <w:t>(2) An Stelle einer handschriftlichen Unterzeichnung genügt ein entsprechender Stempelabdruck oder eine elektronische Signatur.</w:t>
      </w:r>
    </w:p>
    <w:p>
      <w:pPr>
        <w:pStyle w:val="Heading2"/>
      </w:pPr>
      <w:bookmarkStart w:id="686" w:name="b685"/>
      <w:r>
        <w:t>§ 693 Zustellung des Mahnbescheids</w:t>
      </w:r>
      <w:r>
        <w:t xml:space="preserve"> </w:t>
      </w:r>
      <w:r>
        <w:rPr>
          <w:rStyle w:val="Suchmarke"/>
        </w:rPr>
        <w:t>#693#</w:t>
      </w:r>
      <w:bookmarkEnd w:id="686"/>
    </w:p>
    <w:p>
      <w:r>
        <w:t>(1) Der Mahnbescheid wird dem Antragsgegner zugestellt.</w:t>
      </w:r>
    </w:p>
    <w:p>
      <w:r>
        <w:t>(2) Die Geschäftsstelle setzt den Antragsteller von der Zustellung des Mahnbescheids in Kenntnis.</w:t>
      </w:r>
    </w:p>
    <w:p>
      <w:pPr>
        <w:pStyle w:val="Heading2"/>
      </w:pPr>
      <w:bookmarkStart w:id="687" w:name="b686"/>
      <w:r>
        <w:t>§ 694 Widerspruch gegen den Mahnbescheid</w:t>
      </w:r>
      <w:r>
        <w:t xml:space="preserve"> </w:t>
      </w:r>
      <w:r>
        <w:rPr>
          <w:rStyle w:val="Suchmarke"/>
        </w:rPr>
        <w:t>#694#</w:t>
      </w:r>
      <w:bookmarkEnd w:id="687"/>
    </w:p>
    <w:p>
      <w:r>
        <w:t>(1) Der Antragsgegner kann gegen den Anspruch oder einen Teil des Anspruchs bei dem Gericht, das den Mahnbescheid erlassen hat, schriftlich Widerspruch erheben, solange der Vollstreckungsbescheid nicht verfügt ist.</w:t>
      </w:r>
    </w:p>
    <w:p>
      <w:r>
        <w:t xml:space="preserve">(2) </w:t>
      </w:r>
      <w:r>
        <w:rPr>
          <w:rStyle w:val="Satznummer"/>
        </w:rPr>
        <w:t>1</w:t>
      </w:r>
      <w:r>
        <w:t xml:space="preserve">Ein verspäteter Widerspruch wird als Einspruch behandelt. </w:t>
      </w:r>
      <w:r>
        <w:rPr>
          <w:rStyle w:val="Satznummer"/>
        </w:rPr>
        <w:t>2</w:t>
      </w:r>
      <w:r>
        <w:t>Dies ist dem Antragsgegner, der den Widerspruch erhoben hat, mitzuteilen.</w:t>
      </w:r>
    </w:p>
    <w:p>
      <w:pPr>
        <w:pStyle w:val="Heading2"/>
      </w:pPr>
      <w:bookmarkStart w:id="688" w:name="b687"/>
      <w:r>
        <w:t>§ 695 Mitteilung des Widerspruchs; Abschriften</w:t>
      </w:r>
      <w:r>
        <w:t xml:space="preserve"> </w:t>
      </w:r>
      <w:r>
        <w:rPr>
          <w:rStyle w:val="Suchmarke"/>
        </w:rPr>
        <w:t>#695#</w:t>
      </w:r>
      <w:bookmarkEnd w:id="688"/>
    </w:p>
    <w:p>
      <w:r>
        <w:rPr>
          <w:rStyle w:val="Satznummer"/>
        </w:rPr>
        <w:t>1</w:t>
      </w:r>
      <w:r>
        <w:t xml:space="preserve">Das Gericht hat den Antragsteller von dem Widerspruch und dem Zeitpunkt seiner Erhebung in Kenntnis zu setzen. </w:t>
      </w:r>
      <w:r>
        <w:rPr>
          <w:rStyle w:val="Satznummer"/>
        </w:rPr>
        <w:t>2</w:t>
      </w:r>
      <w:r>
        <w:t xml:space="preserve">Gleichzeitig belehrt es ihn über die Folgen des </w:t>
      </w:r>
      <w:hyperlink w:anchor="b689" w:history="1">
        <w:r>
          <w:rPr>
            <w:color w:val="0A3A8C"/>
            <w:u w:val="single"/>
          </w:rPr>
          <w:t xml:space="preserve">§ 697</w:t>
        </w:r>
      </w:hyperlink>
      <w:r>
        <w:t xml:space="preserve"> Absatz 2 Satz 2. </w:t>
      </w:r>
      <w:r>
        <w:rPr>
          <w:rStyle w:val="Satznummer"/>
        </w:rPr>
        <w:t>3</w:t>
      </w:r>
      <w:r>
        <w:t>Wird das Mahnverfahren nicht maschinell bearbeitet, so soll der Antragsgegner die erforderliche Zahl von Abschriften mit dem Widerspruch einreichen.</w:t>
      </w:r>
    </w:p>
    <w:p>
      <w:pPr>
        <w:pStyle w:val="Heading2"/>
      </w:pPr>
      <w:bookmarkStart w:id="689" w:name="b688"/>
      <w:r>
        <w:t>§ 696 Verfahren nach Widerspruch</w:t>
      </w:r>
      <w:r>
        <w:t xml:space="preserve"> </w:t>
      </w:r>
      <w:r>
        <w:rPr>
          <w:rStyle w:val="Suchmarke"/>
        </w:rPr>
        <w:t>#696#</w:t>
      </w:r>
      <w:bookmarkEnd w:id="689"/>
    </w:p>
    <w:p>
      <w:r>
        <w:t xml:space="preserve">(1) </w:t>
      </w:r>
      <w:r>
        <w:rPr>
          <w:rStyle w:val="Satznummer"/>
        </w:rPr>
        <w:t>1</w:t>
      </w:r>
      <w:r>
        <w:t xml:space="preserve">Wird rechtzeitig Widerspruch erhoben und beantragt eine Partei die Durchführung des streitigen Verfahrens, so gibt das Gericht, das den Mahnbescheid erlassen hat, den Rechtsstreit von Amts wegen an das Gericht ab, das in dem Mahnbescheid gemäß </w:t>
      </w:r>
      <w:hyperlink w:anchor="b684" w:history="1">
        <w:r>
          <w:rPr>
            <w:color w:val="0A3A8C"/>
            <w:u w:val="single"/>
          </w:rPr>
          <w:t xml:space="preserve">§ 692</w:t>
        </w:r>
      </w:hyperlink>
      <w:r>
        <w:t xml:space="preserve"> Abs. 1 Nr. 1 bezeichnet worden ist, wenn die Parteien übereinstimmend die Abgabe an ein anderes Gericht verlangen, an dieses. </w:t>
      </w:r>
      <w:r>
        <w:rPr>
          <w:rStyle w:val="Satznummer"/>
        </w:rPr>
        <w:t>2</w:t>
      </w:r>
      <w:r>
        <w:t xml:space="preserve">Der Antrag kann in den Antrag auf Erlass des Mahnbescheids aufgenommen werden. </w:t>
      </w:r>
      <w:r>
        <w:rPr>
          <w:rStyle w:val="Satznummer"/>
        </w:rPr>
        <w:t>3</w:t>
      </w:r>
      <w:r>
        <w:t xml:space="preserve">Die Abgabe ist den Parteien mitzuteilen; sie ist nicht anfechtbar. </w:t>
      </w:r>
      <w:r>
        <w:rPr>
          <w:rStyle w:val="Satznummer"/>
        </w:rPr>
        <w:t>4</w:t>
      </w:r>
      <w:r>
        <w:t xml:space="preserve">Mit Eingang der Akten bei dem Gericht, an das er abgegeben wird, gilt der Rechtsstreit als dort anhängig. </w:t>
      </w:r>
      <w:r>
        <w:rPr>
          <w:rStyle w:val="Satznummer"/>
        </w:rPr>
        <w:t>5</w:t>
      </w:r>
      <w:hyperlink w:anchor="b316" w:history="1">
        <w:r>
          <w:rPr>
            <w:color w:val="0A3A8C"/>
            <w:u w:val="single"/>
          </w:rPr>
          <w:t xml:space="preserve">§ 281</w:t>
        </w:r>
      </w:hyperlink>
      <w:r>
        <w:t xml:space="preserve"> Abs. 3 Satz 1 gilt entsprechend.</w:t>
      </w:r>
    </w:p>
    <w:p>
      <w:r>
        <w:t xml:space="preserve">(2) </w:t>
      </w:r>
      <w:r>
        <w:rPr>
          <w:rStyle w:val="Satznummer"/>
        </w:rPr>
        <w:t>1</w:t>
      </w:r>
      <w:r>
        <w:t xml:space="preserve">Ist das Mahnverfahren maschinell bearbeitet worden, so tritt, sofern die Akte nicht elektronisch übermittelt wird, an die Stelle der Akten ein maschinell erstellter Aktenausdruck. </w:t>
      </w:r>
      <w:r>
        <w:rPr>
          <w:rStyle w:val="Satznummer"/>
        </w:rPr>
        <w:t>2</w:t>
      </w:r>
      <w:r>
        <w:t xml:space="preserve">Für diesen gelten die Vorschriften über die Beweiskraft öffentlicher Urkunden entsprechend. </w:t>
      </w:r>
      <w:r>
        <w:rPr>
          <w:rStyle w:val="Satznummer"/>
        </w:rPr>
        <w:t>3</w:t>
      </w:r>
      <w:hyperlink w:anchor="b336" w:history="1">
        <w:r>
          <w:rPr>
            <w:color w:val="0A3A8C"/>
            <w:u w:val="single"/>
          </w:rPr>
          <w:t xml:space="preserve">§ 298</w:t>
        </w:r>
      </w:hyperlink>
      <w:r>
        <w:t xml:space="preserve"> findet keine Anwendung.</w:t>
      </w:r>
    </w:p>
    <w:p>
      <w:r>
        <w:t>(3) Die Streitsache gilt als mit Zustellung des Mahnbescheids rechtshängig geworden, wenn sie alsbald nach der Erhebung des Widerspruchs abgegeben wird.</w:t>
      </w:r>
    </w:p>
    <w:p>
      <w:r>
        <w:t xml:space="preserve">(4) </w:t>
      </w:r>
      <w:r>
        <w:rPr>
          <w:rStyle w:val="Satznummer"/>
        </w:rPr>
        <w:t>1</w:t>
      </w:r>
      <w:r>
        <w:t xml:space="preserve">Der Antrag auf Durchführung des streitigen Verfahrens kann bis zum Beginn der mündlichen Verhandlung des Antragsgegners zur Hauptsache zurückgenommen werden. </w:t>
      </w:r>
      <w:r>
        <w:rPr>
          <w:rStyle w:val="Satznummer"/>
        </w:rPr>
        <w:t>2</w:t>
      </w:r>
      <w:r>
        <w:t xml:space="preserve">Die Zurücknahme kann vor der Geschäftsstelle zu Protokoll erklärt werden. </w:t>
      </w:r>
      <w:r>
        <w:rPr>
          <w:rStyle w:val="Satznummer"/>
        </w:rPr>
        <w:t>3</w:t>
      </w:r>
      <w:r>
        <w:t>Mit der Zurücknahme ist die Streitsache als nicht rechtshängig geworden anzusehen.</w:t>
      </w:r>
    </w:p>
    <w:p>
      <w:r>
        <w:t>(5) Das Gericht, an das der Rechtsstreit abgegeben ist, ist hierdurch in seiner Zuständigkeit nicht gebunden.</w:t>
      </w:r>
    </w:p>
    <w:p>
      <w:pPr>
        <w:pStyle w:val="Heading2"/>
      </w:pPr>
      <w:bookmarkStart w:id="690" w:name="b689"/>
      <w:r>
        <w:t>§ 697 Einleitung des Streitverfahrens</w:t>
      </w:r>
      <w:r>
        <w:t xml:space="preserve"> </w:t>
      </w:r>
      <w:r>
        <w:rPr>
          <w:rStyle w:val="Suchmarke"/>
        </w:rPr>
        <w:t>#697#</w:t>
      </w:r>
      <w:bookmarkEnd w:id="690"/>
    </w:p>
    <w:p>
      <w:r>
        <w:t xml:space="preserve">(1) </w:t>
      </w:r>
      <w:r>
        <w:rPr>
          <w:rStyle w:val="Satznummer"/>
        </w:rPr>
        <w:t>1</w:t>
      </w:r>
      <w:r>
        <w:t xml:space="preserve">Die Geschäftsstelle des Gerichts, an das die Streitsache abgegeben wird, hat dem Antragsteller unverzüglich aufzugeben, seinen Anspruch binnen zwei Wochen in einer der Klageschrift entsprechenden Form zu begründen. </w:t>
      </w:r>
      <w:r>
        <w:rPr>
          <w:rStyle w:val="Satznummer"/>
        </w:rPr>
        <w:t>2</w:t>
      </w:r>
      <w:hyperlink w:anchor="b303" w:history="1">
        <w:r>
          <w:rPr>
            <w:color w:val="0A3A8C"/>
            <w:u w:val="single"/>
          </w:rPr>
          <w:t xml:space="preserve">§ 270</w:t>
        </w:r>
      </w:hyperlink>
      <w:r>
        <w:t xml:space="preserve"> Satz 2 gilt entsprechend.</w:t>
      </w:r>
    </w:p>
    <w:p>
      <w:r>
        <w:t xml:space="preserve">(2) </w:t>
      </w:r>
      <w:r>
        <w:rPr>
          <w:rStyle w:val="Satznummer"/>
        </w:rPr>
        <w:t>1</w:t>
      </w:r>
      <w:r>
        <w:t xml:space="preserve">Bei Eingang der Anspruchsbegründung ist wie nach Eingang einer Klage weiter zu verfahren. </w:t>
      </w:r>
      <w:r>
        <w:rPr>
          <w:rStyle w:val="Satznummer"/>
        </w:rPr>
        <w:t>2</w:t>
      </w:r>
      <w:r>
        <w:t xml:space="preserve">Soweit der Antrag in der Anspruchsbegründung hinter dem Mahnantrag zurückbleibt, gilt die Klage als zurückgenommen, wenn der Antragsteller zuvor durch das Mahngericht über diese Folge belehrt oder durch das Streitgericht auf diese Folge hingewiesen worden ist. </w:t>
      </w:r>
      <w:r>
        <w:rPr>
          <w:rStyle w:val="Satznummer"/>
        </w:rPr>
        <w:t>3</w:t>
      </w:r>
      <w:r>
        <w:t xml:space="preserve">Zur schriftlichen Klageerwiderung im Vorverfahren nach </w:t>
      </w:r>
      <w:hyperlink w:anchor="b310" w:history="1">
        <w:r>
          <w:rPr>
            <w:color w:val="0A3A8C"/>
            <w:u w:val="single"/>
          </w:rPr>
          <w:t xml:space="preserve">§ 276</w:t>
        </w:r>
      </w:hyperlink>
      <w:r>
        <w:t xml:space="preserve"> kann auch eine mit der Zustellung der Anspruchsbegründung beginnende Frist gesetzt werden.</w:t>
      </w:r>
    </w:p>
    <w:p>
      <w:r>
        <w:t xml:space="preserve">(3) </w:t>
      </w:r>
      <w:r>
        <w:rPr>
          <w:rStyle w:val="Satznummer"/>
        </w:rPr>
        <w:t>1</w:t>
      </w:r>
      <w:r>
        <w:t xml:space="preserve">Geht die Anspruchsbegründung nicht rechtzeitig ein, so wird bis zu ihrem Eingang Termin zur mündlichen Verhandlung nur auf Antrag des Antragsgegners bestimmt. </w:t>
      </w:r>
      <w:r>
        <w:rPr>
          <w:rStyle w:val="Satznummer"/>
        </w:rPr>
        <w:t>2</w:t>
      </w:r>
      <w:r>
        <w:t xml:space="preserve">Mit der Terminsbestimmung setzt der Vorsitzende dem Antragsteller eine Frist zur Begründung des Anspruchs; </w:t>
      </w:r>
      <w:hyperlink w:anchor="b333" w:history="1">
        <w:r>
          <w:rPr>
            <w:color w:val="0A3A8C"/>
            <w:u w:val="single"/>
          </w:rPr>
          <w:t xml:space="preserve">§ 296</w:t>
        </w:r>
      </w:hyperlink>
      <w:r>
        <w:t xml:space="preserve"> Abs. 1, 4 gilt entsprechend.</w:t>
      </w:r>
    </w:p>
    <w:p>
      <w:r>
        <w:t xml:space="preserve">(4) </w:t>
      </w:r>
      <w:r>
        <w:rPr>
          <w:rStyle w:val="Satznummer"/>
        </w:rPr>
        <w:t>1</w:t>
      </w:r>
      <w:r>
        <w:t xml:space="preserve">Der Antragsgegner kann den Widerspruch bis zum Beginn seiner mündlichen Verhandlung zur Hauptsache zurücknehmen, jedoch nicht nach Erlass eines Versäumnisurteils gegen ihn. </w:t>
      </w:r>
      <w:r>
        <w:rPr>
          <w:rStyle w:val="Satznummer"/>
        </w:rPr>
        <w:t>2</w:t>
      </w:r>
      <w:r>
        <w:t>Die Zurücknahme kann zu Protokoll der Geschäftsstelle erklärt werden.</w:t>
      </w:r>
    </w:p>
    <w:p>
      <w:r>
        <w:t xml:space="preserve">(5) </w:t>
      </w:r>
      <w:r>
        <w:rPr>
          <w:rStyle w:val="Satznummer"/>
        </w:rPr>
        <w:t>1</w:t>
      </w:r>
      <w:r>
        <w:t xml:space="preserve">Zur Herstellung eines Urteils in abgekürzter Form nach </w:t>
      </w:r>
      <w:hyperlink w:anchor="b359" w:history="1">
        <w:r>
          <w:rPr>
            <w:color w:val="0A3A8C"/>
            <w:u w:val="single"/>
          </w:rPr>
          <w:t xml:space="preserve">§ 313b</w:t>
        </w:r>
      </w:hyperlink>
      <w:r>
        <w:t xml:space="preserve"> Absatz 2, </w:t>
      </w:r>
      <w:hyperlink w:anchor="b363" w:history="1">
        <w:r>
          <w:rPr>
            <w:color w:val="0A3A8C"/>
            <w:u w:val="single"/>
          </w:rPr>
          <w:t xml:space="preserve">§ 317</w:t>
        </w:r>
      </w:hyperlink>
      <w:r>
        <w:t xml:space="preserve"> Absatz 5 kann der Mahnbescheid an Stelle der Klageschrift benutzt werden. </w:t>
      </w:r>
      <w:r>
        <w:rPr>
          <w:rStyle w:val="Satznummer"/>
        </w:rPr>
        <w:t>2</w:t>
      </w:r>
      <w:r>
        <w:t>Ist das Mahnverfahren maschinell bearbeitet worden, so tritt an die Stelle der Klageschrift der maschinell erstellte Aktenausdruck.</w:t>
      </w:r>
    </w:p>
    <w:p>
      <w:pPr>
        <w:pStyle w:val="Heading2"/>
      </w:pPr>
      <w:bookmarkStart w:id="691" w:name="b690"/>
      <w:r>
        <w:t>§ 698 Abgabe des Verfahrens am selben Gericht</w:t>
      </w:r>
      <w:r>
        <w:t xml:space="preserve"> </w:t>
      </w:r>
      <w:r>
        <w:rPr>
          <w:rStyle w:val="Suchmarke"/>
        </w:rPr>
        <w:t>#698#</w:t>
      </w:r>
      <w:bookmarkEnd w:id="691"/>
    </w:p>
    <w:p>
      <w:r>
        <w:t>Die Vorschriften über die Abgabe des Verfahrens gelten sinngemäß, wenn Mahnverfahren und streitiges Verfahren bei demselben Gericht durchgeführt werden.</w:t>
      </w:r>
    </w:p>
    <w:p>
      <w:pPr>
        <w:pStyle w:val="Heading2"/>
      </w:pPr>
      <w:bookmarkStart w:id="692" w:name="b691"/>
      <w:r>
        <w:t>§ 699 Vollstreckungsbescheid</w:t>
      </w:r>
      <w:r>
        <w:t xml:space="preserve"> </w:t>
      </w:r>
      <w:r>
        <w:rPr>
          <w:rStyle w:val="Suchmarke"/>
        </w:rPr>
        <w:t>#699#</w:t>
      </w:r>
      <w:bookmarkEnd w:id="692"/>
    </w:p>
    <w:p>
      <w:r>
        <w:t xml:space="preserve">(1) </w:t>
      </w:r>
      <w:r>
        <w:rPr>
          <w:rStyle w:val="Satznummer"/>
        </w:rPr>
        <w:t>1</w:t>
      </w:r>
      <w:r>
        <w:t xml:space="preserve">Auf der Grundlage des Mahnbescheids erlässt das Gericht auf Antrag einen Vollstreckungsbescheid, wenn der Antragsgegner nicht rechtzeitig Widerspruch erhoben hat. </w:t>
      </w:r>
      <w:r>
        <w:rPr>
          <w:rStyle w:val="Satznummer"/>
        </w:rPr>
        <w:t>2</w:t>
      </w:r>
      <w:r>
        <w:t xml:space="preserve">Der Antrag kann nicht vor Ablauf der Widerspruchsfrist gestellt werden; er hat die Erklärung zu enthalten, ob und welche Zahlungen auf den Mahnbescheid geleistet worden sind. </w:t>
      </w:r>
      <w:r>
        <w:rPr>
          <w:rStyle w:val="Satznummer"/>
        </w:rPr>
        <w:t>3</w:t>
      </w:r>
      <w:r>
        <w:t>Ist der Rechtsstreit bereits an ein anderes Gericht abgegeben, so erlässt dieses den Vollstreckungsbescheid.</w:t>
      </w:r>
    </w:p>
    <w:p>
      <w:r>
        <w:t>(2) Soweit das Mahnverfahren nicht maschinell bearbeitet wird, kann der Vollstreckungsbescheid auf den Mahnbescheid gesetzt werden.</w:t>
      </w:r>
    </w:p>
    <w:p>
      <w:r>
        <w:t xml:space="preserve">(3) </w:t>
      </w:r>
      <w:r>
        <w:rPr>
          <w:rStyle w:val="Satznummer"/>
        </w:rPr>
        <w:t>1</w:t>
      </w:r>
      <w:r>
        <w:t xml:space="preserve">In den Vollstreckungsbescheid sind die bisher entstandenen Kosten des Verfahrens aufzunehmen. </w:t>
      </w:r>
      <w:r>
        <w:rPr>
          <w:rStyle w:val="Satznummer"/>
        </w:rPr>
        <w:t>2</w:t>
      </w:r>
      <w:r>
        <w:t>Der Antragsteller braucht die Kosten nur zu berechnen, wenn das Mahnverfahren nicht maschinell bearbeitet wird; im Übrigen genügen die zur maschinellen Berechnung erforderlichen Angaben.</w:t>
      </w:r>
    </w:p>
    <w:p>
      <w:r>
        <w:t xml:space="preserve">(4) </w:t>
      </w:r>
      <w:r>
        <w:rPr>
          <w:rStyle w:val="Satznummer"/>
        </w:rPr>
        <w:t>1</w:t>
      </w:r>
      <w:r>
        <w:t xml:space="preserve">Der Vollstreckungsbescheid wird dem Antragsgegner von Amts wegen zugestellt, wenn nicht der Antragsteller die Übermittlung an sich zur Zustellung im Parteibetrieb beantragt hat. </w:t>
      </w:r>
      <w:r>
        <w:rPr>
          <w:rStyle w:val="Satznummer"/>
        </w:rPr>
        <w:t>2</w:t>
      </w:r>
      <w:r>
        <w:t xml:space="preserve">In diesen Fällen wird der Vollstreckungsbescheid dem Antragsteller zur Zustellung übermittelt; die Geschäftsstelle des Gerichts vermittelt diese Zustellung nicht. </w:t>
      </w:r>
      <w:r>
        <w:rPr>
          <w:rStyle w:val="Satznummer"/>
        </w:rPr>
        <w:t>3</w:t>
      </w:r>
      <w:r>
        <w:t xml:space="preserve">Bewilligt das mit dem Mahnverfahren befasste Gericht die öffentliche Zustellung, so wird diese nach </w:t>
      </w:r>
      <w:hyperlink w:anchor="b227" w:history="1">
        <w:r>
          <w:rPr>
            <w:color w:val="0A3A8C"/>
            <w:u w:val="single"/>
          </w:rPr>
          <w:t xml:space="preserve">§ 186</w:t>
        </w:r>
      </w:hyperlink>
      <w:r>
        <w:t xml:space="preserve"> Absatz 2 Satz 1 bis 3 bei dem Gericht vorgenommen, das in dem Mahnbescheid gemäß </w:t>
      </w:r>
      <w:hyperlink w:anchor="b684" w:history="1">
        <w:r>
          <w:rPr>
            <w:color w:val="0A3A8C"/>
            <w:u w:val="single"/>
          </w:rPr>
          <w:t xml:space="preserve">§ 692</w:t>
        </w:r>
      </w:hyperlink>
      <w:r>
        <w:t xml:space="preserve"> Absatz 1 Nummer 1 bezeichnet worden ist.</w:t>
      </w:r>
    </w:p>
    <w:p>
      <w:r>
        <w:t xml:space="preserve">(5) Die Belehrung gemäß </w:t>
      </w:r>
      <w:hyperlink w:anchor="b260" w:history="1">
        <w:r>
          <w:rPr>
            <w:color w:val="0A3A8C"/>
            <w:u w:val="single"/>
          </w:rPr>
          <w:t xml:space="preserve">§ 232</w:t>
        </w:r>
      </w:hyperlink>
      <w:r>
        <w:t xml:space="preserve"> ist dem Antragsgegner zusammen mit der Zustellung des Vollstreckungsbescheids schriftlich mitzuteilen.</w:t>
      </w:r>
    </w:p>
    <w:p>
      <w:pPr>
        <w:pStyle w:val="Heading2"/>
      </w:pPr>
      <w:bookmarkStart w:id="693" w:name="b692"/>
      <w:r>
        <w:t>§ 700 Einspruch gegen den Vollstreckungsbescheid</w:t>
      </w:r>
      <w:r>
        <w:t xml:space="preserve"> </w:t>
      </w:r>
      <w:r>
        <w:rPr>
          <w:rStyle w:val="Suchmarke"/>
        </w:rPr>
        <w:t>#700#</w:t>
      </w:r>
      <w:bookmarkEnd w:id="693"/>
    </w:p>
    <w:p>
      <w:r>
        <w:t>(1) Der Vollstreckungsbescheid steht einem für vorläufig vollstreckbar erklärten Versäumnisurteil gleich.</w:t>
      </w:r>
    </w:p>
    <w:p>
      <w:r>
        <w:t>(2) Die Streitsache gilt als mit der Zustellung des Mahnbescheids rechtshängig geworden.</w:t>
      </w:r>
    </w:p>
    <w:p>
      <w:r>
        <w:t xml:space="preserve">(3) </w:t>
      </w:r>
      <w:r>
        <w:rPr>
          <w:rStyle w:val="Satznummer"/>
        </w:rPr>
        <w:t>1</w:t>
      </w:r>
      <w:r>
        <w:t xml:space="preserve">Wird Einspruch eingelegt, so gibt das Gericht, das den Vollstreckungsbescheid erlassen hat, den Rechtsstreit von Amts wegen an das Gericht ab, das in dem Mahnbescheid gemäß </w:t>
      </w:r>
      <w:hyperlink w:anchor="b684" w:history="1">
        <w:r>
          <w:rPr>
            <w:color w:val="0A3A8C"/>
            <w:u w:val="single"/>
          </w:rPr>
          <w:t xml:space="preserve">§ 692</w:t>
        </w:r>
      </w:hyperlink>
      <w:r>
        <w:t xml:space="preserve"> Abs. 1 Nr. 1 bezeichnet worden ist, wenn die Parteien übereinstimmend die Abgabe an ein anderes Gericht verlangen, an dieses. </w:t>
      </w:r>
      <w:r>
        <w:rPr>
          <w:rStyle w:val="Satznummer"/>
        </w:rPr>
        <w:t>2</w:t>
      </w:r>
      <w:hyperlink w:anchor="b688" w:history="1">
        <w:r>
          <w:rPr>
            <w:color w:val="0A3A8C"/>
            <w:u w:val="single"/>
          </w:rPr>
          <w:t xml:space="preserve">§ 696</w:t>
        </w:r>
      </w:hyperlink>
      <w:r>
        <w:t xml:space="preserve"> Abs. 1 Satz 3 bis 5, Abs. 2, 5, </w:t>
      </w:r>
      <w:hyperlink w:anchor="b689" w:history="1">
        <w:r>
          <w:rPr>
            <w:color w:val="0A3A8C"/>
            <w:u w:val="single"/>
          </w:rPr>
          <w:t xml:space="preserve">§ 697</w:t>
        </w:r>
      </w:hyperlink>
      <w:r>
        <w:t xml:space="preserve"> Abs. 1, 4, </w:t>
      </w:r>
      <w:hyperlink w:anchor="b690" w:history="1">
        <w:r>
          <w:rPr>
            <w:color w:val="0A3A8C"/>
            <w:u w:val="single"/>
          </w:rPr>
          <w:t xml:space="preserve">§ 698</w:t>
        </w:r>
      </w:hyperlink>
      <w:r>
        <w:t xml:space="preserve"> gelten entsprechend. </w:t>
      </w:r>
      <w:r>
        <w:rPr>
          <w:rStyle w:val="Satznummer"/>
        </w:rPr>
        <w:t>3</w:t>
      </w:r>
      <w:hyperlink w:anchor="b392" w:history="1">
        <w:r>
          <w:rPr>
            <w:color w:val="0A3A8C"/>
            <w:u w:val="single"/>
          </w:rPr>
          <w:t xml:space="preserve">§ 340</w:t>
        </w:r>
      </w:hyperlink>
      <w:r>
        <w:t xml:space="preserve"> Abs. 3 ist nicht anzuwenden.</w:t>
      </w:r>
    </w:p>
    <w:p>
      <w:r>
        <w:t xml:space="preserve">(4) </w:t>
      </w:r>
      <w:r>
        <w:rPr>
          <w:rStyle w:val="Satznummer"/>
        </w:rPr>
        <w:t>1</w:t>
      </w:r>
      <w:r>
        <w:t xml:space="preserve">Bei Eingang der Anspruchsbegründung ist wie nach Eingang einer Klage weiter zu verfahren, wenn der Einspruch nicht als unzulässig verworfen wird. </w:t>
      </w:r>
      <w:r>
        <w:rPr>
          <w:rStyle w:val="Satznummer"/>
        </w:rPr>
        <w:t>2</w:t>
      </w:r>
      <w:hyperlink w:anchor="b310" w:history="1">
        <w:r>
          <w:rPr>
            <w:color w:val="0A3A8C"/>
            <w:u w:val="single"/>
          </w:rPr>
          <w:t xml:space="preserve">§ 276</w:t>
        </w:r>
      </w:hyperlink>
      <w:r>
        <w:t xml:space="preserve"> Abs. 1 Satz 1, 3, Abs. 2 ist nicht anzuwenden.</w:t>
      </w:r>
    </w:p>
    <w:p>
      <w:r>
        <w:t xml:space="preserve">(5) Geht die Anspruchsbegründung innerhalb der von der Geschäftsstelle gesetzten Frist nicht ein und wird der Einspruch auch nicht als unzulässig verworfen, bestimmt der Vorsitzende unverzüglich Termin; </w:t>
      </w:r>
      <w:hyperlink w:anchor="b689" w:history="1">
        <w:r>
          <w:rPr>
            <w:color w:val="0A3A8C"/>
            <w:u w:val="single"/>
          </w:rPr>
          <w:t xml:space="preserve">§ 697</w:t>
        </w:r>
      </w:hyperlink>
      <w:r>
        <w:t xml:space="preserve"> Abs. 3 Satz 2 gilt entsprechend.</w:t>
      </w:r>
    </w:p>
    <w:p>
      <w:r>
        <w:t xml:space="preserve">(6) Der Einspruch darf nach </w:t>
      </w:r>
      <w:hyperlink w:anchor="b399" w:history="1">
        <w:r>
          <w:rPr>
            <w:color w:val="0A3A8C"/>
            <w:u w:val="single"/>
          </w:rPr>
          <w:t xml:space="preserve">§ 345</w:t>
        </w:r>
      </w:hyperlink>
      <w:r>
        <w:t xml:space="preserve"> nur verworfen werden, soweit die Voraussetzungen des </w:t>
      </w:r>
      <w:hyperlink w:anchor="b382" w:history="1">
        <w:r>
          <w:rPr>
            <w:color w:val="0A3A8C"/>
            <w:u w:val="single"/>
          </w:rPr>
          <w:t xml:space="preserve">§ 331</w:t>
        </w:r>
      </w:hyperlink>
      <w:r>
        <w:t xml:space="preserve"> Abs. 1, 2 erster Halbsatz für ein Versäumnisurteil vorliegen; soweit die Voraussetzungen nicht vorliegen, wird der Vollstreckungsbescheid aufgehoben.</w:t>
      </w:r>
    </w:p>
    <w:p>
      <w:pPr>
        <w:pStyle w:val="Heading2"/>
      </w:pPr>
      <w:bookmarkStart w:id="694" w:name="b693"/>
      <w:r>
        <w:t>§ 701 Wegfall der Wirkung des Mahnbescheids</w:t>
      </w:r>
      <w:r>
        <w:t xml:space="preserve"> </w:t>
      </w:r>
      <w:r>
        <w:rPr>
          <w:rStyle w:val="Suchmarke"/>
        </w:rPr>
        <w:t>#701#</w:t>
      </w:r>
      <w:bookmarkEnd w:id="694"/>
    </w:p>
    <w:p>
      <w:r>
        <w:rPr>
          <w:rStyle w:val="Satznummer"/>
        </w:rPr>
        <w:t>1</w:t>
      </w:r>
      <w:r>
        <w:t xml:space="preserve">Ist Widerspruch nicht erhoben und beantragt der Antragsteller den Erlass des Vollstreckungsbescheids nicht binnen einer sechsmonatigen Frist, die mit der Zustellung des Mahnbescheids beginnt, so fällt die Wirkung des Mahnbescheids weg. </w:t>
      </w:r>
      <w:r>
        <w:rPr>
          <w:rStyle w:val="Satznummer"/>
        </w:rPr>
        <w:t>2</w:t>
      </w:r>
      <w:r>
        <w:t>Dasselbe gilt, wenn der Vollstreckungsbescheid rechtzeitig beantragt ist, der Antrag aber zurückgewiesen wird.</w:t>
      </w:r>
    </w:p>
    <w:p>
      <w:pPr>
        <w:pStyle w:val="Heading2"/>
      </w:pPr>
      <w:bookmarkStart w:id="695" w:name="b694"/>
      <w:r>
        <w:t>§ 702 Form von Anträgen und Erklärungen</w:t>
      </w:r>
      <w:r>
        <w:t xml:space="preserve"> </w:t>
      </w:r>
      <w:r>
        <w:rPr>
          <w:rStyle w:val="Suchmarke"/>
        </w:rPr>
        <w:t>#702#</w:t>
      </w:r>
      <w:bookmarkEnd w:id="695"/>
    </w:p>
    <w:p>
      <w:r>
        <w:t xml:space="preserve">(1) </w:t>
      </w:r>
      <w:r>
        <w:rPr>
          <w:rStyle w:val="Satznummer"/>
        </w:rPr>
        <w:t>1</w:t>
      </w:r>
      <w:r>
        <w:t xml:space="preserve">Im Mahnverfahren können die Anträge und Erklärungen vor dem Urkundsbeamten der Geschäftsstelle abgegeben werden. </w:t>
      </w:r>
      <w:r>
        <w:rPr>
          <w:rStyle w:val="Satznummer"/>
        </w:rPr>
        <w:t>2</w:t>
      </w:r>
      <w:r>
        <w:t xml:space="preserve">Soweit Formulare eingeführt sind, werden diese ausgefüllt; der Urkundsbeamte vermerkt unter Angabe des Gerichts und des Datums, dass er den Antrag oder die Erklärung aufgenommen hat. </w:t>
      </w:r>
      <w:r>
        <w:rPr>
          <w:rStyle w:val="Satznummer"/>
        </w:rPr>
        <w:t>3</w:t>
      </w:r>
      <w:r>
        <w:t>Auch soweit Formulare nicht eingeführt sind, ist für den Antrag auf Erlass eines Mahnbescheids oder eines Vollstreckungsbescheids bei dem für das Mahnverfahren zuständigen Gericht die Aufnahme eines Protokolls nicht erforderlich.</w:t>
      </w:r>
    </w:p>
    <w:p>
      <w:r>
        <w:t xml:space="preserve">(2) </w:t>
      </w:r>
      <w:r>
        <w:rPr>
          <w:rStyle w:val="Satznummer"/>
        </w:rPr>
        <w:t>1</w:t>
      </w:r>
      <w:r>
        <w:t xml:space="preserve">Anträge und Erklärungen können in einer nur maschinell lesbaren Form übermittelt werden, wenn diese dem Gericht für seine maschinelle Bearbeitung geeignet erscheint. </w:t>
      </w:r>
      <w:r>
        <w:rPr>
          <w:rStyle w:val="Satznummer"/>
        </w:rPr>
        <w:t>2</w:t>
      </w:r>
      <w:r>
        <w:t xml:space="preserve">Werden Anträge und Erklärungen, für die maschinell bearbeitbare Formulare nach </w:t>
      </w:r>
      <w:hyperlink w:anchor="b698" w:history="1">
        <w:r>
          <w:rPr>
            <w:color w:val="0A3A8C"/>
            <w:u w:val="single"/>
          </w:rPr>
          <w:t xml:space="preserve">§ 703c</w:t>
        </w:r>
      </w:hyperlink>
      <w:r>
        <w:t xml:space="preserve"> Absatz 1 Satz 2 Nummer 1 eingeführt sind, von einem Rechtsanwalt, einer registrierten Person nach § 10 Absatz 1 Satz 1 Nummer 1 des Rechtsdienstleistungsgesetzes, einem Kreditdienstleistungsinstitut mit einer Erlaubnis nach § 10 Absatz 1 des Kreditzweitmarktgesetzes, einer Behörde oder einer juristischen Person des öffentlichen Rechts einschließlich der von ihr zur Erfüllung ihrer öffentlichen Aufgaben gebildeten Zusammenschlüsse übermittelt, ist nur diese Form der Übermittlung zulässig. </w:t>
      </w:r>
      <w:r>
        <w:rPr>
          <w:rStyle w:val="Satznummer"/>
        </w:rPr>
        <w:t>3</w:t>
      </w:r>
      <w:r>
        <w:t xml:space="preserve">Anträge und Erklärungen können unter Nutzung des elektronischen Identitätsnachweises nach § 18 des Personalausweisgesetzes, § 12 des eID-Karte-Gesetzes oder § 78 Absatz 5 des Aufenthaltsgesetzes gestellt werden. </w:t>
      </w:r>
      <w:r>
        <w:rPr>
          <w:rStyle w:val="Satznummer"/>
        </w:rPr>
        <w:t>4</w:t>
      </w:r>
      <w:r>
        <w:t>Der handschriftlichen Unterzeichnung bedarf es nicht, wenn in anderer Weise gewährleistet ist, dass die Anträge oder Erklärungen nicht ohne den Willen des Antragstellers oder Erklärenden übermittelt werden.</w:t>
      </w:r>
    </w:p>
    <w:p>
      <w:r>
        <w:t>(3) Der Antrag auf Erlass eines Mahnbescheids oder eines Vollstreckungsbescheids wird dem Antragsgegner nicht mitgeteilt.</w:t>
      </w:r>
    </w:p>
    <w:p>
      <w:pPr>
        <w:pStyle w:val="Heading2"/>
      </w:pPr>
      <w:bookmarkStart w:id="696" w:name="b695"/>
      <w:r>
        <w:t>§ 703 Kein Nachweis der Vollmacht</w:t>
      </w:r>
      <w:r>
        <w:t xml:space="preserve"> </w:t>
      </w:r>
      <w:r>
        <w:rPr>
          <w:rStyle w:val="Suchmarke"/>
        </w:rPr>
        <w:t>#703#</w:t>
      </w:r>
      <w:bookmarkEnd w:id="696"/>
    </w:p>
    <w:p>
      <w:r>
        <w:rPr>
          <w:rStyle w:val="Satznummer"/>
        </w:rPr>
        <w:t>1</w:t>
      </w:r>
      <w:r>
        <w:t xml:space="preserve">Im Mahnverfahren bedarf es des Nachweises einer Vollmacht nicht. </w:t>
      </w:r>
      <w:r>
        <w:rPr>
          <w:rStyle w:val="Satznummer"/>
        </w:rPr>
        <w:t>2</w:t>
      </w:r>
      <w:r>
        <w:t>Wer als Bevollmächtigter einen Antrag einreicht oder einen Rechtsbehelf einlegt, hat seine ordnungsgemäße Bevollmächtigung zu versichern.</w:t>
      </w:r>
    </w:p>
    <w:p>
      <w:pPr>
        <w:pStyle w:val="Heading2"/>
      </w:pPr>
      <w:bookmarkStart w:id="697" w:name="b696"/>
      <w:r>
        <w:t>§ 703a Urkunden-, Wechsel- und Scheckmahnverfahren</w:t>
      </w:r>
      <w:r>
        <w:t xml:space="preserve"> </w:t>
      </w:r>
      <w:r>
        <w:rPr>
          <w:rStyle w:val="Suchmarke"/>
        </w:rPr>
        <w:t>#703a#</w:t>
      </w:r>
      <w:bookmarkEnd w:id="697"/>
    </w:p>
    <w:p>
      <w:r>
        <w:t>(1) Ist der Antrag des Antragstellers auf den Erlass eines Urkunden-, Wechsel- oder Scheckmahnbescheids gerichtet, so wird der Mahnbescheid als Urkunden-, Wechsel- oder Scheckmahnbescheid bezeichnet.</w:t>
      </w:r>
    </w:p>
    <w:p>
      <w:r>
        <w:t>(2) Für das Urkunden-, Wechsel- und Scheckmahnverfahren gelten folgende besondere Vorschriften:</w:t>
      </w:r>
    </w:p>
    <w:p>
      <w:pPr>
        <w:tabs>
          <w:tab w:pos="567" w:val="left"/>
        </w:tabs>
        <w:ind w:left="567" w:hanging="567"/>
      </w:pPr>
      <w:r>
        <w:t>1.</w:t>
      </w:r>
      <w:r>
        <w:tab/>
      </w:r>
      <w:r>
        <w:t>die Bezeichnung als Urkunden-, Wechsel- oder Scheckmahnbescheid hat die Wirkung, dass die Streitsache, wenn rechtzeitig Widerspruch erhoben wird, im Urkunden-, Wechsel- oder Scheckprozess anhängig wird;</w:t>
      </w:r>
    </w:p>
    <w:p>
      <w:pPr>
        <w:tabs>
          <w:tab w:pos="567" w:val="left"/>
        </w:tabs>
        <w:ind w:left="567" w:hanging="567"/>
      </w:pPr>
      <w:r>
        <w:t>2.</w:t>
      </w:r>
      <w:r>
        <w:tab/>
      </w:r>
      <w:r>
        <w:t>die Urkunden sollen in dem Antrag auf Erlass des Mahnbescheids und in dem Mahnbescheid bezeichnet werden; ist die Sache an das Streitgericht abzugeben, so müssen die Urkunden in Urschrift oder in Abschrift der Anspruchsbegründung beigefügt werden;</w:t>
      </w:r>
    </w:p>
    <w:p>
      <w:pPr>
        <w:tabs>
          <w:tab w:pos="567" w:val="left"/>
        </w:tabs>
        <w:ind w:left="567" w:hanging="567"/>
      </w:pPr>
      <w:r>
        <w:t>3.</w:t>
      </w:r>
      <w:r>
        <w:tab/>
      </w:r>
      <w:r>
        <w:t>im Mahnverfahren ist nicht zu prüfen, ob die gewählte Prozessart statthaft ist;</w:t>
      </w:r>
    </w:p>
    <w:p>
      <w:pPr>
        <w:tabs>
          <w:tab w:pos="567" w:val="left"/>
        </w:tabs>
        <w:ind w:left="567" w:hanging="567"/>
      </w:pPr>
      <w:r>
        <w:t>4.</w:t>
      </w:r>
      <w:r>
        <w:tab/>
      </w:r>
      <w:r>
        <w:t xml:space="preserve">beschränkt sich der Widerspruch auf den Antrag, dem Beklagten die Ausführung seiner Rechte vorzubehalten, so ist der Vollstreckungsbescheid unter diesem Vorbehalt zu erlassen. </w:t>
      </w:r>
      <w:r>
        <w:rPr>
          <w:rStyle w:val="Satznummer"/>
        </w:rPr>
        <w:t>2</w:t>
      </w:r>
      <w:r>
        <w:t xml:space="preserve">Auf das weitere Verfahren ist die Vorschrift des </w:t>
      </w:r>
      <w:hyperlink w:anchor="b659" w:history="1">
        <w:r>
          <w:rPr>
            <w:color w:val="0A3A8C"/>
            <w:u w:val="single"/>
          </w:rPr>
          <w:t xml:space="preserve">§ 600</w:t>
        </w:r>
      </w:hyperlink>
      <w:r>
        <w:t xml:space="preserve"> entsprechend anzuwenden.</w:t>
      </w:r>
    </w:p>
    <w:p>
      <w:pPr>
        <w:pStyle w:val="Heading2"/>
      </w:pPr>
      <w:bookmarkStart w:id="698" w:name="b697"/>
      <w:r>
        <w:t>§ 703b Sonderregelungen für maschinelle Bearbeitung</w:t>
      </w:r>
      <w:r>
        <w:t xml:space="preserve"> </w:t>
      </w:r>
      <w:r>
        <w:rPr>
          <w:rStyle w:val="Suchmarke"/>
        </w:rPr>
        <w:t>#703b#</w:t>
      </w:r>
      <w:bookmarkEnd w:id="698"/>
    </w:p>
    <w:p>
      <w:r>
        <w:t>(1) Bei maschineller Bearbeitung werden Beschlüsse, Verfügungen, Ausfertigungen und Vollstreckungsklauseln mit dem Gerichtssiegel versehen; einer Unterschrift bedarf es nicht.</w:t>
      </w:r>
    </w:p>
    <w:p>
      <w:r>
        <w:t>(2) Das Bundesministerium der Justiz und für Verbraucherschutz wird ermächtigt, durch Rechtsverordnung mit Zustimmung des Bundesrates den Verfahrensablauf zu regeln, soweit dies für eine einheitliche maschinelle Bearbeitung der Mahnverfahren erforderlich ist (Verfahrensablaufplan).</w:t>
      </w:r>
    </w:p>
    <w:p>
      <w:pPr>
        <w:pStyle w:val="Heading2"/>
      </w:pPr>
      <w:bookmarkStart w:id="699" w:name="b698"/>
      <w:r>
        <w:t>§ 703c Formulare; Einführung der maschinellen Bearbeitung</w:t>
      </w:r>
      <w:r>
        <w:t xml:space="preserve"> </w:t>
      </w:r>
      <w:r>
        <w:rPr>
          <w:rStyle w:val="Suchmarke"/>
        </w:rPr>
        <w:t>#703c#</w:t>
      </w:r>
      <w:bookmarkEnd w:id="699"/>
    </w:p>
    <w:p>
      <w:r>
        <w:t xml:space="preserve">(1) </w:t>
      </w:r>
      <w:r>
        <w:rPr>
          <w:rStyle w:val="Satznummer"/>
        </w:rPr>
        <w:t>1</w:t>
      </w:r>
      <w:r>
        <w:t xml:space="preserve">Das Bundesministerium der Justiz und für Verbraucherschutz wird ermächtigt, durch Rechtsverordnung mit Zustimmung des Bundesrates zur Vereinfachung des Mahnverfahrens und zum Schutze der in Anspruch genommenen Partei Formulare einzuführen. </w:t>
      </w:r>
      <w:r>
        <w:rPr>
          <w:rStyle w:val="Satznummer"/>
        </w:rPr>
        <w:t>2</w:t>
      </w:r>
      <w:r>
        <w:t>Für</w:t>
      </w:r>
    </w:p>
    <w:p>
      <w:pPr>
        <w:tabs>
          <w:tab w:pos="567" w:val="left"/>
        </w:tabs>
        <w:ind w:left="567" w:hanging="567"/>
      </w:pPr>
      <w:r>
        <w:t>1.</w:t>
      </w:r>
      <w:r>
        <w:tab/>
      </w:r>
      <w:r>
        <w:t>Mahnverfahren bei Gerichten, die die Verfahren maschinell bearbeiten,</w:t>
      </w:r>
    </w:p>
    <w:p>
      <w:pPr>
        <w:tabs>
          <w:tab w:pos="567" w:val="left"/>
        </w:tabs>
        <w:ind w:left="567" w:hanging="567"/>
      </w:pPr>
      <w:r>
        <w:t>2.</w:t>
      </w:r>
      <w:r>
        <w:tab/>
      </w:r>
      <w:r>
        <w:t>Mahnverfahren bei Gerichten, die die Verfahren nicht maschinell bearbeiten,</w:t>
      </w:r>
    </w:p>
    <w:p>
      <w:pPr>
        <w:tabs>
          <w:tab w:pos="567" w:val="left"/>
        </w:tabs>
        <w:ind w:left="567" w:hanging="567"/>
      </w:pPr>
      <w:r>
        <w:t>3.</w:t>
      </w:r>
      <w:r>
        <w:tab/>
      </w:r>
      <w:r>
        <w:t>Mahnverfahren, in denen der Mahnbescheid im Ausland zuzustellen ist,</w:t>
      </w:r>
    </w:p>
    <w:p>
      <w:pPr>
        <w:tabs>
          <w:tab w:pos="567" w:val="left"/>
        </w:tabs>
        <w:ind w:left="567" w:hanging="567"/>
      </w:pPr>
      <w:r>
        <w:t>4.</w:t>
      </w:r>
      <w:r>
        <w:tab/>
      </w:r>
      <w:r>
        <w:t>Mahnverfahren, in denen der Mahnbescheid nach Artikel 32 des Zusatzabkommens zum NATO-Truppenstatut vom 3. August 1959 (BGBl. 1961 II S. 1183, 1218) zuzustellen ist,</w:t>
      </w:r>
    </w:p>
    <w:p>
      <w:r>
        <w:t>können unterschiedliche Formulare eingeführt werden.</w:t>
      </w:r>
    </w:p>
    <w:p>
      <w:r>
        <w:t>(2) Soweit nach Absatz 1 Formulare für Anträge und Erklärungen der Parteien eingeführt sind, müssen sich die Parteien ihrer bedienen.</w:t>
      </w:r>
    </w:p>
    <w:p>
      <w:r>
        <w:t>(3) Die Landesregierungen bestimmen durch Rechtsverordnung den Zeitpunkt, in dem bei einem Amtsgericht die maschinelle Bearbeitung der Mahnverfahren eingeführt wird; sie können die Ermächtigung durch Rechtsverordnung auf die Landesjustizverwaltungen übertragen.</w:t>
      </w:r>
    </w:p>
    <w:p>
      <w:pPr>
        <w:pStyle w:val="Heading2"/>
      </w:pPr>
      <w:bookmarkStart w:id="700" w:name="b699"/>
      <w:r>
        <w:t>§ 703d Antragsgegner ohne allgemeinen inländischen Gerichtsstand</w:t>
      </w:r>
      <w:r>
        <w:t xml:space="preserve"> </w:t>
      </w:r>
      <w:r>
        <w:rPr>
          <w:rStyle w:val="Suchmarke"/>
        </w:rPr>
        <w:t>#703d#</w:t>
      </w:r>
      <w:bookmarkEnd w:id="700"/>
    </w:p>
    <w:p>
      <w:r>
        <w:t>(1) Hat der Antragsgegner keinen allgemeinen Gerichtsstand im Inland, so gelten die nachfolgenden besonderen Vorschriften.</w:t>
      </w:r>
    </w:p>
    <w:p>
      <w:r>
        <w:t xml:space="preserve">(2) </w:t>
      </w:r>
      <w:r>
        <w:rPr>
          <w:rStyle w:val="Satznummer"/>
        </w:rPr>
        <w:t>1</w:t>
      </w:r>
      <w:r>
        <w:t xml:space="preserve">Zuständig für das Mahnverfahren ist das Amtsgericht, das für das streitige Verfahren zuständig sein würde, wenn die Amtsgerichte im ersten Rechtszug sachlich unbeschränkt zuständig wären. </w:t>
      </w:r>
      <w:r>
        <w:rPr>
          <w:rStyle w:val="Satznummer"/>
        </w:rPr>
        <w:t>2</w:t>
      </w:r>
      <w:hyperlink w:anchor="b681" w:history="1">
        <w:r>
          <w:rPr>
            <w:color w:val="0A3A8C"/>
            <w:u w:val="single"/>
          </w:rPr>
          <w:t xml:space="preserve">§ 689</w:t>
        </w:r>
      </w:hyperlink>
      <w:r>
        <w:t xml:space="preserve"> Abs. 3 gilt entsprechend.</w:t>
      </w:r>
    </w:p>
    <w:p>
      <w:pPr>
        <w:pStyle w:val="Heading1"/>
      </w:pPr>
      <w:bookmarkStart w:id="701" w:name="b700"/>
      <w:r>
        <w:t>Buch 8 Zwangsvollstreckung</w:t>
      </w:r>
      <w:bookmarkEnd w:id="701"/>
    </w:p>
    <w:p>
      <w:pPr>
        <w:pStyle w:val="Heading2"/>
      </w:pPr>
      <w:bookmarkStart w:id="702" w:name="b701"/>
      <w:r>
        <w:t>Abschnitt 1 Allgemeine Vorschriften</w:t>
      </w:r>
      <w:bookmarkEnd w:id="702"/>
    </w:p>
    <w:p>
      <w:pPr>
        <w:pStyle w:val="Heading3"/>
      </w:pPr>
      <w:bookmarkStart w:id="703" w:name="b702"/>
      <w:r>
        <w:t>§ 704 Vollstreckbare Endurteile</w:t>
      </w:r>
      <w:r>
        <w:t xml:space="preserve"> </w:t>
      </w:r>
      <w:r>
        <w:rPr>
          <w:rStyle w:val="Suchmarke"/>
        </w:rPr>
        <w:t>#704#</w:t>
      </w:r>
      <w:bookmarkEnd w:id="703"/>
    </w:p>
    <w:p>
      <w:r>
        <w:t>Die Zwangsvollstreckung findet statt aus Endurteilen, die rechtskräftig oder für vorläufig vollstreckbar erklärt sind.</w:t>
      </w:r>
    </w:p>
    <w:p>
      <w:pPr>
        <w:pStyle w:val="Heading3"/>
      </w:pPr>
      <w:bookmarkStart w:id="704" w:name="b703"/>
      <w:r>
        <w:t>§ 705 Formelle Rechtskraft</w:t>
      </w:r>
      <w:r>
        <w:t xml:space="preserve"> </w:t>
      </w:r>
      <w:r>
        <w:rPr>
          <w:rStyle w:val="Suchmarke"/>
        </w:rPr>
        <w:t>#705#</w:t>
      </w:r>
      <w:bookmarkEnd w:id="704"/>
    </w:p>
    <w:p>
      <w:r>
        <w:rPr>
          <w:rStyle w:val="Satznummer"/>
        </w:rPr>
        <w:t>1</w:t>
      </w:r>
      <w:r>
        <w:t xml:space="preserve">Die Rechtskraft der Urteile tritt vor Ablauf der für die Einlegung des zulässigen Rechtsmittels oder des zulässigen Einspruchs bestimmten Frist nicht ein. </w:t>
      </w:r>
      <w:r>
        <w:rPr>
          <w:rStyle w:val="Satznummer"/>
        </w:rPr>
        <w:t>2</w:t>
      </w:r>
      <w:r>
        <w:t>Der Eintritt der Rechtskraft wird durch rechtzeitige Einlegung des Rechtsmittels oder des Einspruchs gehemmt.</w:t>
      </w:r>
    </w:p>
    <w:p>
      <w:pPr>
        <w:pStyle w:val="Heading3"/>
      </w:pPr>
      <w:bookmarkStart w:id="705" w:name="b704"/>
      <w:r>
        <w:t>§ 706 Rechtskraft- und Notfristzeugnis</w:t>
      </w:r>
      <w:r>
        <w:t xml:space="preserve"> </w:t>
      </w:r>
      <w:r>
        <w:rPr>
          <w:rStyle w:val="Suchmarke"/>
        </w:rPr>
        <w:t>#706#</w:t>
      </w:r>
      <w:bookmarkEnd w:id="705"/>
    </w:p>
    <w:p>
      <w:r>
        <w:t>(1) Zeugnisse über die Rechtskraft der Urteile sind auf Grund der Prozessakten von der Geschäftsstelle des Gerichts des ersten Rechtszuges und, solange der Rechtsstreit in einem höheren Rechtszug anhängig ist, von der Geschäftsstelle des Gerichts dieses Rechtszuges zu erteilen.</w:t>
      </w:r>
    </w:p>
    <w:p>
      <w:r>
        <w:t xml:space="preserve">(2) </w:t>
      </w:r>
      <w:r>
        <w:rPr>
          <w:rStyle w:val="Satznummer"/>
        </w:rPr>
        <w:t>1</w:t>
      </w:r>
      <w:r>
        <w:t xml:space="preserve">Soweit die Erteilung des Zeugnisses davon abhängt, dass gegen das Urteil ein Rechtsmittel nicht eingelegt ist, holt die Geschäftsstelle des Gerichts des ersten Rechtszuges bei der Geschäftsstelle des für das Rechtsmittel zuständigen Gerichts eine Mitteilung in Textform ein, dass bis zum Ablauf der Notfrist eine Rechtsmittelschrift nicht eingereicht sei. </w:t>
      </w:r>
      <w:r>
        <w:rPr>
          <w:rStyle w:val="Satznummer"/>
        </w:rPr>
        <w:t>2</w:t>
      </w:r>
      <w:r>
        <w:t xml:space="preserve">Einer Mitteilung durch die Geschäftsstelle des Revisionsgerichts, dass ein Antrag auf Zulassung der Revision nach </w:t>
      </w:r>
      <w:hyperlink w:anchor="b620" w:history="1">
        <w:r>
          <w:rPr>
            <w:color w:val="0A3A8C"/>
            <w:u w:val="single"/>
          </w:rPr>
          <w:t xml:space="preserve">§ 566</w:t>
        </w:r>
      </w:hyperlink>
      <w:r>
        <w:t xml:space="preserve"> nicht eingereicht sei, bedarf es nicht.</w:t>
      </w:r>
    </w:p>
    <w:p>
      <w:pPr>
        <w:pStyle w:val="Heading3"/>
      </w:pPr>
      <w:bookmarkStart w:id="706" w:name="b705"/>
      <w:r>
        <w:t>§ 707 Einstweilige Einstellung der Zwangsvollstreckung</w:t>
      </w:r>
      <w:r>
        <w:t xml:space="preserve"> </w:t>
      </w:r>
      <w:r>
        <w:rPr>
          <w:rStyle w:val="Suchmarke"/>
        </w:rPr>
        <w:t>#707#</w:t>
      </w:r>
      <w:bookmarkEnd w:id="706"/>
    </w:p>
    <w:p>
      <w:r>
        <w:t xml:space="preserve">(1) </w:t>
      </w:r>
      <w:r>
        <w:rPr>
          <w:rStyle w:val="Satznummer"/>
        </w:rPr>
        <w:t>1</w:t>
      </w:r>
      <w:r>
        <w:t xml:space="preserve">Wird die Wiedereinsetzung in den vorigen Stand oder eine Wiederaufnahme des Verfahrens beantragt oder die Rüge nach </w:t>
      </w:r>
      <w:hyperlink w:anchor="b368" w:history="1">
        <w:r>
          <w:rPr>
            <w:color w:val="0A3A8C"/>
            <w:u w:val="single"/>
          </w:rPr>
          <w:t xml:space="preserve">§ 321a</w:t>
        </w:r>
      </w:hyperlink>
      <w:r>
        <w:t xml:space="preserve"> erhoben oder wird der Rechtsstreit nach der Verkündung eines Vorbehaltsurteils fortgesetzt, so kann das Gericht auf Antrag anordnen, dass die Zwangsvollstreckung gegen oder ohne Sicherheitsleistung einstweilen eingestellt werde oder nur gegen Sicherheitsleistung stattfinde und dass die Vollstreckungsmaßregeln gegen Sicherheitsleistung aufzuheben seien. </w:t>
      </w:r>
      <w:r>
        <w:rPr>
          <w:rStyle w:val="Satznummer"/>
        </w:rPr>
        <w:t>2</w:t>
      </w:r>
      <w:r>
        <w:t>Die Einstellung der Zwangsvollstreckung ohne Sicherheitsleistung ist nur zulässig, wenn glaubhaft gemacht wird, dass der Schuldner zur Sicherheitsleistung nicht in der Lage ist und die Vollstreckung einen nicht zu ersetzenden Nachteil bringen würde.</w:t>
      </w:r>
    </w:p>
    <w:p>
      <w:r>
        <w:t xml:space="preserve">(2) </w:t>
      </w:r>
      <w:r>
        <w:rPr>
          <w:rStyle w:val="Satznummer"/>
        </w:rPr>
        <w:t>1</w:t>
      </w:r>
      <w:r>
        <w:t xml:space="preserve">Die Entscheidung ergeht durch Beschluss. </w:t>
      </w:r>
      <w:r>
        <w:rPr>
          <w:rStyle w:val="Satznummer"/>
        </w:rPr>
        <w:t>2</w:t>
      </w:r>
      <w:r>
        <w:t>Eine Anfechtung des Beschlusses findet nicht statt.</w:t>
      </w:r>
    </w:p>
    <w:p>
      <w:pPr>
        <w:pStyle w:val="Heading3"/>
      </w:pPr>
      <w:bookmarkStart w:id="707" w:name="b706"/>
      <w:r>
        <w:t>§ 708 Vorläufige Vollstreckbarkeit ohne Sicherheitsleistung</w:t>
      </w:r>
      <w:r>
        <w:t xml:space="preserve"> </w:t>
      </w:r>
      <w:r>
        <w:rPr>
          <w:rStyle w:val="Suchmarke"/>
        </w:rPr>
        <w:t>#708#</w:t>
      </w:r>
      <w:bookmarkEnd w:id="707"/>
    </w:p>
    <w:p>
      <w:r>
        <w:t>Für vorläufig vollstreckbar ohne Sicherheitsleistung sind zu erklären:</w:t>
      </w:r>
    </w:p>
    <w:p>
      <w:pPr>
        <w:tabs>
          <w:tab w:pos="567" w:val="left"/>
        </w:tabs>
        <w:ind w:left="567" w:hanging="567"/>
      </w:pPr>
      <w:r>
        <w:t>1.</w:t>
      </w:r>
      <w:r>
        <w:tab/>
      </w:r>
      <w:r>
        <w:t>Urteile, die auf Grund eines Anerkenntnisses oder eines Verzichts ergehen;</w:t>
      </w:r>
    </w:p>
    <w:p>
      <w:pPr>
        <w:tabs>
          <w:tab w:pos="567" w:val="left"/>
        </w:tabs>
        <w:ind w:left="567" w:hanging="567"/>
      </w:pPr>
      <w:r>
        <w:t>2.</w:t>
      </w:r>
      <w:r>
        <w:tab/>
      </w:r>
      <w:r>
        <w:t xml:space="preserve">Versäumnisurteile und Urteile nach Lage der Akten gegen die säumige Partei gemäß </w:t>
      </w:r>
      <w:hyperlink w:anchor="b383" w:history="1">
        <w:r>
          <w:rPr>
            <w:color w:val="0A3A8C"/>
            <w:u w:val="single"/>
          </w:rPr>
          <w:t xml:space="preserve">§ 331a</w:t>
        </w:r>
      </w:hyperlink>
      <w:r>
        <w:t>;</w:t>
      </w:r>
    </w:p>
    <w:p>
      <w:pPr>
        <w:tabs>
          <w:tab w:pos="567" w:val="left"/>
        </w:tabs>
        <w:ind w:left="567" w:hanging="567"/>
      </w:pPr>
      <w:r>
        <w:t>3.</w:t>
      </w:r>
      <w:r>
        <w:tab/>
      </w:r>
      <w:r>
        <w:t>Urteile, durch die gemäß § 341 der Einspruch als unzulässig verworfen wird;</w:t>
      </w:r>
    </w:p>
    <w:p>
      <w:pPr>
        <w:tabs>
          <w:tab w:pos="567" w:val="left"/>
        </w:tabs>
        <w:ind w:left="567" w:hanging="567"/>
      </w:pPr>
      <w:r>
        <w:t>4.</w:t>
      </w:r>
      <w:r>
        <w:tab/>
      </w:r>
      <w:r>
        <w:t>Urteile, die im Urkunden-, Wechsel- oder Scheckprozess erlassen werden;</w:t>
      </w:r>
    </w:p>
    <w:p>
      <w:pPr>
        <w:tabs>
          <w:tab w:pos="567" w:val="left"/>
        </w:tabs>
        <w:ind w:left="567" w:hanging="567"/>
      </w:pPr>
      <w:r>
        <w:t>5.</w:t>
      </w:r>
      <w:r>
        <w:tab/>
      </w:r>
      <w:r>
        <w:t>Urteile, die ein Vorbehaltsurteil, das im Urkunden-, Wechsel- oder Scheckprozess erlassen wurde, für vorbehaltlos erklären;</w:t>
      </w:r>
    </w:p>
    <w:p>
      <w:pPr>
        <w:tabs>
          <w:tab w:pos="567" w:val="left"/>
        </w:tabs>
        <w:ind w:left="567" w:hanging="567"/>
      </w:pPr>
      <w:r>
        <w:t>6.</w:t>
      </w:r>
      <w:r>
        <w:tab/>
      </w:r>
      <w:r>
        <w:t>Urteile, durch die Arreste oder einstweilige Verfügungen abgelehnt oder aufgehoben werden;</w:t>
      </w:r>
    </w:p>
    <w:p>
      <w:pPr>
        <w:tabs>
          <w:tab w:pos="567" w:val="left"/>
        </w:tabs>
        <w:ind w:left="567" w:hanging="567"/>
      </w:pPr>
      <w:r>
        <w:t>7.</w:t>
      </w:r>
      <w:r>
        <w:tab/>
      </w:r>
      <w:r>
        <w:t>Urteile in Streitigkeiten zwischen dem Vermieter und dem Mieter oder Untermieter von Wohnräumen oder anderen Räumen oder zwischen dem Mieter und dem Untermieter solcher Räume wegen Überlassung, Benutzung oder Räumung, wegen Fortsetzung des Mietverhältnisses über Wohnraum auf Grund der §§ 574 bis 574b des Bürgerlichen Gesetzbuchs sowie wegen Zurückhaltung der von dem Mieter oder dem Untermieter in die Mieträume eingebrachten Sachen;</w:t>
      </w:r>
    </w:p>
    <w:p>
      <w:pPr>
        <w:tabs>
          <w:tab w:pos="567" w:val="left"/>
        </w:tabs>
        <w:ind w:left="567" w:hanging="567"/>
      </w:pPr>
      <w:r>
        <w:t>8.</w:t>
      </w:r>
      <w:r>
        <w:tab/>
      </w:r>
      <w:r>
        <w:t>Urteile, die die Verpflichtung aussprechen, Unterhalt, Renten wegen Entziehung einer Unterhaltsforderung oder Renten wegen einer Verletzung des Körpers oder der Gesundheit zu entrichten, soweit sich die Verpflichtung auf die Zeit nach der Klageerhebung und auf das ihr vorausgehende letzte Vierteljahr bezieht;</w:t>
      </w:r>
    </w:p>
    <w:p>
      <w:pPr>
        <w:tabs>
          <w:tab w:pos="567" w:val="left"/>
        </w:tabs>
        <w:ind w:left="567" w:hanging="567"/>
      </w:pPr>
      <w:r>
        <w:t>9.</w:t>
      </w:r>
      <w:r>
        <w:tab/>
      </w:r>
      <w:r>
        <w:t>Urteile nach §§ 861, 862 des Bürgerlichen Gesetzbuchs auf Wiedereinräumung des Besitzes oder auf Beseitigung oder Unterlassung einer Besitzstörung;</w:t>
      </w:r>
    </w:p>
    <w:p>
      <w:pPr>
        <w:tabs>
          <w:tab w:pos="567" w:val="left"/>
        </w:tabs>
        <w:ind w:left="567" w:hanging="567"/>
      </w:pPr>
      <w:r>
        <w:t>10.</w:t>
      </w:r>
      <w:r>
        <w:tab/>
      </w:r>
      <w:r>
        <w:t xml:space="preserve">Berufungsurteile in vermögensrechtlichen Streitigkeiten. </w:t>
      </w:r>
      <w:r>
        <w:rPr>
          <w:rStyle w:val="Satznummer"/>
        </w:rPr>
        <w:t>2</w:t>
      </w:r>
      <w:r>
        <w:t xml:space="preserve">Wird die Berufung durch Urteil oder Beschluss gemäß </w:t>
      </w:r>
      <w:hyperlink w:anchor="b573" w:history="1">
        <w:r>
          <w:rPr>
            <w:color w:val="0A3A8C"/>
            <w:u w:val="single"/>
          </w:rPr>
          <w:t xml:space="preserve">§ 522</w:t>
        </w:r>
      </w:hyperlink>
      <w:r>
        <w:t xml:space="preserve"> Absatz 2 zurückgewiesen, ist auszusprechen, dass das angefochtene Urteil ohne Sicherheitsleistung vorläufig vollstreckbar ist;</w:t>
      </w:r>
    </w:p>
    <w:p>
      <w:pPr>
        <w:tabs>
          <w:tab w:pos="567" w:val="left"/>
        </w:tabs>
        <w:ind w:left="567" w:hanging="567"/>
      </w:pPr>
      <w:r>
        <w:t>11.</w:t>
      </w:r>
      <w:r>
        <w:tab/>
      </w:r>
      <w:r>
        <w:t>andere Urteile in vermögensrechtlichen Streitigkeiten, wenn der Gegenstand der Verurteilung in der Hauptsache 1.250 Euro nicht übersteigt oder wenn nur die Entscheidung über die Kosten vollstreckbar ist und eine Vollstreckung im Wert von nicht mehr als 1.500 Euro ermöglicht.</w:t>
      </w:r>
    </w:p>
    <w:p>
      <w:pPr>
        <w:pStyle w:val="Heading3"/>
      </w:pPr>
      <w:bookmarkStart w:id="708" w:name="b707"/>
      <w:r>
        <w:t>§ 709 Vorläufige Vollstreckbarkeit gegen Sicherheitsleistung</w:t>
      </w:r>
      <w:r>
        <w:t xml:space="preserve"> </w:t>
      </w:r>
      <w:r>
        <w:rPr>
          <w:rStyle w:val="Suchmarke"/>
        </w:rPr>
        <w:t>#709#</w:t>
      </w:r>
      <w:bookmarkEnd w:id="708"/>
    </w:p>
    <w:p>
      <w:r>
        <w:rPr>
          <w:rStyle w:val="Satznummer"/>
        </w:rPr>
        <w:t>1</w:t>
      </w:r>
      <w:r>
        <w:t xml:space="preserve">Andere Urteile sind gegen eine der Höhe nach zu bestimmende Sicherheit für vorläufig vollstreckbar zu erklären. </w:t>
      </w:r>
      <w:r>
        <w:rPr>
          <w:rStyle w:val="Satznummer"/>
        </w:rPr>
        <w:t>2</w:t>
      </w:r>
      <w:r>
        <w:t xml:space="preserve">Soweit wegen einer Geldforderung zu vollstrecken ist, genügt es, wenn die Höhe der Sicherheitsleistung in einem bestimmten Verhältnis zur Höhe des jeweils zu vollstreckenden Betrages angegeben wird. </w:t>
      </w:r>
      <w:r>
        <w:rPr>
          <w:rStyle w:val="Satznummer"/>
        </w:rPr>
        <w:t>3</w:t>
      </w:r>
      <w:r>
        <w:t>Handelt es sich um ein Urteil, das ein Versäumnisurteil aufrechterhält, so ist auszusprechen, dass die Vollstreckung aus dem Versäumnisurteil nur gegen Leistung der Sicherheit fortgesetzt werden darf.</w:t>
      </w:r>
    </w:p>
    <w:p>
      <w:pPr>
        <w:pStyle w:val="Heading3"/>
      </w:pPr>
      <w:bookmarkStart w:id="709" w:name="b708"/>
      <w:r>
        <w:t>§ 710 Ausnahmen von der Sicherheitsleistung des Gläubigers</w:t>
      </w:r>
      <w:r>
        <w:t xml:space="preserve"> </w:t>
      </w:r>
      <w:r>
        <w:rPr>
          <w:rStyle w:val="Suchmarke"/>
        </w:rPr>
        <w:t>#710#</w:t>
      </w:r>
      <w:bookmarkEnd w:id="709"/>
    </w:p>
    <w:p>
      <w:r>
        <w:t xml:space="preserve">Kann der Gläubiger die Sicherheit nach </w:t>
      </w:r>
      <w:hyperlink w:anchor="b707" w:history="1">
        <w:r>
          <w:rPr>
            <w:color w:val="0A3A8C"/>
            <w:u w:val="single"/>
          </w:rPr>
          <w:t xml:space="preserve">§ 709</w:t>
        </w:r>
      </w:hyperlink>
      <w:r>
        <w:t xml:space="preserve"> nicht oder nur unter erheblichen Schwierigkeiten leisten, so ist das Urteil auf Antrag auch ohne Sicherheitsleistung für vorläufig vollstreckbar zu erklären, wenn die Aussetzung der Vollstreckung dem Gläubiger einen schwer zu ersetzenden oder schwer abzusehenden Nachteil bringen würde oder aus einem sonstigen Grund für den Gläubiger unbillig wäre, insbesondere weil er die Leistung für seine Lebenshaltung oder seine Erwerbstätigkeit dringend benötigt.</w:t>
      </w:r>
    </w:p>
    <w:p>
      <w:pPr>
        <w:pStyle w:val="Heading3"/>
      </w:pPr>
      <w:bookmarkStart w:id="710" w:name="b709"/>
      <w:r>
        <w:t>§ 711 Abwendungsbefugnis</w:t>
      </w:r>
      <w:r>
        <w:t xml:space="preserve"> </w:t>
      </w:r>
      <w:r>
        <w:rPr>
          <w:rStyle w:val="Suchmarke"/>
        </w:rPr>
        <w:t>#711#</w:t>
      </w:r>
      <w:bookmarkEnd w:id="710"/>
    </w:p>
    <w:p>
      <w:r>
        <w:rPr>
          <w:rStyle w:val="Satznummer"/>
        </w:rPr>
        <w:t>1</w:t>
      </w:r>
      <w:r>
        <w:t xml:space="preserve">In den Fällen des </w:t>
      </w:r>
      <w:hyperlink w:anchor="b706" w:history="1">
        <w:r>
          <w:rPr>
            <w:color w:val="0A3A8C"/>
            <w:u w:val="single"/>
          </w:rPr>
          <w:t xml:space="preserve">§ 708</w:t>
        </w:r>
      </w:hyperlink>
      <w:r>
        <w:t xml:space="preserve"> Nr. 4 bis 11 hat das Gericht auszusprechen, dass der Schuldner die Vollstreckung durch Sicherheitsleistung oder Hinterlegung abwenden darf, wenn nicht der Gläubiger vor der Vollstreckung Sicherheit leistet. </w:t>
      </w:r>
      <w:r>
        <w:rPr>
          <w:rStyle w:val="Satznummer"/>
        </w:rPr>
        <w:t>2</w:t>
      </w:r>
      <w:hyperlink w:anchor="b707" w:history="1">
        <w:r>
          <w:rPr>
            <w:color w:val="0A3A8C"/>
            <w:u w:val="single"/>
          </w:rPr>
          <w:t xml:space="preserve">§ 709</w:t>
        </w:r>
      </w:hyperlink>
      <w:r>
        <w:t xml:space="preserve"> Satz 2 gilt entsprechend, für den Schuldner jedoch mit der Maßgabe, dass Sicherheit in einem bestimmten Verhältnis zur Höhe des auf Grund des Urteils vollstreckbaren Betrages zu leisten ist. </w:t>
      </w:r>
      <w:r>
        <w:rPr>
          <w:rStyle w:val="Satznummer"/>
        </w:rPr>
        <w:t>3</w:t>
      </w:r>
      <w:r>
        <w:t xml:space="preserve">Für den Gläubiger gilt </w:t>
      </w:r>
      <w:hyperlink w:anchor="b708" w:history="1">
        <w:r>
          <w:rPr>
            <w:color w:val="0A3A8C"/>
            <w:u w:val="single"/>
          </w:rPr>
          <w:t xml:space="preserve">§ 710</w:t>
        </w:r>
      </w:hyperlink>
      <w:r>
        <w:t xml:space="preserve"> entsprechend.</w:t>
      </w:r>
    </w:p>
    <w:p>
      <w:pPr>
        <w:pStyle w:val="Heading3"/>
      </w:pPr>
      <w:bookmarkStart w:id="711" w:name="b710"/>
      <w:r>
        <w:t>§ 712 Schutzantrag des Schuldners</w:t>
      </w:r>
      <w:r>
        <w:t xml:space="preserve"> </w:t>
      </w:r>
      <w:r>
        <w:rPr>
          <w:rStyle w:val="Suchmarke"/>
        </w:rPr>
        <w:t>#712#</w:t>
      </w:r>
      <w:bookmarkEnd w:id="711"/>
    </w:p>
    <w:p>
      <w:r>
        <w:t xml:space="preserve">(1) </w:t>
      </w:r>
      <w:r>
        <w:rPr>
          <w:rStyle w:val="Satznummer"/>
        </w:rPr>
        <w:t>1</w:t>
      </w:r>
      <w:r>
        <w:t xml:space="preserve">Würde die Vollstreckung dem Schuldner einen nicht zu ersetzenden Nachteil bringen, so hat ihm das Gericht auf Antrag zu gestatten, die Vollstreckung durch Sicherheitsleistung oder Hinterlegung ohne Rücksicht auf eine Sicherheitsleistung des Gläubigers abzuwenden; </w:t>
      </w:r>
      <w:hyperlink w:anchor="b707" w:history="1">
        <w:r>
          <w:rPr>
            <w:color w:val="0A3A8C"/>
            <w:u w:val="single"/>
          </w:rPr>
          <w:t xml:space="preserve">§ 709</w:t>
        </w:r>
      </w:hyperlink>
      <w:r>
        <w:t xml:space="preserve"> Satz 2 gilt in den Fällen des </w:t>
      </w:r>
      <w:hyperlink w:anchor="b707" w:history="1">
        <w:r>
          <w:rPr>
            <w:color w:val="0A3A8C"/>
            <w:u w:val="single"/>
          </w:rPr>
          <w:t xml:space="preserve">§ 709</w:t>
        </w:r>
      </w:hyperlink>
      <w:r>
        <w:t xml:space="preserve"> Satz 1 entsprechend. </w:t>
      </w:r>
      <w:r>
        <w:rPr>
          <w:rStyle w:val="Satznummer"/>
        </w:rPr>
        <w:t>2</w:t>
      </w:r>
      <w:r>
        <w:t xml:space="preserve">Ist der Schuldner dazu nicht in der Lage, so ist das Urteil nicht für vorläufig vollstreckbar zu erklären oder die Vollstreckung auf die in </w:t>
      </w:r>
      <w:hyperlink w:anchor="b719" w:history="1">
        <w:r>
          <w:rPr>
            <w:color w:val="0A3A8C"/>
            <w:u w:val="single"/>
          </w:rPr>
          <w:t xml:space="preserve">§ 720a</w:t>
        </w:r>
      </w:hyperlink>
      <w:r>
        <w:t xml:space="preserve"> Abs. 1, 2 bezeichneten Maßregeln zu beschränken.</w:t>
      </w:r>
    </w:p>
    <w:p>
      <w:r>
        <w:t xml:space="preserve">(2) </w:t>
      </w:r>
      <w:r>
        <w:rPr>
          <w:rStyle w:val="Satznummer"/>
        </w:rPr>
        <w:t>1</w:t>
      </w:r>
      <w:r>
        <w:t xml:space="preserve">Dem Antrag des Schuldners ist nicht zu entsprechen, wenn ein überwiegendes Interesse des Gläubigers entgegensteht. </w:t>
      </w:r>
      <w:r>
        <w:rPr>
          <w:rStyle w:val="Satznummer"/>
        </w:rPr>
        <w:t>2</w:t>
      </w:r>
      <w:r>
        <w:t xml:space="preserve">In den Fällen des </w:t>
      </w:r>
      <w:hyperlink w:anchor="b706" w:history="1">
        <w:r>
          <w:rPr>
            <w:color w:val="0A3A8C"/>
            <w:u w:val="single"/>
          </w:rPr>
          <w:t xml:space="preserve">§ 708</w:t>
        </w:r>
      </w:hyperlink>
      <w:r>
        <w:t xml:space="preserve"> kann das Gericht anordnen, dass das Urteil nur gegen Sicherheitsleistung vorläufig vollstreckbar ist.</w:t>
      </w:r>
    </w:p>
    <w:p>
      <w:pPr>
        <w:pStyle w:val="Heading3"/>
      </w:pPr>
      <w:bookmarkStart w:id="712" w:name="b711"/>
      <w:r>
        <w:t>§ 713 Unterbleiben von Schuldnerschutzanordnungen</w:t>
      </w:r>
      <w:r>
        <w:t xml:space="preserve"> </w:t>
      </w:r>
      <w:r>
        <w:rPr>
          <w:rStyle w:val="Suchmarke"/>
        </w:rPr>
        <w:t>#713#</w:t>
      </w:r>
      <w:bookmarkEnd w:id="712"/>
    </w:p>
    <w:p>
      <w:r>
        <w:t xml:space="preserve">Die in den </w:t>
      </w:r>
      <w:hyperlink w:anchor="b709" w:history="1">
        <w:r>
          <w:rPr>
            <w:color w:val="0A3A8C"/>
            <w:u w:val="single"/>
          </w:rPr>
          <w:t xml:space="preserve">§§ 711</w:t>
        </w:r>
      </w:hyperlink>
      <w:r>
        <w:t xml:space="preserve">, </w:t>
      </w:r>
      <w:hyperlink w:anchor="b710" w:history="1">
        <w:r>
          <w:rPr>
            <w:color w:val="0A3A8C"/>
            <w:u w:val="single"/>
          </w:rPr>
          <w:t xml:space="preserve">712</w:t>
        </w:r>
      </w:hyperlink>
      <w:r>
        <w:t xml:space="preserve"> zugunsten des Schuldners zugelassenen Anordnungen sollen nicht ergehen, wenn die Voraussetzungen, unter denen ein Rechtsmittel gegen das Urteil stattfindet, unzweifelhaft nicht vorliegen.</w:t>
      </w:r>
    </w:p>
    <w:p>
      <w:pPr>
        <w:pStyle w:val="Heading3"/>
      </w:pPr>
      <w:bookmarkStart w:id="713" w:name="b712"/>
      <w:r>
        <w:t>§ 714 Anträge zur vorläufigen Vollstreckbarkeit</w:t>
      </w:r>
      <w:r>
        <w:t xml:space="preserve"> </w:t>
      </w:r>
      <w:r>
        <w:rPr>
          <w:rStyle w:val="Suchmarke"/>
        </w:rPr>
        <w:t>#714#</w:t>
      </w:r>
      <w:bookmarkEnd w:id="713"/>
    </w:p>
    <w:p>
      <w:r>
        <w:t xml:space="preserve">(1) Anträge nach den </w:t>
      </w:r>
      <w:hyperlink w:anchor="b708" w:history="1">
        <w:r>
          <w:rPr>
            <w:color w:val="0A3A8C"/>
            <w:u w:val="single"/>
          </w:rPr>
          <w:t xml:space="preserve">§§ 710</w:t>
        </w:r>
      </w:hyperlink>
      <w:r>
        <w:t xml:space="preserve">, </w:t>
      </w:r>
      <w:hyperlink w:anchor="b709" w:history="1">
        <w:r>
          <w:rPr>
            <w:color w:val="0A3A8C"/>
            <w:u w:val="single"/>
          </w:rPr>
          <w:t xml:space="preserve">711</w:t>
        </w:r>
      </w:hyperlink>
      <w:r>
        <w:t xml:space="preserve"> Satz 3, </w:t>
      </w:r>
      <w:hyperlink w:anchor="b710" w:history="1">
        <w:r>
          <w:rPr>
            <w:color w:val="0A3A8C"/>
            <w:u w:val="single"/>
          </w:rPr>
          <w:t xml:space="preserve">§ 712</w:t>
        </w:r>
      </w:hyperlink>
      <w:r>
        <w:t xml:space="preserve"> sind vor Schluss der mündlichen Verhandlung zu stellen, auf die das Urteil ergeht.</w:t>
      </w:r>
    </w:p>
    <w:p>
      <w:r>
        <w:t>(2) Die tatsächlichen Voraussetzungen sind glaubhaft zu machen.</w:t>
      </w:r>
    </w:p>
    <w:p>
      <w:pPr>
        <w:pStyle w:val="Heading3"/>
      </w:pPr>
      <w:bookmarkStart w:id="714" w:name="b713"/>
      <w:r>
        <w:t>§ 715 Rückgabe der Sicherheit</w:t>
      </w:r>
      <w:r>
        <w:t xml:space="preserve"> </w:t>
      </w:r>
      <w:r>
        <w:rPr>
          <w:rStyle w:val="Suchmarke"/>
        </w:rPr>
        <w:t>#715#</w:t>
      </w:r>
      <w:bookmarkEnd w:id="714"/>
    </w:p>
    <w:p>
      <w:r>
        <w:t xml:space="preserve">(1) </w:t>
      </w:r>
      <w:r>
        <w:rPr>
          <w:rStyle w:val="Satznummer"/>
        </w:rPr>
        <w:t>1</w:t>
      </w:r>
      <w:r>
        <w:t xml:space="preserve">Das Gericht, das eine Sicherheitsleistung des Gläubigers angeordnet oder zugelassen hat, ordnet auf Antrag die Rückgabe der Sicherheit an, wenn ein Zeugnis über die Rechtskraft des für vorläufig vollstreckbar erklärten Urteils vorgelegt wird. </w:t>
      </w:r>
      <w:r>
        <w:rPr>
          <w:rStyle w:val="Satznummer"/>
        </w:rPr>
        <w:t>2</w:t>
      </w:r>
      <w:r>
        <w:t>Ist die Sicherheit durch eine Bürgschaft bewirkt worden, so ordnet das Gericht das Erlöschen der Bürgschaft an.</w:t>
      </w:r>
    </w:p>
    <w:p>
      <w:r>
        <w:t xml:space="preserve">(2) </w:t>
      </w:r>
      <w:hyperlink w:anchor="b135" w:history="1">
        <w:r>
          <w:rPr>
            <w:color w:val="0A3A8C"/>
            <w:u w:val="single"/>
          </w:rPr>
          <w:t xml:space="preserve">§ 109</w:t>
        </w:r>
      </w:hyperlink>
      <w:r>
        <w:t xml:space="preserve"> Abs. 3 gilt entsprechend.</w:t>
      </w:r>
    </w:p>
    <w:p>
      <w:pPr>
        <w:pStyle w:val="Heading3"/>
      </w:pPr>
      <w:bookmarkStart w:id="715" w:name="b714"/>
      <w:r>
        <w:t>§ 716 Ergänzung des Urteils</w:t>
      </w:r>
      <w:r>
        <w:t xml:space="preserve"> </w:t>
      </w:r>
      <w:r>
        <w:rPr>
          <w:rStyle w:val="Suchmarke"/>
        </w:rPr>
        <w:t>#716#</w:t>
      </w:r>
      <w:bookmarkEnd w:id="715"/>
    </w:p>
    <w:p>
      <w:r>
        <w:t xml:space="preserve">Ist über die vorläufige Vollstreckbarkeit nicht entschieden, so sind wegen Ergänzung des Urteils die Vorschriften des </w:t>
      </w:r>
      <w:hyperlink w:anchor="b367" w:history="1">
        <w:r>
          <w:rPr>
            <w:color w:val="0A3A8C"/>
            <w:u w:val="single"/>
          </w:rPr>
          <w:t xml:space="preserve">§ 321</w:t>
        </w:r>
      </w:hyperlink>
      <w:r>
        <w:t xml:space="preserve"> anzuwenden.</w:t>
      </w:r>
    </w:p>
    <w:p>
      <w:pPr>
        <w:pStyle w:val="Heading3"/>
      </w:pPr>
      <w:bookmarkStart w:id="716" w:name="b715"/>
      <w:r>
        <w:t>§ 717 Wirkungen eines aufhebenden oder abändernden Urteils</w:t>
      </w:r>
      <w:r>
        <w:t xml:space="preserve"> </w:t>
      </w:r>
      <w:r>
        <w:rPr>
          <w:rStyle w:val="Suchmarke"/>
        </w:rPr>
        <w:t>#717#</w:t>
      </w:r>
      <w:bookmarkEnd w:id="716"/>
    </w:p>
    <w:p>
      <w:r>
        <w:t>(1) Die vorläufige Vollstreckbarkeit tritt mit der Verkündung eines Urteils, das die Entscheidung in der Hauptsache oder die Vollstreckbarkeitserklärung aufhebt oder abändert, insoweit außer Kraft, als die Aufhebung oder Abänderung ergeht.</w:t>
      </w:r>
    </w:p>
    <w:p>
      <w:r>
        <w:t xml:space="preserve">(2) </w:t>
      </w:r>
      <w:r>
        <w:rPr>
          <w:rStyle w:val="Satznummer"/>
        </w:rPr>
        <w:t>1</w:t>
      </w:r>
      <w:r>
        <w:t xml:space="preserve">Wird ein für vorläufig vollstreckbar erklärtes Urteil aufgehoben oder abgeändert, so ist der Kläger zum Ersatz des Schadens verpflichtet, der dem Beklagten durch die Vollstreckung des Urteils oder durch eine zur Abwendung der Vollstreckung gemachte Leistung entstanden ist. </w:t>
      </w:r>
      <w:r>
        <w:rPr>
          <w:rStyle w:val="Satznummer"/>
        </w:rPr>
        <w:t>2</w:t>
      </w:r>
      <w:r>
        <w:t>Der Beklagte kann den Anspruch auf Schadensersatz in dem anhängigen Rechtsstreit geltend machen; wird der Anspruch geltend gemacht, so ist er als zur Zeit der Zahlung oder Leistung rechtshängig geworden anzusehen.</w:t>
      </w:r>
    </w:p>
    <w:p>
      <w:r>
        <w:t xml:space="preserve">(3) </w:t>
      </w:r>
      <w:r>
        <w:rPr>
          <w:rStyle w:val="Satznummer"/>
        </w:rPr>
        <w:t>1</w:t>
      </w:r>
      <w:r>
        <w:t xml:space="preserve">Die Vorschriften des Absatzes 2 sind auf die im </w:t>
      </w:r>
      <w:hyperlink w:anchor="b706" w:history="1">
        <w:r>
          <w:rPr>
            <w:color w:val="0A3A8C"/>
            <w:u w:val="single"/>
          </w:rPr>
          <w:t xml:space="preserve">§ 708</w:t>
        </w:r>
      </w:hyperlink>
      <w:r>
        <w:t xml:space="preserve"> Nr. 10 bezeichneten Berufungsurteile, mit Ausnahme der Versäumnisurteile, nicht anzuwenden. </w:t>
      </w:r>
      <w:r>
        <w:rPr>
          <w:rStyle w:val="Satznummer"/>
        </w:rPr>
        <w:t>2</w:t>
      </w:r>
      <w:r>
        <w:t xml:space="preserve">Soweit ein solches Urteil aufgehoben oder abgeändert wird, ist der Kläger auf Antrag des Beklagten zur Erstattung des von diesem auf Grund des Urteils Gezahlten oder Geleisteten zu verurteilen. </w:t>
      </w:r>
      <w:r>
        <w:rPr>
          <w:rStyle w:val="Satznummer"/>
        </w:rPr>
        <w:t>3</w:t>
      </w:r>
      <w:r>
        <w:t xml:space="preserve">Die Erstattungspflicht des Klägers bestimmt sich nach den Vorschriften über die Herausgabe einer ungerechtfertigten Bereicherung. </w:t>
      </w:r>
      <w:r>
        <w:rPr>
          <w:rStyle w:val="Satznummer"/>
        </w:rPr>
        <w:t>4</w:t>
      </w:r>
      <w:r>
        <w:t>Wird der Antrag gestellt, so ist der Anspruch auf Erstattung als zur Zeit der Zahlung oder Leistung rechtshängig geworden anzusehen; die mit der Rechtshängigkeit nach den Vorschriften des bürgerlichen Rechts verbundenen Wirkungen treten mit der Zahlung oder Leistung auch dann ein, wenn der Antrag nicht gestellt wird.</w:t>
      </w:r>
    </w:p>
    <w:p>
      <w:pPr>
        <w:pStyle w:val="Heading3"/>
      </w:pPr>
      <w:bookmarkStart w:id="717" w:name="b716"/>
      <w:r>
        <w:t>§ 718 Vorabentscheidung über vorläufige Vollstreckbarkeit</w:t>
      </w:r>
      <w:r>
        <w:t xml:space="preserve"> </w:t>
      </w:r>
      <w:r>
        <w:rPr>
          <w:rStyle w:val="Suchmarke"/>
        </w:rPr>
        <w:t>#718#</w:t>
      </w:r>
      <w:bookmarkEnd w:id="717"/>
    </w:p>
    <w:p>
      <w:r>
        <w:t xml:space="preserve">(1) </w:t>
      </w:r>
      <w:r>
        <w:rPr>
          <w:rStyle w:val="Satznummer"/>
        </w:rPr>
        <w:t>1</w:t>
      </w:r>
      <w:r>
        <w:t xml:space="preserve">In der Berufungsinstanz ist über die vorläufige Vollstreckbarkeit auf Antrag vorab zu entscheiden. </w:t>
      </w:r>
      <w:r>
        <w:rPr>
          <w:rStyle w:val="Satznummer"/>
        </w:rPr>
        <w:t>2</w:t>
      </w:r>
      <w:r>
        <w:t xml:space="preserve">Die Entscheidung kann ohne mündliche Verhandlung ergehen; </w:t>
      </w:r>
      <w:hyperlink w:anchor="b158" w:history="1">
        <w:r>
          <w:rPr>
            <w:color w:val="0A3A8C"/>
            <w:u w:val="single"/>
          </w:rPr>
          <w:t xml:space="preserve">§ 128</w:t>
        </w:r>
      </w:hyperlink>
      <w:r>
        <w:t xml:space="preserve"> Absatz 2 Satz 2 gilt entsprechend.</w:t>
      </w:r>
    </w:p>
    <w:p>
      <w:r>
        <w:t>(2) Eine Anfechtung der in der Berufungsinstanz über die vorläufige Vollstreckbarkeit erlassenen Entscheidung findet nicht statt.</w:t>
      </w:r>
    </w:p>
    <w:p>
      <w:pPr>
        <w:pStyle w:val="Heading3"/>
      </w:pPr>
      <w:bookmarkStart w:id="718" w:name="b717"/>
      <w:r>
        <w:t>§ 719 Einstweilige Einstellung bei Rechtsmittel und Einspruch</w:t>
      </w:r>
      <w:r>
        <w:t xml:space="preserve"> </w:t>
      </w:r>
      <w:r>
        <w:rPr>
          <w:rStyle w:val="Suchmarke"/>
        </w:rPr>
        <w:t>#719#</w:t>
      </w:r>
      <w:bookmarkEnd w:id="718"/>
    </w:p>
    <w:p>
      <w:r>
        <w:t xml:space="preserve">(1) </w:t>
      </w:r>
      <w:r>
        <w:rPr>
          <w:rStyle w:val="Satznummer"/>
        </w:rPr>
        <w:t>1</w:t>
      </w:r>
      <w:r>
        <w:t xml:space="preserve">Wird gegen ein für vorläufig vollstreckbar erklärtes Urteil der Einspruch oder die Berufung eingelegt, so gelten die Vorschriften des </w:t>
      </w:r>
      <w:hyperlink w:anchor="b705" w:history="1">
        <w:r>
          <w:rPr>
            <w:color w:val="0A3A8C"/>
            <w:u w:val="single"/>
          </w:rPr>
          <w:t xml:space="preserve">§ 707</w:t>
        </w:r>
      </w:hyperlink>
      <w:r>
        <w:t xml:space="preserve"> entsprechend. </w:t>
      </w:r>
      <w:r>
        <w:rPr>
          <w:rStyle w:val="Satznummer"/>
        </w:rPr>
        <w:t>2</w:t>
      </w:r>
      <w:r>
        <w:t>Die Zwangsvollstreckung aus einem Versäumnisurteil darf nur gegen Sicherheitsleistung eingestellt werden, es sei denn, dass das Versäumnisurteil nicht in gesetzlicher Weise ergangen ist oder die säumige Partei glaubhaft macht, dass ihre Säumnis unverschuldet war.</w:t>
      </w:r>
    </w:p>
    <w:p>
      <w:r>
        <w:t xml:space="preserve">(2) </w:t>
      </w:r>
      <w:r>
        <w:rPr>
          <w:rStyle w:val="Satznummer"/>
        </w:rPr>
        <w:t>1</w:t>
      </w:r>
      <w:r>
        <w:t xml:space="preserve">Wird Revision gegen ein für vorläufig vollstreckbar erklärtes Urteil eingelegt, so ordnet das Revisionsgericht auf Antrag an, dass die Zwangsvollstreckung einstweilen eingestellt wird, wenn die Vollstreckung dem Schuldner einen nicht zu ersetzenden Nachteil bringen würde und nicht ein überwiegendes Interesse des Gläubigers entgegensteht. </w:t>
      </w:r>
      <w:r>
        <w:rPr>
          <w:rStyle w:val="Satznummer"/>
        </w:rPr>
        <w:t>2</w:t>
      </w:r>
      <w:r>
        <w:t>Die Parteien haben die tatsächlichen Voraussetzungen glaubhaft zu machen.</w:t>
      </w:r>
    </w:p>
    <w:p>
      <w:r>
        <w:t>(3) Die Entscheidung ergeht durch Beschluss.</w:t>
      </w:r>
    </w:p>
    <w:p>
      <w:pPr>
        <w:pStyle w:val="Heading3"/>
      </w:pPr>
      <w:bookmarkStart w:id="719" w:name="b718"/>
      <w:r>
        <w:t>§ 720 Hinterlegung bei Abwendung der Vollstreckung</w:t>
      </w:r>
      <w:r>
        <w:t xml:space="preserve"> </w:t>
      </w:r>
      <w:r>
        <w:rPr>
          <w:rStyle w:val="Suchmarke"/>
        </w:rPr>
        <w:t>#720#</w:t>
      </w:r>
      <w:bookmarkEnd w:id="719"/>
    </w:p>
    <w:p>
      <w:r>
        <w:t xml:space="preserve">Darf der Schuldner nach </w:t>
      </w:r>
      <w:hyperlink w:anchor="b709" w:history="1">
        <w:r>
          <w:rPr>
            <w:color w:val="0A3A8C"/>
            <w:u w:val="single"/>
          </w:rPr>
          <w:t xml:space="preserve">§ 711</w:t>
        </w:r>
      </w:hyperlink>
      <w:r>
        <w:t xml:space="preserve"> Satz 1, </w:t>
      </w:r>
      <w:hyperlink w:anchor="b710" w:history="1">
        <w:r>
          <w:rPr>
            <w:color w:val="0A3A8C"/>
            <w:u w:val="single"/>
          </w:rPr>
          <w:t xml:space="preserve">§ 712</w:t>
        </w:r>
      </w:hyperlink>
      <w:r>
        <w:t xml:space="preserve"> Abs. 1 Satz 1 die Vollstreckung durch Sicherheitsleistung oder Hinterlegung abwenden, so ist gepfändetes Geld oder der Erlös gepfändeter Gegenstände zu hinterlegen.</w:t>
      </w:r>
    </w:p>
    <w:p>
      <w:pPr>
        <w:pStyle w:val="Heading3"/>
      </w:pPr>
      <w:bookmarkStart w:id="720" w:name="b719"/>
      <w:r>
        <w:t>§ 720a Sicherungsvollstreckung</w:t>
      </w:r>
      <w:r>
        <w:t xml:space="preserve"> </w:t>
      </w:r>
      <w:r>
        <w:rPr>
          <w:rStyle w:val="Suchmarke"/>
        </w:rPr>
        <w:t>#720a#</w:t>
      </w:r>
      <w:bookmarkEnd w:id="720"/>
    </w:p>
    <w:p>
      <w:r>
        <w:t xml:space="preserve">(1) </w:t>
      </w:r>
      <w:r>
        <w:rPr>
          <w:rStyle w:val="Satznummer"/>
        </w:rPr>
        <w:t>1</w:t>
      </w:r>
      <w:r>
        <w:t>Aus einem nur gegen Sicherheit vorläufig vollstreckbaren Urteil, durch das der Schuldner zur Leistung von Geld verurteilt worden ist, darf der Gläubiger ohne Sicherheitsleistung die Zwangsvollstreckung insoweit betreiben, als</w:t>
      </w:r>
    </w:p>
    <w:p>
      <w:pPr>
        <w:tabs>
          <w:tab w:pos="567" w:val="left"/>
        </w:tabs>
        <w:ind w:left="567" w:hanging="567"/>
      </w:pPr>
      <w:r>
        <w:t>a)</w:t>
      </w:r>
      <w:r>
        <w:tab/>
      </w:r>
      <w:r>
        <w:t>bewegliches Vermögen gepfändet wird,</w:t>
      </w:r>
    </w:p>
    <w:p>
      <w:pPr>
        <w:tabs>
          <w:tab w:pos="567" w:val="left"/>
        </w:tabs>
        <w:ind w:left="567" w:hanging="567"/>
      </w:pPr>
      <w:r>
        <w:t>b)</w:t>
      </w:r>
      <w:r>
        <w:tab/>
      </w:r>
      <w:r>
        <w:t>im Wege der Zwangsvollstreckung in das unbewegliche Vermögen eine Sicherungshypothek oder Schiffshypothek eingetragen wird.</w:t>
      </w:r>
    </w:p>
    <w:p>
      <w:r>
        <w:rPr>
          <w:rStyle w:val="Satznummer"/>
        </w:rPr>
        <w:t>2</w:t>
      </w:r>
      <w:r>
        <w:t>Der Gläubiger kann sich aus dem belasteten Gegenstand nur nach Leistung der Sicherheit befriedigen.</w:t>
      </w:r>
    </w:p>
    <w:p>
      <w:r>
        <w:t xml:space="preserve">(2) Für die Zwangsvollstreckung in das bewegliche Vermögen gilt </w:t>
      </w:r>
      <w:hyperlink w:anchor="b1008" w:history="1">
        <w:r>
          <w:rPr>
            <w:color w:val="0A3A8C"/>
            <w:u w:val="single"/>
          </w:rPr>
          <w:t xml:space="preserve">§ 930</w:t>
        </w:r>
      </w:hyperlink>
      <w:r>
        <w:t xml:space="preserve"> Abs. 2, 3 entsprechend.</w:t>
      </w:r>
    </w:p>
    <w:p>
      <w:r>
        <w:t>(3) Der Schuldner ist befugt, die Zwangsvollstreckung nach Absatz 1 durch Leistung einer Sicherheit in Höhe des Hauptanspruchs abzuwenden, wegen dessen der Gläubiger vollstrecken kann, wenn nicht der Gläubiger vorher die ihm obliegende Sicherheit geleistet hat.</w:t>
      </w:r>
    </w:p>
    <w:p>
      <w:pPr>
        <w:pStyle w:val="Heading3"/>
      </w:pPr>
      <w:bookmarkStart w:id="721" w:name="b720"/>
      <w:r>
        <w:t>§ 721 Räumungsfrist</w:t>
      </w:r>
      <w:r>
        <w:t xml:space="preserve"> </w:t>
      </w:r>
      <w:r>
        <w:rPr>
          <w:rStyle w:val="Suchmarke"/>
        </w:rPr>
        <w:t>#721#</w:t>
      </w:r>
      <w:bookmarkEnd w:id="721"/>
    </w:p>
    <w:p>
      <w:r>
        <w:t xml:space="preserve">(1) </w:t>
      </w:r>
      <w:r>
        <w:rPr>
          <w:rStyle w:val="Satznummer"/>
        </w:rPr>
        <w:t>1</w:t>
      </w:r>
      <w:r>
        <w:t xml:space="preserve">Wird auf Räumung von Wohnraum erkannt, so kann das Gericht auf Antrag oder von Amts wegen dem Schuldner eine den Umständen nach angemessene Räumungsfrist gewähren. </w:t>
      </w:r>
      <w:r>
        <w:rPr>
          <w:rStyle w:val="Satznummer"/>
        </w:rPr>
        <w:t>2</w:t>
      </w:r>
      <w:r>
        <w:t xml:space="preserve">Der Antrag ist vor dem Schluss der mündlichen Verhandlung zu stellen, auf die das Urteil ergeht. </w:t>
      </w:r>
      <w:r>
        <w:rPr>
          <w:rStyle w:val="Satznummer"/>
        </w:rPr>
        <w:t>3</w:t>
      </w:r>
      <w:r>
        <w:t xml:space="preserve">Ist der Antrag bei der Entscheidung übergangen, so gilt </w:t>
      </w:r>
      <w:hyperlink w:anchor="b367" w:history="1">
        <w:r>
          <w:rPr>
            <w:color w:val="0A3A8C"/>
            <w:u w:val="single"/>
          </w:rPr>
          <w:t xml:space="preserve">§ 321</w:t>
        </w:r>
      </w:hyperlink>
      <w:r>
        <w:t>; bis zur Entscheidung kann das Gericht auf Antrag die Zwangsvollstreckung wegen des Räumungsanspruchs einstweilen einstellen.</w:t>
      </w:r>
    </w:p>
    <w:p>
      <w:r>
        <w:t xml:space="preserve">(2) </w:t>
      </w:r>
      <w:r>
        <w:rPr>
          <w:rStyle w:val="Satznummer"/>
        </w:rPr>
        <w:t>1</w:t>
      </w:r>
      <w:r>
        <w:t xml:space="preserve">Ist auf künftige Räumung erkannt und über eine Räumungsfrist noch nicht entschieden, so kann dem Schuldner eine den Umständen nach angemessene Räumungsfrist gewährt werden, wenn er spätestens zwei Wochen vor dem Tag, an dem nach dem Urteil zu räumen ist, einen Antrag stellt. </w:t>
      </w:r>
      <w:r>
        <w:rPr>
          <w:rStyle w:val="Satznummer"/>
        </w:rPr>
        <w:t>2</w:t>
      </w:r>
      <w:hyperlink w:anchor="b261" w:history="1">
        <w:r>
          <w:rPr>
            <w:color w:val="0A3A8C"/>
            <w:u w:val="single"/>
          </w:rPr>
          <w:t xml:space="preserve">§§ 233</w:t>
        </w:r>
      </w:hyperlink>
      <w:r>
        <w:t xml:space="preserve"> bis </w:t>
      </w:r>
      <w:hyperlink w:anchor="b266" w:history="1">
        <w:r>
          <w:rPr>
            <w:color w:val="0A3A8C"/>
            <w:u w:val="single"/>
          </w:rPr>
          <w:t xml:space="preserve">238</w:t>
        </w:r>
      </w:hyperlink>
      <w:r>
        <w:t xml:space="preserve"> gelten sinngemäß.</w:t>
      </w:r>
    </w:p>
    <w:p>
      <w:r>
        <w:t xml:space="preserve">(3) </w:t>
      </w:r>
      <w:r>
        <w:rPr>
          <w:rStyle w:val="Satznummer"/>
        </w:rPr>
        <w:t>1</w:t>
      </w:r>
      <w:r>
        <w:t xml:space="preserve">Die Räumungsfrist kann auf Antrag verlängert oder verkürzt werden. </w:t>
      </w:r>
      <w:r>
        <w:rPr>
          <w:rStyle w:val="Satznummer"/>
        </w:rPr>
        <w:t>2</w:t>
      </w:r>
      <w:r>
        <w:t xml:space="preserve">Der Antrag auf Verlängerung ist spätestens zwei Wochen vor Ablauf der Räumungsfrist zu stellen. </w:t>
      </w:r>
      <w:r>
        <w:rPr>
          <w:rStyle w:val="Satznummer"/>
        </w:rPr>
        <w:t>3</w:t>
      </w:r>
      <w:hyperlink w:anchor="b261" w:history="1">
        <w:r>
          <w:rPr>
            <w:color w:val="0A3A8C"/>
            <w:u w:val="single"/>
          </w:rPr>
          <w:t xml:space="preserve">§§ 233</w:t>
        </w:r>
      </w:hyperlink>
      <w:r>
        <w:t xml:space="preserve"> bis </w:t>
      </w:r>
      <w:hyperlink w:anchor="b266" w:history="1">
        <w:r>
          <w:rPr>
            <w:color w:val="0A3A8C"/>
            <w:u w:val="single"/>
          </w:rPr>
          <w:t xml:space="preserve">238</w:t>
        </w:r>
      </w:hyperlink>
      <w:r>
        <w:t xml:space="preserve"> gelten sinngemäß.</w:t>
      </w:r>
    </w:p>
    <w:p>
      <w:r>
        <w:t xml:space="preserve">(4) </w:t>
      </w:r>
      <w:r>
        <w:rPr>
          <w:rStyle w:val="Satznummer"/>
        </w:rPr>
        <w:t>1</w:t>
      </w:r>
      <w:r>
        <w:t xml:space="preserve">Über Anträge nach den Absätzen 2 oder 3 entscheidet das Gericht erster Instanz, solange die Sache in der Berufungsinstanz anhängig ist, das Berufungsgericht. </w:t>
      </w:r>
      <w:r>
        <w:rPr>
          <w:rStyle w:val="Satznummer"/>
        </w:rPr>
        <w:t>2</w:t>
      </w:r>
      <w:r>
        <w:t xml:space="preserve">Die Entscheidung ergeht durch Beschluss. </w:t>
      </w:r>
      <w:r>
        <w:rPr>
          <w:rStyle w:val="Satznummer"/>
        </w:rPr>
        <w:t>3</w:t>
      </w:r>
      <w:r>
        <w:t xml:space="preserve">Vor der Entscheidung ist der Gegner zu hören. </w:t>
      </w:r>
      <w:r>
        <w:rPr>
          <w:rStyle w:val="Satznummer"/>
        </w:rPr>
        <w:t>4</w:t>
      </w:r>
      <w:r>
        <w:t xml:space="preserve">Das Gericht ist befugt, die im </w:t>
      </w:r>
      <w:hyperlink w:anchor="b731" w:history="1">
        <w:r>
          <w:rPr>
            <w:color w:val="0A3A8C"/>
            <w:u w:val="single"/>
          </w:rPr>
          <w:t xml:space="preserve">§ 732</w:t>
        </w:r>
      </w:hyperlink>
      <w:r>
        <w:t xml:space="preserve"> Abs. 2 bezeichneten Anordnungen zu erlassen.</w:t>
      </w:r>
    </w:p>
    <w:p>
      <w:r>
        <w:t xml:space="preserve">(5) </w:t>
      </w:r>
      <w:r>
        <w:rPr>
          <w:rStyle w:val="Satznummer"/>
        </w:rPr>
        <w:t>1</w:t>
      </w:r>
      <w:r>
        <w:t xml:space="preserve">Die Räumungsfrist darf insgesamt nicht mehr als ein Jahr betragen. </w:t>
      </w:r>
      <w:r>
        <w:rPr>
          <w:rStyle w:val="Satznummer"/>
        </w:rPr>
        <w:t>2</w:t>
      </w:r>
      <w:r>
        <w:t>Die Jahresfrist rechnet vom Tage der Rechtskraft des Urteils oder, wenn nach einem Urteil auf künftige Räumung an einem späteren Tage zu räumen ist, von diesem Tage an.</w:t>
      </w:r>
    </w:p>
    <w:p>
      <w:r>
        <w:t>(6) Die sofortige Beschwerde findet statt</w:t>
      </w:r>
    </w:p>
    <w:p>
      <w:pPr>
        <w:tabs>
          <w:tab w:pos="567" w:val="left"/>
        </w:tabs>
        <w:ind w:left="567" w:hanging="567"/>
      </w:pPr>
      <w:r>
        <w:t>1.</w:t>
      </w:r>
      <w:r>
        <w:tab/>
      </w:r>
      <w:r>
        <w:t>gegen Urteile, durch die auf Räumung von Wohnraum erkannt ist, wenn sich das Rechtsmittel lediglich gegen die Versagung, Gewährung oder Bemessung einer Räumungsfrist richtet;</w:t>
      </w:r>
    </w:p>
    <w:p>
      <w:pPr>
        <w:tabs>
          <w:tab w:pos="567" w:val="left"/>
        </w:tabs>
        <w:ind w:left="567" w:hanging="567"/>
      </w:pPr>
      <w:r>
        <w:t>2.</w:t>
      </w:r>
      <w:r>
        <w:tab/>
      </w:r>
      <w:r>
        <w:t>gegen Beschlüsse über Anträge nach den Absätzen 2 oder 3.</w:t>
      </w:r>
    </w:p>
    <w:p>
      <w:r>
        <w:t xml:space="preserve">(7) </w:t>
      </w:r>
      <w:r>
        <w:rPr>
          <w:rStyle w:val="Satznummer"/>
        </w:rPr>
        <w:t>1</w:t>
      </w:r>
      <w:r>
        <w:t xml:space="preserve">Die Absätze 1 bis 6 gelten nicht für Mietverhältnisse über Wohnraum im Sinne des </w:t>
      </w:r>
      <w:hyperlink w:anchor="b601" w:history="1">
        <w:r>
          <w:rPr>
            <w:color w:val="0A3A8C"/>
            <w:u w:val="single"/>
          </w:rPr>
          <w:t xml:space="preserve">§ 549</w:t>
        </w:r>
      </w:hyperlink>
      <w:r>
        <w:t xml:space="preserve"> Abs. 2 Nr. 3 sowie in den Fällen des § 575 des Bürgerlichen Gesetzbuchs. </w:t>
      </w:r>
      <w:r>
        <w:rPr>
          <w:rStyle w:val="Satznummer"/>
        </w:rPr>
        <w:t>2</w:t>
      </w:r>
      <w:r>
        <w:t>Endet ein Mietverhältnis im Sinne des § 575 des Bürgerlichen Gesetzbuchs durch außerordentliche Kündigung, kann eine Räumungsfrist höchstens bis zum vertraglich bestimmten Zeitpunkt der Beendigung gewährt werden.</w:t>
      </w:r>
    </w:p>
    <w:p>
      <w:pPr>
        <w:pStyle w:val="Heading3"/>
      </w:pPr>
      <w:bookmarkStart w:id="722" w:name="b721"/>
      <w:r>
        <w:t>§ 722 Vollstreckbarkeit ausländischer Urteile; Verordnungsermächtigung</w:t>
      </w:r>
      <w:r>
        <w:t xml:space="preserve"> </w:t>
      </w:r>
      <w:r>
        <w:rPr>
          <w:rStyle w:val="Suchmarke"/>
        </w:rPr>
        <w:t>#722#</w:t>
      </w:r>
      <w:bookmarkEnd w:id="722"/>
    </w:p>
    <w:p>
      <w:r>
        <w:t>(1) Aus dem Urteil eines ausländischen Gerichts findet die Zwangsvollstreckung nur statt, wenn ihre Zulässigkeit durch ein Vollstreckungsurteil ausgesprochen ist.</w:t>
      </w:r>
    </w:p>
    <w:p>
      <w:r>
        <w:t xml:space="preserve">(2) Für die Klage auf Erlass des Urteils ist das Landgericht zuständig, bei dem der Schuldner seinen allgemeinen Gerichtsstand hat, und sonst das Landgericht, bei dem nach </w:t>
      </w:r>
      <w:hyperlink w:anchor="b28" w:history="1">
        <w:r>
          <w:rPr>
            <w:color w:val="0A3A8C"/>
            <w:u w:val="single"/>
          </w:rPr>
          <w:t xml:space="preserve">§ 23</w:t>
        </w:r>
      </w:hyperlink>
      <w:r>
        <w:t xml:space="preserve"> gegen den Schuldner Klage erhoben werden kann.</w:t>
      </w:r>
    </w:p>
    <w:p>
      <w:r>
        <w:t xml:space="preserve">(3) </w:t>
      </w:r>
      <w:r>
        <w:rPr>
          <w:rStyle w:val="Satznummer"/>
        </w:rPr>
        <w:t>1</w:t>
      </w:r>
      <w:r>
        <w:t xml:space="preserve">Der Vorsitzende der Zivilkammer entscheidet als Einzelrichter. </w:t>
      </w:r>
      <w:r>
        <w:rPr>
          <w:rStyle w:val="Satznummer"/>
        </w:rPr>
        <w:t>2</w:t>
      </w:r>
      <w:r>
        <w:t xml:space="preserve">Die Regelungen über die Vorlage zur Entscheidung über eine Übernahme sowie die Übernahme durch die Zivilkammer nach </w:t>
      </w:r>
      <w:hyperlink w:anchor="b403" w:history="1">
        <w:r>
          <w:rPr>
            <w:color w:val="0A3A8C"/>
            <w:u w:val="single"/>
          </w:rPr>
          <w:t xml:space="preserve">§ 348</w:t>
        </w:r>
      </w:hyperlink>
      <w:r>
        <w:t xml:space="preserve"> Absatz 3 bleiben unberührt.</w:t>
      </w:r>
    </w:p>
    <w:p>
      <w:r>
        <w:t xml:space="preserve">(4) </w:t>
      </w:r>
      <w:r>
        <w:rPr>
          <w:rStyle w:val="Satznummer"/>
        </w:rPr>
        <w:t>1</w:t>
      </w:r>
      <w:r>
        <w:t xml:space="preserve">Sind in einem Land mehrere Landgerichte errichtet, so kann die Landesregierung die Zuständigkeit durch Rechtsverordnung einem oder mehreren Landgerichten übertragen. </w:t>
      </w:r>
      <w:r>
        <w:rPr>
          <w:rStyle w:val="Satznummer"/>
        </w:rPr>
        <w:t>2</w:t>
      </w:r>
      <w:r>
        <w:t xml:space="preserve">Die Landesregierung kann die Ermächtigung durch Rechtsverordnung auf die Landesjustizverwaltung übertragen. </w:t>
      </w:r>
      <w:r>
        <w:rPr>
          <w:rStyle w:val="Satznummer"/>
        </w:rPr>
        <w:t>3</w:t>
      </w:r>
      <w:r>
        <w:t>Mehrere Länder können die Zuständigkeit eines oder mehrerer Landgerichte über die Landesgrenzen hinaus vereinbaren.</w:t>
      </w:r>
    </w:p>
    <w:p>
      <w:pPr>
        <w:pStyle w:val="Heading3"/>
      </w:pPr>
      <w:bookmarkStart w:id="723" w:name="b722"/>
      <w:r>
        <w:t>§ 723 Vollstreckungsurteil</w:t>
      </w:r>
      <w:r>
        <w:t xml:space="preserve"> </w:t>
      </w:r>
      <w:r>
        <w:rPr>
          <w:rStyle w:val="Suchmarke"/>
        </w:rPr>
        <w:t>#723#</w:t>
      </w:r>
      <w:bookmarkEnd w:id="723"/>
    </w:p>
    <w:p>
      <w:r>
        <w:t>(1) Das Vollstreckungsurteil ist ohne Prüfung der Gesetzmäßigkeit der Entscheidung zu erlassen.</w:t>
      </w:r>
    </w:p>
    <w:p>
      <w:r>
        <w:t xml:space="preserve">(2) </w:t>
      </w:r>
      <w:r>
        <w:rPr>
          <w:rStyle w:val="Satznummer"/>
        </w:rPr>
        <w:t>1</w:t>
      </w:r>
      <w:r>
        <w:t xml:space="preserve">Das Vollstreckungsurteil ist erst zu erlassen, wenn das Urteil des ausländischen Gerichts nach dem für dieses Gericht geltenden Recht die Rechtskraft erlangt hat. </w:t>
      </w:r>
      <w:r>
        <w:rPr>
          <w:rStyle w:val="Satznummer"/>
        </w:rPr>
        <w:t>2</w:t>
      </w:r>
      <w:r>
        <w:t xml:space="preserve">Es ist nicht zu erlassen, wenn die Anerkennung des Urteils nach </w:t>
      </w:r>
      <w:hyperlink w:anchor="b378" w:history="1">
        <w:r>
          <w:rPr>
            <w:color w:val="0A3A8C"/>
            <w:u w:val="single"/>
          </w:rPr>
          <w:t xml:space="preserve">§ 328</w:t>
        </w:r>
      </w:hyperlink>
      <w:r>
        <w:t xml:space="preserve"> ausgeschlossen ist.</w:t>
      </w:r>
    </w:p>
    <w:p>
      <w:pPr>
        <w:pStyle w:val="Heading3"/>
      </w:pPr>
      <w:bookmarkStart w:id="724" w:name="b723"/>
      <w:r>
        <w:t>§ 724 Vollstreckbare Ausfertigung</w:t>
      </w:r>
      <w:r>
        <w:t xml:space="preserve"> </w:t>
      </w:r>
      <w:r>
        <w:rPr>
          <w:rStyle w:val="Suchmarke"/>
        </w:rPr>
        <w:t>#724#</w:t>
      </w:r>
      <w:bookmarkEnd w:id="724"/>
    </w:p>
    <w:p>
      <w:r>
        <w:t>(1) Die Zwangsvollstreckung wird auf Grund einer mit der Vollstreckungsklausel versehenen Ausfertigung des Urteils (vollstreckbare Ausfertigung) durchgeführt.</w:t>
      </w:r>
    </w:p>
    <w:p>
      <w:r>
        <w:t xml:space="preserve">(2) </w:t>
      </w:r>
      <w:r>
        <w:rPr>
          <w:rStyle w:val="Satznummer"/>
        </w:rPr>
        <w:t>1</w:t>
      </w:r>
      <w:r>
        <w:t xml:space="preserve">Die vollstreckbare Ausfertigung wird von dem Urkundsbeamten der Geschäftsstelle des Gerichts des ersten Rechtszuges erteilt. </w:t>
      </w:r>
      <w:r>
        <w:rPr>
          <w:rStyle w:val="Satznummer"/>
        </w:rPr>
        <w:t>2</w:t>
      </w:r>
      <w:r>
        <w:t>Ist der Rechtsstreit bei einem höheren Gericht anhängig, so kann die vollstreckbare Ausfertigung auch von dem Urkundsbeamten der Geschäftsstelle dieses Gerichts erteilt werden.</w:t>
      </w:r>
    </w:p>
    <w:p>
      <w:pPr>
        <w:pStyle w:val="Heading3"/>
      </w:pPr>
      <w:bookmarkStart w:id="725" w:name="b724"/>
      <w:r>
        <w:t>§ 725 Vollstreckungsklausel</w:t>
      </w:r>
      <w:r>
        <w:t xml:space="preserve"> </w:t>
      </w:r>
      <w:r>
        <w:rPr>
          <w:rStyle w:val="Suchmarke"/>
        </w:rPr>
        <w:t>#725#</w:t>
      </w:r>
      <w:bookmarkEnd w:id="725"/>
    </w:p>
    <w:p>
      <w:r>
        <w:t>Die Vollstreckungsklausel:</w:t>
      </w:r>
      <w:r>
        <w:br/>
      </w:r>
      <w:r>
        <w:t>"Vorstehende Ausfertigung wird dem usw. (Bezeichnung der Partei) zum Zwecke der Zwangsvollstreckung erteilt"</w:t>
      </w:r>
      <w:r>
        <w:br/>
      </w:r>
      <w:r>
        <w:t>ist der Ausfertigung des Urteils am Schluss beizufügen, von dem Urkundsbeamten der Geschäftsstelle zu unterschreiben und mit dem Gerichtssiegel zu versehen.</w:t>
      </w:r>
    </w:p>
    <w:p>
      <w:pPr>
        <w:pStyle w:val="Heading3"/>
      </w:pPr>
      <w:bookmarkStart w:id="726" w:name="b725"/>
      <w:r>
        <w:t>§ 726 Vollstreckbare Ausfertigung bei bedingten Leistungen</w:t>
      </w:r>
      <w:r>
        <w:t xml:space="preserve"> </w:t>
      </w:r>
      <w:r>
        <w:rPr>
          <w:rStyle w:val="Suchmarke"/>
        </w:rPr>
        <w:t>#726#</w:t>
      </w:r>
      <w:bookmarkEnd w:id="726"/>
    </w:p>
    <w:p>
      <w:r>
        <w:t>(1) Von Urteilen, deren Vollstreckung nach ihrem Inhalt von dem durch den Gläubiger zu beweisenden Eintritt einer anderen Tatsache als einer dem Gläubiger obliegenden Sicherheitsleistung abhängt, darf eine vollstreckbare Ausfertigung nur erteilt werden, wenn der Beweis durch öffentliche oder öffentlich beglaubigte Urkunden geführt wird.</w:t>
      </w:r>
    </w:p>
    <w:p>
      <w:r>
        <w:t>(2) Hängt die Vollstreckung von einer Zug um Zug zu bewirkenden Leistung des Gläubigers an den Schuldner ab, so ist der Beweis, dass der Schuldner befriedigt oder im Verzug der Annahme ist, nur dann erforderlich, wenn die dem Schuldner obliegende Leistung in der Abgabe einer Willenserklärung besteht.</w:t>
      </w:r>
    </w:p>
    <w:p>
      <w:pPr>
        <w:pStyle w:val="Heading3"/>
      </w:pPr>
      <w:bookmarkStart w:id="727" w:name="b726"/>
      <w:r>
        <w:t>§ 727 Vollstreckbare Ausfertigung für und gegen Rechtsnachfolger</w:t>
      </w:r>
      <w:r>
        <w:t xml:space="preserve"> </w:t>
      </w:r>
      <w:r>
        <w:rPr>
          <w:rStyle w:val="Suchmarke"/>
        </w:rPr>
        <w:t>#727#</w:t>
      </w:r>
      <w:bookmarkEnd w:id="727"/>
    </w:p>
    <w:p>
      <w:r>
        <w:t xml:space="preserve">(1) Eine vollstreckbare Ausfertigung kann für den Rechtsnachfolger des in dem Urteil bezeichneten Gläubigers sowie gegen denjenigen Rechtsnachfolger des in dem Urteil bezeichneten Schuldners und denjenigen Besitzer der in Streit befangenen Sache, gegen die das Urteil nach </w:t>
      </w:r>
      <w:hyperlink w:anchor="b374" w:history="1">
        <w:r>
          <w:rPr>
            <w:color w:val="0A3A8C"/>
            <w:u w:val="single"/>
          </w:rPr>
          <w:t xml:space="preserve">§ 325</w:t>
        </w:r>
      </w:hyperlink>
      <w:r>
        <w:t xml:space="preserve"> wirksam ist, erteilt werden, sofern die Rechtsnachfolge oder das Besitzverhältnis bei dem Gericht offenkundig ist oder durch öffentliche oder öffentlich beglaubigte Urkunden nachgewiesen wird.</w:t>
      </w:r>
    </w:p>
    <w:p>
      <w:r>
        <w:t>(2) Ist die Rechtsnachfolge oder das Besitzverhältnis bei dem Gericht offenkundig, so ist dies in der Vollstreckungsklausel zu erwähnen.</w:t>
      </w:r>
    </w:p>
    <w:p>
      <w:pPr>
        <w:pStyle w:val="Heading3"/>
      </w:pPr>
      <w:bookmarkStart w:id="728" w:name="b727"/>
      <w:r>
        <w:t>§ 728 Vollstreckbare Ausfertigung bei Nacherbe oder Testamentsvollstrecker</w:t>
      </w:r>
      <w:r>
        <w:t xml:space="preserve"> </w:t>
      </w:r>
      <w:r>
        <w:rPr>
          <w:rStyle w:val="Suchmarke"/>
        </w:rPr>
        <w:t>#728#</w:t>
      </w:r>
      <w:bookmarkEnd w:id="728"/>
    </w:p>
    <w:p>
      <w:r>
        <w:t xml:space="preserve">(1) Ist gegenüber dem Vorerben ein nach § 326 dem Nacherben gegenüber wirksames Urteil ergangen, so sind auf die Erteilung einer vollstreckbaren Ausfertigung für und gegen den Nacherben die Vorschriften des </w:t>
      </w:r>
      <w:hyperlink w:anchor="b726" w:history="1">
        <w:r>
          <w:rPr>
            <w:color w:val="0A3A8C"/>
            <w:u w:val="single"/>
          </w:rPr>
          <w:t xml:space="preserve">§ 727</w:t>
        </w:r>
      </w:hyperlink>
      <w:r>
        <w:t xml:space="preserve"> entsprechend anzuwenden.</w:t>
      </w:r>
    </w:p>
    <w:p>
      <w:r>
        <w:t xml:space="preserve">(2) </w:t>
      </w:r>
      <w:r>
        <w:rPr>
          <w:rStyle w:val="Satznummer"/>
        </w:rPr>
        <w:t>1</w:t>
      </w:r>
      <w:r>
        <w:t xml:space="preserve">Das Gleiche gilt, wenn gegenüber einem Testamentsvollstrecker ein nach § 327 dem Erben gegenüber wirksames Urteil ergangen ist, für die Erteilung einer vollstreckbaren Ausfertigung für und gegen den Erben. </w:t>
      </w:r>
      <w:r>
        <w:rPr>
          <w:rStyle w:val="Satznummer"/>
        </w:rPr>
        <w:t>2</w:t>
      </w:r>
      <w:r>
        <w:t>Eine vollstreckbare Ausfertigung kann gegen den Erben erteilt werden, auch wenn die Verwaltung des Testamentsvollstreckers noch besteht.</w:t>
      </w:r>
    </w:p>
    <w:p>
      <w:pPr>
        <w:pStyle w:val="Heading3"/>
      </w:pPr>
      <w:bookmarkStart w:id="729" w:name="b728"/>
      <w:r>
        <w:t>§ 729 Vollstreckbare Ausfertigung gegen Vermögens- und Firmenübernehmer</w:t>
      </w:r>
      <w:r>
        <w:t xml:space="preserve"> </w:t>
      </w:r>
      <w:r>
        <w:rPr>
          <w:rStyle w:val="Suchmarke"/>
        </w:rPr>
        <w:t>#729#</w:t>
      </w:r>
      <w:bookmarkEnd w:id="729"/>
    </w:p>
    <w:p>
      <w:r>
        <w:t xml:space="preserve">(1) Hat jemand das Vermögen eines anderen durch Vertrag mit diesem nach der rechtskräftigen Feststellung einer Schuld des anderen übernommen, so sind auf die Erteilung einer vollstreckbaren Ausfertigung des Urteils gegen den Übernehmer die Vorschriften des </w:t>
      </w:r>
      <w:hyperlink w:anchor="b726" w:history="1">
        <w:r>
          <w:rPr>
            <w:color w:val="0A3A8C"/>
            <w:u w:val="single"/>
          </w:rPr>
          <w:t xml:space="preserve">§ 727</w:t>
        </w:r>
      </w:hyperlink>
      <w:r>
        <w:t xml:space="preserve"> entsprechend anzuwenden.</w:t>
      </w:r>
    </w:p>
    <w:p>
      <w:r>
        <w:t>(2) Das Gleiche gilt für die Erteilung einer vollstreckbaren Ausfertigung gegen denjenigen, der ein unter Lebenden erworbenes Handelsgeschäft unter der bisherigen Firma fortführt, in Ansehung der Verbindlichkeiten, für die er nach § 25 Abs. 1 Satz 1, Abs. 2 des Handelsgesetzbuchs haftet, sofern sie vor dem Erwerb des Geschäfts gegen den früheren Inhaber rechtskräftig festgestellt worden sind.</w:t>
      </w:r>
    </w:p>
    <w:p>
      <w:pPr>
        <w:pStyle w:val="Heading3"/>
      </w:pPr>
      <w:bookmarkStart w:id="730" w:name="b729"/>
      <w:r>
        <w:t>§ 730 Anhörung des Schuldners</w:t>
      </w:r>
      <w:r>
        <w:t xml:space="preserve"> </w:t>
      </w:r>
      <w:r>
        <w:rPr>
          <w:rStyle w:val="Suchmarke"/>
        </w:rPr>
        <w:t>#730#</w:t>
      </w:r>
      <w:bookmarkEnd w:id="730"/>
    </w:p>
    <w:p>
      <w:r>
        <w:t xml:space="preserve">In den Fällen des </w:t>
      </w:r>
      <w:hyperlink w:anchor="b725" w:history="1">
        <w:r>
          <w:rPr>
            <w:color w:val="0A3A8C"/>
            <w:u w:val="single"/>
          </w:rPr>
          <w:t xml:space="preserve">§ 726</w:t>
        </w:r>
      </w:hyperlink>
      <w:r>
        <w:t xml:space="preserve"> Abs. 1 und der </w:t>
      </w:r>
      <w:hyperlink w:anchor="b726" w:history="1">
        <w:r>
          <w:rPr>
            <w:color w:val="0A3A8C"/>
            <w:u w:val="single"/>
          </w:rPr>
          <w:t xml:space="preserve">§§ 727</w:t>
        </w:r>
      </w:hyperlink>
      <w:r>
        <w:t xml:space="preserve"> bis </w:t>
      </w:r>
      <w:hyperlink w:anchor="b728" w:history="1">
        <w:r>
          <w:rPr>
            <w:color w:val="0A3A8C"/>
            <w:u w:val="single"/>
          </w:rPr>
          <w:t xml:space="preserve">729</w:t>
        </w:r>
      </w:hyperlink>
      <w:r>
        <w:t xml:space="preserve"> kann der Schuldner vor der Erteilung der vollstreckbaren Ausfertigung gehört werden.</w:t>
      </w:r>
    </w:p>
    <w:p>
      <w:pPr>
        <w:pStyle w:val="Heading3"/>
      </w:pPr>
      <w:bookmarkStart w:id="731" w:name="b730"/>
      <w:r>
        <w:t>§ 731 Klage auf Erteilung der Vollstreckungsklausel</w:t>
      </w:r>
      <w:r>
        <w:t xml:space="preserve"> </w:t>
      </w:r>
      <w:r>
        <w:rPr>
          <w:rStyle w:val="Suchmarke"/>
        </w:rPr>
        <w:t>#731#</w:t>
      </w:r>
      <w:bookmarkEnd w:id="731"/>
    </w:p>
    <w:p>
      <w:r>
        <w:t xml:space="preserve">Kann der nach dem </w:t>
      </w:r>
      <w:hyperlink w:anchor="b725" w:history="1">
        <w:r>
          <w:rPr>
            <w:color w:val="0A3A8C"/>
            <w:u w:val="single"/>
          </w:rPr>
          <w:t xml:space="preserve">§ 726</w:t>
        </w:r>
      </w:hyperlink>
      <w:r>
        <w:t xml:space="preserve"> Abs. 1 und den </w:t>
      </w:r>
      <w:hyperlink w:anchor="b726" w:history="1">
        <w:r>
          <w:rPr>
            <w:color w:val="0A3A8C"/>
            <w:u w:val="single"/>
          </w:rPr>
          <w:t xml:space="preserve">§§ 727</w:t>
        </w:r>
      </w:hyperlink>
      <w:r>
        <w:t xml:space="preserve"> bis </w:t>
      </w:r>
      <w:hyperlink w:anchor="b728" w:history="1">
        <w:r>
          <w:rPr>
            <w:color w:val="0A3A8C"/>
            <w:u w:val="single"/>
          </w:rPr>
          <w:t xml:space="preserve">729</w:t>
        </w:r>
      </w:hyperlink>
      <w:r>
        <w:t xml:space="preserve"> erforderliche Nachweis durch öffentliche oder öffentlich beglaubigte Urkunden nicht geführt werden, so hat der Gläubiger bei dem Prozessgericht des ersten Rechtszuges aus dem Urteil auf Erteilung der Vollstreckungsklausel Klage zu erheben.</w:t>
      </w:r>
    </w:p>
    <w:p>
      <w:pPr>
        <w:pStyle w:val="Heading3"/>
      </w:pPr>
      <w:bookmarkStart w:id="732" w:name="b731"/>
      <w:r>
        <w:t>§ 732 Erinnerung gegen Erteilung der Vollstreckungsklausel</w:t>
      </w:r>
      <w:r>
        <w:t xml:space="preserve"> </w:t>
      </w:r>
      <w:r>
        <w:rPr>
          <w:rStyle w:val="Suchmarke"/>
        </w:rPr>
        <w:t>#732#</w:t>
      </w:r>
      <w:bookmarkEnd w:id="732"/>
    </w:p>
    <w:p>
      <w:r>
        <w:t xml:space="preserve">(1) </w:t>
      </w:r>
      <w:r>
        <w:rPr>
          <w:rStyle w:val="Satznummer"/>
        </w:rPr>
        <w:t>1</w:t>
      </w:r>
      <w:r>
        <w:t xml:space="preserve">Über Einwendungen des Schuldners, welche die Zulässigkeit der Vollstreckungsklausel betreffen, entscheidet das Gericht, von dessen Geschäftsstelle die Vollstreckungsklausel erteilt ist. </w:t>
      </w:r>
      <w:r>
        <w:rPr>
          <w:rStyle w:val="Satznummer"/>
        </w:rPr>
        <w:t>2</w:t>
      </w:r>
      <w:r>
        <w:t>Die Entscheidung ergeht durch Beschluss.</w:t>
      </w:r>
    </w:p>
    <w:p>
      <w:r>
        <w:t>(2) Das Gericht kann vor der Entscheidung eine einstweilige Anordnung erlassen; es kann insbesondere anordnen, dass die Zwangsvollstreckung gegen oder ohne Sicherheitsleistung einstweilen einzustellen oder nur gegen Sicherheitsleistung fortzusetzen sei.</w:t>
      </w:r>
    </w:p>
    <w:p>
      <w:pPr>
        <w:pStyle w:val="Heading3"/>
      </w:pPr>
      <w:bookmarkStart w:id="733" w:name="b732"/>
      <w:r>
        <w:t>§ 733 Weitere vollstreckbare Ausfertigung</w:t>
      </w:r>
      <w:r>
        <w:t xml:space="preserve"> </w:t>
      </w:r>
      <w:r>
        <w:rPr>
          <w:rStyle w:val="Suchmarke"/>
        </w:rPr>
        <w:t>#733#</w:t>
      </w:r>
      <w:bookmarkEnd w:id="733"/>
    </w:p>
    <w:p>
      <w:r>
        <w:t>(1) Vor der Erteilung einer weiteren vollstreckbaren Ausfertigung kann der Schuldner gehört werden, sofern nicht die zuerst erteilte Ausfertigung zurückgegeben wird.</w:t>
      </w:r>
    </w:p>
    <w:p>
      <w:r>
        <w:t>(2) Die Geschäftsstelle hat von der Erteilung der weiteren Ausfertigung den Gegner in Kenntnis zu setzen.</w:t>
      </w:r>
    </w:p>
    <w:p>
      <w:r>
        <w:t>(3) Die weitere Ausfertigung ist als solche ausdrücklich zu bezeichnen.</w:t>
      </w:r>
    </w:p>
    <w:p>
      <w:pPr>
        <w:pStyle w:val="Heading3"/>
      </w:pPr>
      <w:bookmarkStart w:id="734" w:name="b733"/>
      <w:r>
        <w:t>§ 734 Vermerk über Ausfertigungserteilung auf der Urteilsurschrift</w:t>
      </w:r>
      <w:r>
        <w:t xml:space="preserve"> </w:t>
      </w:r>
      <w:r>
        <w:rPr>
          <w:rStyle w:val="Suchmarke"/>
        </w:rPr>
        <w:t>#734#</w:t>
      </w:r>
      <w:bookmarkEnd w:id="734"/>
    </w:p>
    <w:p>
      <w:r>
        <w:rPr>
          <w:rStyle w:val="Satznummer"/>
        </w:rPr>
        <w:t>1</w:t>
      </w:r>
      <w:r>
        <w:t xml:space="preserve">Vor der Aushändigung einer vollstreckbaren Ausfertigung ist auf der Urschrift des Urteils zu vermerken, für welche Partei und zu welcher Zeit die Ausfertigung erteilt ist. </w:t>
      </w:r>
      <w:r>
        <w:rPr>
          <w:rStyle w:val="Satznummer"/>
        </w:rPr>
        <w:t>2</w:t>
      </w:r>
      <w:r>
        <w:t xml:space="preserve">Werden die Prozessakten elektronisch geführt, so ist der Vermerk in einem gesonderten elektronischen Dokument festzuhalten. </w:t>
      </w:r>
      <w:r>
        <w:rPr>
          <w:rStyle w:val="Satznummer"/>
        </w:rPr>
        <w:t>3</w:t>
      </w:r>
      <w:r>
        <w:t>Das Dokument ist mit dem Urteil untrennbar zu verbinden.</w:t>
      </w:r>
    </w:p>
    <w:p>
      <w:pPr>
        <w:pStyle w:val="Heading3"/>
      </w:pPr>
      <w:bookmarkStart w:id="735" w:name="b734"/>
      <w:r>
        <w:t>§ 735 (weggefallen)</w:t>
      </w:r>
      <w:r>
        <w:t xml:space="preserve"> </w:t>
      </w:r>
      <w:r>
        <w:rPr>
          <w:rStyle w:val="Suchmarke"/>
        </w:rPr>
        <w:t>#735#</w:t>
      </w:r>
      <w:bookmarkEnd w:id="735"/>
    </w:p>
    <w:p>
      <w:pPr>
        <w:pStyle w:val="Heading3"/>
      </w:pPr>
      <w:bookmarkStart w:id="736" w:name="b735"/>
      <w:r>
        <w:t>§ 736 Zwangsvollstreckung für oder gegen eine Gesellschaft bürgerlichen Rechts bei nachträglicher Eintragung im Gesellschaftsregister</w:t>
      </w:r>
      <w:r>
        <w:t xml:space="preserve"> </w:t>
      </w:r>
      <w:r>
        <w:rPr>
          <w:rStyle w:val="Suchmarke"/>
        </w:rPr>
        <w:t>#736#</w:t>
      </w:r>
      <w:bookmarkEnd w:id="736"/>
    </w:p>
    <w:p>
      <w:r>
        <w:t>Die Zwangsvollstreckung für oder gegen eine im Gesellschaftsregister eingetragene Gesellschaft bürgerlichen Rechts findet auch aus einem Vollstreckungstitel für oder gegen eine nicht im Gesellschaftsregister eingetragene Gesellschaft bürgerlichen Rechts statt, wenn</w:t>
      </w:r>
    </w:p>
    <w:p>
      <w:pPr>
        <w:tabs>
          <w:tab w:pos="567" w:val="left"/>
        </w:tabs>
        <w:ind w:left="567" w:hanging="567"/>
      </w:pPr>
      <w:r>
        <w:t>1.</w:t>
      </w:r>
      <w:r>
        <w:tab/>
      </w:r>
      <w:r>
        <w:t>der in dem Vollstreckungstitel genannte Name und Sitz oder die Anschrift der Gesellschaft identisch sind mit dem Namen und Sitz oder der Anschrift der im Gesellschaftsregister eingetragenen Gesellschaft und</w:t>
      </w:r>
    </w:p>
    <w:p>
      <w:pPr>
        <w:tabs>
          <w:tab w:pos="567" w:val="left"/>
        </w:tabs>
        <w:ind w:left="567" w:hanging="567"/>
      </w:pPr>
      <w:r>
        <w:t>2.</w:t>
      </w:r>
      <w:r>
        <w:tab/>
      </w:r>
      <w:r>
        <w:t>die gegebenenfalls in dem Vollstreckungstitel aufgeführten Gesellschafter der Gesellschaft identisch sind mit den Gesellschaftern der im Gesellschaftsregister eingetragenen Gesellschaft.</w:t>
      </w:r>
    </w:p>
    <w:p>
      <w:pPr>
        <w:pStyle w:val="Heading3"/>
      </w:pPr>
      <w:bookmarkStart w:id="737" w:name="b736"/>
      <w:r>
        <w:t>§ 737 Zwangsvollstreckung bei Vermögens- oder Erbschaftsnießbrauch</w:t>
      </w:r>
      <w:r>
        <w:t xml:space="preserve"> </w:t>
      </w:r>
      <w:r>
        <w:rPr>
          <w:rStyle w:val="Suchmarke"/>
        </w:rPr>
        <w:t>#737#</w:t>
      </w:r>
      <w:bookmarkEnd w:id="737"/>
    </w:p>
    <w:p>
      <w:r>
        <w:t>(1) Bei dem Nießbrauch an einem Vermögen ist wegen der vor der Bestellung des Nießbrauchs entstandenen Verbindlichkeiten des Bestellers die Zwangsvollstreckung in die dem Nießbrauch unterliegenden Gegenstände ohne Rücksicht auf den Nießbrauch zulässig, wenn der Besteller zu der Leistung und der Nießbraucher zur Duldung der Zwangsvollstreckung verurteilt ist.</w:t>
      </w:r>
    </w:p>
    <w:p>
      <w:r>
        <w:t>(2) Das Gleiche gilt bei dem Nießbrauch an einer Erbschaft für die Nachlassverbindlichkeiten.</w:t>
      </w:r>
    </w:p>
    <w:p>
      <w:pPr>
        <w:pStyle w:val="Heading3"/>
      </w:pPr>
      <w:bookmarkStart w:id="738" w:name="b737"/>
      <w:r>
        <w:t>§ 738 Vollstreckbare Ausfertigung gegen Nießbraucher</w:t>
      </w:r>
      <w:r>
        <w:t xml:space="preserve"> </w:t>
      </w:r>
      <w:r>
        <w:rPr>
          <w:rStyle w:val="Suchmarke"/>
        </w:rPr>
        <w:t>#738#</w:t>
      </w:r>
      <w:bookmarkEnd w:id="738"/>
    </w:p>
    <w:p>
      <w:r>
        <w:t xml:space="preserve">(1) Ist die Bestellung des Nießbrauchs an einem Vermögen nach der rechtskräftigen Feststellung einer Schuld des Bestellers erfolgt, so sind auf die Erteilung einer in Ansehung der dem Nießbrauch unterliegenden Gegenstände vollstreckbaren Ausfertigung des Urteils gegen den Nießbraucher die Vorschriften der </w:t>
      </w:r>
      <w:hyperlink w:anchor="b726" w:history="1">
        <w:r>
          <w:rPr>
            <w:color w:val="0A3A8C"/>
            <w:u w:val="single"/>
          </w:rPr>
          <w:t xml:space="preserve">§§ 727</w:t>
        </w:r>
      </w:hyperlink>
      <w:r>
        <w:t xml:space="preserve">, </w:t>
      </w:r>
      <w:hyperlink w:anchor="b729" w:history="1">
        <w:r>
          <w:rPr>
            <w:color w:val="0A3A8C"/>
            <w:u w:val="single"/>
          </w:rPr>
          <w:t xml:space="preserve">730</w:t>
        </w:r>
      </w:hyperlink>
      <w:r>
        <w:t xml:space="preserve"> bis </w:t>
      </w:r>
      <w:hyperlink w:anchor="b731" w:history="1">
        <w:r>
          <w:rPr>
            <w:color w:val="0A3A8C"/>
            <w:u w:val="single"/>
          </w:rPr>
          <w:t xml:space="preserve">732</w:t>
        </w:r>
      </w:hyperlink>
      <w:r>
        <w:t xml:space="preserve"> entsprechend anzuwenden.</w:t>
      </w:r>
    </w:p>
    <w:p>
      <w:r>
        <w:t>(2) Das Gleiche gilt bei dem Nießbrauch an einer Erbschaft für die Erteilung einer vollstreckbaren Ausfertigung des gegen den Erblasser ergangenen Urteils.</w:t>
      </w:r>
    </w:p>
    <w:p>
      <w:pPr>
        <w:pStyle w:val="Heading3"/>
      </w:pPr>
      <w:bookmarkStart w:id="739" w:name="b738"/>
      <w:r>
        <w:t>§ 739 Gewahrsamsvermutung bei Zwangsvollstreckung gegen Ehegatten und Lebenspartner</w:t>
      </w:r>
      <w:r>
        <w:t xml:space="preserve"> </w:t>
      </w:r>
      <w:r>
        <w:rPr>
          <w:rStyle w:val="Suchmarke"/>
        </w:rPr>
        <w:t>#739#</w:t>
      </w:r>
      <w:bookmarkEnd w:id="739"/>
    </w:p>
    <w:p>
      <w:r>
        <w:t>(1) Wird zugunsten der Gläubiger eines der Ehegatten gemäß § 1362 des Bürgerlichen Gesetzbuchs vermutet, dass der Schuldner Eigentümer beweglicher Sachen ist, so gilt, unbeschadet der Rechte Dritter, für die Durchführung der Zwangsvollstreckung nur der Schuldner als Gewahrsamsinhaber und Besitzer.</w:t>
      </w:r>
    </w:p>
    <w:p>
      <w:r>
        <w:t>(2) Absatz 1 gilt entsprechend für die Vermutung des § 8 Abs. 1 des Lebenspartnerschaftsgesetzes zugunsten der Gläubiger eines der Lebenspartner.</w:t>
      </w:r>
    </w:p>
    <w:p>
      <w:pPr>
        <w:pStyle w:val="Heading3"/>
      </w:pPr>
      <w:bookmarkStart w:id="740" w:name="b739"/>
      <w:r>
        <w:t>§ 740 Zwangsvollstreckung in das Gesamtgut</w:t>
      </w:r>
      <w:r>
        <w:t xml:space="preserve"> </w:t>
      </w:r>
      <w:r>
        <w:rPr>
          <w:rStyle w:val="Suchmarke"/>
        </w:rPr>
        <w:t>#740#</w:t>
      </w:r>
      <w:bookmarkEnd w:id="740"/>
    </w:p>
    <w:p>
      <w:r>
        <w:t>(1) Leben die Ehegatten oder Lebenspartner in Gütergemeinschaft und verwaltet einer von ihnen das Gesamtgut allein, so ist zur Zwangsvollstreckung in das Gesamtgut ein Urteil gegen diesen Ehegatten oder Lebenspartner erforderlich und genügend.</w:t>
      </w:r>
    </w:p>
    <w:p>
      <w:r>
        <w:t>(2) Verwalten die Ehegatten oder Lebenspartner das Gesamtgut gemeinschaftlich, so ist die Zwangsvollstreckung in das Gesamtgut nur zulässig, wenn beide Ehegatten oder Lebenspartner zur Leistung verurteilt sind.</w:t>
      </w:r>
    </w:p>
    <w:p>
      <w:pPr>
        <w:pStyle w:val="Heading3"/>
      </w:pPr>
      <w:bookmarkStart w:id="741" w:name="b740"/>
      <w:r>
        <w:t>§ 741 Zwangsvollstreckung in das Gesamtgut bei Erwerbsgeschäft</w:t>
      </w:r>
      <w:r>
        <w:t xml:space="preserve"> </w:t>
      </w:r>
      <w:r>
        <w:rPr>
          <w:rStyle w:val="Suchmarke"/>
        </w:rPr>
        <w:t>#741#</w:t>
      </w:r>
      <w:bookmarkEnd w:id="741"/>
    </w:p>
    <w:p>
      <w:r>
        <w:t>Betreibt ein Ehegatte, der in Gütergemeinschaft lebt und das Gesamtgut nicht oder nicht allein verwaltet, selbständig ein Erwerbsgeschäft, so genügt zur Zwangsvollstreckung in das Gesamtgut ein gegen ihn ergangenes Urteil.</w:t>
      </w:r>
    </w:p>
    <w:p>
      <w:pPr>
        <w:pStyle w:val="Heading3"/>
      </w:pPr>
      <w:bookmarkStart w:id="742" w:name="b741"/>
      <w:r>
        <w:t>§ 742 Vollstreckbare Ausfertigung bei Gütergemeinschaft während des Rechtsstreits</w:t>
      </w:r>
      <w:r>
        <w:t xml:space="preserve"> </w:t>
      </w:r>
      <w:r>
        <w:rPr>
          <w:rStyle w:val="Suchmarke"/>
        </w:rPr>
        <w:t>#742#</w:t>
      </w:r>
      <w:bookmarkEnd w:id="742"/>
    </w:p>
    <w:p>
      <w:r>
        <w:t xml:space="preserve">Ist die Gütergemeinschaft erst eingetreten, nachdem ein von einem Ehegatten oder Lebenspartner oder gegen einen Ehegatten oder Lebenspartner geführter Rechtsstreit rechtshängig geworden ist, und verwaltet dieser Ehegatte oder Lebenspartner das Gesamtgut nicht oder nicht allein, so sind auf die Erteilung einer in Ansehung des Gesamtgutes vollstreckbaren Ausfertigung des Urteils für oder gegen den anderen Ehegatten oder Lebenspartner die Vorschriften der </w:t>
      </w:r>
      <w:hyperlink w:anchor="b726" w:history="1">
        <w:r>
          <w:rPr>
            <w:color w:val="0A3A8C"/>
            <w:u w:val="single"/>
          </w:rPr>
          <w:t xml:space="preserve">§§ 727</w:t>
        </w:r>
      </w:hyperlink>
      <w:r>
        <w:t xml:space="preserve">, </w:t>
      </w:r>
      <w:hyperlink w:anchor="b729" w:history="1">
        <w:r>
          <w:rPr>
            <w:color w:val="0A3A8C"/>
            <w:u w:val="single"/>
          </w:rPr>
          <w:t xml:space="preserve">730</w:t>
        </w:r>
      </w:hyperlink>
      <w:r>
        <w:t xml:space="preserve"> bis </w:t>
      </w:r>
      <w:hyperlink w:anchor="b731" w:history="1">
        <w:r>
          <w:rPr>
            <w:color w:val="0A3A8C"/>
            <w:u w:val="single"/>
          </w:rPr>
          <w:t xml:space="preserve">732</w:t>
        </w:r>
      </w:hyperlink>
      <w:r>
        <w:t xml:space="preserve"> entsprechend anzuwenden.</w:t>
      </w:r>
    </w:p>
    <w:p>
      <w:pPr>
        <w:pStyle w:val="Heading3"/>
      </w:pPr>
      <w:bookmarkStart w:id="743" w:name="b742"/>
      <w:r>
        <w:t>§ 743 Beendete Gütergemeinschaft</w:t>
      </w:r>
      <w:r>
        <w:t xml:space="preserve"> </w:t>
      </w:r>
      <w:r>
        <w:rPr>
          <w:rStyle w:val="Suchmarke"/>
        </w:rPr>
        <w:t>#743#</w:t>
      </w:r>
      <w:bookmarkEnd w:id="743"/>
    </w:p>
    <w:p>
      <w:r>
        <w:t>Nach der Beendigung der Gütergemeinschaft ist vor der Auseinandersetzung die Zwangsvollstreckung in das Gesamtgut nur zulässig, wenn</w:t>
      </w:r>
    </w:p>
    <w:p>
      <w:pPr>
        <w:tabs>
          <w:tab w:pos="567" w:val="left"/>
        </w:tabs>
        <w:ind w:left="567" w:hanging="567"/>
      </w:pPr>
      <w:r>
        <w:t>1.</w:t>
      </w:r>
      <w:r>
        <w:tab/>
      </w:r>
      <w:r>
        <w:t>beide Ehegatten oder Lebenspartner zu der Leistung verurteilt sind oder</w:t>
      </w:r>
    </w:p>
    <w:p>
      <w:pPr>
        <w:tabs>
          <w:tab w:pos="567" w:val="left"/>
        </w:tabs>
        <w:ind w:left="567" w:hanging="567"/>
      </w:pPr>
      <w:r>
        <w:t>2.</w:t>
      </w:r>
      <w:r>
        <w:tab/>
      </w:r>
      <w:r>
        <w:t>der eine Ehegatte oder Lebenspartner zu der Leistung verurteilt ist und der andere zur Duldung der Zwangsvollstreckung.</w:t>
      </w:r>
    </w:p>
    <w:p>
      <w:pPr>
        <w:pStyle w:val="Heading3"/>
      </w:pPr>
      <w:bookmarkStart w:id="744" w:name="b743"/>
      <w:r>
        <w:t>§ 744 Vollstreckbare Ausfertigung bei beendeter Gütergemeinschaft</w:t>
      </w:r>
      <w:r>
        <w:t xml:space="preserve"> </w:t>
      </w:r>
      <w:r>
        <w:rPr>
          <w:rStyle w:val="Suchmarke"/>
        </w:rPr>
        <w:t>#744#</w:t>
      </w:r>
      <w:bookmarkEnd w:id="744"/>
    </w:p>
    <w:p>
      <w:r>
        <w:t xml:space="preserve">Ist die Beendigung der Gütergemeinschaft nach der Beendigung eines Rechtsstreits des Ehegatten oder Lebenspartners eingetreten, der das Gesamtgut allein verwaltet, so sind auf die Erteilung einer in Ansehung des Gesamtgutes vollstreckbaren Ausfertigung des Urteils gegen den anderen Ehegatten oder Lebenspartner die Vorschriften der </w:t>
      </w:r>
      <w:hyperlink w:anchor="b726" w:history="1">
        <w:r>
          <w:rPr>
            <w:color w:val="0A3A8C"/>
            <w:u w:val="single"/>
          </w:rPr>
          <w:t xml:space="preserve">§§ 727</w:t>
        </w:r>
      </w:hyperlink>
      <w:r>
        <w:t xml:space="preserve">, </w:t>
      </w:r>
      <w:hyperlink w:anchor="b729" w:history="1">
        <w:r>
          <w:rPr>
            <w:color w:val="0A3A8C"/>
            <w:u w:val="single"/>
          </w:rPr>
          <w:t xml:space="preserve">730</w:t>
        </w:r>
      </w:hyperlink>
      <w:r>
        <w:t xml:space="preserve"> bis </w:t>
      </w:r>
      <w:hyperlink w:anchor="b731" w:history="1">
        <w:r>
          <w:rPr>
            <w:color w:val="0A3A8C"/>
            <w:u w:val="single"/>
          </w:rPr>
          <w:t xml:space="preserve">732</w:t>
        </w:r>
      </w:hyperlink>
      <w:r>
        <w:t xml:space="preserve"> entsprechend anzuwenden.</w:t>
      </w:r>
    </w:p>
    <w:p>
      <w:pPr>
        <w:pStyle w:val="Heading3"/>
      </w:pPr>
      <w:bookmarkStart w:id="745" w:name="b744"/>
      <w:r>
        <w:t>§ 744a Zwangsvollstreckung bei Eigentums- und Vermögensgemeinschaft</w:t>
      </w:r>
      <w:r>
        <w:t xml:space="preserve"> </w:t>
      </w:r>
      <w:r>
        <w:rPr>
          <w:rStyle w:val="Suchmarke"/>
        </w:rPr>
        <w:t>#744a#</w:t>
      </w:r>
      <w:bookmarkEnd w:id="745"/>
    </w:p>
    <w:p>
      <w:r>
        <w:t xml:space="preserve">Leben die Ehegatten gemäß Artikel 234 § 4 Abs. 2 des Einführungsgesetzes zum Bürgerlichen Gesetzbuch im Güterstand der Eigentums- und Vermögensgemeinschaft, sind für die Zwangsvollstreckung in Gegenstände des gemeinschaftlichen Eigentums und Vermögens die </w:t>
      </w:r>
      <w:hyperlink w:anchor="b739" w:history="1">
        <w:r>
          <w:rPr>
            <w:color w:val="0A3A8C"/>
            <w:u w:val="single"/>
          </w:rPr>
          <w:t xml:space="preserve">§§ 740</w:t>
        </w:r>
      </w:hyperlink>
      <w:r>
        <w:t xml:space="preserve"> bis </w:t>
      </w:r>
      <w:hyperlink w:anchor="b743" w:history="1">
        <w:r>
          <w:rPr>
            <w:color w:val="0A3A8C"/>
            <w:u w:val="single"/>
          </w:rPr>
          <w:t xml:space="preserve">744</w:t>
        </w:r>
      </w:hyperlink>
      <w:r>
        <w:t xml:space="preserve">, </w:t>
      </w:r>
      <w:hyperlink w:anchor="b780" w:history="1">
        <w:r>
          <w:rPr>
            <w:color w:val="0A3A8C"/>
            <w:u w:val="single"/>
          </w:rPr>
          <w:t xml:space="preserve">774</w:t>
        </w:r>
      </w:hyperlink>
      <w:r>
        <w:t xml:space="preserve"> und </w:t>
      </w:r>
      <w:hyperlink w:anchor="b924" w:history="1">
        <w:r>
          <w:rPr>
            <w:color w:val="0A3A8C"/>
            <w:u w:val="single"/>
          </w:rPr>
          <w:t xml:space="preserve">860</w:t>
        </w:r>
      </w:hyperlink>
      <w:r>
        <w:t xml:space="preserve"> entsprechend anzuwenden.</w:t>
      </w:r>
    </w:p>
    <w:p>
      <w:pPr>
        <w:pStyle w:val="Heading3"/>
      </w:pPr>
      <w:bookmarkStart w:id="746" w:name="b745"/>
      <w:r>
        <w:t>§ 745 Zwangsvollstreckung bei fortgesetzter Gütergemeinschaft</w:t>
      </w:r>
      <w:r>
        <w:t xml:space="preserve"> </w:t>
      </w:r>
      <w:r>
        <w:rPr>
          <w:rStyle w:val="Suchmarke"/>
        </w:rPr>
        <w:t>#745#</w:t>
      </w:r>
      <w:bookmarkEnd w:id="746"/>
    </w:p>
    <w:p>
      <w:r>
        <w:t>(1) Im Falle der fortgesetzten Gütergemeinschaft ist zur Zwangsvollstreckung in das Gesamtgut ein gegen den überlebenden Ehegatten oder Lebenspartner ergangenes Urteil erforderlich und genügend.</w:t>
      </w:r>
    </w:p>
    <w:p>
      <w:r>
        <w:t xml:space="preserve">(2) Nach der Beendigung der fortgesetzten Gütergemeinschaft gelten die </w:t>
      </w:r>
      <w:hyperlink w:anchor="b742" w:history="1">
        <w:r>
          <w:rPr>
            <w:color w:val="0A3A8C"/>
            <w:u w:val="single"/>
          </w:rPr>
          <w:t xml:space="preserve">§§ 743</w:t>
        </w:r>
      </w:hyperlink>
      <w:r>
        <w:t xml:space="preserve"> und </w:t>
      </w:r>
      <w:hyperlink w:anchor="b743" w:history="1">
        <w:r>
          <w:rPr>
            <w:color w:val="0A3A8C"/>
            <w:u w:val="single"/>
          </w:rPr>
          <w:t xml:space="preserve">744</w:t>
        </w:r>
      </w:hyperlink>
      <w:r>
        <w:t xml:space="preserve"> mit der Maßgabe, dass</w:t>
      </w:r>
    </w:p>
    <w:p>
      <w:pPr>
        <w:tabs>
          <w:tab w:pos="567" w:val="left"/>
        </w:tabs>
        <w:ind w:left="567" w:hanging="567"/>
      </w:pPr>
      <w:r>
        <w:t>1.</w:t>
      </w:r>
      <w:r>
        <w:tab/>
      </w:r>
      <w:r>
        <w:t>an die Stelle desjenigen Ehegatten oder Lebenspartners, der das Gesamtgut allein verwaltet, der überlebende Ehegatte oder Lebenspartner tritt und</w:t>
      </w:r>
    </w:p>
    <w:p>
      <w:pPr>
        <w:tabs>
          <w:tab w:pos="567" w:val="left"/>
        </w:tabs>
        <w:ind w:left="567" w:hanging="567"/>
      </w:pPr>
      <w:r>
        <w:t>2.</w:t>
      </w:r>
      <w:r>
        <w:tab/>
      </w:r>
      <w:r>
        <w:t>an die Stelle des anderen Ehegatten oder Lebenspartners die anteilsberechtigten Abkömmlinge treten.</w:t>
      </w:r>
    </w:p>
    <w:p>
      <w:pPr>
        <w:pStyle w:val="Heading3"/>
      </w:pPr>
      <w:bookmarkStart w:id="747" w:name="b746"/>
      <w:r>
        <w:t>§ 746</w:t>
      </w:r>
      <w:r>
        <w:t xml:space="preserve"> </w:t>
      </w:r>
      <w:r>
        <w:rPr>
          <w:rStyle w:val="Suchmarke"/>
        </w:rPr>
        <w:t>#746#</w:t>
      </w:r>
      <w:bookmarkEnd w:id="747"/>
    </w:p>
    <w:p>
      <w:r>
        <w:t>(weggefallen)</w:t>
      </w:r>
    </w:p>
    <w:p>
      <w:pPr>
        <w:pStyle w:val="Heading3"/>
      </w:pPr>
      <w:bookmarkStart w:id="748" w:name="b747"/>
      <w:r>
        <w:t>§ 747 Zwangsvollstreckung in ungeteilten Nachlass</w:t>
      </w:r>
      <w:r>
        <w:t xml:space="preserve"> </w:t>
      </w:r>
      <w:r>
        <w:rPr>
          <w:rStyle w:val="Suchmarke"/>
        </w:rPr>
        <w:t>#747#</w:t>
      </w:r>
      <w:bookmarkEnd w:id="748"/>
    </w:p>
    <w:p>
      <w:r>
        <w:t>Zur Zwangsvollstreckung in einen Nachlass ist, wenn mehrere Erben vorhanden sind, bis zur Teilung ein gegen alle Erben ergangenes Urteil erforderlich.</w:t>
      </w:r>
    </w:p>
    <w:p>
      <w:pPr>
        <w:pStyle w:val="Heading3"/>
      </w:pPr>
      <w:bookmarkStart w:id="749" w:name="b748"/>
      <w:r>
        <w:t>§ 748 Zwangsvollstreckung bei Testamentsvollstrecker</w:t>
      </w:r>
      <w:r>
        <w:t xml:space="preserve"> </w:t>
      </w:r>
      <w:r>
        <w:rPr>
          <w:rStyle w:val="Suchmarke"/>
        </w:rPr>
        <w:t>#748#</w:t>
      </w:r>
      <w:bookmarkEnd w:id="749"/>
    </w:p>
    <w:p>
      <w:r>
        <w:t>(1) Unterliegt ein Nachlass der Verwaltung eines Testamentsvollstreckers, so ist zur Zwangsvollstreckung in den Nachlass ein gegen den Testamentsvollstrecker ergangenes Urteil erforderlich und genügend.</w:t>
      </w:r>
    </w:p>
    <w:p>
      <w:r>
        <w:t>(2) Steht dem Testamentsvollstrecker nur die Verwaltung einzelner Nachlassgegenstände zu, so ist die Zwangsvollstreckung in diese Gegenstände nur zulässig, wenn der Erbe zu der Leistung, der Testamentsvollstrecker zur Duldung der Zwangsvollstreckung verurteilt ist.</w:t>
      </w:r>
    </w:p>
    <w:p>
      <w:r>
        <w:t>(3) Zur Zwangsvollstreckung wegen eines Pflichtteilanspruchs ist im Falle des Absatzes 1 wie im Falle des Absatzes 2 ein sowohl gegen den Erben als gegen den Testamentsvollstrecker ergangenes Urteil erforderlich.</w:t>
      </w:r>
    </w:p>
    <w:p>
      <w:pPr>
        <w:pStyle w:val="Heading3"/>
      </w:pPr>
      <w:bookmarkStart w:id="750" w:name="b749"/>
      <w:r>
        <w:t>§ 749 Vollstreckbare Ausfertigung für und gegen Testamentsvollstrecker</w:t>
      </w:r>
      <w:r>
        <w:t xml:space="preserve"> </w:t>
      </w:r>
      <w:r>
        <w:rPr>
          <w:rStyle w:val="Suchmarke"/>
        </w:rPr>
        <w:t>#749#</w:t>
      </w:r>
      <w:bookmarkEnd w:id="750"/>
    </w:p>
    <w:p>
      <w:r>
        <w:rPr>
          <w:rStyle w:val="Satznummer"/>
        </w:rPr>
        <w:t>1</w:t>
      </w:r>
      <w:r>
        <w:t xml:space="preserve">Auf die Erteilung einer vollstreckbaren Ausfertigung eines für oder gegen den Erblasser ergangenen Urteils für oder gegen den Testamentsvollstrecker sind die Vorschriften der </w:t>
      </w:r>
      <w:hyperlink w:anchor="b726" w:history="1">
        <w:r>
          <w:rPr>
            <w:color w:val="0A3A8C"/>
            <w:u w:val="single"/>
          </w:rPr>
          <w:t xml:space="preserve">§§ 727</w:t>
        </w:r>
      </w:hyperlink>
      <w:r>
        <w:t xml:space="preserve">, </w:t>
      </w:r>
      <w:hyperlink w:anchor="b729" w:history="1">
        <w:r>
          <w:rPr>
            <w:color w:val="0A3A8C"/>
            <w:u w:val="single"/>
          </w:rPr>
          <w:t xml:space="preserve">730</w:t>
        </w:r>
      </w:hyperlink>
      <w:r>
        <w:t xml:space="preserve"> bis </w:t>
      </w:r>
      <w:hyperlink w:anchor="b731" w:history="1">
        <w:r>
          <w:rPr>
            <w:color w:val="0A3A8C"/>
            <w:u w:val="single"/>
          </w:rPr>
          <w:t xml:space="preserve">732</w:t>
        </w:r>
      </w:hyperlink>
      <w:r>
        <w:t xml:space="preserve"> entsprechend anzuwenden. </w:t>
      </w:r>
      <w:r>
        <w:rPr>
          <w:rStyle w:val="Satznummer"/>
        </w:rPr>
        <w:t>2</w:t>
      </w:r>
      <w:r>
        <w:t>Auf Grund einer solchen Ausfertigung ist die Zwangsvollstreckung nur in die der Verwaltung des Testamentsvollstreckers unterliegenden Nachlassgegenstände zulässig.</w:t>
      </w:r>
    </w:p>
    <w:p>
      <w:pPr>
        <w:pStyle w:val="Heading3"/>
      </w:pPr>
      <w:bookmarkStart w:id="751" w:name="b750"/>
      <w:r>
        <w:t>§ 750 Voraussetzungen der Zwangsvollstreckung</w:t>
      </w:r>
      <w:r>
        <w:t xml:space="preserve"> </w:t>
      </w:r>
      <w:r>
        <w:rPr>
          <w:rStyle w:val="Suchmarke"/>
        </w:rPr>
        <w:t>#750#</w:t>
      </w:r>
      <w:bookmarkEnd w:id="751"/>
    </w:p>
    <w:p>
      <w:r>
        <w:t xml:space="preserve">(1) </w:t>
      </w:r>
      <w:r>
        <w:rPr>
          <w:rStyle w:val="Satznummer"/>
        </w:rPr>
        <w:t>1</w:t>
      </w:r>
      <w:r>
        <w:t>Die Zwangsvollstreckung darf nur beginnen, wenn</w:t>
      </w:r>
    </w:p>
    <w:p>
      <w:pPr>
        <w:tabs>
          <w:tab w:pos="567" w:val="left"/>
        </w:tabs>
        <w:ind w:left="567" w:hanging="567"/>
      </w:pPr>
      <w:r>
        <w:t>1.</w:t>
      </w:r>
      <w:r>
        <w:tab/>
      </w:r>
      <w:r>
        <w:t>die Personen, für und gegen die die Zwangsvollstreckung stattfinden soll, in dem Urteil oder in der ihm beigefügten Vollstreckungsklausel namentlich bezeichnet sind, und</w:t>
      </w:r>
    </w:p>
    <w:p>
      <w:pPr>
        <w:tabs>
          <w:tab w:pos="567" w:val="left"/>
        </w:tabs>
        <w:ind w:left="567" w:hanging="567"/>
      </w:pPr>
      <w:r>
        <w:t>2.</w:t>
      </w:r>
      <w:r>
        <w:tab/>
      </w:r>
      <w:r>
        <w:t>den Personen, gegen die die Zwangsvollstreckung stattfinden soll, Folgendes zugestellt ist oder gleichzeitig zugestellt wird:</w:t>
      </w:r>
    </w:p>
    <w:p>
      <w:pPr>
        <w:tabs>
          <w:tab w:pos="1134" w:val="left"/>
        </w:tabs>
        <w:ind w:left="1134" w:hanging="567"/>
      </w:pPr>
      <w:r>
        <w:t>a)</w:t>
      </w:r>
      <w:r>
        <w:tab/>
      </w:r>
      <w:r>
        <w:t>das Urteil,</w:t>
      </w:r>
    </w:p>
    <w:p>
      <w:pPr>
        <w:tabs>
          <w:tab w:pos="1134" w:val="left"/>
        </w:tabs>
        <w:ind w:left="1134" w:hanging="567"/>
      </w:pPr>
      <w:r>
        <w:t>b)</w:t>
      </w:r>
      <w:r>
        <w:tab/>
      </w:r>
      <w:r>
        <w:t>die dem Urteil beigefügte Vollstreckungsklausel, sofern</w:t>
      </w:r>
    </w:p>
    <w:p>
      <w:pPr>
        <w:tabs>
          <w:tab w:pos="1701" w:val="left"/>
        </w:tabs>
        <w:ind w:left="1701" w:hanging="567"/>
      </w:pPr>
      <w:r>
        <w:t>aa)</w:t>
      </w:r>
      <w:r>
        <w:tab/>
      </w:r>
      <w:r>
        <w:t xml:space="preserve">diese nach </w:t>
      </w:r>
      <w:hyperlink w:anchor="b725" w:history="1">
        <w:r>
          <w:rPr>
            <w:color w:val="0A3A8C"/>
            <w:u w:val="single"/>
          </w:rPr>
          <w:t xml:space="preserve">§ 726</w:t>
        </w:r>
      </w:hyperlink>
      <w:r>
        <w:t xml:space="preserve"> Absatz 1 erteilt worden ist oder</w:t>
      </w:r>
    </w:p>
    <w:p>
      <w:pPr>
        <w:tabs>
          <w:tab w:pos="1701" w:val="left"/>
        </w:tabs>
        <w:ind w:left="1701" w:hanging="567"/>
      </w:pPr>
      <w:r>
        <w:t>bb)</w:t>
      </w:r>
      <w:r>
        <w:tab/>
      </w:r>
      <w:r>
        <w:t xml:space="preserve">ein Urteil, das nach den </w:t>
      </w:r>
      <w:hyperlink w:anchor="b726" w:history="1">
        <w:r>
          <w:rPr>
            <w:color w:val="0A3A8C"/>
            <w:u w:val="single"/>
          </w:rPr>
          <w:t xml:space="preserve">§§ 727</w:t>
        </w:r>
      </w:hyperlink>
      <w:r>
        <w:t xml:space="preserve"> bis </w:t>
      </w:r>
      <w:hyperlink w:anchor="b728" w:history="1">
        <w:r>
          <w:rPr>
            <w:color w:val="0A3A8C"/>
            <w:u w:val="single"/>
          </w:rPr>
          <w:t xml:space="preserve">729</w:t>
        </w:r>
      </w:hyperlink>
      <w:r>
        <w:t xml:space="preserve">, </w:t>
      </w:r>
      <w:hyperlink w:anchor="b737" w:history="1">
        <w:r>
          <w:rPr>
            <w:color w:val="0A3A8C"/>
            <w:u w:val="single"/>
          </w:rPr>
          <w:t xml:space="preserve">738</w:t>
        </w:r>
      </w:hyperlink>
      <w:r>
        <w:t xml:space="preserve">, </w:t>
      </w:r>
      <w:hyperlink w:anchor="b741" w:history="1">
        <w:r>
          <w:rPr>
            <w:color w:val="0A3A8C"/>
            <w:u w:val="single"/>
          </w:rPr>
          <w:t xml:space="preserve">742</w:t>
        </w:r>
      </w:hyperlink>
      <w:r>
        <w:t xml:space="preserve">, </w:t>
      </w:r>
      <w:hyperlink w:anchor="b743" w:history="1">
        <w:r>
          <w:rPr>
            <w:color w:val="0A3A8C"/>
            <w:u w:val="single"/>
          </w:rPr>
          <w:t xml:space="preserve">744</w:t>
        </w:r>
      </w:hyperlink>
      <w:r>
        <w:t xml:space="preserve">, </w:t>
      </w:r>
      <w:hyperlink w:anchor="b745" w:history="1">
        <w:r>
          <w:rPr>
            <w:color w:val="0A3A8C"/>
            <w:u w:val="single"/>
          </w:rPr>
          <w:t xml:space="preserve">745</w:t>
        </w:r>
      </w:hyperlink>
      <w:r>
        <w:t xml:space="preserve"> Absatz 2 oder nach </w:t>
      </w:r>
      <w:hyperlink w:anchor="b749" w:history="1">
        <w:r>
          <w:rPr>
            <w:color w:val="0A3A8C"/>
            <w:u w:val="single"/>
          </w:rPr>
          <w:t xml:space="preserve">§ 749</w:t>
        </w:r>
      </w:hyperlink>
      <w:r>
        <w:t xml:space="preserve"> für oder gegen eine der dort bezeichneten Personen wirksam ist, für oder gegen eine dieser Personen vollstreckt werden soll, sowie</w:t>
      </w:r>
    </w:p>
    <w:p>
      <w:pPr>
        <w:tabs>
          <w:tab w:pos="1134" w:val="left"/>
        </w:tabs>
        <w:ind w:left="1134" w:hanging="567"/>
      </w:pPr>
      <w:r>
        <w:t>c)</w:t>
      </w:r>
      <w:r>
        <w:tab/>
      </w:r>
      <w:r>
        <w:t>eine Abschrift der öffentlichen oder öffentlich beglaubigten Urkunden, wenn die Vollstreckungsklausel auf Grundlage dieser Urkunden erteilt worden ist.</w:t>
      </w:r>
    </w:p>
    <w:p>
      <w:r>
        <w:rPr>
          <w:rStyle w:val="Satznummer"/>
        </w:rPr>
        <w:t>2</w:t>
      </w:r>
      <w:r>
        <w:t>Eine Zustellung der in Satz 1 Nummer 2 genannten Dokumente durch den Gläubiger genügt; in diesem Fall braucht die Ausfertigung des Urteils Tatbestand und Entscheidungsgründe nicht zu enthalten.</w:t>
      </w:r>
    </w:p>
    <w:p>
      <w:r>
        <w:t xml:space="preserve">(2) Eine Zwangsvollstreckung nach </w:t>
      </w:r>
      <w:hyperlink w:anchor="b719" w:history="1">
        <w:r>
          <w:rPr>
            <w:color w:val="0A3A8C"/>
            <w:u w:val="single"/>
          </w:rPr>
          <w:t xml:space="preserve">§ 720a</w:t>
        </w:r>
      </w:hyperlink>
      <w:r>
        <w:t xml:space="preserve"> darf nur beginnen, wenn das Urteil und, sofern nach Absatz 1 Satz 1 Nummer 2 Buchstabe b oder c erforderlich, die dort genannten Dokumente mindestens zwei Wochen vorher zugestellt worden sind.</w:t>
      </w:r>
    </w:p>
    <w:p>
      <w:pPr>
        <w:pStyle w:val="Heading3"/>
      </w:pPr>
      <w:bookmarkStart w:id="752" w:name="b751"/>
      <w:r>
        <w:t>§ 751 Bedingungen für Vollstreckungsbeginn</w:t>
      </w:r>
      <w:r>
        <w:t xml:space="preserve"> </w:t>
      </w:r>
      <w:r>
        <w:rPr>
          <w:rStyle w:val="Suchmarke"/>
        </w:rPr>
        <w:t>#751#</w:t>
      </w:r>
      <w:bookmarkEnd w:id="752"/>
    </w:p>
    <w:p>
      <w:r>
        <w:t>(1) Ist die Geltendmachung des Anspruchs von dem Eintritt eines Kalendertages abhängig, so darf die Zwangsvollstreckung nur beginnen, wenn der Kalendertag abgelaufen ist.</w:t>
      </w:r>
    </w:p>
    <w:p>
      <w:r>
        <w:t>(2) Hängt die Vollstreckung von einer dem Gläubiger obliegenden Sicherheitsleistung ab, so darf mit der Zwangsvollstreckung nur begonnen oder sie nur fortgesetzt werden, wenn die Sicherheitsleistung durch eine öffentliche oder öffentlich beglaubigte Urkunde nachgewiesen und eine Abschrift dieser Urkunde bereits zugestellt ist oder gleichzeitig zugestellt wird.</w:t>
      </w:r>
    </w:p>
    <w:p>
      <w:pPr>
        <w:pStyle w:val="Heading3"/>
      </w:pPr>
      <w:bookmarkStart w:id="753" w:name="b752"/>
      <w:r>
        <w:t>§ 752 Sicherheitsleistung bei Teilvollstreckung</w:t>
      </w:r>
      <w:r>
        <w:t xml:space="preserve"> </w:t>
      </w:r>
      <w:r>
        <w:rPr>
          <w:rStyle w:val="Suchmarke"/>
        </w:rPr>
        <w:t>#752#</w:t>
      </w:r>
      <w:bookmarkEnd w:id="753"/>
    </w:p>
    <w:p>
      <w:r>
        <w:rPr>
          <w:rStyle w:val="Satznummer"/>
        </w:rPr>
        <w:t>1</w:t>
      </w:r>
      <w:r>
        <w:t xml:space="preserve">Vollstreckt der Gläubiger im Fall des </w:t>
      </w:r>
      <w:hyperlink w:anchor="b751" w:history="1">
        <w:r>
          <w:rPr>
            <w:color w:val="0A3A8C"/>
            <w:u w:val="single"/>
          </w:rPr>
          <w:t xml:space="preserve">§ 751</w:t>
        </w:r>
      </w:hyperlink>
      <w:r>
        <w:t xml:space="preserve"> Abs. 2 nur wegen eines Teilbetrages, so bemisst sich die Höhe der Sicherheitsleistung nach dem Verhältnis des Teilbetrages zum Gesamtbetrag. </w:t>
      </w:r>
      <w:r>
        <w:rPr>
          <w:rStyle w:val="Satznummer"/>
        </w:rPr>
        <w:t>2</w:t>
      </w:r>
      <w:r>
        <w:t xml:space="preserve">Darf der Schuldner in den Fällen des </w:t>
      </w:r>
      <w:hyperlink w:anchor="b707" w:history="1">
        <w:r>
          <w:rPr>
            <w:color w:val="0A3A8C"/>
            <w:u w:val="single"/>
          </w:rPr>
          <w:t xml:space="preserve">§ 709</w:t>
        </w:r>
      </w:hyperlink>
      <w:r>
        <w:t xml:space="preserve"> die Vollstreckung gemäß </w:t>
      </w:r>
      <w:hyperlink w:anchor="b710" w:history="1">
        <w:r>
          <w:rPr>
            <w:color w:val="0A3A8C"/>
            <w:u w:val="single"/>
          </w:rPr>
          <w:t xml:space="preserve">§ 712</w:t>
        </w:r>
      </w:hyperlink>
      <w:r>
        <w:t xml:space="preserve"> Abs. 1 Satz 1 abwenden, so gilt für ihn Satz 1 entsprechend.</w:t>
      </w:r>
    </w:p>
    <w:p>
      <w:pPr>
        <w:pStyle w:val="Heading3"/>
      </w:pPr>
      <w:bookmarkStart w:id="754" w:name="b753"/>
      <w:r>
        <w:t>§ 752a Versicherung der Vollmacht für Prozesshandlungen in der Zwangsvollstreckung</w:t>
      </w:r>
      <w:r>
        <w:t xml:space="preserve"> </w:t>
      </w:r>
      <w:r>
        <w:rPr>
          <w:rStyle w:val="Suchmarke"/>
        </w:rPr>
        <w:t>#752a#</w:t>
      </w:r>
      <w:bookmarkEnd w:id="754"/>
    </w:p>
    <w:p>
      <w:r>
        <w:t>(1) In Verfahren der Zwangsvollstreckung wegen Geldforderungen in das bewegliche Vermögen haben die in § 79 Absatz 2 Satz 1 und 2 Nummer 3 und 4 Genannten die ihnen erteilten Vollmachten zur Vornahme der Prozesshandlungen, die durch die Zwangsvollstreckung veranlasst werden, abweichend von § 80 Satz 1 dem jeweils zuständigen Vollstreckungsorgan ausschließlich zu versichern.</w:t>
      </w:r>
    </w:p>
    <w:p>
      <w:r>
        <w:t>(2) Die Versicherung ist in Textform zu übermitteln.</w:t>
      </w:r>
    </w:p>
    <w:p>
      <w:r>
        <w:t>(3) Die Wirkung der Versicherung der Vollmacht entfällt mit der Anzeige des Erlöschens der Vollmacht bei dem Vollstreckungsorgan.</w:t>
      </w:r>
    </w:p>
    <w:p>
      <w:pPr>
        <w:pStyle w:val="Heading3"/>
      </w:pPr>
      <w:bookmarkStart w:id="755" w:name="b754"/>
      <w:r>
        <w:t>§ 753 Vollstreckung durch Gerichtsvollzieher; elektronischer Rechtsverkehr; Verordnungsermächtigungen</w:t>
      </w:r>
      <w:r>
        <w:t xml:space="preserve"> </w:t>
      </w:r>
      <w:r>
        <w:rPr>
          <w:rStyle w:val="Suchmarke"/>
        </w:rPr>
        <w:t>#753#</w:t>
      </w:r>
      <w:bookmarkEnd w:id="755"/>
    </w:p>
    <w:p>
      <w:r>
        <w:t>(1) Die Zwangsvollstreckung wird, soweit sie nicht den Gerichten zugewiesen ist, durch Gerichtsvollzieher durchgeführt, die sie im Auftrag des Gläubigers zu bewirken haben.</w:t>
      </w:r>
    </w:p>
    <w:p>
      <w:r>
        <w:t xml:space="preserve">(2) </w:t>
      </w:r>
      <w:r>
        <w:rPr>
          <w:rStyle w:val="Satznummer"/>
        </w:rPr>
        <w:t>1</w:t>
      </w:r>
      <w:r>
        <w:t xml:space="preserve">Der Gläubiger kann wegen Erteilung des Auftrags zur Zwangsvollstreckung die Mitwirkung der Geschäftsstelle in Anspruch nehmen. </w:t>
      </w:r>
      <w:r>
        <w:rPr>
          <w:rStyle w:val="Satznummer"/>
        </w:rPr>
        <w:t>2</w:t>
      </w:r>
      <w:r>
        <w:t>Der von der Geschäftsstelle beauftragte Gerichtsvollzieher gilt als von dem Gläubiger beauftragt.</w:t>
      </w:r>
    </w:p>
    <w:p>
      <w:r>
        <w:t xml:space="preserve">(3) </w:t>
      </w:r>
      <w:r>
        <w:rPr>
          <w:rStyle w:val="Satznummer"/>
        </w:rPr>
        <w:t>1</w:t>
      </w:r>
      <w:r>
        <w:t xml:space="preserve">Das Bundesministerium der Justiz und für Verbraucherschutz wird ermächtigt, durch Rechtsverordnung mit Zustimmung des Bundesrates verbindliche Formulare für den Auftrag einzuführen. </w:t>
      </w:r>
      <w:r>
        <w:rPr>
          <w:rStyle w:val="Satznummer"/>
        </w:rPr>
        <w:t>2</w:t>
      </w:r>
      <w:r>
        <w:t>Die Rechtsverordnung kann für diese Formulare besondere technische Rahmenbedingungen für die Übermittlung und die Eignung zur Bearbeitung bestimmen.</w:t>
      </w:r>
    </w:p>
    <w:p>
      <w:r>
        <w:t xml:space="preserve">(4) </w:t>
      </w:r>
      <w:r>
        <w:rPr>
          <w:rStyle w:val="Satznummer"/>
        </w:rPr>
        <w:t>1</w:t>
      </w:r>
      <w:r>
        <w:t xml:space="preserve">Rechtsanwälte, Behörden oder juristische Personen des öffentlichen Rechts einschließlich der von ihnen zur Erfüllung ihrer öffentlichen Aufgaben gebildeten Zusammenschlüsse haben dem Gerichtsvollzieher vorzulegende Dokumente mit Ausnahme der in </w:t>
      </w:r>
      <w:hyperlink w:anchor="b757" w:history="1">
        <w:r>
          <w:rPr>
            <w:color w:val="0A3A8C"/>
            <w:u w:val="single"/>
          </w:rPr>
          <w:t xml:space="preserve">§ 754a</w:t>
        </w:r>
      </w:hyperlink>
      <w:r>
        <w:t xml:space="preserve"> Absatz 1 Satz 1 Nummer 1 bis 3 genannten Dokumente als elektronische Dokumente zu übermitteln. </w:t>
      </w:r>
      <w:r>
        <w:rPr>
          <w:rStyle w:val="Satznummer"/>
        </w:rPr>
        <w:t>2</w:t>
      </w:r>
      <w:r>
        <w:t xml:space="preserve">Für Übermittlungen nach Satz 1 gilt </w:t>
      </w:r>
      <w:hyperlink w:anchor="b166" w:history="1">
        <w:r>
          <w:rPr>
            <w:color w:val="0A3A8C"/>
            <w:u w:val="single"/>
          </w:rPr>
          <w:t xml:space="preserve">§ 130d</w:t>
        </w:r>
      </w:hyperlink>
      <w:r>
        <w:t xml:space="preserve"> Satz 2 und 3 entsprechend.</w:t>
      </w:r>
    </w:p>
    <w:p>
      <w:r>
        <w:t xml:space="preserve">(5) </w:t>
      </w:r>
      <w:r>
        <w:rPr>
          <w:rStyle w:val="Satznummer"/>
        </w:rPr>
        <w:t>1</w:t>
      </w:r>
      <w:r>
        <w:t xml:space="preserve">Zur Übermittlung als elektronische Dokumente sind Schriftstücke in elektronische Dokumente zu übertragen, die bildlich und inhaltlich mit den übertragenen Schriftstücken übereinzustimmen haben. </w:t>
      </w:r>
      <w:r>
        <w:rPr>
          <w:rStyle w:val="Satznummer"/>
        </w:rPr>
        <w:t>2</w:t>
      </w:r>
      <w:r>
        <w:t xml:space="preserve">Für elektronische Dokumente gelten </w:t>
      </w:r>
      <w:hyperlink w:anchor="b163" w:history="1">
        <w:r>
          <w:rPr>
            <w:color w:val="0A3A8C"/>
            <w:u w:val="single"/>
          </w:rPr>
          <w:t xml:space="preserve">§ 130a</w:t>
        </w:r>
      </w:hyperlink>
      <w:r>
        <w:t xml:space="preserve"> Absatz 2, 3, 5 und 6, auf dessen Grundlage erlassene Rechtsverordnungen sowie </w:t>
      </w:r>
      <w:hyperlink w:anchor="b336" w:history="1">
        <w:r>
          <w:rPr>
            <w:color w:val="0A3A8C"/>
            <w:u w:val="single"/>
          </w:rPr>
          <w:t xml:space="preserve">§ 298</w:t>
        </w:r>
      </w:hyperlink>
      <w:r>
        <w:t xml:space="preserve"> entsprechend.</w:t>
      </w:r>
    </w:p>
    <w:p>
      <w:r>
        <w:t xml:space="preserve">(6) </w:t>
      </w:r>
      <w:r>
        <w:rPr>
          <w:rStyle w:val="Satznummer"/>
        </w:rPr>
        <w:t>1</w:t>
      </w:r>
      <w:r>
        <w:t>Sichere Übermittlungswege für den elektronischen Rechtsverkehr mit dem Gerichtsvollzieher sind:</w:t>
      </w:r>
    </w:p>
    <w:p>
      <w:pPr>
        <w:tabs>
          <w:tab w:pos="567" w:val="left"/>
        </w:tabs>
        <w:ind w:left="567" w:hanging="567"/>
      </w:pPr>
      <w:r>
        <w:t>1.</w:t>
      </w:r>
      <w:r>
        <w:tab/>
      </w:r>
      <w:r>
        <w:t xml:space="preserve">bei einer Kommunikation mit dem Gerichtsvollzieher über das Amtsgericht als Verteilerstelle die Übermittlungswege nach </w:t>
      </w:r>
      <w:hyperlink w:anchor="b163" w:history="1">
        <w:r>
          <w:rPr>
            <w:color w:val="0A3A8C"/>
            <w:u w:val="single"/>
          </w:rPr>
          <w:t xml:space="preserve">§ 130a</w:t>
        </w:r>
      </w:hyperlink>
      <w:r>
        <w:t xml:space="preserve"> Absatz 4 Satz 1;</w:t>
      </w:r>
    </w:p>
    <w:p>
      <w:pPr>
        <w:tabs>
          <w:tab w:pos="567" w:val="left"/>
        </w:tabs>
        <w:ind w:left="567" w:hanging="567"/>
      </w:pPr>
      <w:r>
        <w:t>2.</w:t>
      </w:r>
      <w:r>
        <w:tab/>
      </w:r>
      <w:r>
        <w:t>bei einer Kommunikation mit dem Gerichtsvollzieher selbst</w:t>
      </w:r>
    </w:p>
    <w:p>
      <w:pPr>
        <w:tabs>
          <w:tab w:pos="1134" w:val="left"/>
        </w:tabs>
        <w:ind w:left="1134" w:hanging="567"/>
      </w:pPr>
      <w:r>
        <w:t>a)</w:t>
      </w:r>
      <w:r>
        <w:tab/>
      </w:r>
      <w:r>
        <w:t xml:space="preserve">der Übermittlungsweg nach </w:t>
      </w:r>
      <w:hyperlink w:anchor="b163" w:history="1">
        <w:r>
          <w:rPr>
            <w:color w:val="0A3A8C"/>
            <w:u w:val="single"/>
          </w:rPr>
          <w:t xml:space="preserve">§ 130a</w:t>
        </w:r>
      </w:hyperlink>
      <w:r>
        <w:t xml:space="preserve"> Absatz 4 Satz 1 Nummer 5 sowie</w:t>
      </w:r>
    </w:p>
    <w:p>
      <w:pPr>
        <w:tabs>
          <w:tab w:pos="1134" w:val="left"/>
        </w:tabs>
        <w:ind w:left="1134" w:hanging="567"/>
      </w:pPr>
      <w:r>
        <w:t>b)</w:t>
      </w:r>
      <w:r>
        <w:tab/>
      </w:r>
      <w:r>
        <w:t xml:space="preserve">die Übermittlungswege nach </w:t>
      </w:r>
      <w:hyperlink w:anchor="b163" w:history="1">
        <w:r>
          <w:rPr>
            <w:color w:val="0A3A8C"/>
            <w:u w:val="single"/>
          </w:rPr>
          <w:t xml:space="preserve">§ 130a</w:t>
        </w:r>
      </w:hyperlink>
      <w:r>
        <w:t xml:space="preserve"> Absatz 4 Satz 1 Nummer 1 bis 4; ein Postfach des Gerichtsvollziehers nach </w:t>
      </w:r>
      <w:hyperlink w:anchor="b163" w:history="1">
        <w:r>
          <w:rPr>
            <w:color w:val="0A3A8C"/>
            <w:u w:val="single"/>
          </w:rPr>
          <w:t xml:space="preserve">§ 130a</w:t>
        </w:r>
      </w:hyperlink>
      <w:r>
        <w:t xml:space="preserve"> Absatz 4 Satz 1 Nummer 3 oder ein den Anforderungen des § 4 Absatz 1 Nummer 2 der Elektronischer-Rechtsverkehr-Verordnung entsprechendes elektronisches Postfach des Gerichtsvollziehers tritt an die Stelle der elektronischen Poststelle des Gerichts.</w:t>
      </w:r>
    </w:p>
    <w:p>
      <w:r>
        <w:rPr>
          <w:rStyle w:val="Satznummer"/>
        </w:rPr>
        <w:t>2</w:t>
      </w:r>
      <w:hyperlink w:anchor="b163" w:history="1">
        <w:r>
          <w:rPr>
            <w:color w:val="0A3A8C"/>
            <w:u w:val="single"/>
          </w:rPr>
          <w:t xml:space="preserve">§ 130a</w:t>
        </w:r>
      </w:hyperlink>
      <w:r>
        <w:t xml:space="preserve"> Absatz 4 Satz 2 gilt entsprechend.</w:t>
      </w:r>
    </w:p>
    <w:p>
      <w:r>
        <w:t xml:space="preserve">(7) </w:t>
      </w:r>
      <w:r>
        <w:rPr>
          <w:rStyle w:val="Satznummer"/>
        </w:rPr>
        <w:t>1</w:t>
      </w:r>
      <w:r>
        <w:t xml:space="preserve">Der Gerichtsvollzieher darf den in Absatz 4 Satz 1 Genannten oder sonstigen in professioneller Eigenschaft am Verfahren beteiligten Personen, Vereinigungen und Organisationen, bei denen von einer erhöhten Zuverlässigkeit ausgegangen werden kann, elektronische Dokumente übermitteln. </w:t>
      </w:r>
      <w:r>
        <w:rPr>
          <w:rStyle w:val="Satznummer"/>
        </w:rPr>
        <w:t>2</w:t>
      </w:r>
      <w:r>
        <w:t xml:space="preserve">Anderen als den in Satz 1 Genannten darf er elektronische Dokumente nur dann übermitteln, wenn diese Personen einer solchen Übermittlung für das jeweilige Vollstreckungsverfahren zugestimmt haben. </w:t>
      </w:r>
      <w:r>
        <w:rPr>
          <w:rStyle w:val="Satznummer"/>
        </w:rPr>
        <w:t>3</w:t>
      </w:r>
      <w:r>
        <w:t xml:space="preserve">Die Zustimmung nach Satz 2 gilt mit der Übermittlung eines elektronischen Dokuments im jeweiligen Vollstreckungsverfahren als erteilt. </w:t>
      </w:r>
      <w:r>
        <w:rPr>
          <w:rStyle w:val="Satznummer"/>
        </w:rPr>
        <w:t>4</w:t>
      </w:r>
      <w:r>
        <w:t>Andere als natürliche Personen können die Zustimmung auch allgemein erteilen.</w:t>
      </w:r>
    </w:p>
    <w:p>
      <w:r>
        <w:t xml:space="preserve">(8) Für Zwangsvollstreckungsverfahren durch Gerichtsvollzieher kann die Bundesregierung in der Rechtsverordnung nach </w:t>
      </w:r>
      <w:hyperlink w:anchor="b163" w:history="1">
        <w:r>
          <w:rPr>
            <w:color w:val="0A3A8C"/>
            <w:u w:val="single"/>
          </w:rPr>
          <w:t xml:space="preserve">§ 130a</w:t>
        </w:r>
      </w:hyperlink>
      <w:r>
        <w:t xml:space="preserve"> Absatz 2 Satz 2 besondere technische Rahmenbedingungen für die Übermittlung und die Eignung zur Bearbeitung elektronischer Dokumente bestimmen.</w:t>
      </w:r>
    </w:p>
    <w:p>
      <w:pPr>
        <w:pStyle w:val="Heading3"/>
      </w:pPr>
      <w:bookmarkStart w:id="756" w:name="b755"/>
      <w:r>
        <w:t>§ 753a Versicherung der Geldempfangsvollmacht bei der Vollstreckung durch Gerichtsvollzieher</w:t>
      </w:r>
      <w:r>
        <w:t xml:space="preserve"> </w:t>
      </w:r>
      <w:r>
        <w:rPr>
          <w:rStyle w:val="Suchmarke"/>
        </w:rPr>
        <w:t>#753a#</w:t>
      </w:r>
      <w:bookmarkEnd w:id="756"/>
    </w:p>
    <w:p>
      <w:r>
        <w:t xml:space="preserve">(1) </w:t>
      </w:r>
      <w:r>
        <w:rPr>
          <w:rStyle w:val="Satznummer"/>
        </w:rPr>
        <w:t>1</w:t>
      </w:r>
      <w:r>
        <w:t xml:space="preserve">In Verfahren der Zwangsvollstreckung durch Gerichtsvollzieher wegen Geldforderungen in das bewegliche Vermögen haben die in § 79 Absatz 2 Satz 1 und 2 Nummer 3 und 4 Genannten die ihnen erteilten Vollmachten, die Gelder in Empfang zu nehmen, die der Gerichtsvollzieher auf Grund des der Zwangsvollstreckung zugrundeliegenden Vollstreckungsauftrags vereinnahmt (Geldempfangsvollmacht), dem Gerichtsvollzieher ausdrücklich zu versichern. </w:t>
      </w:r>
      <w:r>
        <w:rPr>
          <w:rStyle w:val="Satznummer"/>
        </w:rPr>
        <w:t>2</w:t>
      </w:r>
      <w:r>
        <w:t>Eines Nachweises der Vollmacht bedarf es nicht.</w:t>
      </w:r>
    </w:p>
    <w:p>
      <w:r>
        <w:t xml:space="preserve">(2) </w:t>
      </w:r>
      <w:hyperlink w:anchor="b100" w:history="1">
        <w:r>
          <w:rPr>
            <w:color w:val="0A3A8C"/>
            <w:u w:val="single"/>
          </w:rPr>
          <w:t xml:space="preserve">§ 79</w:t>
        </w:r>
      </w:hyperlink>
      <w:r>
        <w:t xml:space="preserve"> Absatz 2 Satz 3, </w:t>
      </w:r>
      <w:hyperlink w:anchor="b101" w:history="1">
        <w:r>
          <w:rPr>
            <w:color w:val="0A3A8C"/>
            <w:u w:val="single"/>
          </w:rPr>
          <w:t xml:space="preserve">§ 80</w:t>
        </w:r>
      </w:hyperlink>
      <w:r>
        <w:t xml:space="preserve"> Satz 2, die </w:t>
      </w:r>
      <w:hyperlink w:anchor="b105" w:history="1">
        <w:r>
          <w:rPr>
            <w:color w:val="0A3A8C"/>
            <w:u w:val="single"/>
          </w:rPr>
          <w:t xml:space="preserve">§§ 84</w:t>
        </w:r>
      </w:hyperlink>
      <w:r>
        <w:t xml:space="preserve"> bis </w:t>
      </w:r>
      <w:hyperlink w:anchor="b107" w:history="1">
        <w:r>
          <w:rPr>
            <w:color w:val="0A3A8C"/>
            <w:u w:val="single"/>
          </w:rPr>
          <w:t xml:space="preserve">86</w:t>
        </w:r>
      </w:hyperlink>
      <w:r>
        <w:t xml:space="preserve"> sowie </w:t>
      </w:r>
      <w:hyperlink w:anchor="b753" w:history="1">
        <w:r>
          <w:rPr>
            <w:color w:val="0A3A8C"/>
            <w:u w:val="single"/>
          </w:rPr>
          <w:t xml:space="preserve">752a</w:t>
        </w:r>
      </w:hyperlink>
      <w:r>
        <w:t xml:space="preserve"> Absatz 2 und 3 sind auf die Geldempfangsvollmacht entsprechend anzuwenden.</w:t>
      </w:r>
    </w:p>
    <w:p>
      <w:pPr>
        <w:pStyle w:val="Heading3"/>
      </w:pPr>
      <w:bookmarkStart w:id="757" w:name="b756"/>
      <w:r>
        <w:t>§ 754 Ermächtigung des Gerichtsvollziehers</w:t>
      </w:r>
      <w:r>
        <w:t xml:space="preserve"> </w:t>
      </w:r>
      <w:r>
        <w:rPr>
          <w:rStyle w:val="Suchmarke"/>
        </w:rPr>
        <w:t>#754#</w:t>
      </w:r>
      <w:bookmarkEnd w:id="757"/>
    </w:p>
    <w:p>
      <w:r>
        <w:t xml:space="preserve">(1) Der Gerichtsvollzieher wird durch den Vollstreckungsauftrag des Gläubigers und durch entweder die Übergabe der vollstreckbaren Ausfertigung oder die Übermittlung der vollstreckbaren Ausfertigung als elektronisches Dokument nach Maßgabe des </w:t>
      </w:r>
      <w:hyperlink w:anchor="b757" w:history="1">
        <w:r>
          <w:rPr>
            <w:color w:val="0A3A8C"/>
            <w:u w:val="single"/>
          </w:rPr>
          <w:t xml:space="preserve">§ 754a</w:t>
        </w:r>
      </w:hyperlink>
      <w:r>
        <w:t xml:space="preserve">, sofern er das ihm übermittelte elektronische Dokument der Ausführung seines Vollstreckungsauftrags nach </w:t>
      </w:r>
      <w:hyperlink w:anchor="b757" w:history="1">
        <w:r>
          <w:rPr>
            <w:color w:val="0A3A8C"/>
            <w:u w:val="single"/>
          </w:rPr>
          <w:t xml:space="preserve">§ 754a</w:t>
        </w:r>
      </w:hyperlink>
      <w:r>
        <w:t xml:space="preserve"> Absatz 4 Satz 2 noch zugrunde legen darf, ermächtigt, Leistungen des Schuldners entgegenzunehmen und zu quittieren sowie mit Wirkung für den Gläubiger Zahlungsvereinbarungen nach Maßgabe des </w:t>
      </w:r>
      <w:hyperlink w:anchor="b823" w:history="1">
        <w:r>
          <w:rPr>
            <w:color w:val="0A3A8C"/>
            <w:u w:val="single"/>
          </w:rPr>
          <w:t xml:space="preserve">§ 802b</w:t>
        </w:r>
      </w:hyperlink>
      <w:r>
        <w:t xml:space="preserve"> zu treffen.</w:t>
      </w:r>
    </w:p>
    <w:p>
      <w:r>
        <w:t xml:space="preserve">(2) </w:t>
      </w:r>
      <w:r>
        <w:rPr>
          <w:rStyle w:val="Satznummer"/>
        </w:rPr>
        <w:t>1</w:t>
      </w:r>
      <w:r>
        <w:t xml:space="preserve">Der Gerichtsvollzieher wird dem Schuldner und Dritten gegenüber zur Vornahme der Zwangsvollstreckung sowie der in Absatz 1 bezeichneten Handlungen dadurch ermächtigt, dass er entweder im Besitz der vollstreckbaren Ausfertigung ist oder ihm die vollstreckbare Ausfertigung nach Maßgabe des </w:t>
      </w:r>
      <w:hyperlink w:anchor="b757" w:history="1">
        <w:r>
          <w:rPr>
            <w:color w:val="0A3A8C"/>
            <w:u w:val="single"/>
          </w:rPr>
          <w:t xml:space="preserve">§ 754a</w:t>
        </w:r>
      </w:hyperlink>
      <w:r>
        <w:t xml:space="preserve"> als elektronisches Dokument übermittelt worden ist und er das ihm übermittelte elektronische Dokument der Ausführung seines Vollstreckungsauftrags nach </w:t>
      </w:r>
      <w:hyperlink w:anchor="b757" w:history="1">
        <w:r>
          <w:rPr>
            <w:color w:val="0A3A8C"/>
            <w:u w:val="single"/>
          </w:rPr>
          <w:t xml:space="preserve">§ 754a</w:t>
        </w:r>
      </w:hyperlink>
      <w:r>
        <w:t xml:space="preserve"> Absatz 4 Satz 2 noch zugrunde legen darf. </w:t>
      </w:r>
      <w:r>
        <w:rPr>
          <w:rStyle w:val="Satznummer"/>
        </w:rPr>
        <w:t>2</w:t>
      </w:r>
      <w:r>
        <w:t>Ein Mangel oder eine Beschränkung des Auftrags können von dem Gläubiger gegenüber dem Schuldner und Dritten nicht geltend gemacht werden.</w:t>
      </w:r>
    </w:p>
    <w:p>
      <w:pPr>
        <w:pStyle w:val="Heading3"/>
      </w:pPr>
      <w:bookmarkStart w:id="758" w:name="b757"/>
      <w:r>
        <w:t>§ 754a Elektronischer Vollstreckungsauftrag</w:t>
      </w:r>
      <w:r>
        <w:t xml:space="preserve"> </w:t>
      </w:r>
      <w:r>
        <w:rPr>
          <w:rStyle w:val="Suchmarke"/>
        </w:rPr>
        <w:t>#754a#</w:t>
      </w:r>
      <w:bookmarkEnd w:id="758"/>
    </w:p>
    <w:p>
      <w:r>
        <w:t xml:space="preserve">(1) </w:t>
      </w:r>
      <w:r>
        <w:rPr>
          <w:rStyle w:val="Satznummer"/>
        </w:rPr>
        <w:t>1</w:t>
      </w:r>
      <w:r>
        <w:t>Sofern bei einem Auftrag an den Gerichtsvollzieher zur Durchführung der Zwangsvollstreckung wegen Geldforderungen die Übergabe oder die Vorlage</w:t>
      </w:r>
    </w:p>
    <w:p>
      <w:pPr>
        <w:tabs>
          <w:tab w:pos="567" w:val="left"/>
        </w:tabs>
        <w:ind w:left="567" w:hanging="567"/>
      </w:pPr>
      <w:r>
        <w:t>1.</w:t>
      </w:r>
      <w:r>
        <w:tab/>
      </w:r>
      <w:r>
        <w:t>der Ausfertigung des Vollstreckungstitels,</w:t>
      </w:r>
    </w:p>
    <w:p>
      <w:pPr>
        <w:tabs>
          <w:tab w:pos="567" w:val="left"/>
        </w:tabs>
        <w:ind w:left="567" w:hanging="567"/>
      </w:pPr>
      <w:r>
        <w:t>2.</w:t>
      </w:r>
      <w:r>
        <w:tab/>
      </w:r>
      <w:r>
        <w:t>der Vollstreckungsklausel oder</w:t>
      </w:r>
    </w:p>
    <w:p>
      <w:pPr>
        <w:tabs>
          <w:tab w:pos="567" w:val="left"/>
        </w:tabs>
        <w:ind w:left="567" w:hanging="567"/>
      </w:pPr>
      <w:r>
        <w:t>3.</w:t>
      </w:r>
      <w:r>
        <w:tab/>
      </w:r>
      <w:r>
        <w:t>weiterer Urkunden zum Nachweis der Vollstreckungsvoraussetzungen</w:t>
      </w:r>
    </w:p>
    <w:p>
      <w:r>
        <w:t xml:space="preserve">erforderlich ist, genügt es bei einem elektronischen Vollstreckungsauftrag, die Schriftstücke in elektronische Dokumente zu übertragen und diese dem Gerichtsvollzieher zu übermitteln. </w:t>
      </w:r>
      <w:r>
        <w:rPr>
          <w:rStyle w:val="Satznummer"/>
        </w:rPr>
        <w:t>2</w:t>
      </w:r>
      <w:r>
        <w:t>Sollen Kosten der Zwangsvollstreckung vollstreckt werden, sind dem Vollstreckungsauftrag zusätzlich eine nachprüfbare Aufstellung der Kosten und entsprechende Belege als elektronische Dokumente beizufügen.</w:t>
      </w:r>
    </w:p>
    <w:p>
      <w:r>
        <w:t>(2) Kann der Gerichtsvollzieher anhand der übermittelten elektronischen Dokumente nicht zweifelsfrei feststellen, dass die Voraussetzungen der Zwangsvollstreckung vorliegen, teilt er dies dem Auftraggeber mit und fordert die für die zweifelsfreie Feststellung erforderlichen Dokumente als elektronische Dokumente oder als Schriftstücke an.</w:t>
      </w:r>
    </w:p>
    <w:p>
      <w:r>
        <w:t xml:space="preserve">(3) </w:t>
      </w:r>
      <w:r>
        <w:rPr>
          <w:rStyle w:val="Satznummer"/>
        </w:rPr>
        <w:t>1</w:t>
      </w:r>
      <w:r>
        <w:t>Übermittelt der Auftraggeber Schriftstücke nach Absatz 1 Satz 1 Nummer 1 bis 3 als elektronische Dokumente, so hat er dem Gerichtsvollzieher zu versichern, dass</w:t>
      </w:r>
    </w:p>
    <w:p>
      <w:pPr>
        <w:tabs>
          <w:tab w:pos="567" w:val="left"/>
        </w:tabs>
        <w:ind w:left="567" w:hanging="567"/>
      </w:pPr>
      <w:r>
        <w:t>1.</w:t>
      </w:r>
      <w:r>
        <w:tab/>
      </w:r>
      <w:r>
        <w:t>die übermittelten elektronischen Dokumente jeweils bildlich und inhaltlich mit den Schriftstücken übereinstimmen und</w:t>
      </w:r>
    </w:p>
    <w:p>
      <w:pPr>
        <w:tabs>
          <w:tab w:pos="567" w:val="left"/>
        </w:tabs>
        <w:ind w:left="567" w:hanging="567"/>
      </w:pPr>
      <w:r>
        <w:t>2.</w:t>
      </w:r>
      <w:r>
        <w:tab/>
      </w:r>
      <w:r>
        <w:t>die Forderung in Höhe des Vollstreckungsauftrags noch besteht.</w:t>
      </w:r>
    </w:p>
    <w:p>
      <w:r>
        <w:rPr>
          <w:rStyle w:val="Satznummer"/>
        </w:rPr>
        <w:t>2</w:t>
      </w:r>
      <w:r>
        <w:t>Die Versicherung ist in Textform zu übermitteln.</w:t>
      </w:r>
    </w:p>
    <w:p>
      <w:r>
        <w:t xml:space="preserve">(4) </w:t>
      </w:r>
      <w:r>
        <w:rPr>
          <w:rStyle w:val="Satznummer"/>
        </w:rPr>
        <w:t>1</w:t>
      </w:r>
      <w:r>
        <w:t>Bestehen die in Absatz 1 Satz 1 Nummer 1 bis 3 bezeichneten Schriftstücke nicht mehr oder treten Änderungen an ihnen auf, nachdem sie als elektronische Dokumente übermittelt worden sind, hat der Auftraggeber</w:t>
      </w:r>
    </w:p>
    <w:p>
      <w:pPr>
        <w:tabs>
          <w:tab w:pos="567" w:val="left"/>
        </w:tabs>
        <w:ind w:left="567" w:hanging="567"/>
      </w:pPr>
      <w:r>
        <w:t>1.</w:t>
      </w:r>
      <w:r>
        <w:tab/>
      </w:r>
      <w:r>
        <w:t>den Gerichtsvollzieher hierüber unverzüglich zu informieren und</w:t>
      </w:r>
    </w:p>
    <w:p>
      <w:pPr>
        <w:tabs>
          <w:tab w:pos="567" w:val="left"/>
        </w:tabs>
        <w:ind w:left="567" w:hanging="567"/>
      </w:pPr>
      <w:r>
        <w:t>2.</w:t>
      </w:r>
      <w:r>
        <w:tab/>
      </w:r>
      <w:r>
        <w:t>die geänderten Schriftstücke in elektronische Dokumente zu übertragen und diese dem Gerichtsvollzieher zu übermitteln.</w:t>
      </w:r>
    </w:p>
    <w:p>
      <w:r>
        <w:rPr>
          <w:rStyle w:val="Satznummer"/>
        </w:rPr>
        <w:t>2</w:t>
      </w:r>
      <w:r>
        <w:t>Der Gerichtsvollzieher darf die ursprünglich übermittelten elektronischen Dokumente der Ausführung seines Vollstreckungsauftrags nicht mehr zugrunde legen, nachdem die Information nach Satz 1 Nummer 1 erfolgt ist.</w:t>
      </w:r>
    </w:p>
    <w:p>
      <w:pPr>
        <w:pStyle w:val="Heading3"/>
      </w:pPr>
      <w:bookmarkStart w:id="759" w:name="b758"/>
      <w:r>
        <w:t>§ 755 Ermittlung des Aufenthaltsorts des Schuldners</w:t>
      </w:r>
      <w:r>
        <w:t xml:space="preserve"> </w:t>
      </w:r>
      <w:r>
        <w:rPr>
          <w:rStyle w:val="Suchmarke"/>
        </w:rPr>
        <w:t>#755#</w:t>
      </w:r>
      <w:bookmarkEnd w:id="759"/>
    </w:p>
    <w:p>
      <w:r>
        <w:t xml:space="preserve">(1) </w:t>
      </w:r>
      <w:r>
        <w:rPr>
          <w:rStyle w:val="Satznummer"/>
        </w:rPr>
        <w:t>1</w:t>
      </w:r>
      <w:r>
        <w:t>Der Gerichtsvollzieher darf zur Ermittlung des Aufenthaltsorts des Schuldners bei der Meldebehörde die gegenwärtigen Anschriften sowie Angaben zur Haupt- und zur Nebenwohnung des Schuldners erheben, wenn</w:t>
      </w:r>
    </w:p>
    <w:p>
      <w:pPr>
        <w:tabs>
          <w:tab w:pos="567" w:val="left"/>
        </w:tabs>
        <w:ind w:left="567" w:hanging="567"/>
      </w:pPr>
      <w:r>
        <w:t>1.</w:t>
      </w:r>
      <w:r>
        <w:tab/>
      </w:r>
      <w:r>
        <w:t>der Wohnsitz oder der gewöhnliche Aufenthaltsort des Schuldners nicht bekannt ist,</w:t>
      </w:r>
    </w:p>
    <w:p>
      <w:pPr>
        <w:tabs>
          <w:tab w:pos="567" w:val="left"/>
        </w:tabs>
        <w:ind w:left="567" w:hanging="567"/>
      </w:pPr>
      <w:r>
        <w:t>2.</w:t>
      </w:r>
      <w:r>
        <w:tab/>
      </w:r>
      <w:r>
        <w:t>der Gerichtsvollzieher mit der Vollstreckung gegen diesen Schuldner beauftragt ist und</w:t>
      </w:r>
    </w:p>
    <w:p>
      <w:pPr>
        <w:tabs>
          <w:tab w:pos="567" w:val="left"/>
        </w:tabs>
        <w:ind w:left="567" w:hanging="567"/>
      </w:pPr>
      <w:r>
        <w:t>3.</w:t>
      </w:r>
      <w:r>
        <w:tab/>
      </w:r>
      <w:r>
        <w:t xml:space="preserve">dem Gerichtsvollzieher die vollstreckbare Ausfertigung entweder übergeben worden ist oder ihm die vollstreckbare Ausfertigung nach Maßgabe des </w:t>
      </w:r>
      <w:hyperlink w:anchor="b757" w:history="1">
        <w:r>
          <w:rPr>
            <w:color w:val="0A3A8C"/>
            <w:u w:val="single"/>
          </w:rPr>
          <w:t xml:space="preserve">§ 754a</w:t>
        </w:r>
      </w:hyperlink>
      <w:r>
        <w:t xml:space="preserve"> als elektronisches Dokument übermittelt worden ist und er das ihm übermittelte elektronische Dokument der Ausführung seines Vollstreckungsauftrags nach </w:t>
      </w:r>
      <w:hyperlink w:anchor="b757" w:history="1">
        <w:r>
          <w:rPr>
            <w:color w:val="0A3A8C"/>
            <w:u w:val="single"/>
          </w:rPr>
          <w:t xml:space="preserve">§ 754a</w:t>
        </w:r>
      </w:hyperlink>
      <w:r>
        <w:t xml:space="preserve"> Absatz 4 Satz 2 noch zugrunde legen darf.</w:t>
      </w:r>
    </w:p>
    <w:p>
      <w:r>
        <w:rPr>
          <w:rStyle w:val="Satznummer"/>
        </w:rPr>
        <w:t>2</w:t>
      </w:r>
      <w:r>
        <w:t>Der Gerichtsvollzieher darf auch beauftragt werden, die gegenwärtigen Anschriften, den Ort der Hauptniederlassung oder den Sitz des Schuldners zu erheben</w:t>
      </w:r>
    </w:p>
    <w:p>
      <w:pPr>
        <w:tabs>
          <w:tab w:pos="567" w:val="left"/>
        </w:tabs>
        <w:ind w:left="567" w:hanging="567"/>
      </w:pPr>
      <w:r>
        <w:t>1.</w:t>
      </w:r>
      <w:r>
        <w:tab/>
      </w:r>
      <w:r>
        <w:t>durch Einsicht in das Handels-, Genossenschafts-, Partnerschafts-, Unternehmens- oder Vereinsregister oder</w:t>
      </w:r>
    </w:p>
    <w:p>
      <w:pPr>
        <w:tabs>
          <w:tab w:pos="567" w:val="left"/>
        </w:tabs>
        <w:ind w:left="567" w:hanging="567"/>
      </w:pPr>
      <w:r>
        <w:t>2.</w:t>
      </w:r>
      <w:r>
        <w:tab/>
      </w:r>
      <w:r>
        <w:t>durch Einholung einer Auskunft bei den nach Landesrecht für die Durchführung der Aufgaben nach § 14 Absatz 1 der Gewerbeordnung zuständigen Behörden.</w:t>
      </w:r>
    </w:p>
    <w:p>
      <w:r>
        <w:t xml:space="preserve">(2) </w:t>
      </w:r>
      <w:r>
        <w:rPr>
          <w:rStyle w:val="Satznummer"/>
        </w:rPr>
        <w:t>1</w:t>
      </w:r>
      <w:r>
        <w:t>Soweit der Aufenthaltsort des Schuldners nach Absatz 1 nicht zu ermitteln ist, darf der Gerichtsvollzieher</w:t>
      </w:r>
    </w:p>
    <w:p>
      <w:pPr>
        <w:tabs>
          <w:tab w:pos="567" w:val="left"/>
        </w:tabs>
        <w:ind w:left="567" w:hanging="567"/>
      </w:pPr>
      <w:r>
        <w:t>1.</w:t>
      </w:r>
      <w:r>
        <w:tab/>
      </w:r>
      <w:r>
        <w:t>zunächst beim Ausländerzentralregister die Angaben zur aktenführenden Ausländerbehörde sowie zum Zuzug oder Fortzug des Schuldners und anschließend bei der gemäß der Auskunft aus dem Ausländerzentralregister aktenführenden Ausländerbehörde den Aufenthaltsort des Schuldners,</w:t>
      </w:r>
    </w:p>
    <w:p>
      <w:pPr>
        <w:tabs>
          <w:tab w:pos="567" w:val="left"/>
        </w:tabs>
        <w:ind w:left="567" w:hanging="567"/>
      </w:pPr>
      <w:r>
        <w:t>2.</w:t>
      </w:r>
      <w:r>
        <w:tab/>
      </w:r>
      <w:r>
        <w:t>bei den Trägern der gesetzlichen Rentenversicherung und bei einer berufsständischen Versorgungseinrichtung im Sinne des § 6 Absatz 1 Satz 1 Nummer 1 des Sechsten Buches Sozialgesetzbuch die dort bekannte derzeitige Anschrift, den derzeitigen oder zukünftigen Aufenthaltsort des Schuldners sowie</w:t>
      </w:r>
    </w:p>
    <w:p>
      <w:pPr>
        <w:tabs>
          <w:tab w:pos="567" w:val="left"/>
        </w:tabs>
        <w:ind w:left="567" w:hanging="567"/>
      </w:pPr>
      <w:r>
        <w:t>3.</w:t>
      </w:r>
      <w:r>
        <w:tab/>
      </w:r>
      <w:r>
        <w:t>bei dem Kraftfahrt-Bundesamt die Halterdaten nach § 33 Abs. 1 Satz 1 Nr. 2 des Straßenverkehrsgesetzes</w:t>
      </w:r>
    </w:p>
    <w:p>
      <w:r>
        <w:t xml:space="preserve">erheben. </w:t>
      </w:r>
      <w:r>
        <w:rPr>
          <w:rStyle w:val="Satznummer"/>
        </w:rPr>
        <w:t>2</w:t>
      </w:r>
      <w:r>
        <w:t xml:space="preserve">Ist der Schuldner Unionsbürger, darf der Gerichtsvollzieher die Daten nach Satz 1 Nummer 1 nur erheben, wenn ihm tatsächliche Anhaltspunkte für die Vermutung der Feststellung des Nichtbestehens oder des Verlusts des Freizügigkeitsrechts vorliegen. </w:t>
      </w:r>
      <w:r>
        <w:rPr>
          <w:rStyle w:val="Satznummer"/>
        </w:rPr>
        <w:t>3</w:t>
      </w:r>
      <w:r>
        <w:t xml:space="preserve">Eine Übermittlung der Daten nach Satz 1 Nummer 1 an den Gerichtsvollzieher ist ausgeschlossen, wenn der Schuldner Unionsbürger ist, für den eine Feststellung des Nichtbestehens oder des Verlusts des Freizügigkeitsrechts nicht vorliegt. </w:t>
      </w:r>
      <w:r>
        <w:rPr>
          <w:rStyle w:val="Satznummer"/>
        </w:rPr>
        <w:t>4</w:t>
      </w:r>
      <w:r>
        <w:t>Die Erhebung nach Satz 1 Nummer 2 bei einer berufsständischen Versorgungseinrichtung darf der Gerichtsvollzieher nur durchführen, wenn der Gläubiger die berufsständische Versorgungseinrichtung bezeichnet und tatsächliche Anhaltspunkte nennt, die nahelegen, dass der Schuldner Mitglied dieser berufsständischen Versorgungseinrichtung ist.</w:t>
      </w:r>
    </w:p>
    <w:p>
      <w:r>
        <w:t>(3) Nach Absatz 1 oder Absatz 2 erhobene Daten, die innerhalb der letzten drei Monate bei dem Gerichtsvollzieher eingegangen sind, darf dieser auch in einem Zwangsvollstreckungsverfahren eines weiteren Gläubigers gegen denselben Schuldner verarbeiten, wenn die Voraussetzungen für die Datenerhebung auch bei diesem Gläubiger vorliegen.</w:t>
      </w:r>
    </w:p>
    <w:p>
      <w:pPr>
        <w:pStyle w:val="Heading3"/>
      </w:pPr>
      <w:bookmarkStart w:id="760" w:name="b759"/>
      <w:r>
        <w:t>§ 756 Zwangsvollstreckung bei Leistung Zug um Zug</w:t>
      </w:r>
      <w:r>
        <w:t xml:space="preserve"> </w:t>
      </w:r>
      <w:r>
        <w:rPr>
          <w:rStyle w:val="Suchmarke"/>
        </w:rPr>
        <w:t>#756#</w:t>
      </w:r>
      <w:bookmarkEnd w:id="760"/>
    </w:p>
    <w:p>
      <w:r>
        <w:t>(1) Hängt die Vollstreckung von einer Zug um Zug zu bewirkenden Leistung des Gläubigers an den Schuldner ab, so darf der Gerichtsvollzieher die Zwangsvollstreckung nicht beginnen, bevor er dem Schuldner die diesem gebührende Leistung in einer den Verzug der Annahme begründenden Weise angeboten hat, sofern nicht der Beweis, dass der Schuldner befriedigt oder im Verzug der Annahme ist, durch öffentliche oder öffentlich beglaubigte Urkunden geführt wird und eine Abschrift dieser Urkunden bereits zugestellt ist oder gleichzeitig zugestellt wird.</w:t>
      </w:r>
    </w:p>
    <w:p>
      <w:r>
        <w:t>(2) Der Gerichtsvollzieher darf mit der Zwangsvollstreckung beginnen, wenn der Schuldner auf das wörtliche Angebot des Gerichtsvollziehers erklärt, dass er die Leistung nicht annehmen werde.</w:t>
      </w:r>
    </w:p>
    <w:p>
      <w:pPr>
        <w:pStyle w:val="Heading3"/>
      </w:pPr>
      <w:bookmarkStart w:id="761" w:name="b760"/>
      <w:r>
        <w:t>§ 757 Bestätigung empfangener Leistungen</w:t>
      </w:r>
      <w:r>
        <w:t xml:space="preserve"> </w:t>
      </w:r>
      <w:r>
        <w:rPr>
          <w:rStyle w:val="Suchmarke"/>
        </w:rPr>
        <w:t>#757#</w:t>
      </w:r>
      <w:bookmarkEnd w:id="761"/>
    </w:p>
    <w:p>
      <w:r>
        <w:t xml:space="preserve">(1) </w:t>
      </w:r>
      <w:r>
        <w:rPr>
          <w:rStyle w:val="Satznummer"/>
        </w:rPr>
        <w:t>1</w:t>
      </w:r>
      <w:r>
        <w:t xml:space="preserve">Der Gerichtsvollzieher hat nach Empfang der Leistungen dem Schuldner eine Quittung zu erteilen. </w:t>
      </w:r>
      <w:r>
        <w:rPr>
          <w:rStyle w:val="Satznummer"/>
        </w:rPr>
        <w:t>2</w:t>
      </w:r>
      <w:r>
        <w:t>Das Recht des Schuldners, nachträglich eine Quittung des Gläubigers zu fordern, wird durch diese Vorschrift nicht berührt.</w:t>
      </w:r>
    </w:p>
    <w:p>
      <w:r>
        <w:t>(2) Ist der Gerichtsvollzieher im Besitz der vollstreckbaren Ausfertigung, so hat er</w:t>
      </w:r>
    </w:p>
    <w:p>
      <w:pPr>
        <w:tabs>
          <w:tab w:pos="567" w:val="left"/>
        </w:tabs>
        <w:ind w:left="567" w:hanging="567"/>
      </w:pPr>
      <w:r>
        <w:t>1.</w:t>
      </w:r>
      <w:r>
        <w:tab/>
      </w:r>
      <w:r>
        <w:t>dem Schuldner die vollstreckbare Ausfertigung nach Empfang der vollständigen Leistung auszuliefern oder</w:t>
      </w:r>
    </w:p>
    <w:p>
      <w:pPr>
        <w:tabs>
          <w:tab w:pos="567" w:val="left"/>
        </w:tabs>
        <w:ind w:left="567" w:hanging="567"/>
      </w:pPr>
      <w:r>
        <w:t>2.</w:t>
      </w:r>
      <w:r>
        <w:tab/>
      </w:r>
      <w:r>
        <w:t>den Betrag der teilweisen Leistung auf der vollstreckbaren Ausfertigung zu vermerken.</w:t>
      </w:r>
    </w:p>
    <w:p>
      <w:r>
        <w:t xml:space="preserve">(3) Ist der Gerichtsvollzieher im Fall eines elektronischen Vollstreckungsauftrags nach </w:t>
      </w:r>
      <w:hyperlink w:anchor="b757" w:history="1">
        <w:r>
          <w:rPr>
            <w:color w:val="0A3A8C"/>
            <w:u w:val="single"/>
          </w:rPr>
          <w:t xml:space="preserve">§ 754a</w:t>
        </w:r>
      </w:hyperlink>
      <w:r>
        <w:t xml:space="preserve"> nicht im Besitz der vollstreckbaren Ausfertigung, so hat er dem Schuldner nach Empfang der vollständigen Leistung den Empfang zu bescheinigen und den Gläubiger aufzufordern, die vollstreckbare Ausfertigung an den Schuldner auszuliefern.</w:t>
      </w:r>
    </w:p>
    <w:p>
      <w:pPr>
        <w:pStyle w:val="Heading3"/>
      </w:pPr>
      <w:bookmarkStart w:id="762" w:name="b761"/>
      <w:r>
        <w:t>§ 757a Auskunfts- und Unterstützungsersuchen</w:t>
      </w:r>
      <w:r>
        <w:t xml:space="preserve"> </w:t>
      </w:r>
      <w:r>
        <w:rPr>
          <w:rStyle w:val="Suchmarke"/>
        </w:rPr>
        <w:t>#757a#</w:t>
      </w:r>
      <w:bookmarkEnd w:id="762"/>
    </w:p>
    <w:p>
      <w:r>
        <w:t>(1) Der Gerichtsvollzieher kann die zuständige Polizeidienststelle um Auskunft ersuchen, ob nach polizeilicher Einschätzung bei einer durchzuführenden Vollstreckungshandlung eine Gefahr für Leib oder Leben des Gerichtsvollziehers oder einer weiteren an der Vollstreckungshandlung beteiligten Person besteht.</w:t>
      </w:r>
    </w:p>
    <w:p>
      <w:r>
        <w:t>(2) In dem Auskunftsersuchen nach Absatz 1 ist Folgendes anzugeben:</w:t>
      </w:r>
    </w:p>
    <w:p>
      <w:pPr>
        <w:tabs>
          <w:tab w:pos="567" w:val="left"/>
        </w:tabs>
        <w:ind w:left="567" w:hanging="567"/>
      </w:pPr>
      <w:r>
        <w:t>1.</w:t>
      </w:r>
      <w:r>
        <w:tab/>
      </w:r>
      <w:r>
        <w:t>Art und Ort der Vollstreckungshandlung,</w:t>
      </w:r>
    </w:p>
    <w:p>
      <w:pPr>
        <w:tabs>
          <w:tab w:pos="567" w:val="left"/>
        </w:tabs>
        <w:ind w:left="567" w:hanging="567"/>
      </w:pPr>
      <w:r>
        <w:t>2.</w:t>
      </w:r>
      <w:r>
        <w:tab/>
      </w:r>
      <w:r>
        <w:t>Vornamen und Name des Schuldners,</w:t>
      </w:r>
    </w:p>
    <w:p>
      <w:pPr>
        <w:tabs>
          <w:tab w:pos="567" w:val="left"/>
        </w:tabs>
        <w:ind w:left="567" w:hanging="567"/>
      </w:pPr>
      <w:r>
        <w:t>3.</w:t>
      </w:r>
      <w:r>
        <w:tab/>
      </w:r>
      <w:r>
        <w:t>soweit bekannt Geburtsname, Geburtsdatum und Geburtsort des Schuldners sowie</w:t>
      </w:r>
    </w:p>
    <w:p>
      <w:pPr>
        <w:tabs>
          <w:tab w:pos="567" w:val="left"/>
        </w:tabs>
        <w:ind w:left="567" w:hanging="567"/>
      </w:pPr>
      <w:r>
        <w:t>4.</w:t>
      </w:r>
      <w:r>
        <w:tab/>
      </w:r>
      <w:r>
        <w:t>Wohnanschrift des Schuldners.</w:t>
      </w:r>
    </w:p>
    <w:p>
      <w:r>
        <w:t xml:space="preserve">(3) </w:t>
      </w:r>
      <w:r>
        <w:rPr>
          <w:rStyle w:val="Satznummer"/>
        </w:rPr>
        <w:t>1</w:t>
      </w:r>
      <w:r>
        <w:t xml:space="preserve">Erteilt die Polizeidienststelle die Auskunft, dass nach polizeilicher Einschätzung eine Gefahr nach Absatz 1 besteht, so kann der Gerichtsvollzieher um Unterstützung durch die polizeilichen Vollzugsorgane bei der durchzuführenden Vollstreckungshandlung nachsuchen. </w:t>
      </w:r>
      <w:r>
        <w:rPr>
          <w:rStyle w:val="Satznummer"/>
        </w:rPr>
        <w:t>2</w:t>
      </w:r>
      <w:r>
        <w:t>Ein Unterstützungsersuchen kann der Gerichtsvollzieher auch zusammen mit einem Auskunftsersuchen nach Absatz 1 stellen.</w:t>
      </w:r>
    </w:p>
    <w:p>
      <w:r>
        <w:t xml:space="preserve">(4) </w:t>
      </w:r>
      <w:r>
        <w:rPr>
          <w:rStyle w:val="Satznummer"/>
        </w:rPr>
        <w:t>1</w:t>
      </w:r>
      <w:r>
        <w:t>Der Gerichtsvollzieher kann auch ohne Auskunftsersuchen ein Unterstützungsersuchen stellen, wenn</w:t>
      </w:r>
    </w:p>
    <w:p>
      <w:pPr>
        <w:tabs>
          <w:tab w:pos="567" w:val="left"/>
        </w:tabs>
        <w:ind w:left="567" w:hanging="567"/>
      </w:pPr>
      <w:r>
        <w:t>1.</w:t>
      </w:r>
      <w:r>
        <w:tab/>
      </w:r>
      <w:r>
        <w:t>tatsächliche Anhaltspunkte für das Bestehen einer Gefahr nach Absatz 1 vorliegen oder</w:t>
      </w:r>
    </w:p>
    <w:p>
      <w:pPr>
        <w:tabs>
          <w:tab w:pos="567" w:val="left"/>
        </w:tabs>
        <w:ind w:left="567" w:hanging="567"/>
      </w:pPr>
      <w:r>
        <w:t>2.</w:t>
      </w:r>
      <w:r>
        <w:tab/>
      </w:r>
      <w:r>
        <w:t>sich die Gefahr aus der Art der Vollstreckungshandlung ergibt.</w:t>
      </w:r>
    </w:p>
    <w:p>
      <w:r>
        <w:rPr>
          <w:rStyle w:val="Satznummer"/>
        </w:rPr>
        <w:t>2</w:t>
      </w:r>
      <w:r>
        <w:t>Auf Unterstützungsersuchen nach Satz 1 ist Absatz 2 entsprechend anzuwenden; bei Unterstützungsersuchen nach Satz 1 Nummer 1 hat der Gerichtsvollzieher zusätzlich die tatsächlichen Anhaltspunkte für das Vorliegen einer Gefahr nach Absatz 1 und, sofern die Gefahr von einer dritten Person ausgeht, die ihm bekannten Daten nach Absatz 2 Nummer 2 bis 4 über die dritte Person anzugeben.</w:t>
      </w:r>
    </w:p>
    <w:p>
      <w:r>
        <w:t xml:space="preserve">(5) </w:t>
      </w:r>
      <w:r>
        <w:rPr>
          <w:rStyle w:val="Satznummer"/>
        </w:rPr>
        <w:t>1</w:t>
      </w:r>
      <w:r>
        <w:t xml:space="preserve">Über die Durchführung eines Auskunfts- oder eines Unterstützungsersuchens setzt der Gerichtsvollzieher den Schuldner oder, sofern Daten einer dritten Person nach Absatz 4 Satz 2 Halbsatz 2 übermittelt worden sind, die dritte Person unverzüglich nach Erledigung des Vollstreckungsauftrags in Kenntnis. </w:t>
      </w:r>
      <w:r>
        <w:rPr>
          <w:rStyle w:val="Satznummer"/>
        </w:rPr>
        <w:t>2</w:t>
      </w:r>
      <w:r>
        <w:t xml:space="preserve">Abweichend von </w:t>
      </w:r>
      <w:hyperlink w:anchor="b765" w:history="1">
        <w:r>
          <w:rPr>
            <w:color w:val="0A3A8C"/>
            <w:u w:val="single"/>
          </w:rPr>
          <w:t xml:space="preserve">§ 760</w:t>
        </w:r>
      </w:hyperlink>
      <w:r>
        <w:t xml:space="preserve"> Satz 1 darf in Bezug auf Inhalte der Akten des Gerichtsvollziehers, die in Zusammenhang mit einem Auskunfts- oder einem Unterstützungsersuchen stehen, neben dem Schuldner nur der dritten Person, deren Daten übermittelt worden sind, Akteneinsicht gestattet und eine Abschrift erteilt werden; </w:t>
      </w:r>
      <w:hyperlink w:anchor="b765" w:history="1">
        <w:r>
          <w:rPr>
            <w:color w:val="0A3A8C"/>
            <w:u w:val="single"/>
          </w:rPr>
          <w:t xml:space="preserve">§ 760</w:t>
        </w:r>
      </w:hyperlink>
      <w:r>
        <w:t xml:space="preserve"> Satz 2 bleibt unberührt.</w:t>
      </w:r>
    </w:p>
    <w:p>
      <w:pPr>
        <w:pStyle w:val="Heading3"/>
      </w:pPr>
      <w:bookmarkStart w:id="763" w:name="b762"/>
      <w:r>
        <w:t>§ 758 Durchsuchung; Gewaltanwendung</w:t>
      </w:r>
      <w:r>
        <w:t xml:space="preserve"> </w:t>
      </w:r>
      <w:r>
        <w:rPr>
          <w:rStyle w:val="Suchmarke"/>
        </w:rPr>
        <w:t>#758#</w:t>
      </w:r>
      <w:bookmarkEnd w:id="763"/>
    </w:p>
    <w:p>
      <w:r>
        <w:t>(1) Der Gerichtsvollzieher ist befugt, die Wohnung und die Behältnisse des Schuldners zu durchsuchen, soweit der Zweck der Vollstreckung dies erfordert.</w:t>
      </w:r>
    </w:p>
    <w:p>
      <w:r>
        <w:t>(2) Er ist befugt, die verschlossenen Haustüren, Zimmertüren und Behältnisse öffnen zu lassen.</w:t>
      </w:r>
    </w:p>
    <w:p>
      <w:r>
        <w:t>(3) Er ist, wenn er Widerstand findet, zur Anwendung von Gewalt befugt und kann zu diesem Zweck die Unterstützung der polizeilichen Vollzugsorgane nachsuchen.</w:t>
      </w:r>
    </w:p>
    <w:p>
      <w:pPr>
        <w:pStyle w:val="Heading3"/>
      </w:pPr>
      <w:bookmarkStart w:id="764" w:name="b763"/>
      <w:r>
        <w:t>§ 758a Richterliche Durchsuchungsanordnung; Vollstreckung zur Unzeit</w:t>
      </w:r>
      <w:r>
        <w:t xml:space="preserve"> </w:t>
      </w:r>
      <w:r>
        <w:rPr>
          <w:rStyle w:val="Suchmarke"/>
        </w:rPr>
        <w:t>#758a#</w:t>
      </w:r>
      <w:bookmarkEnd w:id="764"/>
    </w:p>
    <w:p>
      <w:r>
        <w:t xml:space="preserve">(1) </w:t>
      </w:r>
      <w:r>
        <w:rPr>
          <w:rStyle w:val="Satznummer"/>
        </w:rPr>
        <w:t>1</w:t>
      </w:r>
      <w:r>
        <w:t xml:space="preserve">Die Wohnung des Schuldners darf ohne dessen Einwilligung nur auf Grund einer Anordnung des Richters bei dem Amtsgericht durchsucht werden, in dessen Bezirk die Durchsuchung erfolgen soll. </w:t>
      </w:r>
      <w:r>
        <w:rPr>
          <w:rStyle w:val="Satznummer"/>
        </w:rPr>
        <w:t>2</w:t>
      </w:r>
      <w:r>
        <w:t>Dies gilt nicht, wenn die Einholung der Anordnung den Erfolg der Durchsuchung gefährden würde.</w:t>
      </w:r>
    </w:p>
    <w:p>
      <w:r>
        <w:t xml:space="preserve">(2) Auf die Vollstreckung eines Titels auf Räumung oder Herausgabe von Räumen und auf die Vollstreckung eines Haftbefehls nach </w:t>
      </w:r>
      <w:hyperlink w:anchor="b828" w:history="1">
        <w:r>
          <w:rPr>
            <w:color w:val="0A3A8C"/>
            <w:u w:val="single"/>
          </w:rPr>
          <w:t xml:space="preserve">§ 802g</w:t>
        </w:r>
      </w:hyperlink>
      <w:r>
        <w:t xml:space="preserve"> ist Absatz 1 nicht anzuwenden.</w:t>
      </w:r>
    </w:p>
    <w:p>
      <w:r>
        <w:t xml:space="preserve">(3) </w:t>
      </w:r>
      <w:r>
        <w:rPr>
          <w:rStyle w:val="Satznummer"/>
        </w:rPr>
        <w:t>1</w:t>
      </w:r>
      <w:r>
        <w:t xml:space="preserve">Willigt der Schuldner in die Durchsuchung ein oder ist eine Anordnung gegen ihn nach Absatz 1 Satz 1 ergangen oder nach Absatz 1 Satz 2 entbehrlich, so haben Personen, die Mitgewahrsam an der Wohnung des Schuldners haben, die Durchsuchung zu dulden. </w:t>
      </w:r>
      <w:r>
        <w:rPr>
          <w:rStyle w:val="Satznummer"/>
        </w:rPr>
        <w:t>2</w:t>
      </w:r>
      <w:r>
        <w:t>Unbillige Härten gegenüber Mitgewahrsamsinhabern sind zu vermeiden.</w:t>
      </w:r>
    </w:p>
    <w:p>
      <w:r>
        <w:t xml:space="preserve">(4) </w:t>
      </w:r>
      <w:r>
        <w:rPr>
          <w:rStyle w:val="Satznummer"/>
        </w:rPr>
        <w:t>1</w:t>
      </w:r>
      <w:r>
        <w:t xml:space="preserve">Der Gerichtsvollzieher nimmt eine Vollstreckungshandlung zur Nachtzeit und an Sonn- und Feiertagen nicht vor, wenn dies für den Schuldner und die Mitgewahrsamsinhaber eine unbillige Härte darstellt oder der zu erwartende Erfolg in einem Missverhältnis zu dem Eingriff steht, in Wohnungen nur auf Grund einer besonderen Anordnung des Richters bei dem Amtsgericht. </w:t>
      </w:r>
      <w:r>
        <w:rPr>
          <w:rStyle w:val="Satznummer"/>
        </w:rPr>
        <w:t>2</w:t>
      </w:r>
      <w:r>
        <w:t>Die Nachtzeit umfasst die Stunden von 21 bis 6 Uhr.</w:t>
      </w:r>
    </w:p>
    <w:p>
      <w:r>
        <w:t>(5) Der Gerichtsvollzieher händigt dem Schuldner von Amts wegen bei der Durchsuchung eine Abschrift der Anordnung nach Absatz 1 aus.</w:t>
      </w:r>
    </w:p>
    <w:p>
      <w:r>
        <w:t xml:space="preserve">(6) </w:t>
      </w:r>
      <w:r>
        <w:rPr>
          <w:rStyle w:val="Satznummer"/>
        </w:rPr>
        <w:t>1</w:t>
      </w:r>
      <w:r>
        <w:t xml:space="preserve">Das Bundesministerium der Justiz und für Verbraucherschutz wird ermächtigt, durch Rechtsverordnung mit Zustimmung des Bundesrates Formulare für den Antrag auf Erlass einer richterlichen Durchsuchungsanordnung nach Absatz 1 einzuführen. </w:t>
      </w:r>
      <w:r>
        <w:rPr>
          <w:rStyle w:val="Satznummer"/>
        </w:rPr>
        <w:t>2</w:t>
      </w:r>
      <w:r>
        <w:t xml:space="preserve">Soweit nach Satz 1 Formulare eingeführt sind, muss sich der Antragsteller ihrer bedienen. </w:t>
      </w:r>
      <w:r>
        <w:rPr>
          <w:rStyle w:val="Satznummer"/>
        </w:rPr>
        <w:t>3</w:t>
      </w:r>
      <w:r>
        <w:t>Die Rechtsverordnung kann für diese Formulare besondere technische Rahmenbedingungen für die Übermittlung und die Eignung zur Bearbeitung bestimmen.</w:t>
      </w:r>
    </w:p>
    <w:p>
      <w:pPr>
        <w:pStyle w:val="Heading3"/>
      </w:pPr>
      <w:bookmarkStart w:id="765" w:name="b764"/>
      <w:r>
        <w:t>§ 759 Zuziehung von Zeugen</w:t>
      </w:r>
      <w:r>
        <w:t xml:space="preserve"> </w:t>
      </w:r>
      <w:r>
        <w:rPr>
          <w:rStyle w:val="Suchmarke"/>
        </w:rPr>
        <w:t>#759#</w:t>
      </w:r>
      <w:bookmarkEnd w:id="765"/>
    </w:p>
    <w:p>
      <w:r>
        <w:t>Wird bei einer Vollstreckungshandlung Widerstand geleistet oder ist bei einer in der Wohnung des Schuldners vorzunehmenden Vollstreckungshandlung weder der Schuldner noch ein erwachsener Familienangehöriger, eine in der Familie beschäftigte Person oder ein erwachsener ständiger Mitbewohner anwesend, so hat der Gerichtsvollzieher zwei erwachsene Personen oder einen Gemeinde- oder Polizeibeamten als Zeugen zuzuziehen.</w:t>
      </w:r>
    </w:p>
    <w:p>
      <w:pPr>
        <w:pStyle w:val="Heading3"/>
      </w:pPr>
      <w:bookmarkStart w:id="766" w:name="b765"/>
      <w:r>
        <w:t>§ 760 Akteneinsicht; Aktenabschrift</w:t>
      </w:r>
      <w:r>
        <w:t xml:space="preserve"> </w:t>
      </w:r>
      <w:r>
        <w:rPr>
          <w:rStyle w:val="Suchmarke"/>
        </w:rPr>
        <w:t>#760#</w:t>
      </w:r>
      <w:bookmarkEnd w:id="766"/>
    </w:p>
    <w:p>
      <w:r>
        <w:rPr>
          <w:rStyle w:val="Satznummer"/>
        </w:rPr>
        <w:t>1</w:t>
      </w:r>
      <w:r>
        <w:t xml:space="preserve">Jeder Person, die bei dem Vollstreckungsverfahren beteiligt ist, muss auf Begehren Einsicht der Akten des Gerichtsvollziehers gestattet und Abschrift einzelner Aktenstücke erteilt werden. </w:t>
      </w:r>
      <w:r>
        <w:rPr>
          <w:rStyle w:val="Satznummer"/>
        </w:rPr>
        <w:t>2</w:t>
      </w:r>
      <w:r>
        <w:t xml:space="preserve">Werden die Akten des Gerichtsvollziehers elektronisch geführt, erfolgt die Gewährung von Akteneinsicht durch Erteilung von Ausdrucken, durch Übermittlung von elektronischen Dokumenten oder durch Wiedergabe auf einem Bildschirm; dies gilt auch für die nach </w:t>
      </w:r>
      <w:hyperlink w:anchor="b964" w:history="1">
        <w:r>
          <w:rPr>
            <w:color w:val="0A3A8C"/>
            <w:u w:val="single"/>
          </w:rPr>
          <w:t xml:space="preserve">§ 885a</w:t>
        </w:r>
      </w:hyperlink>
      <w:r>
        <w:t xml:space="preserve"> Absatz 2 Satz 2 elektronisch gespeicherten Dateien.</w:t>
      </w:r>
    </w:p>
    <w:p>
      <w:pPr>
        <w:pStyle w:val="Heading3"/>
      </w:pPr>
      <w:bookmarkStart w:id="767" w:name="b766"/>
      <w:r>
        <w:t>§ 761</w:t>
      </w:r>
      <w:r>
        <w:t xml:space="preserve"> </w:t>
      </w:r>
      <w:r>
        <w:rPr>
          <w:rStyle w:val="Suchmarke"/>
        </w:rPr>
        <w:t>#761#</w:t>
      </w:r>
      <w:bookmarkEnd w:id="767"/>
    </w:p>
    <w:p>
      <w:r>
        <w:t>(weggefallen)</w:t>
      </w:r>
    </w:p>
    <w:p>
      <w:pPr>
        <w:pStyle w:val="Heading3"/>
      </w:pPr>
      <w:bookmarkStart w:id="768" w:name="b767"/>
      <w:r>
        <w:t>§ 762 Protokoll über Vollstreckungshandlungen</w:t>
      </w:r>
      <w:r>
        <w:t xml:space="preserve"> </w:t>
      </w:r>
      <w:r>
        <w:rPr>
          <w:rStyle w:val="Suchmarke"/>
        </w:rPr>
        <w:t>#762#</w:t>
      </w:r>
      <w:bookmarkEnd w:id="768"/>
    </w:p>
    <w:p>
      <w:r>
        <w:t>(1) Der Gerichtsvollzieher hat über jede Vollstreckungshandlung ein Protokoll aufzunehmen.</w:t>
      </w:r>
    </w:p>
    <w:p>
      <w:r>
        <w:t>(2) Das Protokoll muss enthalten:</w:t>
      </w:r>
    </w:p>
    <w:p>
      <w:pPr>
        <w:tabs>
          <w:tab w:pos="567" w:val="left"/>
        </w:tabs>
        <w:ind w:left="567" w:hanging="567"/>
      </w:pPr>
      <w:r>
        <w:t>1.</w:t>
      </w:r>
      <w:r>
        <w:tab/>
      </w:r>
      <w:r>
        <w:t>Ort und Zeit der Aufnahme;</w:t>
      </w:r>
    </w:p>
    <w:p>
      <w:pPr>
        <w:tabs>
          <w:tab w:pos="567" w:val="left"/>
        </w:tabs>
        <w:ind w:left="567" w:hanging="567"/>
      </w:pPr>
      <w:r>
        <w:t>2.</w:t>
      </w:r>
      <w:r>
        <w:tab/>
      </w:r>
      <w:r>
        <w:t>den Gegenstand der Vollstreckungshandlung unter kurzer Erwähnung der wesentlichen Vorgänge;</w:t>
      </w:r>
    </w:p>
    <w:p>
      <w:pPr>
        <w:tabs>
          <w:tab w:pos="567" w:val="left"/>
        </w:tabs>
        <w:ind w:left="567" w:hanging="567"/>
      </w:pPr>
      <w:r>
        <w:t>3.</w:t>
      </w:r>
      <w:r>
        <w:tab/>
      </w:r>
      <w:r>
        <w:t>die Namen der Personen, mit denen verhandelt ist;</w:t>
      </w:r>
    </w:p>
    <w:p>
      <w:pPr>
        <w:tabs>
          <w:tab w:pos="567" w:val="left"/>
        </w:tabs>
        <w:ind w:left="567" w:hanging="567"/>
      </w:pPr>
      <w:r>
        <w:t>4.</w:t>
      </w:r>
      <w:r>
        <w:tab/>
      </w:r>
      <w:r>
        <w:t>den Vermerk, dass diese Personen das Protokoll nach Vorlesung oder nach Vorlegung zur Durchsicht genehmigt haben;</w:t>
      </w:r>
    </w:p>
    <w:p>
      <w:pPr>
        <w:tabs>
          <w:tab w:pos="567" w:val="left"/>
        </w:tabs>
        <w:ind w:left="567" w:hanging="567"/>
      </w:pPr>
      <w:r>
        <w:t>5.</w:t>
      </w:r>
      <w:r>
        <w:tab/>
      </w:r>
      <w:r>
        <w:t>die Unterschrift des Gerichtsvollziehers.</w:t>
      </w:r>
    </w:p>
    <w:p>
      <w:r>
        <w:t>(3) Hat einem der unter Absatz 2 Nummer 4 bezeichneten Erfordernisse nicht genügt werden können, so ist der Grund anzugeben.</w:t>
      </w:r>
    </w:p>
    <w:p>
      <w:pPr>
        <w:pStyle w:val="Heading3"/>
      </w:pPr>
      <w:bookmarkStart w:id="769" w:name="b768"/>
      <w:r>
        <w:t>§ 763 Aufforderungen und Mitteilungen</w:t>
      </w:r>
      <w:r>
        <w:t xml:space="preserve"> </w:t>
      </w:r>
      <w:r>
        <w:rPr>
          <w:rStyle w:val="Suchmarke"/>
        </w:rPr>
        <w:t>#763#</w:t>
      </w:r>
      <w:bookmarkEnd w:id="769"/>
    </w:p>
    <w:p>
      <w:r>
        <w:t>(1) Die Aufforderungen und sonstigen Mitteilungen, die zu den Vollstreckungshandlungen gehören, sind von dem Gerichtsvollzieher mündlich zu erlassen und vollständig in das Protokoll aufzunehmen.</w:t>
      </w:r>
    </w:p>
    <w:p>
      <w:r>
        <w:t xml:space="preserve">(2) </w:t>
      </w:r>
      <w:r>
        <w:rPr>
          <w:rStyle w:val="Satznummer"/>
        </w:rPr>
        <w:t>1</w:t>
      </w:r>
      <w:r>
        <w:t xml:space="preserve">Kann dies mündlich nicht ausgeführt werden, so hat der Gerichtsvollzieher eine Abschrift des Protokolls zuzustellen oder durch die Post zu übersenden. </w:t>
      </w:r>
      <w:r>
        <w:rPr>
          <w:rStyle w:val="Satznummer"/>
        </w:rPr>
        <w:t>2</w:t>
      </w:r>
      <w:r>
        <w:t xml:space="preserve">Es muss im Protokoll vermerkt werden, dass diese Vorschrift befolgt ist. </w:t>
      </w:r>
      <w:r>
        <w:rPr>
          <w:rStyle w:val="Satznummer"/>
        </w:rPr>
        <w:t>3</w:t>
      </w:r>
      <w:r>
        <w:t>Eine öffentliche Zustellung findet nicht statt.</w:t>
      </w:r>
    </w:p>
    <w:p>
      <w:pPr>
        <w:pStyle w:val="Heading3"/>
      </w:pPr>
      <w:bookmarkStart w:id="770" w:name="b769"/>
      <w:r>
        <w:t>§ 764 Vollstreckungsgericht</w:t>
      </w:r>
      <w:r>
        <w:t xml:space="preserve"> </w:t>
      </w:r>
      <w:r>
        <w:rPr>
          <w:rStyle w:val="Suchmarke"/>
        </w:rPr>
        <w:t>#764#</w:t>
      </w:r>
      <w:bookmarkEnd w:id="770"/>
    </w:p>
    <w:p>
      <w:r>
        <w:t>(1) Die den Gerichten zugewiesene Anordnung von Vollstreckungshandlungen und Mitwirkung bei solchen gehört zur Zuständigkeit der Amtsgerichte als Vollstreckungsgerichte.</w:t>
      </w:r>
    </w:p>
    <w:p>
      <w:r>
        <w:t>(2) Als Vollstreckungsgericht ist, sofern nicht das Gesetz ein anderes Amtsgericht bezeichnet, das Amtsgericht anzusehen, in dessen Bezirk das Vollstreckungsverfahren stattfinden soll oder stattgefunden hat.</w:t>
      </w:r>
    </w:p>
    <w:p>
      <w:r>
        <w:t>(3) Die Entscheidungen des Vollstreckungsgerichts ergehen durch Beschluss.</w:t>
      </w:r>
    </w:p>
    <w:p>
      <w:pPr>
        <w:pStyle w:val="Heading3"/>
      </w:pPr>
      <w:bookmarkStart w:id="771" w:name="b770"/>
      <w:r>
        <w:t>§ 765 Vollstreckungsgerichtliche Anordnungen bei Leistung Zug um Zug</w:t>
      </w:r>
      <w:r>
        <w:t xml:space="preserve"> </w:t>
      </w:r>
      <w:r>
        <w:rPr>
          <w:rStyle w:val="Suchmarke"/>
        </w:rPr>
        <w:t>#765#</w:t>
      </w:r>
      <w:bookmarkEnd w:id="771"/>
    </w:p>
    <w:p>
      <w:r>
        <w:t>Hängt die Vollstreckung von einer Zug um Zug zu bewirkenden Leistung des Gläubigers an den Schuldner ab, so darf das Vollstreckungsgericht eine Vollstreckungsmaßregel nur anordnen, wenn</w:t>
      </w:r>
    </w:p>
    <w:p>
      <w:pPr>
        <w:tabs>
          <w:tab w:pos="567" w:val="left"/>
        </w:tabs>
        <w:ind w:left="567" w:hanging="567"/>
      </w:pPr>
      <w:r>
        <w:t>1.</w:t>
      </w:r>
      <w:r>
        <w:tab/>
      </w:r>
      <w:r>
        <w:t xml:space="preserve">der Beweis, dass der Schuldner befriedigt oder im Verzug der Annahme ist, durch öffentliche oder öffentlich beglaubigte Urkunden geführt wird und eine Abschrift dieser Urkunden bereits zugestellt ist; der Zustellung bedarf es nicht, wenn bereits der Gerichtsvollzieher die Zwangsvollstreckung nach </w:t>
      </w:r>
      <w:hyperlink w:anchor="b759" w:history="1">
        <w:r>
          <w:rPr>
            <w:color w:val="0A3A8C"/>
            <w:u w:val="single"/>
          </w:rPr>
          <w:t xml:space="preserve">§ 756</w:t>
        </w:r>
      </w:hyperlink>
      <w:r>
        <w:t xml:space="preserve"> Abs. 1 begonnen hatte und der Beweis durch das Protokoll des Gerichtsvollziehers geführt wird; oder</w:t>
      </w:r>
    </w:p>
    <w:p>
      <w:pPr>
        <w:tabs>
          <w:tab w:pos="567" w:val="left"/>
        </w:tabs>
        <w:ind w:left="567" w:hanging="567"/>
      </w:pPr>
      <w:r>
        <w:t>2.</w:t>
      </w:r>
      <w:r>
        <w:tab/>
      </w:r>
      <w:r>
        <w:t xml:space="preserve">der Gerichtsvollzieher eine Vollstreckungsmaßnahme nach </w:t>
      </w:r>
      <w:hyperlink w:anchor="b759" w:history="1">
        <w:r>
          <w:rPr>
            <w:color w:val="0A3A8C"/>
            <w:u w:val="single"/>
          </w:rPr>
          <w:t xml:space="preserve">§ 756</w:t>
        </w:r>
      </w:hyperlink>
      <w:r>
        <w:t xml:space="preserve"> Abs. 2 durchgeführt hat und diese durch das Protokoll des Gerichtsvollziehers nachgewiesen ist.</w:t>
      </w:r>
    </w:p>
    <w:p>
      <w:pPr>
        <w:pStyle w:val="Heading3"/>
      </w:pPr>
      <w:bookmarkStart w:id="772" w:name="b771"/>
      <w:r>
        <w:t>§ 765a Vollstreckungsschutz</w:t>
      </w:r>
      <w:r>
        <w:t xml:space="preserve"> </w:t>
      </w:r>
      <w:r>
        <w:rPr>
          <w:rStyle w:val="Suchmarke"/>
        </w:rPr>
        <w:t>#765a#</w:t>
      </w:r>
      <w:bookmarkEnd w:id="772"/>
    </w:p>
    <w:p>
      <w:r>
        <w:t xml:space="preserve">(1) </w:t>
      </w:r>
      <w:r>
        <w:rPr>
          <w:rStyle w:val="Satznummer"/>
        </w:rPr>
        <w:t>1</w:t>
      </w:r>
      <w:r>
        <w:t xml:space="preserve">Auf Antrag des Schuldners kann das Vollstreckungsgericht eine Maßnahme der Zwangsvollstreckung ganz oder teilweise aufheben, untersagen oder einstweilen einstellen, wenn die Maßnahme unter voller Würdigung des Schutzbedürfnisses des Gläubigers wegen ganz besonderer Umstände eine Härte bedeutet, die mit den guten Sitten nicht vereinbar ist. </w:t>
      </w:r>
      <w:r>
        <w:rPr>
          <w:rStyle w:val="Satznummer"/>
        </w:rPr>
        <w:t>2</w:t>
      </w:r>
      <w:r>
        <w:t xml:space="preserve">Es ist befugt, die in </w:t>
      </w:r>
      <w:hyperlink w:anchor="b731" w:history="1">
        <w:r>
          <w:rPr>
            <w:color w:val="0A3A8C"/>
            <w:u w:val="single"/>
          </w:rPr>
          <w:t xml:space="preserve">§ 732</w:t>
        </w:r>
      </w:hyperlink>
      <w:r>
        <w:t xml:space="preserve"> Abs. 2 bezeichneten Anordnungen zu erlassen. </w:t>
      </w:r>
      <w:r>
        <w:rPr>
          <w:rStyle w:val="Satznummer"/>
        </w:rPr>
        <w:t>3</w:t>
      </w:r>
      <w:r>
        <w:t>Betrifft die Maßnahme ein Tier, so hat das Vollstreckungsgericht bei der von ihm vorzunehmenden Abwägung die Verantwortung des Menschen für das Tier zu berücksichtigen.</w:t>
      </w:r>
    </w:p>
    <w:p>
      <w:r>
        <w:t>(2) Eine Maßnahme zur Erwirkung der Herausgabe von Sachen kann der Gerichtsvollzieher bis zur Entscheidung des Vollstreckungsgerichts, jedoch nicht länger als eine Woche, aufschieben, wenn ihm die Voraussetzungen des Absatzes 1 Satz 1 glaubhaft gemacht werden und dem Schuldner die rechtzeitige Anrufung des Vollstreckungsgerichts nicht möglich war.</w:t>
      </w:r>
    </w:p>
    <w:p>
      <w:r>
        <w:t>(3) In Räumungssachen ist der Antrag nach Absatz 1 spätestens zwei Wochen vor dem festgesetzten Räumungstermin zu stellen, es sei denn, dass die Gründe, auf denen der Antrag beruht, erst nach diesem Zeitpunkt entstanden sind oder der Schuldner ohne sein Verschulden an einer rechtzeitigen Antragstellung gehindert war.</w:t>
      </w:r>
    </w:p>
    <w:p>
      <w:r>
        <w:t>(4) Das Vollstreckungsgericht hebt seinen Beschluss auf Antrag auf oder ändert ihn, wenn dies mit Rücksicht auf eine Änderung der Sachlage geboten ist.</w:t>
      </w:r>
    </w:p>
    <w:p>
      <w:r>
        <w:t>(5) Die Aufhebung von Vollstreckungsmaßregeln erfolgt in den Fällen des Absatzes 1 Satz 1 und des Absatzes 4 erst nach Rechtskraft des Beschlusses.</w:t>
      </w:r>
    </w:p>
    <w:p>
      <w:pPr>
        <w:pStyle w:val="Heading3"/>
      </w:pPr>
      <w:bookmarkStart w:id="773" w:name="b772"/>
      <w:r>
        <w:t>§ 766 Erinnerung gegen Art und Weise der Zwangsvollstreckung</w:t>
      </w:r>
      <w:r>
        <w:t xml:space="preserve"> </w:t>
      </w:r>
      <w:r>
        <w:rPr>
          <w:rStyle w:val="Suchmarke"/>
        </w:rPr>
        <w:t>#766#</w:t>
      </w:r>
      <w:bookmarkEnd w:id="773"/>
    </w:p>
    <w:p>
      <w:r>
        <w:t xml:space="preserve">(1) </w:t>
      </w:r>
      <w:r>
        <w:rPr>
          <w:rStyle w:val="Satznummer"/>
        </w:rPr>
        <w:t>1</w:t>
      </w:r>
      <w:r>
        <w:t xml:space="preserve">Über Anträge, Einwendungen und Erinnerungen, welche die Art und Weise der Zwangsvollstreckung oder das vom Gerichtsvollzieher bei ihr zu beobachtende Verfahren betreffen, entscheidet das Vollstreckungsgericht. </w:t>
      </w:r>
      <w:r>
        <w:rPr>
          <w:rStyle w:val="Satznummer"/>
        </w:rPr>
        <w:t>2</w:t>
      </w:r>
      <w:r>
        <w:t xml:space="preserve">Es ist befugt, die im </w:t>
      </w:r>
      <w:hyperlink w:anchor="b731" w:history="1">
        <w:r>
          <w:rPr>
            <w:color w:val="0A3A8C"/>
            <w:u w:val="single"/>
          </w:rPr>
          <w:t xml:space="preserve">§ 732</w:t>
        </w:r>
      </w:hyperlink>
      <w:r>
        <w:t xml:space="preserve"> Abs. 2 bezeichneten Anordnungen zu erlassen.</w:t>
      </w:r>
    </w:p>
    <w:p>
      <w:r>
        <w:t>(2) Dem Vollstreckungsgericht steht auch die Entscheidung zu, wenn ein Gerichtsvollzieher sich weigert, einen Vollstreckungsauftrag zu übernehmen oder eine Vollstreckungshandlung dem Auftrag gemäß auszuführen, oder wenn wegen der von dem Gerichtsvollzieher in Ansatz gebrachten Kosten Erinnerungen erhoben werden.</w:t>
      </w:r>
    </w:p>
    <w:p>
      <w:pPr>
        <w:pStyle w:val="Heading3"/>
      </w:pPr>
      <w:bookmarkStart w:id="774" w:name="b773"/>
      <w:r>
        <w:t>§ 767 Vollstreckungsabwehrklage</w:t>
      </w:r>
      <w:r>
        <w:t xml:space="preserve"> </w:t>
      </w:r>
      <w:r>
        <w:rPr>
          <w:rStyle w:val="Suchmarke"/>
        </w:rPr>
        <w:t>#767#</w:t>
      </w:r>
      <w:bookmarkEnd w:id="774"/>
    </w:p>
    <w:p>
      <w:r>
        <w:t>(1) Einwendungen, die den durch das Urteil festgestellten Anspruch selbst betreffen, sind von dem Schuldner im Wege der Klage bei dem Prozessgericht des ersten Rechtszuges geltend zu machen.</w:t>
      </w:r>
    </w:p>
    <w:p>
      <w:r>
        <w:t>(2) Sie sind nur insoweit zulässig, als die Gründe, auf denen sie beruhen, erst nach dem Schluss der mündlichen Verhandlung, in der Einwendungen nach den Vorschriften dieses Gesetzes spätestens hätten geltend gemacht werden müssen, entstanden sind und durch Einspruch nicht mehr geltend gemacht werden können.</w:t>
      </w:r>
    </w:p>
    <w:p>
      <w:r>
        <w:t>(3) Der Schuldner muss in der von ihm zu erhebenden Klage alle Einwendungen geltend machen, die er zur Zeit der Erhebung der Klage geltend zu machen imstande war.</w:t>
      </w:r>
    </w:p>
    <w:p>
      <w:pPr>
        <w:pStyle w:val="Heading3"/>
      </w:pPr>
      <w:bookmarkStart w:id="775" w:name="b774"/>
      <w:r>
        <w:t>§ 768 Klage gegen Vollstreckungsklausel</w:t>
      </w:r>
      <w:r>
        <w:t xml:space="preserve"> </w:t>
      </w:r>
      <w:r>
        <w:rPr>
          <w:rStyle w:val="Suchmarke"/>
        </w:rPr>
        <w:t>#768#</w:t>
      </w:r>
      <w:bookmarkEnd w:id="775"/>
    </w:p>
    <w:p>
      <w:r>
        <w:t xml:space="preserve">Die Vorschriften des </w:t>
      </w:r>
      <w:hyperlink w:anchor="b773" w:history="1">
        <w:r>
          <w:rPr>
            <w:color w:val="0A3A8C"/>
            <w:u w:val="single"/>
          </w:rPr>
          <w:t xml:space="preserve">§ 767</w:t>
        </w:r>
      </w:hyperlink>
      <w:r>
        <w:t xml:space="preserve"> Abs. 1, 3 gelten entsprechend, wenn in den Fällen des </w:t>
      </w:r>
      <w:hyperlink w:anchor="b725" w:history="1">
        <w:r>
          <w:rPr>
            <w:color w:val="0A3A8C"/>
            <w:u w:val="single"/>
          </w:rPr>
          <w:t xml:space="preserve">§ 726</w:t>
        </w:r>
      </w:hyperlink>
      <w:r>
        <w:t xml:space="preserve"> Abs. 1, der </w:t>
      </w:r>
      <w:hyperlink w:anchor="b726" w:history="1">
        <w:r>
          <w:rPr>
            <w:color w:val="0A3A8C"/>
            <w:u w:val="single"/>
          </w:rPr>
          <w:t xml:space="preserve">§§ 727</w:t>
        </w:r>
      </w:hyperlink>
      <w:r>
        <w:t xml:space="preserve"> bis </w:t>
      </w:r>
      <w:hyperlink w:anchor="b728" w:history="1">
        <w:r>
          <w:rPr>
            <w:color w:val="0A3A8C"/>
            <w:u w:val="single"/>
          </w:rPr>
          <w:t xml:space="preserve">729</w:t>
        </w:r>
      </w:hyperlink>
      <w:r>
        <w:t xml:space="preserve">, </w:t>
      </w:r>
      <w:hyperlink w:anchor="b737" w:history="1">
        <w:r>
          <w:rPr>
            <w:color w:val="0A3A8C"/>
            <w:u w:val="single"/>
          </w:rPr>
          <w:t xml:space="preserve">738</w:t>
        </w:r>
      </w:hyperlink>
      <w:r>
        <w:t xml:space="preserve">, </w:t>
      </w:r>
      <w:hyperlink w:anchor="b741" w:history="1">
        <w:r>
          <w:rPr>
            <w:color w:val="0A3A8C"/>
            <w:u w:val="single"/>
          </w:rPr>
          <w:t xml:space="preserve">742</w:t>
        </w:r>
      </w:hyperlink>
      <w:r>
        <w:t xml:space="preserve">, </w:t>
      </w:r>
      <w:hyperlink w:anchor="b743" w:history="1">
        <w:r>
          <w:rPr>
            <w:color w:val="0A3A8C"/>
            <w:u w:val="single"/>
          </w:rPr>
          <w:t xml:space="preserve">744</w:t>
        </w:r>
      </w:hyperlink>
      <w:r>
        <w:t xml:space="preserve">, des </w:t>
      </w:r>
      <w:hyperlink w:anchor="b745" w:history="1">
        <w:r>
          <w:rPr>
            <w:color w:val="0A3A8C"/>
            <w:u w:val="single"/>
          </w:rPr>
          <w:t xml:space="preserve">§ 745</w:t>
        </w:r>
      </w:hyperlink>
      <w:r>
        <w:t xml:space="preserve"> Abs. 2 und des § 749 der Schuldner den bei der Erteilung der Vollstreckungsklausel als bewiesen angenommenen Eintritt der Voraussetzung für die Erteilung der Vollstreckungsklausel bestreitet, unbeschadet der Befugnis des Schuldners, in diesen Fällen Einwendungen gegen die Zulässigkeit der Vollstreckungsklausel nach </w:t>
      </w:r>
      <w:hyperlink w:anchor="b731" w:history="1">
        <w:r>
          <w:rPr>
            <w:color w:val="0A3A8C"/>
            <w:u w:val="single"/>
          </w:rPr>
          <w:t xml:space="preserve">§ 732</w:t>
        </w:r>
      </w:hyperlink>
      <w:r>
        <w:t xml:space="preserve"> zu erheben.</w:t>
      </w:r>
    </w:p>
    <w:p>
      <w:pPr>
        <w:pStyle w:val="Heading3"/>
      </w:pPr>
      <w:bookmarkStart w:id="776" w:name="b775"/>
      <w:r>
        <w:t>§ 769 Einstweilige Anordnungen</w:t>
      </w:r>
      <w:r>
        <w:t xml:space="preserve"> </w:t>
      </w:r>
      <w:r>
        <w:rPr>
          <w:rStyle w:val="Suchmarke"/>
        </w:rPr>
        <w:t>#769#</w:t>
      </w:r>
      <w:bookmarkEnd w:id="776"/>
    </w:p>
    <w:p>
      <w:r>
        <w:t xml:space="preserve">(1) </w:t>
      </w:r>
      <w:r>
        <w:rPr>
          <w:rStyle w:val="Satznummer"/>
        </w:rPr>
        <w:t>1</w:t>
      </w:r>
      <w:r>
        <w:t xml:space="preserve">Das Prozessgericht kann auf Antrag anordnen, dass bis zum Erlass des Urteils über die in den </w:t>
      </w:r>
      <w:hyperlink w:anchor="b773" w:history="1">
        <w:r>
          <w:rPr>
            <w:color w:val="0A3A8C"/>
            <w:u w:val="single"/>
          </w:rPr>
          <w:t xml:space="preserve">§§ 767</w:t>
        </w:r>
      </w:hyperlink>
      <w:r>
        <w:t xml:space="preserve">, </w:t>
      </w:r>
      <w:hyperlink w:anchor="b774" w:history="1">
        <w:r>
          <w:rPr>
            <w:color w:val="0A3A8C"/>
            <w:u w:val="single"/>
          </w:rPr>
          <w:t xml:space="preserve">768</w:t>
        </w:r>
      </w:hyperlink>
      <w:r>
        <w:t xml:space="preserve"> bezeichneten Einwendungen die Zwangsvollstreckung gegen oder ohne Sicherheitsleistung eingestellt oder nur gegen Sicherheitsleistung fortgesetzt werde und dass Vollstreckungsmaßregeln gegen Sicherheitsleistung aufzuheben seien. </w:t>
      </w:r>
      <w:r>
        <w:rPr>
          <w:rStyle w:val="Satznummer"/>
        </w:rPr>
        <w:t>2</w:t>
      </w:r>
      <w:r>
        <w:t xml:space="preserve">Es setzt eine Sicherheitsleistung für die Einstellung der Zwangsvollstreckung nicht fest, wenn der Schuldner zur Sicherheitsleistung nicht in der Lage ist und die Rechtsverfolgung durch ihn hinreichende Aussicht auf Erfolg bietet. </w:t>
      </w:r>
      <w:r>
        <w:rPr>
          <w:rStyle w:val="Satznummer"/>
        </w:rPr>
        <w:t>3</w:t>
      </w:r>
      <w:r>
        <w:t>Die tatsächlichen Behauptungen, die den Antrag begründen, sind glaubhaft zu machen.</w:t>
      </w:r>
    </w:p>
    <w:p>
      <w:r>
        <w:t xml:space="preserve">(2) </w:t>
      </w:r>
      <w:r>
        <w:rPr>
          <w:rStyle w:val="Satznummer"/>
        </w:rPr>
        <w:t>1</w:t>
      </w:r>
      <w:r>
        <w:t xml:space="preserve">In dringenden Fällen kann das Vollstreckungsgericht eine solche Anordnung erlassen, unter Bestimmung einer Frist, innerhalb der die Entscheidung des Prozessgerichts beizubringen sei. </w:t>
      </w:r>
      <w:r>
        <w:rPr>
          <w:rStyle w:val="Satznummer"/>
        </w:rPr>
        <w:t>2</w:t>
      </w:r>
      <w:r>
        <w:t>Nach fruchtlosem Ablauf der Frist wird die Zwangsvollstreckung fortgesetzt.</w:t>
      </w:r>
    </w:p>
    <w:p>
      <w:r>
        <w:t>(3) Die Entscheidung über diese Anträge ergeht durch Beschluss.</w:t>
      </w:r>
    </w:p>
    <w:p>
      <w:r>
        <w:t>(4) Im Fall der Anhängigkeit einer auf Herabsetzung gerichteten Abänderungsklage gelten die Absätze 1 bis 3 entsprechend.</w:t>
      </w:r>
    </w:p>
    <w:p>
      <w:pPr>
        <w:pStyle w:val="Heading3"/>
      </w:pPr>
      <w:bookmarkStart w:id="777" w:name="b776"/>
      <w:r>
        <w:t>§ 770 Einstweilige Anordnungen im Urteil</w:t>
      </w:r>
      <w:r>
        <w:t xml:space="preserve"> </w:t>
      </w:r>
      <w:r>
        <w:rPr>
          <w:rStyle w:val="Suchmarke"/>
        </w:rPr>
        <w:t>#770#</w:t>
      </w:r>
      <w:bookmarkEnd w:id="777"/>
    </w:p>
    <w:p>
      <w:r>
        <w:rPr>
          <w:rStyle w:val="Satznummer"/>
        </w:rPr>
        <w:t>1</w:t>
      </w:r>
      <w:r>
        <w:t xml:space="preserve">Das Prozessgericht kann in dem Urteil, durch das über die Einwendungen entschieden wird, die in dem vorstehenden Paragraphen bezeichneten Anordnungen erlassen oder die bereits erlassenen Anordnungen aufheben, abändern oder bestätigen. </w:t>
      </w:r>
      <w:r>
        <w:rPr>
          <w:rStyle w:val="Satznummer"/>
        </w:rPr>
        <w:t>2</w:t>
      </w:r>
      <w:r>
        <w:t xml:space="preserve">Für die Anfechtung einer solchen Entscheidung gelten die Vorschriften des </w:t>
      </w:r>
      <w:hyperlink w:anchor="b716" w:history="1">
        <w:r>
          <w:rPr>
            <w:color w:val="0A3A8C"/>
            <w:u w:val="single"/>
          </w:rPr>
          <w:t xml:space="preserve">§ 718</w:t>
        </w:r>
      </w:hyperlink>
      <w:r>
        <w:t xml:space="preserve"> entsprechend.</w:t>
      </w:r>
    </w:p>
    <w:p>
      <w:pPr>
        <w:pStyle w:val="Heading3"/>
      </w:pPr>
      <w:bookmarkStart w:id="778" w:name="b777"/>
      <w:r>
        <w:t>§ 771 Drittwiderspruchsklage</w:t>
      </w:r>
      <w:r>
        <w:t xml:space="preserve"> </w:t>
      </w:r>
      <w:r>
        <w:rPr>
          <w:rStyle w:val="Suchmarke"/>
        </w:rPr>
        <w:t>#771#</w:t>
      </w:r>
      <w:bookmarkEnd w:id="778"/>
    </w:p>
    <w:p>
      <w:r>
        <w:t>(1) Behauptet ein Dritter, dass ihm an dem Gegenstand der Zwangsvollstreckung ein die Veräußerung hinderndes Recht zustehe, so ist der Widerspruch gegen die Zwangsvollstreckung im Wege der Klage bei dem Gericht geltend zu machen, in dessen Bezirk die Zwangsvollstreckung erfolgt.</w:t>
      </w:r>
    </w:p>
    <w:p>
      <w:r>
        <w:t>(2) Wird die Klage gegen den Gläubiger und den Schuldner gerichtet, so sind diese als Streitgenossen anzusehen.</w:t>
      </w:r>
    </w:p>
    <w:p>
      <w:r>
        <w:t xml:space="preserve">(3) </w:t>
      </w:r>
      <w:r>
        <w:rPr>
          <w:rStyle w:val="Satznummer"/>
        </w:rPr>
        <w:t>1</w:t>
      </w:r>
      <w:r>
        <w:t xml:space="preserve">Auf die Einstellung der Zwangsvollstreckung und die Aufhebung der bereits getroffenen Vollstreckungsmaßregeln sind die Vorschriften der </w:t>
      </w:r>
      <w:hyperlink w:anchor="b775" w:history="1">
        <w:r>
          <w:rPr>
            <w:color w:val="0A3A8C"/>
            <w:u w:val="single"/>
          </w:rPr>
          <w:t xml:space="preserve">§§ 769</w:t>
        </w:r>
      </w:hyperlink>
      <w:r>
        <w:t xml:space="preserve">, </w:t>
      </w:r>
      <w:hyperlink w:anchor="b776" w:history="1">
        <w:r>
          <w:rPr>
            <w:color w:val="0A3A8C"/>
            <w:u w:val="single"/>
          </w:rPr>
          <w:t xml:space="preserve">770</w:t>
        </w:r>
      </w:hyperlink>
      <w:r>
        <w:t xml:space="preserve"> entsprechend anzuwenden. </w:t>
      </w:r>
      <w:r>
        <w:rPr>
          <w:rStyle w:val="Satznummer"/>
        </w:rPr>
        <w:t>2</w:t>
      </w:r>
      <w:r>
        <w:t>Die Aufhebung einer Vollstreckungsmaßregel ist auch ohne Sicherheitsleistung zulässig.</w:t>
      </w:r>
    </w:p>
    <w:p>
      <w:pPr>
        <w:pStyle w:val="Heading3"/>
      </w:pPr>
      <w:bookmarkStart w:id="779" w:name="b778"/>
      <w:r>
        <w:t>§ 772 Drittwiderspruchsklage bei Veräußerungsverbot</w:t>
      </w:r>
      <w:r>
        <w:t xml:space="preserve"> </w:t>
      </w:r>
      <w:r>
        <w:rPr>
          <w:rStyle w:val="Suchmarke"/>
        </w:rPr>
        <w:t>#772#</w:t>
      </w:r>
      <w:bookmarkEnd w:id="779"/>
    </w:p>
    <w:p>
      <w:r>
        <w:rPr>
          <w:rStyle w:val="Satznummer"/>
        </w:rPr>
        <w:t>1</w:t>
      </w:r>
      <w:r>
        <w:t xml:space="preserve">Solange ein Veräußerungsverbot der in den §§ 135, 136 des Bürgerlichen Gesetzbuchs bezeichneten Art besteht, soll der Gegenstand, auf den es sich bezieht, wegen eines persönlichen Anspruchs oder auf Grund eines infolge des Verbots unwirksamen Rechts nicht im Wege der Zwangsvollstreckung veräußert oder überwiesen werden. </w:t>
      </w:r>
      <w:r>
        <w:rPr>
          <w:rStyle w:val="Satznummer"/>
        </w:rPr>
        <w:t>2</w:t>
      </w:r>
      <w:r>
        <w:t>Auf Grund des Veräußerungsverbots kann nach Maßgabe des § 771 Widerspruch erhoben werden.</w:t>
      </w:r>
    </w:p>
    <w:p>
      <w:pPr>
        <w:pStyle w:val="Heading3"/>
      </w:pPr>
      <w:bookmarkStart w:id="780" w:name="b779"/>
      <w:r>
        <w:t>§ 773 Drittwiderspruchsklage des Nacherben</w:t>
      </w:r>
      <w:r>
        <w:t xml:space="preserve"> </w:t>
      </w:r>
      <w:r>
        <w:rPr>
          <w:rStyle w:val="Suchmarke"/>
        </w:rPr>
        <w:t>#773#</w:t>
      </w:r>
      <w:bookmarkEnd w:id="780"/>
    </w:p>
    <w:p>
      <w:r>
        <w:rPr>
          <w:rStyle w:val="Satznummer"/>
        </w:rPr>
        <w:t>1</w:t>
      </w:r>
      <w:r>
        <w:t xml:space="preserve">Ein Gegenstand, der zu einer Vorerbschaft gehört, soll nicht im Wege der Zwangsvollstreckung veräußert oder überwiesen werden, wenn die Veräußerung oder die Überweisung im Falle des Eintritts der Nacherbfolge nach § 2115 des Bürgerlichen Gesetzbuchs dem Nacherben gegenüber unwirksam ist. </w:t>
      </w:r>
      <w:r>
        <w:rPr>
          <w:rStyle w:val="Satznummer"/>
        </w:rPr>
        <w:t>2</w:t>
      </w:r>
      <w:r>
        <w:t>Der Nacherbe kann nach Maßgabe des § 771 Widerspruch erheben.</w:t>
      </w:r>
    </w:p>
    <w:p>
      <w:pPr>
        <w:pStyle w:val="Heading3"/>
      </w:pPr>
      <w:bookmarkStart w:id="781" w:name="b780"/>
      <w:r>
        <w:t>§ 774 Drittwiderspruchsklage des Ehegatten oder Lebenspartners</w:t>
      </w:r>
      <w:r>
        <w:t xml:space="preserve"> </w:t>
      </w:r>
      <w:r>
        <w:rPr>
          <w:rStyle w:val="Suchmarke"/>
        </w:rPr>
        <w:t>#774#</w:t>
      </w:r>
      <w:bookmarkEnd w:id="781"/>
    </w:p>
    <w:p>
      <w:r>
        <w:t xml:space="preserve">Findet nach </w:t>
      </w:r>
      <w:hyperlink w:anchor="b740" w:history="1">
        <w:r>
          <w:rPr>
            <w:color w:val="0A3A8C"/>
            <w:u w:val="single"/>
          </w:rPr>
          <w:t xml:space="preserve">§ 741</w:t>
        </w:r>
      </w:hyperlink>
      <w:r>
        <w:t xml:space="preserve"> die Zwangsvollstreckung in das Gesamtgut statt, so kann ein Ehegatte oder Lebenspartner nach Maßgabe des § 771 Widerspruch erheben, wenn das gegen den anderen Ehegatten oder Lebenspartner ergangene Urteil in Ansehung des Gesamtgutes ihm gegenüber unwirksam ist.</w:t>
      </w:r>
    </w:p>
    <w:p>
      <w:pPr>
        <w:pStyle w:val="Heading3"/>
      </w:pPr>
      <w:bookmarkStart w:id="782" w:name="b781"/>
      <w:r>
        <w:t>§ 775 Einstellung oder Beschränkung der Zwangsvollstreckung</w:t>
      </w:r>
      <w:r>
        <w:t xml:space="preserve"> </w:t>
      </w:r>
      <w:r>
        <w:rPr>
          <w:rStyle w:val="Suchmarke"/>
        </w:rPr>
        <w:t>#775#</w:t>
      </w:r>
      <w:bookmarkEnd w:id="782"/>
    </w:p>
    <w:p>
      <w:r>
        <w:t>Die Zwangsvollstreckung ist einzustellen oder zu beschränken:</w:t>
      </w:r>
    </w:p>
    <w:p>
      <w:pPr>
        <w:tabs>
          <w:tab w:pos="567" w:val="left"/>
        </w:tabs>
        <w:ind w:left="567" w:hanging="567"/>
      </w:pPr>
      <w:r>
        <w:t>1.</w:t>
      </w:r>
      <w:r>
        <w:tab/>
      </w:r>
      <w:r>
        <w:t>wenn die Ausfertigung einer vollstreckbaren Entscheidung vorgelegt wird, aus der sich ergibt, dass das zu vollstreckende Urteil oder seine vorläufige Vollstreckbarkeit aufgehoben oder dass die Zwangsvollstreckung für unzulässig erklärt oder ihre Einstellung angeordnet ist;</w:t>
      </w:r>
    </w:p>
    <w:p>
      <w:pPr>
        <w:tabs>
          <w:tab w:pos="567" w:val="left"/>
        </w:tabs>
        <w:ind w:left="567" w:hanging="567"/>
      </w:pPr>
      <w:r>
        <w:t>2.</w:t>
      </w:r>
      <w:r>
        <w:tab/>
      </w:r>
      <w:r>
        <w:t>wenn die Ausfertigung einer gerichtlichen Entscheidung vorgelegt wird, aus der sich ergibt, dass die einstweilige Einstellung der Vollstreckung oder einer Vollstreckungsmaßregel angeordnet ist oder dass die Vollstreckung nur gegen Sicherheitsleistung fortgesetzt werden darf;</w:t>
      </w:r>
    </w:p>
    <w:p>
      <w:pPr>
        <w:tabs>
          <w:tab w:pos="567" w:val="left"/>
        </w:tabs>
        <w:ind w:left="567" w:hanging="567"/>
      </w:pPr>
      <w:r>
        <w:t>3.</w:t>
      </w:r>
      <w:r>
        <w:tab/>
      </w:r>
      <w:r>
        <w:t>wenn eine öffentliche Urkunde vorgelegt wird, aus der sich ergibt, dass die zur Abwendung der Vollstreckung erforderliche Sicherheitsleistung oder Hinterlegung erfolgt ist;</w:t>
      </w:r>
    </w:p>
    <w:p>
      <w:pPr>
        <w:tabs>
          <w:tab w:pos="567" w:val="left"/>
        </w:tabs>
        <w:ind w:left="567" w:hanging="567"/>
      </w:pPr>
      <w:r>
        <w:t>4.</w:t>
      </w:r>
      <w:r>
        <w:tab/>
      </w:r>
      <w:r>
        <w:t>wenn eine öffentliche Urkunde oder eine von dem Gläubiger ausgestellte Privaturkunde vorgelegt wird, aus der sich ergibt, dass der Gläubiger nach Erlass des zu vollstreckenden Urteils befriedigt ist oder Stundung bewilligt hat;</w:t>
      </w:r>
    </w:p>
    <w:p>
      <w:pPr>
        <w:tabs>
          <w:tab w:pos="567" w:val="left"/>
        </w:tabs>
        <w:ind w:left="567" w:hanging="567"/>
      </w:pPr>
      <w:r>
        <w:t>5.</w:t>
      </w:r>
      <w:r>
        <w:tab/>
      </w:r>
      <w:r>
        <w:t>wenn der Einzahlungs- oder Überweisungsnachweis einer Bank oder Sparkasse vorgelegt wird, aus dem sich ergibt, dass der zur Befriedigung des Gläubigers erforderliche Betrag zur Auszahlung an den Gläubiger oder auf dessen Konto eingezahlt oder überwiesen worden ist.</w:t>
      </w:r>
    </w:p>
    <w:p>
      <w:pPr>
        <w:pStyle w:val="Heading3"/>
      </w:pPr>
      <w:bookmarkStart w:id="783" w:name="b782"/>
      <w:r>
        <w:t>§ 776 Aufhebung von Vollstreckungsmaßregeln</w:t>
      </w:r>
      <w:r>
        <w:t xml:space="preserve"> </w:t>
      </w:r>
      <w:r>
        <w:rPr>
          <w:rStyle w:val="Suchmarke"/>
        </w:rPr>
        <w:t>#776#</w:t>
      </w:r>
      <w:bookmarkEnd w:id="783"/>
    </w:p>
    <w:p>
      <w:r>
        <w:rPr>
          <w:rStyle w:val="Satznummer"/>
        </w:rPr>
        <w:t>1</w:t>
      </w:r>
      <w:r>
        <w:t xml:space="preserve">In den Fällen des </w:t>
      </w:r>
      <w:hyperlink w:anchor="b781" w:history="1">
        <w:r>
          <w:rPr>
            <w:color w:val="0A3A8C"/>
            <w:u w:val="single"/>
          </w:rPr>
          <w:t xml:space="preserve">§ 775</w:t>
        </w:r>
      </w:hyperlink>
      <w:r>
        <w:t xml:space="preserve"> Nr. 1, 3 sind zugleich die bereits getroffenen Vollstreckungsmaßregeln aufzuheben. </w:t>
      </w:r>
      <w:r>
        <w:rPr>
          <w:rStyle w:val="Satznummer"/>
        </w:rPr>
        <w:t>2</w:t>
      </w:r>
      <w:r>
        <w:t>In den Fällen der Nummern 4, 5 bleiben diese Maßregeln einstweilen bestehen; dasselbe gilt in den Fällen der Nummer 2, sofern nicht durch die Entscheidung auch die Aufhebung der bisherigen Vollstreckungshandlungen angeordnet ist.</w:t>
      </w:r>
    </w:p>
    <w:p>
      <w:pPr>
        <w:pStyle w:val="Heading3"/>
      </w:pPr>
      <w:bookmarkStart w:id="784" w:name="b783"/>
      <w:r>
        <w:t>§ 777 Erinnerung bei genügender Sicherung des Gläubigers</w:t>
      </w:r>
      <w:r>
        <w:t xml:space="preserve"> </w:t>
      </w:r>
      <w:r>
        <w:rPr>
          <w:rStyle w:val="Suchmarke"/>
        </w:rPr>
        <w:t>#777#</w:t>
      </w:r>
      <w:bookmarkEnd w:id="784"/>
    </w:p>
    <w:p>
      <w:r>
        <w:rPr>
          <w:rStyle w:val="Satznummer"/>
        </w:rPr>
        <w:t>1</w:t>
      </w:r>
      <w:r>
        <w:t xml:space="preserve">Hat der Gläubiger eine bewegliche Sache des Schuldners im Besitz, in Ansehung deren ihm ein Pfandrecht oder ein Zurückbehaltungsrecht für seine Forderung zusteht, so kann der Schuldner der Zwangsvollstreckung in sein übriges Vermögen nach </w:t>
      </w:r>
      <w:hyperlink w:anchor="b772" w:history="1">
        <w:r>
          <w:rPr>
            <w:color w:val="0A3A8C"/>
            <w:u w:val="single"/>
          </w:rPr>
          <w:t xml:space="preserve">§ 766</w:t>
        </w:r>
      </w:hyperlink>
      <w:r>
        <w:t xml:space="preserve"> widersprechen, soweit die Forderung durch den Wert der Sache gedeckt ist. </w:t>
      </w:r>
      <w:r>
        <w:rPr>
          <w:rStyle w:val="Satznummer"/>
        </w:rPr>
        <w:t>2</w:t>
      </w:r>
      <w:r>
        <w:t>Steht dem Gläubiger ein solches Recht in Ansehung der Sache auch für eine andere Forderung zu, so ist der Widerspruch nur zulässig, wenn auch diese Forderung durch den Wert der Sache gedeckt ist.</w:t>
      </w:r>
    </w:p>
    <w:p>
      <w:pPr>
        <w:pStyle w:val="Heading3"/>
      </w:pPr>
      <w:bookmarkStart w:id="785" w:name="b784"/>
      <w:r>
        <w:t>§ 778 Zwangsvollstreckung vor Erbschaftsannahme</w:t>
      </w:r>
      <w:r>
        <w:t xml:space="preserve"> </w:t>
      </w:r>
      <w:r>
        <w:rPr>
          <w:rStyle w:val="Suchmarke"/>
        </w:rPr>
        <w:t>#778#</w:t>
      </w:r>
      <w:bookmarkEnd w:id="785"/>
    </w:p>
    <w:p>
      <w:r>
        <w:t>(1) Solange der Erbe die Erbschaft nicht angenommen hat, ist eine Zwangsvollstreckung wegen eines Anspruchs, der sich gegen den Nachlass richtet, nur in den Nachlass zulässig.</w:t>
      </w:r>
    </w:p>
    <w:p>
      <w:r>
        <w:t>(2) Wegen eigener Verbindlichkeiten des Erben ist eine Zwangsvollstreckung in den Nachlass vor der Annahme der Erbschaft nicht zulässig.</w:t>
      </w:r>
    </w:p>
    <w:p>
      <w:pPr>
        <w:pStyle w:val="Heading3"/>
      </w:pPr>
      <w:bookmarkStart w:id="786" w:name="b785"/>
      <w:r>
        <w:t>§ 779 Fortsetzung der Zwangsvollstreckung nach dem Tod des Schuldners</w:t>
      </w:r>
      <w:r>
        <w:t xml:space="preserve"> </w:t>
      </w:r>
      <w:r>
        <w:rPr>
          <w:rStyle w:val="Suchmarke"/>
        </w:rPr>
        <w:t>#779#</w:t>
      </w:r>
      <w:bookmarkEnd w:id="786"/>
    </w:p>
    <w:p>
      <w:r>
        <w:t>(1) Eine Zwangsvollstreckung, die zur Zeit des Todes des Schuldners gegen ihn bereits begonnen hatte, wird in seinen Nachlass fortgesetzt.</w:t>
      </w:r>
    </w:p>
    <w:p>
      <w:r>
        <w:t xml:space="preserve">(2) </w:t>
      </w:r>
      <w:r>
        <w:rPr>
          <w:rStyle w:val="Satznummer"/>
        </w:rPr>
        <w:t>1</w:t>
      </w:r>
      <w:r>
        <w:t xml:space="preserve">Ist bei einer Vollstreckungshandlung die Zuziehung des Schuldners nötig, so hat, wenn die Erbschaft noch nicht angenommen oder wenn der Erbe unbekannt oder es ungewiss ist, ob er die Erbschaft angenommen hat, das Vollstreckungsgericht auf Antrag des Gläubigers dem Erben einen einstweiligen besonderen Vertreter zu bestellen. </w:t>
      </w:r>
      <w:r>
        <w:rPr>
          <w:rStyle w:val="Satznummer"/>
        </w:rPr>
        <w:t>2</w:t>
      </w:r>
      <w:r>
        <w:t>Die Bestellung hat zu unterbleiben, wenn ein Nachlasspfleger bestellt ist oder wenn die Verwaltung des Nachlasses einem Testamentsvollstrecker zusteht.</w:t>
      </w:r>
    </w:p>
    <w:p>
      <w:pPr>
        <w:pStyle w:val="Heading3"/>
      </w:pPr>
      <w:bookmarkStart w:id="787" w:name="b786"/>
      <w:r>
        <w:t>§ 780 Vorbehalt der beschränkten Erbenhaftung</w:t>
      </w:r>
      <w:r>
        <w:t xml:space="preserve"> </w:t>
      </w:r>
      <w:r>
        <w:rPr>
          <w:rStyle w:val="Suchmarke"/>
        </w:rPr>
        <w:t>#780#</w:t>
      </w:r>
      <w:bookmarkEnd w:id="787"/>
    </w:p>
    <w:p>
      <w:r>
        <w:t>(1) Der als Erbe des Schuldners verurteilte Beklagte kann die Beschränkung seiner Haftung nur geltend machen, wenn sie ihm im Urteil vorbehalten ist.</w:t>
      </w:r>
    </w:p>
    <w:p>
      <w:r>
        <w:t>(2) Der Vorbehalt ist nicht erforderlich, wenn der Fiskus als gesetzlicher Erbe verurteilt wird oder wenn das Urteil über eine Nachlassverbindlichkeit gegen einen Nachlassverwalter oder einen anderen Nachlasspfleger oder gegen einen Testamentsvollstrecker, dem die Verwaltung des Nachlasses zusteht, erlassen wird.</w:t>
      </w:r>
    </w:p>
    <w:p>
      <w:pPr>
        <w:pStyle w:val="Heading3"/>
      </w:pPr>
      <w:bookmarkStart w:id="788" w:name="b787"/>
      <w:r>
        <w:t>§ 781 Beschränkte Erbenhaftung in der Zwangsvollstreckung</w:t>
      </w:r>
      <w:r>
        <w:t xml:space="preserve"> </w:t>
      </w:r>
      <w:r>
        <w:rPr>
          <w:rStyle w:val="Suchmarke"/>
        </w:rPr>
        <w:t>#781#</w:t>
      </w:r>
      <w:bookmarkEnd w:id="788"/>
    </w:p>
    <w:p>
      <w:r>
        <w:t>Bei der Zwangsvollstreckung gegen den Erben des Schuldners bleibt die Beschränkung der Haftung unberücksichtigt, bis auf Grund derselben gegen die Zwangsvollstreckung von dem Erben Einwendungen erhoben werden.</w:t>
      </w:r>
    </w:p>
    <w:p>
      <w:pPr>
        <w:pStyle w:val="Heading3"/>
      </w:pPr>
      <w:bookmarkStart w:id="789" w:name="b788"/>
      <w:r>
        <w:t>§ 782 Einreden des Erben gegen Nachlassgläubiger</w:t>
      </w:r>
      <w:r>
        <w:t xml:space="preserve"> </w:t>
      </w:r>
      <w:r>
        <w:rPr>
          <w:rStyle w:val="Suchmarke"/>
        </w:rPr>
        <w:t>#782#</w:t>
      </w:r>
      <w:bookmarkEnd w:id="789"/>
    </w:p>
    <w:p>
      <w:r>
        <w:rPr>
          <w:rStyle w:val="Satznummer"/>
        </w:rPr>
        <w:t>1</w:t>
      </w:r>
      <w:r>
        <w:t xml:space="preserve">Der Erbe kann auf Grund der ihm nach den §§ 2014, 2015 des Bürgerlichen Gesetzbuchs zustehenden Einreden nur verlangen, dass die Zwangsvollstreckung für die Dauer der dort bestimmten Fristen auf solche Maßregeln beschränkt wird, die zur Vollziehung eines Arrestes zulässig sind. </w:t>
      </w:r>
      <w:r>
        <w:rPr>
          <w:rStyle w:val="Satznummer"/>
        </w:rPr>
        <w:t>2</w:t>
      </w:r>
      <w:r>
        <w:t>Wird vor dem Ablauf der Frist die Eröffnung des Nachlassinsolvenzverfahrens beantragt, so ist auf Antrag die Beschränkung der Zwangsvollstreckung auch nach dem Ablauf der Frist aufrechtzuerhalten, bis über die Eröffnung des Insolvenzverfahrens rechtskräftig entschieden ist.</w:t>
      </w:r>
    </w:p>
    <w:p>
      <w:pPr>
        <w:pStyle w:val="Heading3"/>
      </w:pPr>
      <w:bookmarkStart w:id="790" w:name="b789"/>
      <w:r>
        <w:t>§ 783 Einreden des Erben gegen persönliche Gläubiger</w:t>
      </w:r>
      <w:r>
        <w:t xml:space="preserve"> </w:t>
      </w:r>
      <w:r>
        <w:rPr>
          <w:rStyle w:val="Suchmarke"/>
        </w:rPr>
        <w:t>#783#</w:t>
      </w:r>
      <w:bookmarkEnd w:id="790"/>
    </w:p>
    <w:p>
      <w:r>
        <w:t xml:space="preserve">In Ansehung der Nachlassgegenstände kann der Erbe die Beschränkung der Zwangsvollstreckung nach </w:t>
      </w:r>
      <w:hyperlink w:anchor="b788" w:history="1">
        <w:r>
          <w:rPr>
            <w:color w:val="0A3A8C"/>
            <w:u w:val="single"/>
          </w:rPr>
          <w:t xml:space="preserve">§ 782</w:t>
        </w:r>
      </w:hyperlink>
      <w:r>
        <w:t xml:space="preserve"> auch gegenüber den Gläubigern verlangen, die nicht Nachlassgläubiger sind, es sei denn, dass er für die Nachlassverbindlichkeiten unbeschränkt haftet.</w:t>
      </w:r>
    </w:p>
    <w:p>
      <w:pPr>
        <w:pStyle w:val="Heading3"/>
      </w:pPr>
      <w:bookmarkStart w:id="791" w:name="b790"/>
      <w:r>
        <w:t>§ 784 Zwangsvollstreckung bei Nachlassverwaltung und -insolvenzverfahren</w:t>
      </w:r>
      <w:r>
        <w:t xml:space="preserve"> </w:t>
      </w:r>
      <w:r>
        <w:rPr>
          <w:rStyle w:val="Suchmarke"/>
        </w:rPr>
        <w:t>#784#</w:t>
      </w:r>
      <w:bookmarkEnd w:id="791"/>
    </w:p>
    <w:p>
      <w:r>
        <w:t>(1) Ist eine Nachlassverwaltung angeordnet oder das Nachlassinsolvenzverfahren eröffnet, so kann der Erbe verlangen, dass Maßregeln der Zwangsvollstreckung, die zugunsten eines Nachlassgläubigers in sein nicht zum Nachlass gehörendes Vermögen erfolgt sind, aufgehoben werden, es sei denn, dass er für die Nachlassverbindlichkeiten unbeschränkt haftet.</w:t>
      </w:r>
    </w:p>
    <w:p>
      <w:r>
        <w:t>(2) Im Falle der Nachlassverwaltung steht dem Nachlassverwalter das gleiche Recht gegenüber Maßregeln der Zwangsvollstreckung zu, die zugunsten eines anderen Gläubigers als eines Nachlassgläubigers in den Nachlass erfolgt sind.</w:t>
      </w:r>
    </w:p>
    <w:p>
      <w:pPr>
        <w:pStyle w:val="Heading3"/>
      </w:pPr>
      <w:bookmarkStart w:id="792" w:name="b791"/>
      <w:r>
        <w:t>§ 785 Vollstreckungsabwehrklage des Erben</w:t>
      </w:r>
      <w:r>
        <w:t xml:space="preserve"> </w:t>
      </w:r>
      <w:r>
        <w:rPr>
          <w:rStyle w:val="Suchmarke"/>
        </w:rPr>
        <w:t>#785#</w:t>
      </w:r>
      <w:bookmarkEnd w:id="792"/>
    </w:p>
    <w:p>
      <w:r>
        <w:t xml:space="preserve">Die auf Grund der </w:t>
      </w:r>
      <w:hyperlink w:anchor="b787" w:history="1">
        <w:r>
          <w:rPr>
            <w:color w:val="0A3A8C"/>
            <w:u w:val="single"/>
          </w:rPr>
          <w:t xml:space="preserve">§§ 781</w:t>
        </w:r>
      </w:hyperlink>
      <w:r>
        <w:t xml:space="preserve"> bis </w:t>
      </w:r>
      <w:hyperlink w:anchor="b790" w:history="1">
        <w:r>
          <w:rPr>
            <w:color w:val="0A3A8C"/>
            <w:u w:val="single"/>
          </w:rPr>
          <w:t xml:space="preserve">784</w:t>
        </w:r>
      </w:hyperlink>
      <w:r>
        <w:t xml:space="preserve"> erhobenen Einwendungen werden nach den Vorschriften der </w:t>
      </w:r>
      <w:hyperlink w:anchor="b773" w:history="1">
        <w:r>
          <w:rPr>
            <w:color w:val="0A3A8C"/>
            <w:u w:val="single"/>
          </w:rPr>
          <w:t xml:space="preserve">§§ 767</w:t>
        </w:r>
      </w:hyperlink>
      <w:r>
        <w:t xml:space="preserve">, </w:t>
      </w:r>
      <w:hyperlink w:anchor="b775" w:history="1">
        <w:r>
          <w:rPr>
            <w:color w:val="0A3A8C"/>
            <w:u w:val="single"/>
          </w:rPr>
          <w:t xml:space="preserve">769</w:t>
        </w:r>
      </w:hyperlink>
      <w:r>
        <w:t xml:space="preserve">, </w:t>
      </w:r>
      <w:hyperlink w:anchor="b776" w:history="1">
        <w:r>
          <w:rPr>
            <w:color w:val="0A3A8C"/>
            <w:u w:val="single"/>
          </w:rPr>
          <w:t xml:space="preserve">770</w:t>
        </w:r>
      </w:hyperlink>
      <w:r>
        <w:t xml:space="preserve"> erledigt.</w:t>
      </w:r>
    </w:p>
    <w:p>
      <w:pPr>
        <w:pStyle w:val="Heading3"/>
      </w:pPr>
      <w:bookmarkStart w:id="793" w:name="b792"/>
      <w:r>
        <w:t>§ 786 Vollstreckungsabwehrklage bei beschränkter Haftung</w:t>
      </w:r>
      <w:r>
        <w:t xml:space="preserve"> </w:t>
      </w:r>
      <w:r>
        <w:rPr>
          <w:rStyle w:val="Suchmarke"/>
        </w:rPr>
        <w:t>#786#</w:t>
      </w:r>
      <w:bookmarkEnd w:id="793"/>
    </w:p>
    <w:p>
      <w:r>
        <w:t xml:space="preserve">(1) Die Vorschriften des </w:t>
      </w:r>
      <w:hyperlink w:anchor="b786" w:history="1">
        <w:r>
          <w:rPr>
            <w:color w:val="0A3A8C"/>
            <w:u w:val="single"/>
          </w:rPr>
          <w:t xml:space="preserve">§ 780</w:t>
        </w:r>
      </w:hyperlink>
      <w:r>
        <w:t xml:space="preserve"> Abs. 1 und der </w:t>
      </w:r>
      <w:hyperlink w:anchor="b787" w:history="1">
        <w:r>
          <w:rPr>
            <w:color w:val="0A3A8C"/>
            <w:u w:val="single"/>
          </w:rPr>
          <w:t xml:space="preserve">§§ 781</w:t>
        </w:r>
      </w:hyperlink>
      <w:r>
        <w:t xml:space="preserve"> bis </w:t>
      </w:r>
      <w:hyperlink w:anchor="b791" w:history="1">
        <w:r>
          <w:rPr>
            <w:color w:val="0A3A8C"/>
            <w:u w:val="single"/>
          </w:rPr>
          <w:t xml:space="preserve">785</w:t>
        </w:r>
      </w:hyperlink>
      <w:r>
        <w:t xml:space="preserve"> sind auf die nach § 1489 des Bürgerlichen Gesetzbuchs eintretende beschränkte Haftung, die Vorschriften des </w:t>
      </w:r>
      <w:hyperlink w:anchor="b786" w:history="1">
        <w:r>
          <w:rPr>
            <w:color w:val="0A3A8C"/>
            <w:u w:val="single"/>
          </w:rPr>
          <w:t xml:space="preserve">§ 780</w:t>
        </w:r>
      </w:hyperlink>
      <w:r>
        <w:t xml:space="preserve"> Abs. 1 und der </w:t>
      </w:r>
      <w:hyperlink w:anchor="b787" w:history="1">
        <w:r>
          <w:rPr>
            <w:color w:val="0A3A8C"/>
            <w:u w:val="single"/>
          </w:rPr>
          <w:t xml:space="preserve">§§ 781</w:t>
        </w:r>
      </w:hyperlink>
      <w:r>
        <w:t xml:space="preserve">, </w:t>
      </w:r>
      <w:hyperlink w:anchor="b791" w:history="1">
        <w:r>
          <w:rPr>
            <w:color w:val="0A3A8C"/>
            <w:u w:val="single"/>
          </w:rPr>
          <w:t xml:space="preserve">785</w:t>
        </w:r>
      </w:hyperlink>
      <w:r>
        <w:t xml:space="preserve"> sind auf die nach den §§ 1480, 1504, 1629a, 2187 des Bürgerlichen Gesetzbuchs eintretende beschränkte Haftung entsprechend anzuwenden.</w:t>
      </w:r>
    </w:p>
    <w:p>
      <w:r>
        <w:t xml:space="preserve">(2) Bei der Zwangsvollstreckung aus Urteilen, die bis zum Inkrafttreten des Minderjährigenhaftungsbeschränkungsgesetzes vom 25. August 1998 (BGBl. I S. 2487) am 1. Juli 1999 ergangen sind, kann die Haftungsbeschränkung nach § 1629a des Bürgerlichen Gesetzbuchs auch dann geltend gemacht werden, wenn sie nicht gemäß </w:t>
      </w:r>
      <w:hyperlink w:anchor="b786" w:history="1">
        <w:r>
          <w:rPr>
            <w:color w:val="0A3A8C"/>
            <w:u w:val="single"/>
          </w:rPr>
          <w:t xml:space="preserve">§ 780</w:t>
        </w:r>
      </w:hyperlink>
      <w:r>
        <w:t xml:space="preserve"> Abs. 1 dieses Gesetzes im Urteil vorbehalten ist.</w:t>
      </w:r>
    </w:p>
    <w:p>
      <w:pPr>
        <w:pStyle w:val="Heading3"/>
      </w:pPr>
      <w:bookmarkStart w:id="794" w:name="b793"/>
      <w:r>
        <w:t>§ 786a See- und binnenschifffahrtsrechtliche Haftungsbeschränkung</w:t>
      </w:r>
      <w:r>
        <w:t xml:space="preserve"> </w:t>
      </w:r>
      <w:r>
        <w:rPr>
          <w:rStyle w:val="Suchmarke"/>
        </w:rPr>
        <w:t>#786a#</w:t>
      </w:r>
      <w:bookmarkEnd w:id="794"/>
    </w:p>
    <w:p>
      <w:r>
        <w:t xml:space="preserve">(1) Die Vorschriften des </w:t>
      </w:r>
      <w:hyperlink w:anchor="b786" w:history="1">
        <w:r>
          <w:rPr>
            <w:color w:val="0A3A8C"/>
            <w:u w:val="single"/>
          </w:rPr>
          <w:t xml:space="preserve">§ 780</w:t>
        </w:r>
      </w:hyperlink>
      <w:r>
        <w:t xml:space="preserve"> Abs. 1 und des </w:t>
      </w:r>
      <w:hyperlink w:anchor="b787" w:history="1">
        <w:r>
          <w:rPr>
            <w:color w:val="0A3A8C"/>
            <w:u w:val="single"/>
          </w:rPr>
          <w:t xml:space="preserve">§ 781</w:t>
        </w:r>
      </w:hyperlink>
      <w:r>
        <w:t xml:space="preserve"> sind auf die nach § 611 Absatz 1 oder 3, §§ 612 bis 616 des Handelsgesetzbuchs oder nach den §§ 4 bis 5n des Binnenschifffahrtsgesetzes eintretende beschränkte Haftung entsprechend anzuwenden.</w:t>
      </w:r>
    </w:p>
    <w:p>
      <w:r>
        <w:t xml:space="preserve">(2) Ist das Urteil nach </w:t>
      </w:r>
      <w:hyperlink w:anchor="b347" w:history="1">
        <w:r>
          <w:rPr>
            <w:color w:val="0A3A8C"/>
            <w:u w:val="single"/>
          </w:rPr>
          <w:t xml:space="preserve">§ 305a</w:t>
        </w:r>
      </w:hyperlink>
      <w:r>
        <w:t xml:space="preserve"> unter Vorbehalt ergangen, so gelten für die Zwangsvollstreckung die folgenden Vorschriften:</w:t>
      </w:r>
    </w:p>
    <w:p>
      <w:pPr>
        <w:tabs>
          <w:tab w:pos="567" w:val="left"/>
        </w:tabs>
        <w:ind w:left="567" w:hanging="567"/>
      </w:pPr>
      <w:r>
        <w:t>1.</w:t>
      </w:r>
      <w:r>
        <w:tab/>
      </w:r>
      <w:r>
        <w:t xml:space="preserve">Wird die Eröffnung eines Seerechtlichen oder eines Binnenschifffahrtsrechtlichen Verteilungsverfahrens nach der Schifffahrtsrechtlichen Verteilungsordnung beantragt, an dem der Gläubiger mit dem Anspruch teilnimmt, so entscheidet das Gericht nach § 5 Abs. 3 der Schifffahrtsrechtlichen Verteilungsordnung über die Einstellung der Zwangsvollstreckung; nach Eröffnung des Seerechtlichen Verteilungsverfahrens sind die Vorschriften des § 8 Abs. 4 und 5 der Schifffahrtsrechtlichen Verteilungsordnung, nach Eröffnung des Binnenschifffahrtsrechtlichen Verteilungsverfahrens die Vorschriften des </w:t>
      </w:r>
      <w:hyperlink w:anchor="b10" w:history="1">
        <w:r>
          <w:rPr>
            <w:color w:val="0A3A8C"/>
            <w:u w:val="single"/>
          </w:rPr>
          <w:t xml:space="preserve">§ 8</w:t>
        </w:r>
      </w:hyperlink>
      <w:r>
        <w:t xml:space="preserve"> Abs. 4 und 5 in Verbindung mit § 41 der Schifffahrtsrechtlichen Verteilungsordnung anzuwenden.</w:t>
      </w:r>
    </w:p>
    <w:p>
      <w:pPr>
        <w:tabs>
          <w:tab w:pos="567" w:val="left"/>
        </w:tabs>
        <w:ind w:left="567" w:hanging="567"/>
      </w:pPr>
      <w:r>
        <w:t>2.</w:t>
      </w:r>
      <w:r>
        <w:tab/>
      </w:r>
      <w:r>
        <w:t xml:space="preserve">Ist nach Artikel 11 des Haftungsbeschränkungsübereinkommens (§ 611 Absatz 1 Satz 1 des Handelsgesetzbuchs) von dem Schuldner oder für ihn ein Fonds in einem anderen Vertragsstaat des Übereinkommens errichtet worden, so sind, sofern der Gläubiger den Anspruch gegen den Fonds geltend gemacht hat, die Vorschriften des § 50 der Schifffahrtsrechtlichen Verteilungsordnung anzuwenden. </w:t>
      </w:r>
      <w:r>
        <w:rPr>
          <w:rStyle w:val="Satznummer"/>
        </w:rPr>
        <w:t>2</w:t>
      </w:r>
      <w:r>
        <w:t xml:space="preserve">Hat der Gläubiger den Anspruch nicht gegen den Fonds geltend gemacht oder sind die Voraussetzungen des § 50 Abs. 2 der Schifffahrtsrechtlichen Verteilungsordnung nicht gegeben, so werden Einwendungen, die auf Grund des Rechts auf Beschränkung der Haftung erhoben werden, nach den Vorschriften der </w:t>
      </w:r>
      <w:hyperlink w:anchor="b773" w:history="1">
        <w:r>
          <w:rPr>
            <w:color w:val="0A3A8C"/>
            <w:u w:val="single"/>
          </w:rPr>
          <w:t xml:space="preserve">§§ 767</w:t>
        </w:r>
      </w:hyperlink>
      <w:r>
        <w:t xml:space="preserve">, </w:t>
      </w:r>
      <w:hyperlink w:anchor="b775" w:history="1">
        <w:r>
          <w:rPr>
            <w:color w:val="0A3A8C"/>
            <w:u w:val="single"/>
          </w:rPr>
          <w:t xml:space="preserve">769</w:t>
        </w:r>
      </w:hyperlink>
      <w:r>
        <w:t xml:space="preserve">, </w:t>
      </w:r>
      <w:hyperlink w:anchor="b776" w:history="1">
        <w:r>
          <w:rPr>
            <w:color w:val="0A3A8C"/>
            <w:u w:val="single"/>
          </w:rPr>
          <w:t xml:space="preserve">770</w:t>
        </w:r>
      </w:hyperlink>
      <w:r>
        <w:t xml:space="preserve"> erledigt; das Gleiche gilt, wenn der Fonds in dem anderen Vertragsstaat erst bei Geltendmachung des Rechts auf Beschränkung der Haftung errichtet wird.</w:t>
      </w:r>
    </w:p>
    <w:p>
      <w:pPr>
        <w:tabs>
          <w:tab w:pos="567" w:val="left"/>
        </w:tabs>
        <w:ind w:left="567" w:hanging="567"/>
      </w:pPr>
      <w:r>
        <w:t>3.</w:t>
      </w:r>
      <w:r>
        <w:tab/>
      </w:r>
      <w:r>
        <w:t xml:space="preserve">Ist von dem Schuldner oder für diesen ein Fonds in einem anderen Vertragsstaat des Straßburger Übereinkommens vom 27. September 2012 über die Beschränkung der Haftung in der Binnenschifffahrt (CLNI 2012) (BGBl. 2016 II S. 738, 739) errichtet worden, so ist, sofern der Gläubiger den Anspruch gegen den Fonds geltend machen kann, § 52 der Schifffahrtsrechtlichen Verteilungsordnung anzuwenden. </w:t>
      </w:r>
      <w:r>
        <w:rPr>
          <w:rStyle w:val="Satznummer"/>
        </w:rPr>
        <w:t>2</w:t>
      </w:r>
      <w:r>
        <w:t xml:space="preserve">Sind die Voraussetzungen des § 52 Absatz 3 der Schifffahrtsrechtlichen Verteilungsordnung nicht gegeben, so werden Einwendungen, die auf Grund des Rechts auf Beschränkung der Haftung nach den §§ 4 bis 5n des Binnenschifffahrtsgesetzes erhoben werden, nach den </w:t>
      </w:r>
      <w:hyperlink w:anchor="b773" w:history="1">
        <w:r>
          <w:rPr>
            <w:color w:val="0A3A8C"/>
            <w:u w:val="single"/>
          </w:rPr>
          <w:t xml:space="preserve">§§ 767</w:t>
        </w:r>
      </w:hyperlink>
      <w:r>
        <w:t xml:space="preserve">, </w:t>
      </w:r>
      <w:hyperlink w:anchor="b775" w:history="1">
        <w:r>
          <w:rPr>
            <w:color w:val="0A3A8C"/>
            <w:u w:val="single"/>
          </w:rPr>
          <w:t xml:space="preserve">769</w:t>
        </w:r>
      </w:hyperlink>
      <w:r>
        <w:t xml:space="preserve">, </w:t>
      </w:r>
      <w:hyperlink w:anchor="b776" w:history="1">
        <w:r>
          <w:rPr>
            <w:color w:val="0A3A8C"/>
            <w:u w:val="single"/>
          </w:rPr>
          <w:t xml:space="preserve">770</w:t>
        </w:r>
      </w:hyperlink>
      <w:r>
        <w:t xml:space="preserve"> erledigt; das Gleiche gilt, wenn der Fonds in dem anderen Vertragsstaat erst bei Geltendmachung des Rechts auf Beschränkung der Haftung errichtet wird.</w:t>
      </w:r>
    </w:p>
    <w:p>
      <w:r>
        <w:t>(3) Ist das Urteil eines ausländischen Gerichts unter dem Vorbehalt ergangen, dass der Beklagte das Recht auf Beschränkung der Haftung geltend machen kann, wenn ein Fonds nach Artikel 11 des Haftungsbeschränkungsübereinkommens oder nach Artikel 12 des Straßburger Übereinkommens vom 27. September 2012 über die Beschränkung der Haftung in der Binnenschifffahrt (CLNI 2012) errichtet worden ist oder bei Geltendmachung des Rechts auf Beschränkung der Haftung errichtet wird, so gelten für die Zwangsvollstreckung wegen des durch das Urteil festgestellten Anspruchs die Vorschriften des Absatzes 2 entsprechend.</w:t>
      </w:r>
    </w:p>
    <w:p>
      <w:pPr>
        <w:pStyle w:val="Heading3"/>
      </w:pPr>
      <w:bookmarkStart w:id="795" w:name="b794"/>
      <w:r>
        <w:t>§ 787 Zwangsvollstreckung bei herrenlosem Grundstück oder Schiff</w:t>
      </w:r>
      <w:r>
        <w:t xml:space="preserve"> </w:t>
      </w:r>
      <w:r>
        <w:rPr>
          <w:rStyle w:val="Suchmarke"/>
        </w:rPr>
        <w:t>#787#</w:t>
      </w:r>
      <w:bookmarkEnd w:id="795"/>
    </w:p>
    <w:p>
      <w:r>
        <w:t>(1) Soll durch die Zwangsvollstreckung ein Recht an einem Grundstück, das von dem bisherigen Eigentümer nach § 928 des Bürgerlichen Gesetzbuchs aufgegeben und von dem Aneignungsberechtigten noch nicht erworben worden ist, geltend gemacht werden, so hat das Vollstreckungsgericht auf Antrag einen Vertreter zu bestellen, dem bis zur Eintragung eines neuen Eigentümers die Wahrnehmung der sich aus dem Eigentum ergebenden Rechte und Verpflichtungen im Zwangsvollstreckungsverfahren obliegt.</w:t>
      </w:r>
    </w:p>
    <w:p>
      <w:r>
        <w:t>(2) Absatz 1 gilt entsprechend, wenn durch die Zwangsvollstreckung ein Recht an einem eingetragenen Schiff oder Schiffsbauwerk geltend gemacht werden soll, das von dem bisherigen Eigentümer nach § 7 des Gesetzes über Rechte an eingetragenen Schiffen und Schiffsbauwerken vom 15. November 1940 (RGBl. I S. 1499) aufgegeben und von dem Aneignungsberechtigten noch nicht erworben worden ist.</w:t>
      </w:r>
    </w:p>
    <w:p>
      <w:pPr>
        <w:pStyle w:val="Heading3"/>
      </w:pPr>
      <w:bookmarkStart w:id="796" w:name="b795"/>
      <w:r>
        <w:t>§ 788 Kosten der Zwangsvollstreckung</w:t>
      </w:r>
      <w:r>
        <w:t xml:space="preserve"> </w:t>
      </w:r>
      <w:r>
        <w:rPr>
          <w:rStyle w:val="Suchmarke"/>
        </w:rPr>
        <w:t>#788#</w:t>
      </w:r>
      <w:bookmarkEnd w:id="796"/>
    </w:p>
    <w:p>
      <w:r>
        <w:t xml:space="preserve">(1) </w:t>
      </w:r>
      <w:r>
        <w:rPr>
          <w:rStyle w:val="Satznummer"/>
        </w:rPr>
        <w:t>1</w:t>
      </w:r>
      <w:r>
        <w:t>Die Kosten der Zwangsvollstreckung fallen, soweit sie notwendig waren (</w:t>
      </w:r>
      <w:hyperlink w:anchor="b113" w:history="1">
        <w:r>
          <w:rPr>
            <w:color w:val="0A3A8C"/>
            <w:u w:val="single"/>
          </w:rPr>
          <w:t xml:space="preserve">§ 91</w:t>
        </w:r>
      </w:hyperlink>
      <w:r>
        <w:t xml:space="preserve">), dem Schuldner zur Last; sie sind zugleich mit dem zur Zwangsvollstreckung stehenden Anspruch beizutreiben. </w:t>
      </w:r>
      <w:r>
        <w:rPr>
          <w:rStyle w:val="Satznummer"/>
        </w:rPr>
        <w:t>2</w:t>
      </w:r>
      <w:r>
        <w:t xml:space="preserve">Als Kosten der Zwangsvollstreckung gelten auch die Kosten der Ausfertigung und der Zustellung des Urteils. </w:t>
      </w:r>
      <w:r>
        <w:rPr>
          <w:rStyle w:val="Satznummer"/>
        </w:rPr>
        <w:t>3</w:t>
      </w:r>
      <w:r>
        <w:t xml:space="preserve">Soweit mehrere Schuldner als Gesamtschuldner verurteilt worden sind, haften sie auch für die Kosten der Zwangsvollstreckung als Gesamtschuldner; </w:t>
      </w:r>
      <w:hyperlink w:anchor="b125" w:history="1">
        <w:r>
          <w:rPr>
            <w:color w:val="0A3A8C"/>
            <w:u w:val="single"/>
          </w:rPr>
          <w:t xml:space="preserve">§ 100</w:t>
        </w:r>
      </w:hyperlink>
      <w:r>
        <w:t xml:space="preserve"> Abs. 3 und 4 gilt entsprechend.</w:t>
      </w:r>
    </w:p>
    <w:p>
      <w:r>
        <w:t xml:space="preserve">(2) </w:t>
      </w:r>
      <w:r>
        <w:rPr>
          <w:rStyle w:val="Satznummer"/>
        </w:rPr>
        <w:t>1</w:t>
      </w:r>
      <w:r>
        <w:t xml:space="preserve">Auf Antrag setzt das Vollstreckungsgericht, bei dem zum Zeitpunkt der Antragstellung eine Vollstreckungshandlung anhängig ist, und nach Beendigung der Zwangsvollstreckung das Gericht, in dessen Bezirk die letzte Vollstreckungshandlung erfolgt ist, die Kosten gemäß </w:t>
      </w:r>
      <w:hyperlink w:anchor="b128" w:history="1">
        <w:r>
          <w:rPr>
            <w:color w:val="0A3A8C"/>
            <w:u w:val="single"/>
          </w:rPr>
          <w:t xml:space="preserve">§ 103</w:t>
        </w:r>
      </w:hyperlink>
      <w:r>
        <w:t xml:space="preserve"> Abs. 2, den </w:t>
      </w:r>
      <w:hyperlink w:anchor="b129" w:history="1">
        <w:r>
          <w:rPr>
            <w:color w:val="0A3A8C"/>
            <w:u w:val="single"/>
          </w:rPr>
          <w:t xml:space="preserve">§§ 104</w:t>
        </w:r>
      </w:hyperlink>
      <w:r>
        <w:t xml:space="preserve">, </w:t>
      </w:r>
      <w:hyperlink w:anchor="b132" w:history="1">
        <w:r>
          <w:rPr>
            <w:color w:val="0A3A8C"/>
            <w:u w:val="single"/>
          </w:rPr>
          <w:t xml:space="preserve">107</w:t>
        </w:r>
      </w:hyperlink>
      <w:r>
        <w:t xml:space="preserve"> fest. </w:t>
      </w:r>
      <w:r>
        <w:rPr>
          <w:rStyle w:val="Satznummer"/>
        </w:rPr>
        <w:t>2</w:t>
      </w:r>
      <w:r>
        <w:t xml:space="preserve">Im Falle einer Vollstreckung nach den Vorschriften der </w:t>
      </w:r>
      <w:hyperlink w:anchor="b966" w:history="1">
        <w:r>
          <w:rPr>
            <w:color w:val="0A3A8C"/>
            <w:u w:val="single"/>
          </w:rPr>
          <w:t xml:space="preserve">§§ 887</w:t>
        </w:r>
      </w:hyperlink>
      <w:r>
        <w:t xml:space="preserve">, </w:t>
      </w:r>
      <w:hyperlink w:anchor="b967" w:history="1">
        <w:r>
          <w:rPr>
            <w:color w:val="0A3A8C"/>
            <w:u w:val="single"/>
          </w:rPr>
          <w:t xml:space="preserve">888</w:t>
        </w:r>
      </w:hyperlink>
      <w:r>
        <w:t xml:space="preserve"> und </w:t>
      </w:r>
      <w:hyperlink w:anchor="b970" w:history="1">
        <w:r>
          <w:rPr>
            <w:color w:val="0A3A8C"/>
            <w:u w:val="single"/>
          </w:rPr>
          <w:t xml:space="preserve">890</w:t>
        </w:r>
      </w:hyperlink>
      <w:r>
        <w:t xml:space="preserve"> entscheidet das Prozessgericht des ersten Rechtszuges.</w:t>
      </w:r>
    </w:p>
    <w:p>
      <w:r>
        <w:t>(3) Die Kosten der Zwangsvollstreckung sind dem Schuldner zu erstatten, wenn das Urteil, aus dem die Zwangsvollstreckung erfolgt ist, aufgehoben wird.</w:t>
      </w:r>
    </w:p>
    <w:p>
      <w:r>
        <w:t xml:space="preserve">(4) Die Kosten eines Verfahrens nach den </w:t>
      </w:r>
      <w:hyperlink w:anchor="b771" w:history="1">
        <w:r>
          <w:rPr>
            <w:color w:val="0A3A8C"/>
            <w:u w:val="single"/>
          </w:rPr>
          <w:t xml:space="preserve">§§ 765a</w:t>
        </w:r>
      </w:hyperlink>
      <w:r>
        <w:t xml:space="preserve">, </w:t>
      </w:r>
      <w:hyperlink w:anchor="b848" w:history="1">
        <w:r>
          <w:rPr>
            <w:color w:val="0A3A8C"/>
            <w:u w:val="single"/>
          </w:rPr>
          <w:t xml:space="preserve">811a</w:t>
        </w:r>
      </w:hyperlink>
      <w:r>
        <w:t xml:space="preserve">, </w:t>
      </w:r>
      <w:hyperlink w:anchor="b849" w:history="1">
        <w:r>
          <w:rPr>
            <w:color w:val="0A3A8C"/>
            <w:u w:val="single"/>
          </w:rPr>
          <w:t xml:space="preserve">811b</w:t>
        </w:r>
      </w:hyperlink>
      <w:r>
        <w:t xml:space="preserve">, </w:t>
      </w:r>
      <w:hyperlink w:anchor="b872" w:history="1">
        <w:r>
          <w:rPr>
            <w:color w:val="0A3A8C"/>
            <w:u w:val="single"/>
          </w:rPr>
          <w:t xml:space="preserve">829</w:t>
        </w:r>
      </w:hyperlink>
      <w:r>
        <w:t xml:space="preserve">, </w:t>
      </w:r>
      <w:hyperlink w:anchor="b908" w:history="1">
        <w:r>
          <w:rPr>
            <w:color w:val="0A3A8C"/>
            <w:u w:val="single"/>
          </w:rPr>
          <w:t xml:space="preserve">850k</w:t>
        </w:r>
      </w:hyperlink>
      <w:r>
        <w:t xml:space="preserve">, </w:t>
      </w:r>
      <w:hyperlink w:anchor="b911" w:history="1">
        <w:r>
          <w:rPr>
            <w:color w:val="0A3A8C"/>
            <w:u w:val="single"/>
          </w:rPr>
          <w:t xml:space="preserve">851a</w:t>
        </w:r>
      </w:hyperlink>
      <w:r>
        <w:t xml:space="preserve">, </w:t>
      </w:r>
      <w:hyperlink w:anchor="b912" w:history="1">
        <w:r>
          <w:rPr>
            <w:color w:val="0A3A8C"/>
            <w:u w:val="single"/>
          </w:rPr>
          <w:t xml:space="preserve">851b</w:t>
        </w:r>
      </w:hyperlink>
      <w:r>
        <w:t xml:space="preserve">, </w:t>
      </w:r>
      <w:hyperlink w:anchor="b981" w:history="1">
        <w:r>
          <w:rPr>
            <w:color w:val="0A3A8C"/>
            <w:u w:val="single"/>
          </w:rPr>
          <w:t xml:space="preserve">900</w:t>
        </w:r>
      </w:hyperlink>
      <w:r>
        <w:t xml:space="preserve"> und </w:t>
      </w:r>
      <w:hyperlink w:anchor="b985" w:history="1">
        <w:r>
          <w:rPr>
            <w:color w:val="0A3A8C"/>
            <w:u w:val="single"/>
          </w:rPr>
          <w:t xml:space="preserve">904</w:t>
        </w:r>
      </w:hyperlink>
      <w:r>
        <w:t xml:space="preserve"> bis </w:t>
      </w:r>
      <w:hyperlink w:anchor="b988" w:history="1">
        <w:r>
          <w:rPr>
            <w:color w:val="0A3A8C"/>
            <w:u w:val="single"/>
          </w:rPr>
          <w:t xml:space="preserve">907</w:t>
        </w:r>
      </w:hyperlink>
      <w:r>
        <w:t xml:space="preserve"> kann das Gericht ganz oder teilweise dem Gläubiger auferlegen, wenn dies aus besonderen, in dem Verhalten des Gläubigers liegenden Gründen der Billigkeit entspricht.</w:t>
      </w:r>
    </w:p>
    <w:p>
      <w:pPr>
        <w:pStyle w:val="Heading3"/>
      </w:pPr>
      <w:bookmarkStart w:id="797" w:name="b796"/>
      <w:r>
        <w:t>§ 789 Einschreiten von Behörden</w:t>
      </w:r>
      <w:r>
        <w:t xml:space="preserve"> </w:t>
      </w:r>
      <w:r>
        <w:rPr>
          <w:rStyle w:val="Suchmarke"/>
        </w:rPr>
        <w:t>#789#</w:t>
      </w:r>
      <w:bookmarkEnd w:id="797"/>
    </w:p>
    <w:p>
      <w:r>
        <w:t>Wird zum Zwecke der Vollstreckung das Einschreiten einer Behörde erforderlich, so hat das Gericht die Behörde um ihr Einschreiten zu ersuchen.</w:t>
      </w:r>
    </w:p>
    <w:p>
      <w:pPr>
        <w:pStyle w:val="Heading3"/>
      </w:pPr>
      <w:bookmarkStart w:id="798" w:name="b797"/>
      <w:r>
        <w:t>§ 790 (weggefallen)</w:t>
      </w:r>
      <w:r>
        <w:t xml:space="preserve"> </w:t>
      </w:r>
      <w:r>
        <w:rPr>
          <w:rStyle w:val="Suchmarke"/>
        </w:rPr>
        <w:t>#790#</w:t>
      </w:r>
      <w:bookmarkEnd w:id="798"/>
    </w:p>
    <w:p>
      <w:r>
        <w:t>-</w:t>
      </w:r>
    </w:p>
    <w:p>
      <w:pPr>
        <w:pStyle w:val="Heading3"/>
      </w:pPr>
      <w:bookmarkStart w:id="799" w:name="b798"/>
      <w:r>
        <w:t>§ 791</w:t>
      </w:r>
      <w:r>
        <w:t xml:space="preserve"> </w:t>
      </w:r>
      <w:r>
        <w:rPr>
          <w:rStyle w:val="Suchmarke"/>
        </w:rPr>
        <w:t>#791#</w:t>
      </w:r>
      <w:bookmarkEnd w:id="799"/>
    </w:p>
    <w:p>
      <w:r>
        <w:t>(weggefallen)</w:t>
      </w:r>
    </w:p>
    <w:p>
      <w:pPr>
        <w:pStyle w:val="Heading3"/>
      </w:pPr>
      <w:bookmarkStart w:id="800" w:name="b799"/>
      <w:r>
        <w:t>§ 792 Erteilung von Urkunden an Gläubiger</w:t>
      </w:r>
      <w:r>
        <w:t xml:space="preserve"> </w:t>
      </w:r>
      <w:r>
        <w:rPr>
          <w:rStyle w:val="Suchmarke"/>
        </w:rPr>
        <w:t>#792#</w:t>
      </w:r>
      <w:bookmarkEnd w:id="800"/>
    </w:p>
    <w:p>
      <w:r>
        <w:t>Bedarf der Gläubiger zum Zwecke der Zwangsvollstreckung eines Erbscheins oder einer anderen Urkunde, die dem Schuldner auf Antrag von einer Behörde, einem Beamten oder einem Notar zu erteilen ist, so kann er die Erteilung an Stelle des Schuldners verlangen.</w:t>
      </w:r>
    </w:p>
    <w:p>
      <w:pPr>
        <w:pStyle w:val="Heading3"/>
      </w:pPr>
      <w:bookmarkStart w:id="801" w:name="b800"/>
      <w:r>
        <w:t>§ 793 Sofortige Beschwerde</w:t>
      </w:r>
      <w:r>
        <w:t xml:space="preserve"> </w:t>
      </w:r>
      <w:r>
        <w:rPr>
          <w:rStyle w:val="Suchmarke"/>
        </w:rPr>
        <w:t>#793#</w:t>
      </w:r>
      <w:bookmarkEnd w:id="801"/>
    </w:p>
    <w:p>
      <w:r>
        <w:t>Gegen Entscheidungen, die im Zwangsvollstreckungsverfahren ohne mündliche Verhandlung ergehen können, findet sofortige Beschwerde statt.</w:t>
      </w:r>
    </w:p>
    <w:p>
      <w:pPr>
        <w:pStyle w:val="Heading3"/>
      </w:pPr>
      <w:bookmarkStart w:id="802" w:name="b801"/>
      <w:r>
        <w:t>§ 794 Weitere Vollstreckungstitel</w:t>
      </w:r>
      <w:r>
        <w:t xml:space="preserve"> </w:t>
      </w:r>
      <w:r>
        <w:rPr>
          <w:rStyle w:val="Suchmarke"/>
        </w:rPr>
        <w:t>#794#</w:t>
      </w:r>
      <w:bookmarkEnd w:id="802"/>
    </w:p>
    <w:p>
      <w:r>
        <w:t>(1) Die Zwangsvollstreckung findet ferner statt:</w:t>
      </w:r>
    </w:p>
    <w:p>
      <w:pPr>
        <w:tabs>
          <w:tab w:pos="567" w:val="left"/>
        </w:tabs>
        <w:ind w:left="567" w:hanging="567"/>
      </w:pPr>
      <w:r>
        <w:t>1.</w:t>
      </w:r>
      <w:r>
        <w:tab/>
      </w:r>
      <w:r>
        <w:t xml:space="preserve">aus Vergleichen, die zwischen den Parteien oder zwischen einer Partei und einem Dritten zur Beilegung des Rechtsstreits seinem ganzen Umfang nach oder in Betreff eines Teiles des Streitgegenstandes vor einem deutschen Gericht oder vor einer durch die Landesjustizverwaltung eingerichteten oder anerkannten Gütestelle abgeschlossen sind, sowie aus Vergleichen, die gemäß </w:t>
      </w:r>
      <w:hyperlink w:anchor="b145" w:history="1">
        <w:r>
          <w:rPr>
            <w:color w:val="0A3A8C"/>
            <w:u w:val="single"/>
          </w:rPr>
          <w:t xml:space="preserve">§ 118</w:t>
        </w:r>
      </w:hyperlink>
      <w:r>
        <w:t xml:space="preserve"> Abs. 1 Satz 3 oder </w:t>
      </w:r>
      <w:hyperlink w:anchor="b540" w:history="1">
        <w:r>
          <w:rPr>
            <w:color w:val="0A3A8C"/>
            <w:u w:val="single"/>
          </w:rPr>
          <w:t xml:space="preserve">§ 492</w:t>
        </w:r>
      </w:hyperlink>
      <w:r>
        <w:t xml:space="preserve"> Abs. 3 zu richterlichem Protokoll genommen sind;</w:t>
      </w:r>
    </w:p>
    <w:p>
      <w:pPr>
        <w:tabs>
          <w:tab w:pos="567" w:val="left"/>
        </w:tabs>
        <w:ind w:left="567" w:hanging="567"/>
      </w:pPr>
      <w:r>
        <w:t>2.</w:t>
      </w:r>
      <w:r>
        <w:tab/>
      </w:r>
      <w:r>
        <w:t>aus Kostenfestsetzungsbeschlüssen;</w:t>
      </w:r>
    </w:p>
    <w:p>
      <w:pPr>
        <w:tabs>
          <w:tab w:pos="567" w:val="left"/>
        </w:tabs>
        <w:ind w:left="567" w:hanging="567"/>
      </w:pPr>
      <w:r>
        <w:t>2a.</w:t>
      </w:r>
      <w:r>
        <w:tab/>
      </w:r>
      <w:r>
        <w:t>(weggefallen)</w:t>
      </w:r>
    </w:p>
    <w:p>
      <w:pPr>
        <w:tabs>
          <w:tab w:pos="567" w:val="left"/>
        </w:tabs>
        <w:ind w:left="567" w:hanging="567"/>
      </w:pPr>
      <w:r>
        <w:t>2b.</w:t>
      </w:r>
      <w:r>
        <w:tab/>
      </w:r>
      <w:r>
        <w:t>(weggefallen)</w:t>
      </w:r>
    </w:p>
    <w:p>
      <w:pPr>
        <w:tabs>
          <w:tab w:pos="567" w:val="left"/>
        </w:tabs>
        <w:ind w:left="567" w:hanging="567"/>
      </w:pPr>
      <w:r>
        <w:t>3.</w:t>
      </w:r>
      <w:r>
        <w:tab/>
      </w:r>
      <w:r>
        <w:t>aus Entscheidungen, gegen die das Rechtsmittel der Beschwerde stattfindet;</w:t>
      </w:r>
    </w:p>
    <w:p>
      <w:pPr>
        <w:tabs>
          <w:tab w:pos="567" w:val="left"/>
        </w:tabs>
        <w:ind w:left="567" w:hanging="567"/>
      </w:pPr>
      <w:r>
        <w:t>3a.</w:t>
      </w:r>
      <w:r>
        <w:tab/>
      </w:r>
      <w:r>
        <w:t>(weggefallen)</w:t>
      </w:r>
    </w:p>
    <w:p>
      <w:pPr>
        <w:tabs>
          <w:tab w:pos="567" w:val="left"/>
        </w:tabs>
        <w:ind w:left="567" w:hanging="567"/>
      </w:pPr>
      <w:r>
        <w:t>4.</w:t>
      </w:r>
      <w:r>
        <w:tab/>
      </w:r>
      <w:r>
        <w:t>aus Vollstreckungsbescheiden;</w:t>
      </w:r>
    </w:p>
    <w:p>
      <w:pPr>
        <w:tabs>
          <w:tab w:pos="567" w:val="left"/>
        </w:tabs>
        <w:ind w:left="567" w:hanging="567"/>
      </w:pPr>
      <w:r>
        <w:t>4a.</w:t>
      </w:r>
      <w:r>
        <w:tab/>
      </w:r>
      <w:r>
        <w:t>aus Entscheidungen, die Schiedssprüche für vollstreckbar erklären, sofern die Entscheidungen rechtskräftig oder für vorläufig vollstreckbar erklärt sind;</w:t>
      </w:r>
    </w:p>
    <w:p>
      <w:pPr>
        <w:tabs>
          <w:tab w:pos="567" w:val="left"/>
        </w:tabs>
        <w:ind w:left="567" w:hanging="567"/>
      </w:pPr>
      <w:r>
        <w:t>4b.</w:t>
      </w:r>
      <w:r>
        <w:tab/>
      </w:r>
      <w:r>
        <w:t xml:space="preserve">aus Beschlüssen nach </w:t>
      </w:r>
      <w:hyperlink w:anchor="b808" w:history="1">
        <w:r>
          <w:rPr>
            <w:color w:val="0A3A8C"/>
            <w:u w:val="single"/>
          </w:rPr>
          <w:t xml:space="preserve">§ 796b</w:t>
        </w:r>
      </w:hyperlink>
      <w:r>
        <w:t xml:space="preserve"> oder </w:t>
      </w:r>
      <w:hyperlink w:anchor="b809" w:history="1">
        <w:r>
          <w:rPr>
            <w:color w:val="0A3A8C"/>
            <w:u w:val="single"/>
          </w:rPr>
          <w:t xml:space="preserve">§ 796c</w:t>
        </w:r>
      </w:hyperlink>
      <w:r>
        <w:t>;</w:t>
      </w:r>
    </w:p>
    <w:p>
      <w:pPr>
        <w:tabs>
          <w:tab w:pos="567" w:val="left"/>
        </w:tabs>
        <w:ind w:left="567" w:hanging="567"/>
      </w:pPr>
      <w:r>
        <w:t>5.</w:t>
      </w:r>
      <w:r>
        <w:tab/>
      </w:r>
      <w:r>
        <w:t>aus Urkunden, die von einem deutschen Gericht oder von einem deutschen Notar innerhalb der Grenzen seiner Amtsbefugnisse in der vorgeschriebenen Form aufgenommen sind, sofern die Urkunde über einen Anspruch errichtet ist, der einer vergleichsweisen Regelung zugänglich, nicht auf Abgabe einer Willenserklärung gerichtet ist und nicht den Bestand eines Mietverhältnisses über Wohnraum betrifft, und der Schuldner sich in der Urkunde wegen des zu bezeichnenden Anspruchs der sofortigen Zwangsvollstreckung unterworfen hat;</w:t>
      </w:r>
    </w:p>
    <w:p>
      <w:pPr>
        <w:tabs>
          <w:tab w:pos="567" w:val="left"/>
        </w:tabs>
        <w:ind w:left="567" w:hanging="567"/>
      </w:pPr>
      <w:r>
        <w:t>6.</w:t>
      </w:r>
      <w:r>
        <w:tab/>
      </w:r>
      <w:r>
        <w:t>aus für vollstreckbar erklärten Europäischen Zahlungsbefehlen nach der Verordnung (EG) Nr. 1896/2006;</w:t>
      </w:r>
    </w:p>
    <w:p>
      <w:pPr>
        <w:tabs>
          <w:tab w:pos="567" w:val="left"/>
        </w:tabs>
        <w:ind w:left="567" w:hanging="567"/>
      </w:pPr>
      <w:r>
        <w:t>7.</w:t>
      </w:r>
      <w:r>
        <w:tab/>
      </w:r>
      <w:r>
        <w:t>aus Titeln, die in einem anderen Mitgliedstaat der Europäischen Union nach der Verordnung (EG) Nr. 805/2004 des Europäischen Parlaments und des Rates vom 21. April 2004 zur Einführung eines Europäischen Vollstreckungstitels für unbestrittene Forderungen als Europäische Vollstreckungstitel bestätigt worden sind;</w:t>
      </w:r>
    </w:p>
    <w:p>
      <w:pPr>
        <w:tabs>
          <w:tab w:pos="567" w:val="left"/>
        </w:tabs>
        <w:ind w:left="567" w:hanging="567"/>
      </w:pPr>
      <w:r>
        <w:t>8.</w:t>
      </w:r>
      <w:r>
        <w:tab/>
      </w:r>
      <w:r>
        <w:t>aus Titeln, die in einem anderen Mitgliedstaat der Europäischen Union im Verfahren nach der Verordnung (EG) Nr. 861/2007 ergangen sind;</w:t>
      </w:r>
    </w:p>
    <w:p>
      <w:pPr>
        <w:tabs>
          <w:tab w:pos="567" w:val="left"/>
        </w:tabs>
        <w:ind w:left="567" w:hanging="567"/>
      </w:pPr>
      <w:r>
        <w:t>9.</w:t>
      </w:r>
      <w:r>
        <w:tab/>
      </w:r>
      <w:r>
        <w:t>aus Titeln eines anderen Mitgliedstaats der Europäischen Union, die nach der Verordnung (EU) Nr. 1215/2012 des Europäischen Parlaments und des Rates vom 12. Dezember 2012 über die gerichtliche Zuständigkeit und die Anerkennung und Vollstreckung von Entscheidungen in Zivil- und Handelssachen zu vollstrecken sind.</w:t>
      </w:r>
    </w:p>
    <w:p>
      <w:r>
        <w:t xml:space="preserve">(2) Soweit nach den Vorschriften der </w:t>
      </w:r>
      <w:hyperlink w:anchor="b736" w:history="1">
        <w:r>
          <w:rPr>
            <w:color w:val="0A3A8C"/>
            <w:u w:val="single"/>
          </w:rPr>
          <w:t xml:space="preserve">§§ 737</w:t>
        </w:r>
      </w:hyperlink>
      <w:r>
        <w:t xml:space="preserve">, </w:t>
      </w:r>
      <w:hyperlink w:anchor="b742" w:history="1">
        <w:r>
          <w:rPr>
            <w:color w:val="0A3A8C"/>
            <w:u w:val="single"/>
          </w:rPr>
          <w:t xml:space="preserve">743</w:t>
        </w:r>
      </w:hyperlink>
      <w:r>
        <w:t xml:space="preserve">, des </w:t>
      </w:r>
      <w:hyperlink w:anchor="b745" w:history="1">
        <w:r>
          <w:rPr>
            <w:color w:val="0A3A8C"/>
            <w:u w:val="single"/>
          </w:rPr>
          <w:t xml:space="preserve">§ 745</w:t>
        </w:r>
      </w:hyperlink>
      <w:r>
        <w:t xml:space="preserve"> Abs. 2 und des </w:t>
      </w:r>
      <w:hyperlink w:anchor="b748" w:history="1">
        <w:r>
          <w:rPr>
            <w:color w:val="0A3A8C"/>
            <w:u w:val="single"/>
          </w:rPr>
          <w:t xml:space="preserve">§ 748</w:t>
        </w:r>
      </w:hyperlink>
      <w:r>
        <w:t xml:space="preserve"> Abs. 2 die Verurteilung eines Beteiligten zur Duldung der Zwangsvollstreckung erforderlich ist, wird sie dadurch ersetzt, dass der Beteiligte in einer nach Absatz 1 Nr. 5 aufgenommenen Urkunde die sofortige Zwangsvollstreckung in die seinem Recht unterworfenen Gegenstände bewilligt.</w:t>
      </w:r>
    </w:p>
    <w:p>
      <w:pPr>
        <w:pStyle w:val="Heading3"/>
      </w:pPr>
      <w:bookmarkStart w:id="803" w:name="b802"/>
      <w:r>
        <w:t>§ 794a Zwangsvollstreckung aus Räumungsvergleich</w:t>
      </w:r>
      <w:r>
        <w:t xml:space="preserve"> </w:t>
      </w:r>
      <w:r>
        <w:rPr>
          <w:rStyle w:val="Suchmarke"/>
        </w:rPr>
        <w:t>#794a#</w:t>
      </w:r>
      <w:bookmarkEnd w:id="803"/>
    </w:p>
    <w:p>
      <w:r>
        <w:t xml:space="preserve">(1) </w:t>
      </w:r>
      <w:r>
        <w:rPr>
          <w:rStyle w:val="Satznummer"/>
        </w:rPr>
        <w:t>1</w:t>
      </w:r>
      <w:r>
        <w:t xml:space="preserve">Hat sich der Schuldner in einem Vergleich, aus dem die Zwangsvollstreckung stattfindet, zur Räumung von Wohnraum verpflichtet, so kann ihm das Amtsgericht, in dessen Bezirk der Wohnraum belegen ist, auf Antrag eine den Umständen nach angemessene Räumungsfrist bewilligen. </w:t>
      </w:r>
      <w:r>
        <w:rPr>
          <w:rStyle w:val="Satznummer"/>
        </w:rPr>
        <w:t>2</w:t>
      </w:r>
      <w:r>
        <w:t xml:space="preserve">Der Antrag ist spätestens zwei Wochen vor dem Tag, an dem nach dem Vergleich zu räumen ist, zu stellen; </w:t>
      </w:r>
      <w:hyperlink w:anchor="b261" w:history="1">
        <w:r>
          <w:rPr>
            <w:color w:val="0A3A8C"/>
            <w:u w:val="single"/>
          </w:rPr>
          <w:t xml:space="preserve">§§ 233</w:t>
        </w:r>
      </w:hyperlink>
      <w:r>
        <w:t xml:space="preserve"> bis </w:t>
      </w:r>
      <w:hyperlink w:anchor="b266" w:history="1">
        <w:r>
          <w:rPr>
            <w:color w:val="0A3A8C"/>
            <w:u w:val="single"/>
          </w:rPr>
          <w:t xml:space="preserve">238</w:t>
        </w:r>
      </w:hyperlink>
      <w:r>
        <w:t xml:space="preserve"> gelten sinngemäß. </w:t>
      </w:r>
      <w:r>
        <w:rPr>
          <w:rStyle w:val="Satznummer"/>
        </w:rPr>
        <w:t>3</w:t>
      </w:r>
      <w:r>
        <w:t xml:space="preserve">Die Entscheidung ergeht durch Beschluss. </w:t>
      </w:r>
      <w:r>
        <w:rPr>
          <w:rStyle w:val="Satznummer"/>
        </w:rPr>
        <w:t>4</w:t>
      </w:r>
      <w:r>
        <w:t xml:space="preserve">Vor der Entscheidung ist der Gläubiger zu hören. </w:t>
      </w:r>
      <w:r>
        <w:rPr>
          <w:rStyle w:val="Satznummer"/>
        </w:rPr>
        <w:t>5</w:t>
      </w:r>
      <w:r>
        <w:t xml:space="preserve">Das Gericht ist befugt, die im </w:t>
      </w:r>
      <w:hyperlink w:anchor="b731" w:history="1">
        <w:r>
          <w:rPr>
            <w:color w:val="0A3A8C"/>
            <w:u w:val="single"/>
          </w:rPr>
          <w:t xml:space="preserve">§ 732</w:t>
        </w:r>
      </w:hyperlink>
      <w:r>
        <w:t xml:space="preserve"> Abs. 2 bezeichneten Anordnungen zu erlassen.</w:t>
      </w:r>
    </w:p>
    <w:p>
      <w:r>
        <w:t xml:space="preserve">(2) </w:t>
      </w:r>
      <w:r>
        <w:rPr>
          <w:rStyle w:val="Satznummer"/>
        </w:rPr>
        <w:t>1</w:t>
      </w:r>
      <w:r>
        <w:t xml:space="preserve">Die Räumungsfrist kann auf Antrag verlängert oder verkürzt werden. </w:t>
      </w:r>
      <w:r>
        <w:rPr>
          <w:rStyle w:val="Satznummer"/>
        </w:rPr>
        <w:t>2</w:t>
      </w:r>
      <w:r>
        <w:t>Absatz 1 Satz 2 bis 5 gilt entsprechend.</w:t>
      </w:r>
    </w:p>
    <w:p>
      <w:r>
        <w:t xml:space="preserve">(3) </w:t>
      </w:r>
      <w:r>
        <w:rPr>
          <w:rStyle w:val="Satznummer"/>
        </w:rPr>
        <w:t>1</w:t>
      </w:r>
      <w:r>
        <w:t xml:space="preserve">Die Räumungsfrist darf insgesamt nicht mehr als ein Jahr, gerechnet vom Tag des Abschlusses des Vergleichs, betragen. </w:t>
      </w:r>
      <w:r>
        <w:rPr>
          <w:rStyle w:val="Satznummer"/>
        </w:rPr>
        <w:t>2</w:t>
      </w:r>
      <w:r>
        <w:t>Ist nach dem Vergleich an einem späteren Tag zu räumen, so rechnet die Frist von diesem Tag an.</w:t>
      </w:r>
    </w:p>
    <w:p>
      <w:r>
        <w:t>(4) Gegen die Entscheidung des Amtsgerichts findet die sofortige Beschwerde statt.</w:t>
      </w:r>
    </w:p>
    <w:p>
      <w:r>
        <w:t xml:space="preserve">(5) </w:t>
      </w:r>
      <w:r>
        <w:rPr>
          <w:rStyle w:val="Satznummer"/>
        </w:rPr>
        <w:t>1</w:t>
      </w:r>
      <w:r>
        <w:t xml:space="preserve">Die Absätze 1 bis 4 gelten nicht für Mietverhältnisse über Wohnraum im Sinne des </w:t>
      </w:r>
      <w:hyperlink w:anchor="b601" w:history="1">
        <w:r>
          <w:rPr>
            <w:color w:val="0A3A8C"/>
            <w:u w:val="single"/>
          </w:rPr>
          <w:t xml:space="preserve">§ 549</w:t>
        </w:r>
      </w:hyperlink>
      <w:r>
        <w:t xml:space="preserve"> Abs. 2 Nr. 3 sowie in den Fällen des § 575 des Bürgerlichen Gesetzbuchs. </w:t>
      </w:r>
      <w:r>
        <w:rPr>
          <w:rStyle w:val="Satznummer"/>
        </w:rPr>
        <w:t>2</w:t>
      </w:r>
      <w:r>
        <w:t>Endet ein Mietverhältnis im Sinne des § 575 des Bürgerlichen Gesetzbuchs durch außerordentliche Kündigung, kann eine Räumungsfrist höchstens bis zum vertraglich bestimmten Zeitpunkt der Beendigung gewährt werden.</w:t>
      </w:r>
    </w:p>
    <w:p>
      <w:pPr>
        <w:pStyle w:val="Heading3"/>
      </w:pPr>
      <w:bookmarkStart w:id="804" w:name="b803"/>
      <w:r>
        <w:t>§ 795 Anwendung der allgemeinen Vorschriften auf die weiteren Vollstreckungstitel</w:t>
      </w:r>
      <w:r>
        <w:t xml:space="preserve"> </w:t>
      </w:r>
      <w:r>
        <w:rPr>
          <w:rStyle w:val="Suchmarke"/>
        </w:rPr>
        <w:t>#795#</w:t>
      </w:r>
      <w:bookmarkEnd w:id="804"/>
    </w:p>
    <w:p>
      <w:r>
        <w:rPr>
          <w:rStyle w:val="Satznummer"/>
        </w:rPr>
        <w:t>1</w:t>
      </w:r>
      <w:r>
        <w:t xml:space="preserve">Auf die Zwangsvollstreckung aus den in </w:t>
      </w:r>
      <w:hyperlink w:anchor="b801" w:history="1">
        <w:r>
          <w:rPr>
            <w:color w:val="0A3A8C"/>
            <w:u w:val="single"/>
          </w:rPr>
          <w:t xml:space="preserve">§ 794</w:t>
        </w:r>
      </w:hyperlink>
      <w:r>
        <w:t xml:space="preserve"> erwähnten Schuldtiteln sind die Vorschriften der </w:t>
      </w:r>
      <w:hyperlink w:anchor="b723" w:history="1">
        <w:r>
          <w:rPr>
            <w:color w:val="0A3A8C"/>
            <w:u w:val="single"/>
          </w:rPr>
          <w:t xml:space="preserve">§§ 724</w:t>
        </w:r>
      </w:hyperlink>
      <w:r>
        <w:t xml:space="preserve"> bis </w:t>
      </w:r>
      <w:hyperlink w:anchor="b800" w:history="1">
        <w:r>
          <w:rPr>
            <w:color w:val="0A3A8C"/>
            <w:u w:val="single"/>
          </w:rPr>
          <w:t xml:space="preserve">793</w:t>
        </w:r>
      </w:hyperlink>
      <w:r>
        <w:t xml:space="preserve"> entsprechend anzuwenden, soweit nicht in den </w:t>
      </w:r>
      <w:hyperlink w:anchor="b804" w:history="1">
        <w:r>
          <w:rPr>
            <w:color w:val="0A3A8C"/>
            <w:u w:val="single"/>
          </w:rPr>
          <w:t xml:space="preserve">§§ 795a</w:t>
        </w:r>
      </w:hyperlink>
      <w:r>
        <w:t xml:space="preserve"> bis </w:t>
      </w:r>
      <w:hyperlink w:anchor="b816" w:history="1">
        <w:r>
          <w:rPr>
            <w:color w:val="0A3A8C"/>
            <w:u w:val="single"/>
          </w:rPr>
          <w:t xml:space="preserve">800</w:t>
        </w:r>
      </w:hyperlink>
      <w:r>
        <w:t xml:space="preserve">, </w:t>
      </w:r>
      <w:hyperlink w:anchor="b1119" w:history="1">
        <w:r>
          <w:rPr>
            <w:color w:val="0A3A8C"/>
            <w:u w:val="single"/>
          </w:rPr>
          <w:t xml:space="preserve">1079</w:t>
        </w:r>
      </w:hyperlink>
      <w:r>
        <w:t xml:space="preserve"> bis </w:t>
      </w:r>
      <w:hyperlink w:anchor="b1127" w:history="1">
        <w:r>
          <w:rPr>
            <w:color w:val="0A3A8C"/>
            <w:u w:val="single"/>
          </w:rPr>
          <w:t xml:space="preserve">1086</w:t>
        </w:r>
      </w:hyperlink>
      <w:r>
        <w:t xml:space="preserve">, </w:t>
      </w:r>
      <w:hyperlink w:anchor="b1140" w:history="1">
        <w:r>
          <w:rPr>
            <w:color w:val="0A3A8C"/>
            <w:u w:val="single"/>
          </w:rPr>
          <w:t xml:space="preserve">1093</w:t>
        </w:r>
      </w:hyperlink>
      <w:r>
        <w:t xml:space="preserve"> bis </w:t>
      </w:r>
      <w:hyperlink w:anchor="b1143" w:history="1">
        <w:r>
          <w:rPr>
            <w:color w:val="0A3A8C"/>
            <w:u w:val="single"/>
          </w:rPr>
          <w:t xml:space="preserve">1096</w:t>
        </w:r>
      </w:hyperlink>
      <w:r>
        <w:t xml:space="preserve"> und </w:t>
      </w:r>
      <w:hyperlink w:anchor="b1158" w:history="1">
        <w:r>
          <w:rPr>
            <w:color w:val="0A3A8C"/>
            <w:u w:val="single"/>
          </w:rPr>
          <w:t xml:space="preserve">1107</w:t>
        </w:r>
      </w:hyperlink>
      <w:r>
        <w:t xml:space="preserve"> bis </w:t>
      </w:r>
      <w:hyperlink w:anchor="b1171" w:history="1">
        <w:r>
          <w:rPr>
            <w:color w:val="0A3A8C"/>
            <w:u w:val="single"/>
          </w:rPr>
          <w:t xml:space="preserve">1117</w:t>
        </w:r>
      </w:hyperlink>
      <w:r>
        <w:t xml:space="preserve"> abweichende Vorschriften enthalten sind. </w:t>
      </w:r>
      <w:r>
        <w:rPr>
          <w:rStyle w:val="Satznummer"/>
        </w:rPr>
        <w:t>2</w:t>
      </w:r>
      <w:r>
        <w:t xml:space="preserve">Auf die Zwangsvollstreckung aus den in </w:t>
      </w:r>
      <w:hyperlink w:anchor="b801" w:history="1">
        <w:r>
          <w:rPr>
            <w:color w:val="0A3A8C"/>
            <w:u w:val="single"/>
          </w:rPr>
          <w:t xml:space="preserve">§ 794</w:t>
        </w:r>
      </w:hyperlink>
      <w:r>
        <w:t xml:space="preserve"> Abs. 1 Nr. 2 erwähnten Schuldtiteln ist </w:t>
      </w:r>
      <w:hyperlink w:anchor="b719" w:history="1">
        <w:r>
          <w:rPr>
            <w:color w:val="0A3A8C"/>
            <w:u w:val="single"/>
          </w:rPr>
          <w:t xml:space="preserve">§ 720a</w:t>
        </w:r>
      </w:hyperlink>
      <w:r>
        <w:t xml:space="preserve"> entsprechend anzuwenden, wenn die Schuldtitel auf Urteilen beruhen, die nur gegen Sicherheitsleistung vorläufig vollstreckbar sind. </w:t>
      </w:r>
      <w:r>
        <w:rPr>
          <w:rStyle w:val="Satznummer"/>
        </w:rPr>
        <w:t>3</w:t>
      </w:r>
      <w:r>
        <w:t xml:space="preserve">Die Vorschriften der in </w:t>
      </w:r>
      <w:hyperlink w:anchor="b801" w:history="1">
        <w:r>
          <w:rPr>
            <w:color w:val="0A3A8C"/>
            <w:u w:val="single"/>
          </w:rPr>
          <w:t xml:space="preserve">§ 794</w:t>
        </w:r>
      </w:hyperlink>
      <w:r>
        <w:t xml:space="preserve"> Absatz 1 Nummer 6 bis 9 genannten Verordnungen bleiben unberührt.</w:t>
      </w:r>
    </w:p>
    <w:p>
      <w:pPr>
        <w:pStyle w:val="Heading3"/>
      </w:pPr>
      <w:bookmarkStart w:id="805" w:name="b804"/>
      <w:r>
        <w:t>§ 795a Zwangsvollstreckung aus Kostenfestsetzungsbeschluss</w:t>
      </w:r>
      <w:r>
        <w:t xml:space="preserve"> </w:t>
      </w:r>
      <w:r>
        <w:rPr>
          <w:rStyle w:val="Suchmarke"/>
        </w:rPr>
        <w:t>#795a#</w:t>
      </w:r>
      <w:bookmarkEnd w:id="805"/>
    </w:p>
    <w:p>
      <w:r>
        <w:t xml:space="preserve">Die Zwangsvollstreckung aus einem Kostenfestsetzungsbeschluss, der nach </w:t>
      </w:r>
      <w:hyperlink w:anchor="b130" w:history="1">
        <w:r>
          <w:rPr>
            <w:color w:val="0A3A8C"/>
            <w:u w:val="single"/>
          </w:rPr>
          <w:t xml:space="preserve">§ 105</w:t>
        </w:r>
      </w:hyperlink>
      <w:r>
        <w:t xml:space="preserve"> auf das Urteil gesetzt ist, erfolgt auf Grund einer vollstreckbaren Ausfertigung des Urteils; einer besonderen Vollstreckungsklausel für den Festsetzungsbeschluss bedarf es nicht.</w:t>
      </w:r>
    </w:p>
    <w:p>
      <w:pPr>
        <w:pStyle w:val="Heading3"/>
      </w:pPr>
      <w:bookmarkStart w:id="806" w:name="b805"/>
      <w:r>
        <w:t>§ 795b Vollstreckbarerklärung des gerichtlichen Vergleichs</w:t>
      </w:r>
      <w:r>
        <w:t xml:space="preserve"> </w:t>
      </w:r>
      <w:r>
        <w:rPr>
          <w:rStyle w:val="Suchmarke"/>
        </w:rPr>
        <w:t>#795b#</w:t>
      </w:r>
      <w:bookmarkEnd w:id="806"/>
    </w:p>
    <w:p>
      <w:r>
        <w:t>Bei Vergleichen, die vor einem deutschen Gericht geschlossen sind (</w:t>
      </w:r>
      <w:hyperlink w:anchor="b801" w:history="1">
        <w:r>
          <w:rPr>
            <w:color w:val="0A3A8C"/>
            <w:u w:val="single"/>
          </w:rPr>
          <w:t xml:space="preserve">§ 794</w:t>
        </w:r>
      </w:hyperlink>
      <w:r>
        <w:t xml:space="preserve"> Abs. 1 Nr. 1) und deren Wirksamkeit ausschließlich vom Eintritt einer sich aus der Verfahrensakte ergebenden Tatsache abhängig ist, wird die Vollstreckungsklausel von dem Urkundsbeamten der Geschäftsstelle des Gerichts des ersten Rechtszugs und, wenn der Rechtsstreit bei einem höheren Gericht anhängig ist, von dem Urkundsbeamten der Geschäftsstelle dieses Gerichts erteilt.</w:t>
      </w:r>
    </w:p>
    <w:p>
      <w:pPr>
        <w:pStyle w:val="Heading3"/>
      </w:pPr>
      <w:bookmarkStart w:id="807" w:name="b806"/>
      <w:r>
        <w:t>§ 796 Zwangsvollstreckung aus Vollstreckungsbescheiden</w:t>
      </w:r>
      <w:r>
        <w:t xml:space="preserve"> </w:t>
      </w:r>
      <w:r>
        <w:rPr>
          <w:rStyle w:val="Suchmarke"/>
        </w:rPr>
        <w:t>#796#</w:t>
      </w:r>
      <w:bookmarkEnd w:id="807"/>
    </w:p>
    <w:p>
      <w:r>
        <w:t>(1) Vollstreckungsbescheide bedürfen der Vollstreckungsklausel nur, wenn die Zwangsvollstreckung für einen anderen als den in dem Bescheid bezeichneten Gläubiger oder gegen einen anderen als den in dem Bescheid bezeichneten Schuldner erfolgen soll.</w:t>
      </w:r>
    </w:p>
    <w:p>
      <w:r>
        <w:t>(2) Einwendungen, die den Anspruch selbst betreffen, sind nur insoweit zulässig, als die Gründe, auf denen sie beruhen, nach Zustellung des Vollstreckungsbescheids entstanden sind und durch Einspruch nicht mehr geltend gemacht werden können.</w:t>
      </w:r>
    </w:p>
    <w:p>
      <w:r>
        <w:t>(3) Für Klagen auf Erteilung der Vollstreckungsklausel sowie für Klagen, durch welche die den Anspruch selbst betreffenden Einwendungen geltend gemacht werden oder der bei der Erteilung der Vollstreckungsklausel als bewiesen angenommene Eintritt der Voraussetzung für die Erteilung der Vollstreckungsklausel bestritten wird, ist das Gericht zuständig, das für eine Entscheidung im Streitverfahren zuständig gewesen wäre.</w:t>
      </w:r>
    </w:p>
    <w:p>
      <w:pPr>
        <w:pStyle w:val="Heading3"/>
      </w:pPr>
      <w:bookmarkStart w:id="808" w:name="b807"/>
      <w:r>
        <w:t>§ 796a Voraussetzungen für die Vollstreckbarerklärung des Anwaltsvergleichs</w:t>
      </w:r>
      <w:r>
        <w:t xml:space="preserve"> </w:t>
      </w:r>
      <w:r>
        <w:rPr>
          <w:rStyle w:val="Suchmarke"/>
        </w:rPr>
        <w:t>#796a#</w:t>
      </w:r>
      <w:bookmarkEnd w:id="808"/>
    </w:p>
    <w:p>
      <w:r>
        <w:t>(1) Ein von Rechtsanwälten im Namen und mit Vollmacht der von ihnen vertretenen Parteien abgeschlossener Vergleich wird auf Antrag einer Partei für vollstreckbar erklärt, wenn sich der Schuldner darin der sofortigen Zwangsvollstreckung unterworfen hat und der Vergleich unter Angabe des Tages seines Zustandekommens bei einem Amtsgericht niedergelegt ist, bei dem eine der Parteien zur Zeit des Vergleichsabschlusses ihren allgemeinen Gerichtsstand hat.</w:t>
      </w:r>
    </w:p>
    <w:p>
      <w:r>
        <w:t>(2) Absatz 1 gilt nicht, wenn der Vergleich auf die Abgabe einer Willenserklärung gerichtet ist oder den Bestand eines Mietverhältnisses über Wohnraum betrifft.</w:t>
      </w:r>
    </w:p>
    <w:p>
      <w:r>
        <w:t>(3) Die Vollstreckbarerklärung ist abzulehnen, wenn der Vergleich unwirksam ist oder seine Anerkennung gegen die öffentliche Ordnung verstoßen würde.</w:t>
      </w:r>
    </w:p>
    <w:p>
      <w:pPr>
        <w:pStyle w:val="Heading3"/>
      </w:pPr>
      <w:bookmarkStart w:id="809" w:name="b808"/>
      <w:r>
        <w:t>§ 796b Vollstreckbarerklärung durch das Prozessgericht</w:t>
      </w:r>
      <w:r>
        <w:t xml:space="preserve"> </w:t>
      </w:r>
      <w:r>
        <w:rPr>
          <w:rStyle w:val="Suchmarke"/>
        </w:rPr>
        <w:t>#796b#</w:t>
      </w:r>
      <w:bookmarkEnd w:id="809"/>
    </w:p>
    <w:p>
      <w:r>
        <w:t xml:space="preserve">(1) Für die Vollstreckbarerklärung nach </w:t>
      </w:r>
      <w:hyperlink w:anchor="b807" w:history="1">
        <w:r>
          <w:rPr>
            <w:color w:val="0A3A8C"/>
            <w:u w:val="single"/>
          </w:rPr>
          <w:t xml:space="preserve">§ 796a</w:t>
        </w:r>
      </w:hyperlink>
      <w:r>
        <w:t xml:space="preserve"> Abs. 1 ist das Gericht als Prozessgericht zuständig, das für die gerichtliche Geltendmachung des zu vollstreckenden Anspruchs zuständig wäre.</w:t>
      </w:r>
    </w:p>
    <w:p>
      <w:r>
        <w:t xml:space="preserve">(2) </w:t>
      </w:r>
      <w:r>
        <w:rPr>
          <w:rStyle w:val="Satznummer"/>
        </w:rPr>
        <w:t>1</w:t>
      </w:r>
      <w:r>
        <w:t xml:space="preserve">Vor der Entscheidung über den Antrag auf Vollstreckbarerklärung ist der Gegner zu hören. </w:t>
      </w:r>
      <w:r>
        <w:rPr>
          <w:rStyle w:val="Satznummer"/>
        </w:rPr>
        <w:t>2</w:t>
      </w:r>
      <w:r>
        <w:t xml:space="preserve">Die Entscheidung ergeht durch Beschluss. </w:t>
      </w:r>
      <w:r>
        <w:rPr>
          <w:rStyle w:val="Satznummer"/>
        </w:rPr>
        <w:t>3</w:t>
      </w:r>
      <w:r>
        <w:t>Eine Anfechtung findet nicht statt.</w:t>
      </w:r>
    </w:p>
    <w:p>
      <w:pPr>
        <w:pStyle w:val="Heading3"/>
      </w:pPr>
      <w:bookmarkStart w:id="810" w:name="b809"/>
      <w:r>
        <w:t>§ 796c Vollstreckbarerklärung durch einen Notar</w:t>
      </w:r>
      <w:r>
        <w:t xml:space="preserve"> </w:t>
      </w:r>
      <w:r>
        <w:rPr>
          <w:rStyle w:val="Suchmarke"/>
        </w:rPr>
        <w:t>#796c#</w:t>
      </w:r>
      <w:bookmarkEnd w:id="810"/>
    </w:p>
    <w:p>
      <w:r>
        <w:t xml:space="preserve">(1) </w:t>
      </w:r>
      <w:r>
        <w:rPr>
          <w:rStyle w:val="Satznummer"/>
        </w:rPr>
        <w:t>1</w:t>
      </w:r>
      <w:r>
        <w:t xml:space="preserve">Mit Zustimmung der Parteien kann ein Vergleich ferner von einem Notar, der seinen Amtssitz im Bezirk eines nach </w:t>
      </w:r>
      <w:hyperlink w:anchor="b807" w:history="1">
        <w:r>
          <w:rPr>
            <w:color w:val="0A3A8C"/>
            <w:u w:val="single"/>
          </w:rPr>
          <w:t xml:space="preserve">§ 796a</w:t>
        </w:r>
      </w:hyperlink>
      <w:r>
        <w:t xml:space="preserve"> Abs. 1 zuständigen Gerichts hat, in Verwahrung genommen und für vollstreckbar erklärt werden. </w:t>
      </w:r>
      <w:r>
        <w:rPr>
          <w:rStyle w:val="Satznummer"/>
        </w:rPr>
        <w:t>2</w:t>
      </w:r>
      <w:r>
        <w:t xml:space="preserve">Die </w:t>
      </w:r>
      <w:hyperlink w:anchor="b807" w:history="1">
        <w:r>
          <w:rPr>
            <w:color w:val="0A3A8C"/>
            <w:u w:val="single"/>
          </w:rPr>
          <w:t xml:space="preserve">§§ 796a</w:t>
        </w:r>
      </w:hyperlink>
      <w:r>
        <w:t xml:space="preserve"> und </w:t>
      </w:r>
      <w:hyperlink w:anchor="b808" w:history="1">
        <w:r>
          <w:rPr>
            <w:color w:val="0A3A8C"/>
            <w:u w:val="single"/>
          </w:rPr>
          <w:t xml:space="preserve">796b</w:t>
        </w:r>
      </w:hyperlink>
      <w:r>
        <w:t xml:space="preserve"> gelten entsprechend.</w:t>
      </w:r>
    </w:p>
    <w:p>
      <w:r>
        <w:t xml:space="preserve">(2) </w:t>
      </w:r>
      <w:r>
        <w:rPr>
          <w:rStyle w:val="Satznummer"/>
        </w:rPr>
        <w:t>1</w:t>
      </w:r>
      <w:r>
        <w:t xml:space="preserve">Lehnt der Notar die Vollstreckbarerklärung ab, ist dies zu begründen. </w:t>
      </w:r>
      <w:r>
        <w:rPr>
          <w:rStyle w:val="Satznummer"/>
        </w:rPr>
        <w:t>2</w:t>
      </w:r>
      <w:r>
        <w:t xml:space="preserve">Die Ablehnung durch den Notar kann mit dem Antrag auf gerichtliche Entscheidung bei dem nach </w:t>
      </w:r>
      <w:hyperlink w:anchor="b808" w:history="1">
        <w:r>
          <w:rPr>
            <w:color w:val="0A3A8C"/>
            <w:u w:val="single"/>
          </w:rPr>
          <w:t xml:space="preserve">§ 796b</w:t>
        </w:r>
      </w:hyperlink>
      <w:r>
        <w:t xml:space="preserve"> Abs. 1 zuständigen Gericht angefochten werden.</w:t>
      </w:r>
    </w:p>
    <w:p>
      <w:pPr>
        <w:pStyle w:val="Heading3"/>
      </w:pPr>
      <w:bookmarkStart w:id="811" w:name="b810"/>
      <w:r>
        <w:t>§ 797 Verfahren bei vollstreckbaren Urkunden</w:t>
      </w:r>
      <w:r>
        <w:t xml:space="preserve"> </w:t>
      </w:r>
      <w:r>
        <w:rPr>
          <w:rStyle w:val="Suchmarke"/>
        </w:rPr>
        <w:t>#797#</w:t>
      </w:r>
      <w:bookmarkEnd w:id="811"/>
    </w:p>
    <w:p>
      <w:r>
        <w:t>(1) Die vollstreckbare Ausfertigung wird erteilt bei</w:t>
      </w:r>
    </w:p>
    <w:p>
      <w:pPr>
        <w:tabs>
          <w:tab w:pos="567" w:val="left"/>
        </w:tabs>
        <w:ind w:left="567" w:hanging="567"/>
      </w:pPr>
      <w:r>
        <w:t>1.</w:t>
      </w:r>
      <w:r>
        <w:tab/>
      </w:r>
      <w:r>
        <w:t>gerichtlichen Urkunden von dem Urkundsbeamten der Geschäftsstelle des die Urkunde verwahrenden Gerichts,</w:t>
      </w:r>
    </w:p>
    <w:p>
      <w:pPr>
        <w:tabs>
          <w:tab w:pos="567" w:val="left"/>
        </w:tabs>
        <w:ind w:left="567" w:hanging="567"/>
      </w:pPr>
      <w:r>
        <w:t>2.</w:t>
      </w:r>
      <w:r>
        <w:tab/>
      </w:r>
      <w:r>
        <w:t>notariellen Urkunden von</w:t>
      </w:r>
    </w:p>
    <w:p>
      <w:pPr>
        <w:tabs>
          <w:tab w:pos="1134" w:val="left"/>
        </w:tabs>
        <w:ind w:left="1134" w:hanging="567"/>
      </w:pPr>
      <w:r>
        <w:t>a)</w:t>
      </w:r>
      <w:r>
        <w:tab/>
      </w:r>
      <w:r>
        <w:t>dem die Urkunde verwahrenden Notar,</w:t>
      </w:r>
    </w:p>
    <w:p>
      <w:pPr>
        <w:tabs>
          <w:tab w:pos="1134" w:val="left"/>
        </w:tabs>
        <w:ind w:left="1134" w:hanging="567"/>
      </w:pPr>
      <w:r>
        <w:t>b)</w:t>
      </w:r>
      <w:r>
        <w:tab/>
      </w:r>
      <w:r>
        <w:t>der die Urkunde verwahrenden Notarkammer oder</w:t>
      </w:r>
    </w:p>
    <w:p>
      <w:pPr>
        <w:tabs>
          <w:tab w:pos="1134" w:val="left"/>
        </w:tabs>
        <w:ind w:left="1134" w:hanging="567"/>
      </w:pPr>
      <w:r>
        <w:t>c)</w:t>
      </w:r>
      <w:r>
        <w:tab/>
      </w:r>
      <w:r>
        <w:t>dem die Urkunde verwahrenden Amtsgericht.</w:t>
      </w:r>
    </w:p>
    <w:p>
      <w:r>
        <w:t>(2) Die Entscheidung über die Erteilung einer weiteren vollstreckbaren Ausfertigung wird getroffen bei</w:t>
      </w:r>
    </w:p>
    <w:p>
      <w:pPr>
        <w:tabs>
          <w:tab w:pos="567" w:val="left"/>
        </w:tabs>
        <w:ind w:left="567" w:hanging="567"/>
      </w:pPr>
      <w:r>
        <w:t>1.</w:t>
      </w:r>
      <w:r>
        <w:tab/>
      </w:r>
      <w:r>
        <w:t>gerichtlichen Urkunden von dem die Urkunde verwahrenden Gericht,</w:t>
      </w:r>
    </w:p>
    <w:p>
      <w:pPr>
        <w:tabs>
          <w:tab w:pos="567" w:val="left"/>
        </w:tabs>
        <w:ind w:left="567" w:hanging="567"/>
      </w:pPr>
      <w:r>
        <w:t>2.</w:t>
      </w:r>
      <w:r>
        <w:tab/>
      </w:r>
      <w:r>
        <w:t>notariellen Urkunden von</w:t>
      </w:r>
    </w:p>
    <w:p>
      <w:pPr>
        <w:tabs>
          <w:tab w:pos="1134" w:val="left"/>
        </w:tabs>
        <w:ind w:left="1134" w:hanging="567"/>
      </w:pPr>
      <w:r>
        <w:t>a)</w:t>
      </w:r>
      <w:r>
        <w:tab/>
      </w:r>
      <w:r>
        <w:t>dem die Urkunde verwahrenden Notar,</w:t>
      </w:r>
    </w:p>
    <w:p>
      <w:pPr>
        <w:tabs>
          <w:tab w:pos="1134" w:val="left"/>
        </w:tabs>
        <w:ind w:left="1134" w:hanging="567"/>
      </w:pPr>
      <w:r>
        <w:t>b)</w:t>
      </w:r>
      <w:r>
        <w:tab/>
      </w:r>
      <w:r>
        <w:t>der die Urkunde verwahrenden Notarkammer oder</w:t>
      </w:r>
    </w:p>
    <w:p>
      <w:pPr>
        <w:tabs>
          <w:tab w:pos="1134" w:val="left"/>
        </w:tabs>
        <w:ind w:left="1134" w:hanging="567"/>
      </w:pPr>
      <w:r>
        <w:t>c)</w:t>
      </w:r>
      <w:r>
        <w:tab/>
      </w:r>
      <w:r>
        <w:t>dem die Urkunde verwahrenden Amtsgericht.</w:t>
      </w:r>
    </w:p>
    <w:p>
      <w:r>
        <w:t>(3) Die Entscheidung über Einwendungen, welche die Zulässigkeit der Vollstreckungsklausel und die Zulässigkeit der Erteilung einer weiteren vollstreckbaren Ausfertigung betreffen, wird getroffen bei</w:t>
      </w:r>
    </w:p>
    <w:p>
      <w:pPr>
        <w:tabs>
          <w:tab w:pos="567" w:val="left"/>
        </w:tabs>
        <w:ind w:left="567" w:hanging="567"/>
      </w:pPr>
      <w:r>
        <w:t>1.</w:t>
      </w:r>
      <w:r>
        <w:tab/>
      </w:r>
      <w:r>
        <w:t>gerichtlichen Urkunden von dem die Urkunde verwahrenden Gericht,</w:t>
      </w:r>
    </w:p>
    <w:p>
      <w:pPr>
        <w:tabs>
          <w:tab w:pos="567" w:val="left"/>
        </w:tabs>
        <w:ind w:left="567" w:hanging="567"/>
      </w:pPr>
      <w:r>
        <w:t>2.</w:t>
      </w:r>
      <w:r>
        <w:tab/>
      </w:r>
      <w:r>
        <w:t>notariellen Urkunden von dem Amtsgericht,</w:t>
      </w:r>
    </w:p>
    <w:p>
      <w:pPr>
        <w:tabs>
          <w:tab w:pos="1134" w:val="left"/>
        </w:tabs>
        <w:ind w:left="1134" w:hanging="567"/>
      </w:pPr>
      <w:r>
        <w:t>a)</w:t>
      </w:r>
      <w:r>
        <w:tab/>
      </w:r>
      <w:r>
        <w:t>in dessen Bezirk der die Urkunde verwahrende Notar seinen Amtssitz hat,</w:t>
      </w:r>
    </w:p>
    <w:p>
      <w:pPr>
        <w:tabs>
          <w:tab w:pos="1134" w:val="left"/>
        </w:tabs>
        <w:ind w:left="1134" w:hanging="567"/>
      </w:pPr>
      <w:r>
        <w:t>b)</w:t>
      </w:r>
      <w:r>
        <w:tab/>
      </w:r>
      <w:r>
        <w:t>in dessen Bezirk die die Urkunde verwahrende Notarkammer ihren Sitz hat oder</w:t>
      </w:r>
    </w:p>
    <w:p>
      <w:pPr>
        <w:tabs>
          <w:tab w:pos="1134" w:val="left"/>
        </w:tabs>
        <w:ind w:left="1134" w:hanging="567"/>
      </w:pPr>
      <w:r>
        <w:t>c)</w:t>
      </w:r>
      <w:r>
        <w:tab/>
      </w:r>
      <w:r>
        <w:t>das die Urkunde verwahrt.</w:t>
      </w:r>
    </w:p>
    <w:p>
      <w:r>
        <w:t xml:space="preserve">(4) Auf die Geltendmachung von Einwendungen, die den Anspruch selbst betreffen, ist </w:t>
      </w:r>
      <w:hyperlink w:anchor="b773" w:history="1">
        <w:r>
          <w:rPr>
            <w:color w:val="0A3A8C"/>
            <w:u w:val="single"/>
          </w:rPr>
          <w:t xml:space="preserve">§ 767</w:t>
        </w:r>
      </w:hyperlink>
      <w:r>
        <w:t xml:space="preserve"> Absatz 2 nicht anzuwenden.</w:t>
      </w:r>
    </w:p>
    <w:p>
      <w:r>
        <w:t xml:space="preserve">(5) </w:t>
      </w:r>
      <w:r>
        <w:rPr>
          <w:rStyle w:val="Satznummer"/>
        </w:rPr>
        <w:t>1</w:t>
      </w:r>
      <w:r>
        <w:t>Das Gericht, bei dem der Schuldner im Inland seinen allgemeinen Gerichtsstand hat, ist zuständig für</w:t>
      </w:r>
    </w:p>
    <w:p>
      <w:pPr>
        <w:tabs>
          <w:tab w:pos="567" w:val="left"/>
        </w:tabs>
        <w:ind w:left="567" w:hanging="567"/>
      </w:pPr>
      <w:r>
        <w:t>1.</w:t>
      </w:r>
      <w:r>
        <w:tab/>
      </w:r>
      <w:r>
        <w:t>Klagen auf Erteilung der Vollstreckungsklausel,</w:t>
      </w:r>
    </w:p>
    <w:p>
      <w:pPr>
        <w:tabs>
          <w:tab w:pos="567" w:val="left"/>
        </w:tabs>
        <w:ind w:left="567" w:hanging="567"/>
      </w:pPr>
      <w:r>
        <w:t>2.</w:t>
      </w:r>
      <w:r>
        <w:tab/>
      </w:r>
      <w:r>
        <w:t>Klagen, durch welche die den Anspruch selbst betreffenden Einwendungen geltend gemacht werden, und</w:t>
      </w:r>
    </w:p>
    <w:p>
      <w:pPr>
        <w:tabs>
          <w:tab w:pos="567" w:val="left"/>
        </w:tabs>
        <w:ind w:left="567" w:hanging="567"/>
      </w:pPr>
      <w:r>
        <w:t>3.</w:t>
      </w:r>
      <w:r>
        <w:tab/>
      </w:r>
      <w:r>
        <w:t>Klagen, durch welche der bei der Erteilung der Vollstreckungsklausel als bewiesen angenommene Eintritt der Voraussetzung für die Erteilung der Vollstreckungsklausel bestritten wird.</w:t>
      </w:r>
    </w:p>
    <w:p>
      <w:r>
        <w:rPr>
          <w:rStyle w:val="Satznummer"/>
        </w:rPr>
        <w:t>2</w:t>
      </w:r>
      <w:r>
        <w:t xml:space="preserve">Hat der Schuldner im Inland keinen allgemeinen Gerichtsstand, so ist das Gericht zuständig, bei dem nach </w:t>
      </w:r>
      <w:hyperlink w:anchor="b28" w:history="1">
        <w:r>
          <w:rPr>
            <w:color w:val="0A3A8C"/>
            <w:u w:val="single"/>
          </w:rPr>
          <w:t xml:space="preserve">§ 23</w:t>
        </w:r>
      </w:hyperlink>
      <w:r>
        <w:t xml:space="preserve"> gegen den Schuldner Klage erhoben werden kann.</w:t>
      </w:r>
    </w:p>
    <w:p>
      <w:r>
        <w:t xml:space="preserve">(6) Auf Beschlüsse nach </w:t>
      </w:r>
      <w:hyperlink w:anchor="b809" w:history="1">
        <w:r>
          <w:rPr>
            <w:color w:val="0A3A8C"/>
            <w:u w:val="single"/>
          </w:rPr>
          <w:t xml:space="preserve">§ 796c</w:t>
        </w:r>
      </w:hyperlink>
      <w:r>
        <w:t xml:space="preserve"> sind die Absätze 1 bis 5 entsprechend anzuwenden.</w:t>
      </w:r>
    </w:p>
    <w:p>
      <w:pPr>
        <w:pStyle w:val="Heading3"/>
      </w:pPr>
      <w:bookmarkStart w:id="812" w:name="b811"/>
      <w:r>
        <w:t>§ 797a Verfahren bei Gütestellenvergleichen</w:t>
      </w:r>
      <w:r>
        <w:t xml:space="preserve"> </w:t>
      </w:r>
      <w:r>
        <w:rPr>
          <w:rStyle w:val="Suchmarke"/>
        </w:rPr>
        <w:t>#797a#</w:t>
      </w:r>
      <w:bookmarkEnd w:id="812"/>
    </w:p>
    <w:p>
      <w:r>
        <w:t xml:space="preserve">(1) Bei Vergleichen, die vor Gütestellen der im </w:t>
      </w:r>
      <w:hyperlink w:anchor="b801" w:history="1">
        <w:r>
          <w:rPr>
            <w:color w:val="0A3A8C"/>
            <w:u w:val="single"/>
          </w:rPr>
          <w:t xml:space="preserve">§ 794</w:t>
        </w:r>
      </w:hyperlink>
      <w:r>
        <w:t xml:space="preserve"> Abs. 1 Nr. 1 bezeichneten Art geschlossen sind, wird die Vollstreckungsklausel von dem Urkundsbeamten der Geschäftsstelle desjenigen Amtsgerichts erteilt, in dessen Bezirk die Gütestelle ihren Sitz hat.</w:t>
      </w:r>
    </w:p>
    <w:p>
      <w:r>
        <w:t>(2) Über Einwendungen, welche die Zulässigkeit der Vollstreckungsklausel betreffen, entscheidet das im Absatz 1 bezeichnete Gericht.</w:t>
      </w:r>
    </w:p>
    <w:p>
      <w:r>
        <w:t xml:space="preserve">(3) </w:t>
      </w:r>
      <w:hyperlink w:anchor="b810" w:history="1">
        <w:r>
          <w:rPr>
            <w:color w:val="0A3A8C"/>
            <w:u w:val="single"/>
          </w:rPr>
          <w:t xml:space="preserve">§ 797</w:t>
        </w:r>
      </w:hyperlink>
      <w:r>
        <w:t xml:space="preserve"> Abs. 5 gilt entsprechend.</w:t>
      </w:r>
    </w:p>
    <w:p>
      <w:r>
        <w:t xml:space="preserve">(4) </w:t>
      </w:r>
      <w:r>
        <w:rPr>
          <w:rStyle w:val="Satznummer"/>
        </w:rPr>
        <w:t>1</w:t>
      </w:r>
      <w:r>
        <w:t xml:space="preserve">Die Landesjustizverwaltung kann Vorsteher von Gütestellen ermächtigen, die Vollstreckungsklausel für Vergleiche zu erteilen, die vor der Gütestelle geschlossen sind. </w:t>
      </w:r>
      <w:r>
        <w:rPr>
          <w:rStyle w:val="Satznummer"/>
        </w:rPr>
        <w:t>2</w:t>
      </w:r>
      <w:r>
        <w:t xml:space="preserve">Die Ermächtigung erstreckt sich nicht auf die Fälle des </w:t>
      </w:r>
      <w:hyperlink w:anchor="b725" w:history="1">
        <w:r>
          <w:rPr>
            <w:color w:val="0A3A8C"/>
            <w:u w:val="single"/>
          </w:rPr>
          <w:t xml:space="preserve">§ 726</w:t>
        </w:r>
      </w:hyperlink>
      <w:r>
        <w:t xml:space="preserve"> Abs. 1, der </w:t>
      </w:r>
      <w:hyperlink w:anchor="b726" w:history="1">
        <w:r>
          <w:rPr>
            <w:color w:val="0A3A8C"/>
            <w:u w:val="single"/>
          </w:rPr>
          <w:t xml:space="preserve">§§ 727</w:t>
        </w:r>
      </w:hyperlink>
      <w:r>
        <w:t xml:space="preserve"> bis </w:t>
      </w:r>
      <w:hyperlink w:anchor="b728" w:history="1">
        <w:r>
          <w:rPr>
            <w:color w:val="0A3A8C"/>
            <w:u w:val="single"/>
          </w:rPr>
          <w:t xml:space="preserve">729</w:t>
        </w:r>
      </w:hyperlink>
      <w:r>
        <w:t xml:space="preserve"> und des </w:t>
      </w:r>
      <w:hyperlink w:anchor="b732" w:history="1">
        <w:r>
          <w:rPr>
            <w:color w:val="0A3A8C"/>
            <w:u w:val="single"/>
          </w:rPr>
          <w:t xml:space="preserve">§ 733</w:t>
        </w:r>
      </w:hyperlink>
      <w:r>
        <w:t xml:space="preserve">. </w:t>
      </w:r>
      <w:r>
        <w:rPr>
          <w:rStyle w:val="Satznummer"/>
        </w:rPr>
        <w:t>3</w:t>
      </w:r>
      <w:r>
        <w:t>Über Einwendungen, welche die Zulässigkeit der Vollstreckungsklausel betreffen, entscheidet das im Absatz 1 bezeichnete Gericht.</w:t>
      </w:r>
    </w:p>
    <w:p>
      <w:pPr>
        <w:pStyle w:val="Heading3"/>
      </w:pPr>
      <w:bookmarkStart w:id="813" w:name="b812"/>
      <w:r>
        <w:t>§ 798 Wartefrist</w:t>
      </w:r>
      <w:r>
        <w:t xml:space="preserve"> </w:t>
      </w:r>
      <w:r>
        <w:rPr>
          <w:rStyle w:val="Suchmarke"/>
        </w:rPr>
        <w:t>#798#</w:t>
      </w:r>
      <w:bookmarkEnd w:id="813"/>
    </w:p>
    <w:p>
      <w:r>
        <w:t xml:space="preserve">Aus einem Kostenfestsetzungsbeschluss, der nicht auf das Urteil gesetzt ist, aus Beschlüssen nach </w:t>
      </w:r>
      <w:hyperlink w:anchor="b801" w:history="1">
        <w:r>
          <w:rPr>
            <w:color w:val="0A3A8C"/>
            <w:u w:val="single"/>
          </w:rPr>
          <w:t xml:space="preserve">§ 794</w:t>
        </w:r>
      </w:hyperlink>
      <w:r>
        <w:t xml:space="preserve"> Abs. 1 Nr. 4b sowie aus den nach </w:t>
      </w:r>
      <w:hyperlink w:anchor="b801" w:history="1">
        <w:r>
          <w:rPr>
            <w:color w:val="0A3A8C"/>
            <w:u w:val="single"/>
          </w:rPr>
          <w:t xml:space="preserve">§ 794</w:t>
        </w:r>
      </w:hyperlink>
      <w:r>
        <w:t xml:space="preserve"> Abs. 1 Nr. 5 aufgenommenen Urkunden darf die Zwangsvollstreckung nur beginnen, wenn der Schuldtitel mindestens zwei Wochen vorher zugestellt ist.</w:t>
      </w:r>
    </w:p>
    <w:p>
      <w:pPr>
        <w:pStyle w:val="Heading3"/>
      </w:pPr>
      <w:bookmarkStart w:id="814" w:name="b813"/>
      <w:r>
        <w:t>§ 798a (weggefallen)</w:t>
      </w:r>
      <w:r>
        <w:t xml:space="preserve"> </w:t>
      </w:r>
      <w:r>
        <w:rPr>
          <w:rStyle w:val="Suchmarke"/>
        </w:rPr>
        <w:t>#798a#</w:t>
      </w:r>
      <w:bookmarkEnd w:id="814"/>
    </w:p>
    <w:p>
      <w:r>
        <w:t>-</w:t>
      </w:r>
    </w:p>
    <w:p>
      <w:pPr>
        <w:pStyle w:val="Heading3"/>
      </w:pPr>
      <w:bookmarkStart w:id="815" w:name="b814"/>
      <w:r>
        <w:t>§ 799 Vollstreckbare Urkunde bei Rechtsnachfolge</w:t>
      </w:r>
      <w:r>
        <w:t xml:space="preserve"> </w:t>
      </w:r>
      <w:r>
        <w:rPr>
          <w:rStyle w:val="Suchmarke"/>
        </w:rPr>
        <w:t>#799#</w:t>
      </w:r>
      <w:bookmarkEnd w:id="815"/>
    </w:p>
    <w:p>
      <w:r>
        <w:t xml:space="preserve">Hat sich der Eigentümer eines mit einer Hypothek, einer Grundschuld oder einer Rentenschuld belasteten Grundstücks in einer nach </w:t>
      </w:r>
      <w:hyperlink w:anchor="b801" w:history="1">
        <w:r>
          <w:rPr>
            <w:color w:val="0A3A8C"/>
            <w:u w:val="single"/>
          </w:rPr>
          <w:t xml:space="preserve">§ 794</w:t>
        </w:r>
      </w:hyperlink>
      <w:r>
        <w:t xml:space="preserve"> Abs. 1 Nr. 5 aufgenommenen Urkunde der sofortigen Zwangsvollstreckung unterworfen und ist dem Rechtsnachfolger des Gläubigers eine vollstreckbare Ausfertigung erteilt, so ist die Zustellung der die Rechtsnachfolge nachweisenden öffentlichen oder öffentlich beglaubigten Urkunde nicht erforderlich, wenn der Rechtsnachfolger als Gläubiger im Grundbuch eingetragen ist.</w:t>
      </w:r>
    </w:p>
    <w:p>
      <w:pPr>
        <w:pStyle w:val="Heading3"/>
      </w:pPr>
      <w:bookmarkStart w:id="816" w:name="b815"/>
      <w:r>
        <w:t>§ 799a Schadensersatzpflicht bei derVollstreckung aus Urkunden durch andere Gläubiger</w:t>
      </w:r>
      <w:r>
        <w:t xml:space="preserve"> </w:t>
      </w:r>
      <w:r>
        <w:rPr>
          <w:rStyle w:val="Suchmarke"/>
        </w:rPr>
        <w:t>#799a#</w:t>
      </w:r>
      <w:bookmarkEnd w:id="816"/>
    </w:p>
    <w:p>
      <w:r>
        <w:rPr>
          <w:rStyle w:val="Satznummer"/>
        </w:rPr>
        <w:t>1</w:t>
      </w:r>
      <w:r>
        <w:t xml:space="preserve">Hat sich der Eigentümer eines Grundstücks in Ansehung einer Hypothek oder Grundschuld in einer Urkunde nach § 794 Abs. 1 Nr. 5 der sofortigen Zwangsvollstreckung in das Grundstück unterworfen und betreibt ein anderer als der in der Urkunde bezeichnete Gläubiger die Vollstreckung, so ist dieser, soweit die Vollstreckung aus der Urkunde für unzulässig erklärt wird, dem Schuldner zum Ersatz des Schadens verpflichtet, der diesem durch die Vollstreckung aus der Urkunde oder durch eine zur Abwendung der Vollstreckung erbrachte Leistung entsteht. </w:t>
      </w:r>
      <w:r>
        <w:rPr>
          <w:rStyle w:val="Satznummer"/>
        </w:rPr>
        <w:t>2</w:t>
      </w:r>
      <w:r>
        <w:t>Satz 1 gilt entsprechend, wenn sich der Schuldner wegen der Forderungen, zu deren Sicherung das Grundpfandrecht bestellt worden ist, oder wegen der Forderung aus einem demselben Zweck dienenden Schuldanerkenntnis der sofortigen Vollstreckung in sein Vermögen unterworfen hat.</w:t>
      </w:r>
    </w:p>
    <w:p>
      <w:pPr>
        <w:pStyle w:val="Heading3"/>
      </w:pPr>
      <w:bookmarkStart w:id="817" w:name="b816"/>
      <w:r>
        <w:t>§ 800 Vollstreckbare Urkunde gegen den jeweiligen Grundstückseigentümer</w:t>
      </w:r>
      <w:r>
        <w:t xml:space="preserve"> </w:t>
      </w:r>
      <w:r>
        <w:rPr>
          <w:rStyle w:val="Suchmarke"/>
        </w:rPr>
        <w:t>#800#</w:t>
      </w:r>
      <w:bookmarkEnd w:id="817"/>
    </w:p>
    <w:p>
      <w:r>
        <w:t xml:space="preserve">(1) </w:t>
      </w:r>
      <w:r>
        <w:rPr>
          <w:rStyle w:val="Satznummer"/>
        </w:rPr>
        <w:t>1</w:t>
      </w:r>
      <w:r>
        <w:t xml:space="preserve">Der Eigentümer kann sich in einer nach </w:t>
      </w:r>
      <w:hyperlink w:anchor="b801" w:history="1">
        <w:r>
          <w:rPr>
            <w:color w:val="0A3A8C"/>
            <w:u w:val="single"/>
          </w:rPr>
          <w:t xml:space="preserve">§ 794</w:t>
        </w:r>
      </w:hyperlink>
      <w:r>
        <w:t xml:space="preserve"> Abs. 1 Nr. 5 aufgenommenen Urkunde in Ansehung einer Hypothek, einer Grundschuld oder einer Rentenschuld der sofortigen Zwangsvollstreckung in der Weise unterwerfen, dass die Zwangsvollstreckung aus der Urkunde gegen den jeweiligen Eigentümer des Grundstücks zulässig sein soll. </w:t>
      </w:r>
      <w:r>
        <w:rPr>
          <w:rStyle w:val="Satznummer"/>
        </w:rPr>
        <w:t>2</w:t>
      </w:r>
      <w:r>
        <w:t>Die Unterwerfung bedarf in diesem Fall der Eintragung in das Grundbuch.</w:t>
      </w:r>
    </w:p>
    <w:p>
      <w:r>
        <w:t>(2) Bei der Zwangsvollstreckung gegen einen späteren Eigentümer, der im Grundbuch eingetragen ist, bedarf es nicht der Zustellung der den Erwerb des Eigentums nachweisenden öffentlichen oder öffentlich beglaubigten Urkunde.</w:t>
      </w:r>
    </w:p>
    <w:p>
      <w:r>
        <w:t xml:space="preserve">(3) Ist die sofortige Zwangsvollstreckung gegen den jeweiligen Eigentümer zulässig, so ist für die im </w:t>
      </w:r>
      <w:hyperlink w:anchor="b810" w:history="1">
        <w:r>
          <w:rPr>
            <w:color w:val="0A3A8C"/>
            <w:u w:val="single"/>
          </w:rPr>
          <w:t xml:space="preserve">§ 797</w:t>
        </w:r>
      </w:hyperlink>
      <w:r>
        <w:t xml:space="preserve"> Abs. 5 bezeichneten Klagen das Gericht zuständig, in dessen Bezirk das Grundstück belegen ist.</w:t>
      </w:r>
    </w:p>
    <w:p>
      <w:pPr>
        <w:pStyle w:val="Heading3"/>
      </w:pPr>
      <w:bookmarkStart w:id="818" w:name="b817"/>
      <w:r>
        <w:t>§ 800a Vollstreckbare Urkunde bei Schiffshypothek</w:t>
      </w:r>
      <w:r>
        <w:t xml:space="preserve"> </w:t>
      </w:r>
      <w:r>
        <w:rPr>
          <w:rStyle w:val="Suchmarke"/>
        </w:rPr>
        <w:t>#800a#</w:t>
      </w:r>
      <w:bookmarkEnd w:id="818"/>
    </w:p>
    <w:p>
      <w:r>
        <w:t xml:space="preserve">(1) Die Vorschriften der </w:t>
      </w:r>
      <w:hyperlink w:anchor="b814" w:history="1">
        <w:r>
          <w:rPr>
            <w:color w:val="0A3A8C"/>
            <w:u w:val="single"/>
          </w:rPr>
          <w:t xml:space="preserve">§§ 799</w:t>
        </w:r>
      </w:hyperlink>
      <w:r>
        <w:t xml:space="preserve">, </w:t>
      </w:r>
      <w:hyperlink w:anchor="b816" w:history="1">
        <w:r>
          <w:rPr>
            <w:color w:val="0A3A8C"/>
            <w:u w:val="single"/>
          </w:rPr>
          <w:t xml:space="preserve">800</w:t>
        </w:r>
      </w:hyperlink>
      <w:r>
        <w:t xml:space="preserve"> gelten für eingetragene Schiffe und Schiffsbauwerke, die mit einer Schiffshypothek belastet sind, entsprechend.</w:t>
      </w:r>
    </w:p>
    <w:p>
      <w:r>
        <w:t xml:space="preserve">(2) Ist die sofortige Zwangsvollstreckung gegen den jeweiligen Eigentümer zulässig, so ist für die im </w:t>
      </w:r>
      <w:hyperlink w:anchor="b810" w:history="1">
        <w:r>
          <w:rPr>
            <w:color w:val="0A3A8C"/>
            <w:u w:val="single"/>
          </w:rPr>
          <w:t xml:space="preserve">§ 797</w:t>
        </w:r>
      </w:hyperlink>
      <w:r>
        <w:t xml:space="preserve"> Abs. 5 bezeichneten Klagen das Gericht zuständig, in dessen Bezirk das Register für das Schiff oder das Schiffsbauwerk geführt wird.</w:t>
      </w:r>
    </w:p>
    <w:p>
      <w:pPr>
        <w:pStyle w:val="Heading3"/>
      </w:pPr>
      <w:bookmarkStart w:id="819" w:name="b818"/>
      <w:r>
        <w:t>§ 801 Landesrechtliche Vollstreckungstitel</w:t>
      </w:r>
      <w:r>
        <w:t xml:space="preserve"> </w:t>
      </w:r>
      <w:r>
        <w:rPr>
          <w:rStyle w:val="Suchmarke"/>
        </w:rPr>
        <w:t>#801#</w:t>
      </w:r>
      <w:bookmarkEnd w:id="819"/>
    </w:p>
    <w:p>
      <w:r>
        <w:t xml:space="preserve">(1) Die Landesgesetzgebung ist nicht gehindert, auf Grund anderer als der in den </w:t>
      </w:r>
      <w:hyperlink w:anchor="b702" w:history="1">
        <w:r>
          <w:rPr>
            <w:color w:val="0A3A8C"/>
            <w:u w:val="single"/>
          </w:rPr>
          <w:t xml:space="preserve">§§ 704</w:t>
        </w:r>
      </w:hyperlink>
      <w:r>
        <w:t xml:space="preserve">, </w:t>
      </w:r>
      <w:hyperlink w:anchor="b801" w:history="1">
        <w:r>
          <w:rPr>
            <w:color w:val="0A3A8C"/>
            <w:u w:val="single"/>
          </w:rPr>
          <w:t xml:space="preserve">794</w:t>
        </w:r>
      </w:hyperlink>
      <w:r>
        <w:t xml:space="preserve"> bezeichneten Schuldtitel die gerichtliche Zwangsvollstreckung zuzulassen und insoweit von diesem Gesetz abweichende Vorschriften über die Zwangsvollstreckung zu treffen.</w:t>
      </w:r>
    </w:p>
    <w:p>
      <w:r>
        <w:t>(2) Aus landesrechtlichen Schuldtiteln im Sinne des Absatzes 1 kann im gesamten Bundesgebiet vollstreckt werden.</w:t>
      </w:r>
    </w:p>
    <w:p>
      <w:pPr>
        <w:pStyle w:val="Heading3"/>
      </w:pPr>
      <w:bookmarkStart w:id="820" w:name="b819"/>
      <w:r>
        <w:t>§ 802 Ausschließlichkeit der Gerichtsstände</w:t>
      </w:r>
      <w:r>
        <w:t xml:space="preserve"> </w:t>
      </w:r>
      <w:r>
        <w:rPr>
          <w:rStyle w:val="Suchmarke"/>
        </w:rPr>
        <w:t>#802#</w:t>
      </w:r>
      <w:bookmarkEnd w:id="820"/>
    </w:p>
    <w:p>
      <w:r>
        <w:t>Die in diesem Buch angeordneten Gerichtsstände sind ausschließliche.</w:t>
      </w:r>
    </w:p>
    <w:p>
      <w:pPr>
        <w:pStyle w:val="Heading2"/>
      </w:pPr>
      <w:bookmarkStart w:id="821" w:name="b820"/>
      <w:r>
        <w:t>Abschnitt 2 Zwangsvollstreckung wegen Geldforderungen</w:t>
      </w:r>
      <w:bookmarkEnd w:id="821"/>
    </w:p>
    <w:p>
      <w:pPr>
        <w:pStyle w:val="Heading3"/>
      </w:pPr>
      <w:bookmarkStart w:id="822" w:name="b821"/>
      <w:r>
        <w:t>Titel 1 Allgemeine Vorschriften</w:t>
      </w:r>
      <w:bookmarkEnd w:id="822"/>
    </w:p>
    <w:p>
      <w:pPr>
        <w:pStyle w:val="Heading4"/>
      </w:pPr>
      <w:bookmarkStart w:id="823" w:name="b822"/>
      <w:r>
        <w:t>§ 802a Grundsätze der Vollstreckung; Regelbefugnisse des Gerichtsvollziehers</w:t>
      </w:r>
      <w:r>
        <w:t xml:space="preserve"> </w:t>
      </w:r>
      <w:r>
        <w:rPr>
          <w:rStyle w:val="Suchmarke"/>
        </w:rPr>
        <w:t>#802a#</w:t>
      </w:r>
      <w:bookmarkEnd w:id="823"/>
    </w:p>
    <w:p>
      <w:r>
        <w:t>(1) Der Gerichtsvollzieher wirkt auf eine zügige, vollständige und Kosten sparende Beitreibung von Geldforderungen hin.</w:t>
      </w:r>
    </w:p>
    <w:p>
      <w:r>
        <w:t xml:space="preserve">(2) </w:t>
      </w:r>
      <w:r>
        <w:rPr>
          <w:rStyle w:val="Satznummer"/>
        </w:rPr>
        <w:t>1</w:t>
      </w:r>
      <w:r>
        <w:t xml:space="preserve">Der Gerichtsvollzieher ist auf Grund eines entsprechenden Vollstreckungsauftrags und entweder auf Grund der Übergabe der vollstreckbaren Ausfertigung oder der Übermittlung der vollstreckbaren Ausfertigung als elektronisches Dokument nach Maßgabe des </w:t>
      </w:r>
      <w:hyperlink w:anchor="b757" w:history="1">
        <w:r>
          <w:rPr>
            <w:color w:val="0A3A8C"/>
            <w:u w:val="single"/>
          </w:rPr>
          <w:t xml:space="preserve">§ 754a</w:t>
        </w:r>
      </w:hyperlink>
      <w:r>
        <w:t xml:space="preserve">, sofern er das ihm übermittelte elektronische Dokument der Ausführung seines Vollstreckungsauftrags nach </w:t>
      </w:r>
      <w:hyperlink w:anchor="b757" w:history="1">
        <w:r>
          <w:rPr>
            <w:color w:val="0A3A8C"/>
            <w:u w:val="single"/>
          </w:rPr>
          <w:t xml:space="preserve">§ 754a</w:t>
        </w:r>
      </w:hyperlink>
      <w:r>
        <w:t xml:space="preserve"> Absatz 4 Satz 2 noch zugrunde legen darf, unbeschadet weiterer Zuständigkeiten befugt,</w:t>
      </w:r>
    </w:p>
    <w:p>
      <w:pPr>
        <w:tabs>
          <w:tab w:pos="567" w:val="left"/>
        </w:tabs>
        <w:ind w:left="567" w:hanging="567"/>
      </w:pPr>
      <w:r>
        <w:t>1.</w:t>
      </w:r>
      <w:r>
        <w:tab/>
      </w:r>
      <w:r>
        <w:t>eine gütliche Erledigung der Sache (</w:t>
      </w:r>
      <w:hyperlink w:anchor="b823" w:history="1">
        <w:r>
          <w:rPr>
            <w:color w:val="0A3A8C"/>
            <w:u w:val="single"/>
          </w:rPr>
          <w:t xml:space="preserve">§ 802b</w:t>
        </w:r>
      </w:hyperlink>
      <w:r>
        <w:t>) zu versuchen,</w:t>
      </w:r>
    </w:p>
    <w:p>
      <w:pPr>
        <w:tabs>
          <w:tab w:pos="567" w:val="left"/>
        </w:tabs>
        <w:ind w:left="567" w:hanging="567"/>
      </w:pPr>
      <w:r>
        <w:t>2.</w:t>
      </w:r>
      <w:r>
        <w:tab/>
      </w:r>
      <w:r>
        <w:t>eine Vermögensauskunft des Schuldners (</w:t>
      </w:r>
      <w:hyperlink w:anchor="b824" w:history="1">
        <w:r>
          <w:rPr>
            <w:color w:val="0A3A8C"/>
            <w:u w:val="single"/>
          </w:rPr>
          <w:t xml:space="preserve">§ 802c</w:t>
        </w:r>
      </w:hyperlink>
      <w:r>
        <w:t>) einzuholen,</w:t>
      </w:r>
    </w:p>
    <w:p>
      <w:pPr>
        <w:tabs>
          <w:tab w:pos="567" w:val="left"/>
        </w:tabs>
        <w:ind w:left="567" w:hanging="567"/>
      </w:pPr>
      <w:r>
        <w:t>3.</w:t>
      </w:r>
      <w:r>
        <w:tab/>
      </w:r>
      <w:r>
        <w:t>Auskünfte Dritter über das Vermögen des Schuldners (</w:t>
      </w:r>
      <w:hyperlink w:anchor="b833" w:history="1">
        <w:r>
          <w:rPr>
            <w:color w:val="0A3A8C"/>
            <w:u w:val="single"/>
          </w:rPr>
          <w:t xml:space="preserve">§ 802l</w:t>
        </w:r>
      </w:hyperlink>
      <w:r>
        <w:t>) einzuholen,</w:t>
      </w:r>
    </w:p>
    <w:p>
      <w:pPr>
        <w:tabs>
          <w:tab w:pos="567" w:val="left"/>
        </w:tabs>
        <w:ind w:left="567" w:hanging="567"/>
      </w:pPr>
      <w:r>
        <w:t>4.</w:t>
      </w:r>
      <w:r>
        <w:tab/>
      </w:r>
      <w:r>
        <w:t>die Pfändung und Verwertung körperlicher Sachen zu betreiben,</w:t>
      </w:r>
    </w:p>
    <w:p>
      <w:pPr>
        <w:tabs>
          <w:tab w:pos="567" w:val="left"/>
        </w:tabs>
        <w:ind w:left="567" w:hanging="567"/>
      </w:pPr>
      <w:r>
        <w:t>5.</w:t>
      </w:r>
      <w:r>
        <w:tab/>
      </w:r>
      <w:r>
        <w:t>eine Vorpfändung (</w:t>
      </w:r>
      <w:hyperlink w:anchor="b892" w:history="1">
        <w:r>
          <w:rPr>
            <w:color w:val="0A3A8C"/>
            <w:u w:val="single"/>
          </w:rPr>
          <w:t xml:space="preserve">§ 845</w:t>
        </w:r>
      </w:hyperlink>
      <w:r>
        <w:t>) durchzuführen; hierfür bedarf es nicht der vorherigen Erteilung einer vollstreckbaren Ausfertigung und der Zustellung des Schuldtitels.</w:t>
      </w:r>
    </w:p>
    <w:p>
      <w:r>
        <w:rPr>
          <w:rStyle w:val="Satznummer"/>
        </w:rPr>
        <w:t>2</w:t>
      </w:r>
      <w:r>
        <w:t>Die Maßnahmen sind in dem Vollstreckungsauftrag zu bezeichnen, die Maßnahme nach Satz 1 Nr. 1 jedoch nur dann, wenn sich der Auftrag hierauf beschränkt.</w:t>
      </w:r>
    </w:p>
    <w:p>
      <w:pPr>
        <w:pStyle w:val="Heading4"/>
      </w:pPr>
      <w:bookmarkStart w:id="824" w:name="b823"/>
      <w:r>
        <w:t>§ 802b Gütliche Erledigung; Vollstreckungsaufschub bei Zahlungsvereinbarung</w:t>
      </w:r>
      <w:r>
        <w:t xml:space="preserve"> </w:t>
      </w:r>
      <w:r>
        <w:rPr>
          <w:rStyle w:val="Suchmarke"/>
        </w:rPr>
        <w:t>#802b#</w:t>
      </w:r>
      <w:bookmarkEnd w:id="824"/>
    </w:p>
    <w:p>
      <w:r>
        <w:t>(1) Der Gerichtsvollzieher soll in jeder Lage des Verfahrens auf eine gütliche Erledigung bedacht sein.</w:t>
      </w:r>
    </w:p>
    <w:p>
      <w:r>
        <w:t xml:space="preserve">(2) </w:t>
      </w:r>
      <w:r>
        <w:rPr>
          <w:rStyle w:val="Satznummer"/>
        </w:rPr>
        <w:t>1</w:t>
      </w:r>
      <w:r>
        <w:t xml:space="preserve">Hat der Gläubiger eine Zahlungsvereinbarung nicht ausgeschlossen, so kann der Gerichtsvollzieher dem Schuldner eine Zahlungsfrist einräumen oder eine Tilgung durch Teilleistungen (Ratenzahlung) gestatten, sofern der Schuldner glaubhaft darlegt, die nach Höhe und Zeitpunkt festzusetzenden Zahlungen erbringen zu können. </w:t>
      </w:r>
      <w:r>
        <w:rPr>
          <w:rStyle w:val="Satznummer"/>
        </w:rPr>
        <w:t>2</w:t>
      </w:r>
      <w:r>
        <w:t xml:space="preserve">Soweit ein Zahlungsplan nach Satz 1 festgesetzt wird, ist die Vollstreckung aufgeschoben. </w:t>
      </w:r>
      <w:r>
        <w:rPr>
          <w:rStyle w:val="Satznummer"/>
        </w:rPr>
        <w:t>3</w:t>
      </w:r>
      <w:r>
        <w:t>Die Tilgung soll binnen zwölf Monaten abgeschlossen sein.</w:t>
      </w:r>
    </w:p>
    <w:p>
      <w:r>
        <w:t xml:space="preserve">(3) </w:t>
      </w:r>
      <w:r>
        <w:rPr>
          <w:rStyle w:val="Satznummer"/>
        </w:rPr>
        <w:t>1</w:t>
      </w:r>
      <w:r>
        <w:t xml:space="preserve">Der Gerichtsvollzieher unterrichtet den Gläubiger unverzüglich über den gemäß Absatz 2 festgesetzten Zahlungsplan und den Vollstreckungsaufschub. </w:t>
      </w:r>
      <w:r>
        <w:rPr>
          <w:rStyle w:val="Satznummer"/>
        </w:rPr>
        <w:t>2</w:t>
      </w:r>
      <w:r>
        <w:t xml:space="preserve">Widerspricht der Gläubiger unverzüglich, so wird der Zahlungsplan mit der Unterrichtung des Schuldners hinfällig; zugleich endet der Vollstreckungsaufschub. </w:t>
      </w:r>
      <w:r>
        <w:rPr>
          <w:rStyle w:val="Satznummer"/>
        </w:rPr>
        <w:t>3</w:t>
      </w:r>
      <w:r>
        <w:t>Dieselben Wirkungen treten ein, wenn der Schuldner mit einer festgesetzten Zahlung ganz oder teilweise länger als zwei Wochen in Rückstand gerät.</w:t>
      </w:r>
    </w:p>
    <w:p>
      <w:pPr>
        <w:pStyle w:val="Heading4"/>
      </w:pPr>
      <w:bookmarkStart w:id="825" w:name="b824"/>
      <w:r>
        <w:t>§ 802c Vermögensauskunft des Schuldners</w:t>
      </w:r>
      <w:r>
        <w:t xml:space="preserve"> </w:t>
      </w:r>
      <w:r>
        <w:rPr>
          <w:rStyle w:val="Suchmarke"/>
        </w:rPr>
        <w:t>#802c#</w:t>
      </w:r>
      <w:bookmarkEnd w:id="825"/>
    </w:p>
    <w:p>
      <w:r>
        <w:t xml:space="preserve">(1) </w:t>
      </w:r>
      <w:r>
        <w:rPr>
          <w:rStyle w:val="Satznummer"/>
        </w:rPr>
        <w:t>1</w:t>
      </w:r>
      <w:r>
        <w:t xml:space="preserve">Der Schuldner ist verpflichtet, zum Zwecke der Vollstreckung einer Geldforderung auf Verlangen des Gerichtsvollziehers Auskunft über sein Vermögen nach Maßgabe der folgenden Vorschriften zu erteilen sowie seinen Geburtsnamen, sein Geburtsdatum und seinen Geburtsort anzugeben. </w:t>
      </w:r>
      <w:r>
        <w:rPr>
          <w:rStyle w:val="Satznummer"/>
        </w:rPr>
        <w:t>2</w:t>
      </w:r>
      <w:r>
        <w:t>Handelt es sich bei dem Vollstreckungsschuldner um eine juristische Person oder um eine Personenvereinigung, so hat er seine Firma, die Nummer des Registerblatts im Handelsregister und seinen Sitz anzugeben.</w:t>
      </w:r>
    </w:p>
    <w:p>
      <w:r>
        <w:t xml:space="preserve">(2) </w:t>
      </w:r>
      <w:r>
        <w:rPr>
          <w:rStyle w:val="Satznummer"/>
        </w:rPr>
        <w:t>1</w:t>
      </w:r>
      <w:r>
        <w:t xml:space="preserve">Zur Auskunftserteilung hat der Schuldner alle ihm gehörenden Vermögensgegenstände anzugeben. </w:t>
      </w:r>
      <w:r>
        <w:rPr>
          <w:rStyle w:val="Satznummer"/>
        </w:rPr>
        <w:t>2</w:t>
      </w:r>
      <w:r>
        <w:t xml:space="preserve">Bei Forderungen sind Grund und Beweismittel zu bezeichnen. </w:t>
      </w:r>
      <w:r>
        <w:rPr>
          <w:rStyle w:val="Satznummer"/>
        </w:rPr>
        <w:t>3</w:t>
      </w:r>
      <w:r>
        <w:t>Ferner sind anzugeben:</w:t>
      </w:r>
    </w:p>
    <w:p>
      <w:pPr>
        <w:tabs>
          <w:tab w:pos="567" w:val="left"/>
        </w:tabs>
        <w:ind w:left="567" w:hanging="567"/>
      </w:pPr>
      <w:r>
        <w:t>1.</w:t>
      </w:r>
      <w:r>
        <w:tab/>
      </w:r>
      <w:r>
        <w:t xml:space="preserve">die entgeltlichen Veräußerungen des Schuldners an eine nahestehende Person (§ 138 der Insolvenzordnung), die dieser in den letzten zwei Jahren vor dem Termin nach </w:t>
      </w:r>
      <w:hyperlink w:anchor="b827" w:history="1">
        <w:r>
          <w:rPr>
            <w:color w:val="0A3A8C"/>
            <w:u w:val="single"/>
          </w:rPr>
          <w:t xml:space="preserve">§ 802f</w:t>
        </w:r>
      </w:hyperlink>
      <w:r>
        <w:t xml:space="preserve"> Absatz 2 und bis zur Abgabe der Vermögensauskunft vorgenommen hat;</w:t>
      </w:r>
    </w:p>
    <w:p>
      <w:pPr>
        <w:tabs>
          <w:tab w:pos="567" w:val="left"/>
        </w:tabs>
        <w:ind w:left="567" w:hanging="567"/>
      </w:pPr>
      <w:r>
        <w:t>2.</w:t>
      </w:r>
      <w:r>
        <w:tab/>
      </w:r>
      <w:r>
        <w:t xml:space="preserve">die unentgeltlichen Leistungen des Schuldners, die dieser in den letzten vier Jahren vor dem Termin nach </w:t>
      </w:r>
      <w:hyperlink w:anchor="b827" w:history="1">
        <w:r>
          <w:rPr>
            <w:color w:val="0A3A8C"/>
            <w:u w:val="single"/>
          </w:rPr>
          <w:t xml:space="preserve">§ 802f</w:t>
        </w:r>
      </w:hyperlink>
      <w:r>
        <w:t xml:space="preserve"> Absatz 2 und bis zur Abgabe der Vermögensauskunft vorgenommen hat, sofern sie sich nicht auf gebräuchliche Gelegenheitsgeschenke geringen Wertes richteten.</w:t>
      </w:r>
    </w:p>
    <w:p>
      <w:r>
        <w:rPr>
          <w:rStyle w:val="Satznummer"/>
        </w:rPr>
        <w:t>4</w:t>
      </w:r>
      <w:r>
        <w:t>Sachen, die nach § 811 Absatz 1 Nummer 1 Buchstabe a und Nummer 2 der Pfändung offensichtlich nicht unterworfen sind, brauchen nicht angegeben zu werden, es sei denn, dass eine Austauschpfändung in Betracht kommt.</w:t>
      </w:r>
    </w:p>
    <w:p>
      <w:r>
        <w:t xml:space="preserve">(3) </w:t>
      </w:r>
      <w:r>
        <w:rPr>
          <w:rStyle w:val="Satznummer"/>
        </w:rPr>
        <w:t>1</w:t>
      </w:r>
      <w:r>
        <w:t xml:space="preserve">Der Schuldner hat zu Protokoll an Eides statt zu versichern, dass er die Angaben nach den Absätzen 1 und 2 nach bestem Wissen und Gewissen richtig und vollständig gemacht habe. </w:t>
      </w:r>
      <w:r>
        <w:rPr>
          <w:rStyle w:val="Satznummer"/>
        </w:rPr>
        <w:t>2</w:t>
      </w:r>
      <w:r>
        <w:t xml:space="preserve">Die Vorschriften der </w:t>
      </w:r>
      <w:hyperlink w:anchor="b526" w:history="1">
        <w:r>
          <w:rPr>
            <w:color w:val="0A3A8C"/>
            <w:u w:val="single"/>
          </w:rPr>
          <w:t xml:space="preserve">§§ 478</w:t>
        </w:r>
      </w:hyperlink>
      <w:r>
        <w:t xml:space="preserve"> bis </w:t>
      </w:r>
      <w:hyperlink w:anchor="b528" w:history="1">
        <w:r>
          <w:rPr>
            <w:color w:val="0A3A8C"/>
            <w:u w:val="single"/>
          </w:rPr>
          <w:t xml:space="preserve">480</w:t>
        </w:r>
      </w:hyperlink>
      <w:r>
        <w:t xml:space="preserve">, </w:t>
      </w:r>
      <w:hyperlink w:anchor="b531" w:history="1">
        <w:r>
          <w:rPr>
            <w:color w:val="0A3A8C"/>
            <w:u w:val="single"/>
          </w:rPr>
          <w:t xml:space="preserve">483</w:t>
        </w:r>
      </w:hyperlink>
      <w:r>
        <w:t xml:space="preserve"> gelten entsprechend.</w:t>
      </w:r>
    </w:p>
    <w:p>
      <w:pPr>
        <w:pStyle w:val="Heading4"/>
      </w:pPr>
      <w:bookmarkStart w:id="826" w:name="b825"/>
      <w:r>
        <w:t>§ 802d Weitere Vermögensauskunft</w:t>
      </w:r>
      <w:r>
        <w:t xml:space="preserve"> </w:t>
      </w:r>
      <w:r>
        <w:rPr>
          <w:rStyle w:val="Suchmarke"/>
        </w:rPr>
        <w:t>#802d#</w:t>
      </w:r>
      <w:bookmarkEnd w:id="826"/>
    </w:p>
    <w:p>
      <w:r>
        <w:t xml:space="preserve">(1) </w:t>
      </w:r>
      <w:r>
        <w:rPr>
          <w:rStyle w:val="Satznummer"/>
        </w:rPr>
        <w:t>1</w:t>
      </w:r>
      <w:r>
        <w:t xml:space="preserve">Der Schuldner ist innerhalb von zwei Jahren nach Abgabe der Vermögensauskunft nach </w:t>
      </w:r>
      <w:hyperlink w:anchor="b824" w:history="1">
        <w:r>
          <w:rPr>
            <w:color w:val="0A3A8C"/>
            <w:u w:val="single"/>
          </w:rPr>
          <w:t xml:space="preserve">§ 802c</w:t>
        </w:r>
      </w:hyperlink>
      <w:r>
        <w:t xml:space="preserve"> oder nach § 284 der Abgabenordnung nicht verpflichtet, eine weitere Vermögensauskunft abzugeben, es sei denn, ein Gläubiger macht Tatsachen glaubhaft, die auf eine wesentliche Veränderung der Vermögensverhältnisse des Schuldners schließen lassen. </w:t>
      </w:r>
      <w:r>
        <w:rPr>
          <w:rStyle w:val="Satznummer"/>
        </w:rPr>
        <w:t>2</w:t>
      </w:r>
      <w:r>
        <w:t xml:space="preserve">Besteht keine Pflicht zur Abgabe einer Vermögensauskunft nach Satz 1, leitet der Gerichtsvollzieher dem Gläubiger einen Ausdruck des letzten abgegebenen Vermögensverzeichnisses zu; ein Verzicht des Gläubigers auf die Zuleitung ist unbeachtlich. </w:t>
      </w:r>
      <w:r>
        <w:rPr>
          <w:rStyle w:val="Satznummer"/>
        </w:rPr>
        <w:t>3</w:t>
      </w:r>
      <w:r>
        <w:t xml:space="preserve">Der Gläubiger darf die erlangten Daten nur zu Vollstreckungszwecken verarbeiten und hat die Daten nach Zweckerreichung zu löschen; hierauf ist er vom Gerichtsvollzieher hinzuweisen. </w:t>
      </w:r>
      <w:r>
        <w:rPr>
          <w:rStyle w:val="Satznummer"/>
        </w:rPr>
        <w:t>4</w:t>
      </w:r>
      <w:r>
        <w:t>Von der Zuleitung eines Ausdrucks nach Satz 2 setzt der Gerichtsvollzieher den Schuldner in Kenntnis und belehrt ihn über die Möglichkeit der Eintragung in das Schuldnerverzeichnis (</w:t>
      </w:r>
      <w:hyperlink w:anchor="b953" w:history="1">
        <w:r>
          <w:rPr>
            <w:color w:val="0A3A8C"/>
            <w:u w:val="single"/>
          </w:rPr>
          <w:t xml:space="preserve">§ 882c</w:t>
        </w:r>
      </w:hyperlink>
      <w:r>
        <w:t>).</w:t>
      </w:r>
    </w:p>
    <w:p>
      <w:r>
        <w:t>(2) Anstelle der Zuleitung eines Ausdrucks kann dem Gläubiger das Vermögensverzeichnis als elektronisches Dokument übermittelt werden.</w:t>
      </w:r>
    </w:p>
    <w:p>
      <w:pPr>
        <w:pStyle w:val="Heading4"/>
      </w:pPr>
      <w:bookmarkStart w:id="827" w:name="b826"/>
      <w:r>
        <w:t>§ 802e Zuständigkeit</w:t>
      </w:r>
      <w:r>
        <w:t xml:space="preserve"> </w:t>
      </w:r>
      <w:r>
        <w:rPr>
          <w:rStyle w:val="Suchmarke"/>
        </w:rPr>
        <w:t>#802e#</w:t>
      </w:r>
      <w:bookmarkEnd w:id="827"/>
    </w:p>
    <w:p>
      <w:r>
        <w:t>(1) Für die Abnahme der Vermögensauskunft und der eidesstattlichen Versicherung ist der Gerichtsvollzieher bei dem Amtsgericht zuständig, in dessen Bezirk der Schuldner im Zeitpunkt der Auftragserteilung seinen Wohnsitz oder in Ermangelung eines solchen seinen Aufenthaltsort hat.</w:t>
      </w:r>
    </w:p>
    <w:p>
      <w:r>
        <w:t>(2) Ist der angegangene Gerichtsvollzieher nicht zuständig, so leitet er die Sache auf Antrag des Gläubigers an den zuständigen Gerichtsvollzieher weiter.</w:t>
      </w:r>
    </w:p>
    <w:p>
      <w:pPr>
        <w:pStyle w:val="Heading4"/>
      </w:pPr>
      <w:bookmarkStart w:id="828" w:name="b827"/>
      <w:r>
        <w:t>§ 802f Abnahme der Vermögensauskunft</w:t>
      </w:r>
      <w:r>
        <w:t xml:space="preserve"> </w:t>
      </w:r>
      <w:r>
        <w:rPr>
          <w:rStyle w:val="Suchmarke"/>
        </w:rPr>
        <w:t>#802f#</w:t>
      </w:r>
      <w:bookmarkEnd w:id="828"/>
    </w:p>
    <w:p>
      <w:r>
        <w:t>(1) Die Abnahme der Vermögensauskunft ist nur zulässig, wenn</w:t>
      </w:r>
    </w:p>
    <w:p>
      <w:pPr>
        <w:tabs>
          <w:tab w:pos="567" w:val="left"/>
        </w:tabs>
        <w:ind w:left="567" w:hanging="567"/>
      </w:pPr>
      <w:r>
        <w:t>1.</w:t>
      </w:r>
      <w:r>
        <w:tab/>
      </w:r>
      <w:r>
        <w:t>der Gerichtsvollzieher zuvor den Schuldner zur Zahlung aufgefordert hat,</w:t>
      </w:r>
    </w:p>
    <w:p>
      <w:pPr>
        <w:tabs>
          <w:tab w:pos="567" w:val="left"/>
        </w:tabs>
        <w:ind w:left="567" w:hanging="567"/>
      </w:pPr>
      <w:r>
        <w:t>2.</w:t>
      </w:r>
      <w:r>
        <w:tab/>
      </w:r>
      <w:r>
        <w:t>seit der Zahlungsaufforderung nach Nummer 1 mindestens zwei Wochen vergangen sind und</w:t>
      </w:r>
    </w:p>
    <w:p>
      <w:pPr>
        <w:tabs>
          <w:tab w:pos="567" w:val="left"/>
        </w:tabs>
        <w:ind w:left="567" w:hanging="567"/>
      </w:pPr>
      <w:r>
        <w:t>3.</w:t>
      </w:r>
      <w:r>
        <w:tab/>
      </w:r>
      <w:r>
        <w:t>die Forderung nicht vollständig beglichen worden ist.</w:t>
      </w:r>
    </w:p>
    <w:p>
      <w:r>
        <w:t xml:space="preserve">(2) </w:t>
      </w:r>
      <w:r>
        <w:rPr>
          <w:rStyle w:val="Satznummer"/>
        </w:rPr>
        <w:t>1</w:t>
      </w:r>
      <w:r>
        <w:t xml:space="preserve">Der Gerichtsvollzieher bestimmt einen Termin zur Abnahme der Vermögensauskunft und lädt den Schuldner zu diesem Termin. </w:t>
      </w:r>
      <w:r>
        <w:rPr>
          <w:rStyle w:val="Satznummer"/>
        </w:rPr>
        <w:t>2</w:t>
      </w:r>
      <w:r>
        <w:t xml:space="preserve">Der Termin findet alsbald nach Ablauf der Frist nach Absatz 1 Nummer 2 statt. </w:t>
      </w:r>
      <w:r>
        <w:rPr>
          <w:rStyle w:val="Satznummer"/>
        </w:rPr>
        <w:t>3</w:t>
      </w:r>
      <w:r>
        <w:t xml:space="preserve">Die Ladung des Schuldners zu dem Termin darf frühestens mit der Zahlungsaufforderung nach Absatz 1 Nummer 1 erfolgen. </w:t>
      </w:r>
      <w:r>
        <w:rPr>
          <w:rStyle w:val="Satznummer"/>
        </w:rPr>
        <w:t>4</w:t>
      </w:r>
      <w:r>
        <w:t>Der Gerichtsvollzieher bestimmt, ob der Termin</w:t>
      </w:r>
    </w:p>
    <w:p>
      <w:pPr>
        <w:tabs>
          <w:tab w:pos="567" w:val="left"/>
        </w:tabs>
        <w:ind w:left="567" w:hanging="567"/>
      </w:pPr>
      <w:r>
        <w:t>1.</w:t>
      </w:r>
      <w:r>
        <w:tab/>
      </w:r>
      <w:r>
        <w:t>in seinen Geschäftsräumen,</w:t>
      </w:r>
    </w:p>
    <w:p>
      <w:pPr>
        <w:tabs>
          <w:tab w:pos="567" w:val="left"/>
        </w:tabs>
        <w:ind w:left="567" w:hanging="567"/>
      </w:pPr>
      <w:r>
        <w:t>2.</w:t>
      </w:r>
      <w:r>
        <w:tab/>
      </w:r>
      <w:r>
        <w:t>in der Wohnung des Schuldners,</w:t>
      </w:r>
    </w:p>
    <w:p>
      <w:pPr>
        <w:tabs>
          <w:tab w:pos="567" w:val="left"/>
        </w:tabs>
        <w:ind w:left="567" w:hanging="567"/>
      </w:pPr>
      <w:r>
        <w:t>3.</w:t>
      </w:r>
      <w:r>
        <w:tab/>
      </w:r>
      <w:r>
        <w:t>an einem nicht in den Nummern 1 und 2 genannten geeigneten Ort oder</w:t>
      </w:r>
    </w:p>
    <w:p>
      <w:pPr>
        <w:tabs>
          <w:tab w:pos="567" w:val="left"/>
        </w:tabs>
        <w:ind w:left="567" w:hanging="567"/>
      </w:pPr>
      <w:r>
        <w:t>4.</w:t>
      </w:r>
      <w:r>
        <w:tab/>
      </w:r>
      <w:r>
        <w:t>per Bild- und Tonübertragung</w:t>
      </w:r>
    </w:p>
    <w:p>
      <w:r>
        <w:t>stattfindet.</w:t>
      </w:r>
    </w:p>
    <w:p>
      <w:r>
        <w:t xml:space="preserve">(3) </w:t>
      </w:r>
      <w:r>
        <w:rPr>
          <w:rStyle w:val="Satznummer"/>
        </w:rPr>
        <w:t>1</w:t>
      </w:r>
      <w:r>
        <w:t xml:space="preserve">Bei einem Termin per Bild- und Tonübertragung nach Absatz 2 Satz 4 Nummer 4 wird die Übertragung nicht aufgezeichnet. </w:t>
      </w:r>
      <w:r>
        <w:rPr>
          <w:rStyle w:val="Satznummer"/>
        </w:rPr>
        <w:t>2</w:t>
      </w:r>
      <w:r>
        <w:t>Der Gerichtsvollzieher weist zu Beginn des Termins alle Teilnehmer auf das Aufzeichnungsverbot hin.</w:t>
      </w:r>
    </w:p>
    <w:p>
      <w:r>
        <w:t xml:space="preserve">(4) </w:t>
      </w:r>
      <w:r>
        <w:rPr>
          <w:rStyle w:val="Satznummer"/>
        </w:rPr>
        <w:t>1</w:t>
      </w:r>
      <w:r>
        <w:t xml:space="preserve">Bestimmt der Gerichtsvollzieher, dass der Termin nach Absatz 2 Satz 4 Nummer 2, 3 oder 4 stattfindet, kann der Schuldner dieser Bestimmung innerhalb einer Woche gegenüber dem Gerichtsvollzieher widersprechen. </w:t>
      </w:r>
      <w:r>
        <w:rPr>
          <w:rStyle w:val="Satznummer"/>
        </w:rPr>
        <w:t>2</w:t>
      </w:r>
      <w:r>
        <w:t xml:space="preserve">Der Schuldner hat die zur Abnahme der Vermögensauskunft erforderlichen Unterlagen in dem Termin beizubringen. </w:t>
      </w:r>
      <w:r>
        <w:rPr>
          <w:rStyle w:val="Satznummer"/>
        </w:rPr>
        <w:t>3</w:t>
      </w:r>
      <w:r>
        <w:t>Wird die Vermögensauskunft in dem Termin nicht abgegeben, so ist dies nur dann nicht pflichtwidrig, wenn</w:t>
      </w:r>
    </w:p>
    <w:p>
      <w:pPr>
        <w:tabs>
          <w:tab w:pos="567" w:val="left"/>
        </w:tabs>
        <w:ind w:left="567" w:hanging="567"/>
      </w:pPr>
      <w:r>
        <w:t>1.</w:t>
      </w:r>
      <w:r>
        <w:tab/>
      </w:r>
      <w:r>
        <w:t>der Schuldner nachweist, dass er die Nichtabgabe der Vermögensauskunft in diesem Termin nicht zu vertreten hat,</w:t>
      </w:r>
    </w:p>
    <w:p>
      <w:pPr>
        <w:tabs>
          <w:tab w:pos="567" w:val="left"/>
        </w:tabs>
        <w:ind w:left="567" w:hanging="567"/>
      </w:pPr>
      <w:r>
        <w:t>2.</w:t>
      </w:r>
      <w:r>
        <w:tab/>
      </w:r>
      <w:r>
        <w:t>der Schuldner einer Bestimmung des Termins nach Absatz 2 Satz 4 Nummer 2 bis 4 innerhalb der Frist des Satzes 1 widersprochen hat oder</w:t>
      </w:r>
    </w:p>
    <w:p>
      <w:pPr>
        <w:tabs>
          <w:tab w:pos="567" w:val="left"/>
        </w:tabs>
        <w:ind w:left="567" w:hanging="567"/>
      </w:pPr>
      <w:r>
        <w:t>3.</w:t>
      </w:r>
      <w:r>
        <w:tab/>
      </w:r>
      <w:r>
        <w:t>der Schuldner im Fall einer Bestimmung des Termins nach Absatz 2 Satz 4 Nummer 4 darlegt, dass die Nichtabgabe der Vermögensauskunft auf technischen Problemen beruht hat.</w:t>
      </w:r>
    </w:p>
    <w:p>
      <w:r>
        <w:t>(5) Mit der Terminsladung ist der Schuldner über Folgendes zu belehren:</w:t>
      </w:r>
    </w:p>
    <w:p>
      <w:pPr>
        <w:tabs>
          <w:tab w:pos="567" w:val="left"/>
        </w:tabs>
        <w:ind w:left="567" w:hanging="567"/>
      </w:pPr>
      <w:r>
        <w:t>1.</w:t>
      </w:r>
      <w:r>
        <w:tab/>
      </w:r>
      <w:r>
        <w:t xml:space="preserve">die nach </w:t>
      </w:r>
      <w:hyperlink w:anchor="b824" w:history="1">
        <w:r>
          <w:rPr>
            <w:color w:val="0A3A8C"/>
            <w:u w:val="single"/>
          </w:rPr>
          <w:t xml:space="preserve">§ 802c</w:t>
        </w:r>
      </w:hyperlink>
      <w:r>
        <w:t xml:space="preserve"> Absatz 1 und 2 erforderlichen Angaben,</w:t>
      </w:r>
    </w:p>
    <w:p>
      <w:pPr>
        <w:tabs>
          <w:tab w:pos="567" w:val="left"/>
        </w:tabs>
        <w:ind w:left="567" w:hanging="567"/>
      </w:pPr>
      <w:r>
        <w:t>2.</w:t>
      </w:r>
      <w:r>
        <w:tab/>
      </w:r>
      <w:r>
        <w:t>im Fall der Terminsbestimmung nach Absatz 2 Satz 4 Nummer 2 bis 4 sein Recht, der Terminsbestimmung nach Absatz 4 Satz 1 zu widersprechen,</w:t>
      </w:r>
    </w:p>
    <w:p>
      <w:pPr>
        <w:tabs>
          <w:tab w:pos="567" w:val="left"/>
        </w:tabs>
        <w:ind w:left="567" w:hanging="567"/>
      </w:pPr>
      <w:r>
        <w:t>3.</w:t>
      </w:r>
      <w:r>
        <w:tab/>
      </w:r>
      <w:r>
        <w:t>im Fall der Terminsbestimmung nach Absatz 2 Satz 4 Nummer 4 das Aufzeichnungsverbot des Absatzes 3 Satz 1,</w:t>
      </w:r>
    </w:p>
    <w:p>
      <w:pPr>
        <w:tabs>
          <w:tab w:pos="567" w:val="left"/>
        </w:tabs>
        <w:ind w:left="567" w:hanging="567"/>
      </w:pPr>
      <w:r>
        <w:t>4.</w:t>
      </w:r>
      <w:r>
        <w:tab/>
      </w:r>
      <w:r>
        <w:t>die Pflicht nach Absatz 4 Satz 2, die erforderlichen Unterlagen beizubringen,</w:t>
      </w:r>
    </w:p>
    <w:p>
      <w:pPr>
        <w:tabs>
          <w:tab w:pos="567" w:val="left"/>
        </w:tabs>
        <w:ind w:left="567" w:hanging="567"/>
      </w:pPr>
      <w:r>
        <w:t>5.</w:t>
      </w:r>
      <w:r>
        <w:tab/>
      </w:r>
      <w:r>
        <w:t>die Folgen einer pflichtwidrigen Nichtabgabe der Vermögensauskunft,</w:t>
      </w:r>
    </w:p>
    <w:p>
      <w:pPr>
        <w:tabs>
          <w:tab w:pos="567" w:val="left"/>
        </w:tabs>
        <w:ind w:left="567" w:hanging="567"/>
      </w:pPr>
      <w:r>
        <w:t>6.</w:t>
      </w:r>
      <w:r>
        <w:tab/>
      </w:r>
      <w:r>
        <w:t xml:space="preserve">die Möglichkeit der Einholung von Auskünften Dritter nach </w:t>
      </w:r>
      <w:hyperlink w:anchor="b833" w:history="1">
        <w:r>
          <w:rPr>
            <w:color w:val="0A3A8C"/>
            <w:u w:val="single"/>
          </w:rPr>
          <w:t xml:space="preserve">§ 802l</w:t>
        </w:r>
      </w:hyperlink>
      <w:r>
        <w:t xml:space="preserve"> und</w:t>
      </w:r>
    </w:p>
    <w:p>
      <w:pPr>
        <w:tabs>
          <w:tab w:pos="567" w:val="left"/>
        </w:tabs>
        <w:ind w:left="567" w:hanging="567"/>
      </w:pPr>
      <w:r>
        <w:t>7.</w:t>
      </w:r>
      <w:r>
        <w:tab/>
      </w:r>
      <w:r>
        <w:t xml:space="preserve">die Eintragung in das Schuldnerverzeichnis nach </w:t>
      </w:r>
      <w:hyperlink w:anchor="b953" w:history="1">
        <w:r>
          <w:rPr>
            <w:color w:val="0A3A8C"/>
            <w:u w:val="single"/>
          </w:rPr>
          <w:t xml:space="preserve">§ 882c</w:t>
        </w:r>
      </w:hyperlink>
      <w:r>
        <w:t xml:space="preserve"> bei Abgabe der Vermögensauskunft.</w:t>
      </w:r>
    </w:p>
    <w:p>
      <w:r>
        <w:t xml:space="preserve">(6) </w:t>
      </w:r>
      <w:r>
        <w:rPr>
          <w:rStyle w:val="Satznummer"/>
        </w:rPr>
        <w:t>1</w:t>
      </w:r>
      <w:r>
        <w:t xml:space="preserve">Zahlungsaufforderungen, Ladungen, Bestimmungen und Belehrungen nach den Absätzen 1 bis 5 sind dem Schuldner zuzustellen, auch wenn dieser einen Prozessbevollmächtigten bestellt hat; einer Mitteilung an den Prozessbevollmächtigten bedarf es nicht. </w:t>
      </w:r>
      <w:r>
        <w:rPr>
          <w:rStyle w:val="Satznummer"/>
        </w:rPr>
        <w:t>2</w:t>
      </w:r>
      <w:r>
        <w:t xml:space="preserve">Dem Gläubiger ist die Terminsbestimmung nach Maßgabe des </w:t>
      </w:r>
      <w:hyperlink w:anchor="b411" w:history="1">
        <w:r>
          <w:rPr>
            <w:color w:val="0A3A8C"/>
            <w:u w:val="single"/>
          </w:rPr>
          <w:t xml:space="preserve">§ 357</w:t>
        </w:r>
      </w:hyperlink>
      <w:r>
        <w:t xml:space="preserve"> Absatz 2 mitzuteilen sowie im Fall der Terminsbestimmung nach Absatz 2 Satz 4 Nummer 4 ein Hinweis auf das Aufzeichnungsverbot zu geben.</w:t>
      </w:r>
    </w:p>
    <w:p>
      <w:r>
        <w:t xml:space="preserve">(7) </w:t>
      </w:r>
      <w:r>
        <w:rPr>
          <w:rStyle w:val="Satznummer"/>
        </w:rPr>
        <w:t>1</w:t>
      </w:r>
      <w:r>
        <w:t xml:space="preserve">Der Gerichtsvollzieher errichtet in einem elektronischen Dokument eine Aufstellung mit den nach </w:t>
      </w:r>
      <w:hyperlink w:anchor="b824" w:history="1">
        <w:r>
          <w:rPr>
            <w:color w:val="0A3A8C"/>
            <w:u w:val="single"/>
          </w:rPr>
          <w:t xml:space="preserve">§ 802c</w:t>
        </w:r>
      </w:hyperlink>
      <w:r>
        <w:t xml:space="preserve"> Absatz 1 und 2 erforderlichen Angaben (Vermögensverzeichnis). </w:t>
      </w:r>
      <w:r>
        <w:rPr>
          <w:rStyle w:val="Satznummer"/>
        </w:rPr>
        <w:t>2</w:t>
      </w:r>
      <w:r>
        <w:t xml:space="preserve">Diese Angaben sind dem Schuldner vor Abgabe der Versicherung nach </w:t>
      </w:r>
      <w:hyperlink w:anchor="b824" w:history="1">
        <w:r>
          <w:rPr>
            <w:color w:val="0A3A8C"/>
            <w:u w:val="single"/>
          </w:rPr>
          <w:t xml:space="preserve">§ 802c</w:t>
        </w:r>
      </w:hyperlink>
      <w:r>
        <w:t xml:space="preserve"> Absatz 3 vorzulesen oder zur Durchsicht auf einem Bildschirm anzuzeigen. </w:t>
      </w:r>
      <w:r>
        <w:rPr>
          <w:rStyle w:val="Satznummer"/>
        </w:rPr>
        <w:t>3</w:t>
      </w:r>
      <w:r>
        <w:t xml:space="preserve">Dem Schuldner ist auf Verlangen ein Ausdruck zu erteilen; </w:t>
      </w:r>
      <w:hyperlink w:anchor="b825" w:history="1">
        <w:r>
          <w:rPr>
            <w:color w:val="0A3A8C"/>
            <w:u w:val="single"/>
          </w:rPr>
          <w:t xml:space="preserve">§ 802d</w:t>
        </w:r>
      </w:hyperlink>
      <w:r>
        <w:t xml:space="preserve"> Absatz 2 gilt entsprechend.</w:t>
      </w:r>
    </w:p>
    <w:p>
      <w:r>
        <w:t xml:space="preserve">(8) </w:t>
      </w:r>
      <w:r>
        <w:rPr>
          <w:rStyle w:val="Satznummer"/>
        </w:rPr>
        <w:t>1</w:t>
      </w:r>
      <w:r>
        <w:t xml:space="preserve">Der Gerichtsvollzieher hinterlegt das Vermögensverzeichnis bei dem zentralen Vollstreckungsgericht nach </w:t>
      </w:r>
      <w:hyperlink w:anchor="b832" w:history="1">
        <w:r>
          <w:rPr>
            <w:color w:val="0A3A8C"/>
            <w:u w:val="single"/>
          </w:rPr>
          <w:t xml:space="preserve">§ 802k</w:t>
        </w:r>
      </w:hyperlink>
      <w:r>
        <w:t xml:space="preserve"> Absatz 1. </w:t>
      </w:r>
      <w:r>
        <w:rPr>
          <w:rStyle w:val="Satznummer"/>
        </w:rPr>
        <w:t>2</w:t>
      </w:r>
      <w:r>
        <w:t xml:space="preserve">Er leitet dem Gläubiger unverzüglich einen Ausdruck zu; </w:t>
      </w:r>
      <w:hyperlink w:anchor="b825" w:history="1">
        <w:r>
          <w:rPr>
            <w:color w:val="0A3A8C"/>
            <w:u w:val="single"/>
          </w:rPr>
          <w:t xml:space="preserve">§ 802d</w:t>
        </w:r>
      </w:hyperlink>
      <w:r>
        <w:t xml:space="preserve"> Absatz 2 gilt entsprechend. </w:t>
      </w:r>
      <w:r>
        <w:rPr>
          <w:rStyle w:val="Satznummer"/>
        </w:rPr>
        <w:t>3</w:t>
      </w:r>
      <w:r>
        <w:t xml:space="preserve">Der Ausdruck und das elektronische Dokument müssen den Vermerk enthalten, dass sie mit dem Inhalt des Vermögensverzeichnisses übereinstimmen. </w:t>
      </w:r>
      <w:r>
        <w:rPr>
          <w:rStyle w:val="Satznummer"/>
        </w:rPr>
        <w:t>4</w:t>
      </w:r>
      <w:hyperlink w:anchor="b825" w:history="1">
        <w:r>
          <w:rPr>
            <w:color w:val="0A3A8C"/>
            <w:u w:val="single"/>
          </w:rPr>
          <w:t xml:space="preserve">§ 802d</w:t>
        </w:r>
      </w:hyperlink>
      <w:r>
        <w:t xml:space="preserve"> Absatz 1 Satz 3 gilt entsprechend.</w:t>
      </w:r>
    </w:p>
    <w:p>
      <w:pPr>
        <w:pStyle w:val="Heading4"/>
      </w:pPr>
      <w:bookmarkStart w:id="829" w:name="b828"/>
      <w:r>
        <w:t>§ 802g Erzwingungshaft</w:t>
      </w:r>
      <w:r>
        <w:t xml:space="preserve"> </w:t>
      </w:r>
      <w:r>
        <w:rPr>
          <w:rStyle w:val="Suchmarke"/>
        </w:rPr>
        <w:t>#802g#</w:t>
      </w:r>
      <w:bookmarkEnd w:id="829"/>
    </w:p>
    <w:p>
      <w:r>
        <w:t xml:space="preserve">(1) </w:t>
      </w:r>
      <w:r>
        <w:rPr>
          <w:rStyle w:val="Satznummer"/>
        </w:rPr>
        <w:t>1</w:t>
      </w:r>
      <w:r>
        <w:t xml:space="preserve">Auf Antrag des Gläubigers erlässt das Gericht gegen den Schuldner, der dem Termin zur Abgabe der Vermögensauskunft unentschuldigt fernbleibt oder die Abgabe der Vermögensauskunft gemäß </w:t>
      </w:r>
      <w:hyperlink w:anchor="b824" w:history="1">
        <w:r>
          <w:rPr>
            <w:color w:val="0A3A8C"/>
            <w:u w:val="single"/>
          </w:rPr>
          <w:t xml:space="preserve">§ 802c</w:t>
        </w:r>
      </w:hyperlink>
      <w:r>
        <w:t xml:space="preserve"> ohne Grund verweigert, zur Erzwingung der Abgabe einen Haftbefehl. </w:t>
      </w:r>
      <w:r>
        <w:rPr>
          <w:rStyle w:val="Satznummer"/>
        </w:rPr>
        <w:t>2</w:t>
      </w:r>
      <w:r>
        <w:t xml:space="preserve">In dem Haftbefehl sind der Gläubiger, der Schuldner und der Grund der Verhaftung zu bezeichnen. </w:t>
      </w:r>
      <w:r>
        <w:rPr>
          <w:rStyle w:val="Satznummer"/>
        </w:rPr>
        <w:t>3</w:t>
      </w:r>
      <w:r>
        <w:t xml:space="preserve">Einer Zustellung des Haftbefehls vor seiner Vollziehung bedarf es nicht. </w:t>
      </w:r>
      <w:r>
        <w:rPr>
          <w:rStyle w:val="Satznummer"/>
        </w:rPr>
        <w:t>4</w:t>
      </w:r>
      <w:r>
        <w:t>Auf Antrag des Gläubigers übersendet das Gericht den Haftbefehl und eine beglaubigte Abschrift davon an den zuständigen Gerichtsvollzieher.</w:t>
      </w:r>
    </w:p>
    <w:p>
      <w:r>
        <w:t xml:space="preserve">(2) </w:t>
      </w:r>
      <w:r>
        <w:rPr>
          <w:rStyle w:val="Satznummer"/>
        </w:rPr>
        <w:t>1</w:t>
      </w:r>
      <w:r>
        <w:t xml:space="preserve">Die Verhaftung des Schuldners erfolgt durch einen Gerichtsvollzieher. </w:t>
      </w:r>
      <w:r>
        <w:rPr>
          <w:rStyle w:val="Satznummer"/>
        </w:rPr>
        <w:t>2</w:t>
      </w:r>
      <w:r>
        <w:t>Der Gerichtsvollzieher händigt dem Schuldner von Amts wegen bei der Verhaftung eine beglaubigte Abschrift des Haftbefehls aus.</w:t>
      </w:r>
    </w:p>
    <w:p>
      <w:pPr>
        <w:pStyle w:val="Heading4"/>
      </w:pPr>
      <w:bookmarkStart w:id="830" w:name="b829"/>
      <w:r>
        <w:t>§ 802h Unzulässigkeit der Haftvollstreckung</w:t>
      </w:r>
      <w:r>
        <w:t xml:space="preserve"> </w:t>
      </w:r>
      <w:r>
        <w:rPr>
          <w:rStyle w:val="Suchmarke"/>
        </w:rPr>
        <w:t>#802h#</w:t>
      </w:r>
      <w:bookmarkEnd w:id="830"/>
    </w:p>
    <w:p>
      <w:r>
        <w:t>(1) Die Vollziehung des Haftbefehls ist unstatthaft, wenn seit dem Tag, an dem der Haftbefehl erlassen wurde, zwei Jahre vergangen sind.</w:t>
      </w:r>
    </w:p>
    <w:p>
      <w:r>
        <w:t>(2) Gegen einen Schuldner, dessen Gesundheit durch die Vollstreckung der Haft einer nahen und erheblichen Gefahr ausgesetzt würde, darf, solange dieser Zustand dauert, die Haft nicht vollstreckt werden.</w:t>
      </w:r>
    </w:p>
    <w:p>
      <w:pPr>
        <w:pStyle w:val="Heading4"/>
      </w:pPr>
      <w:bookmarkStart w:id="831" w:name="b830"/>
      <w:r>
        <w:t>§ 802i Vermögensauskunft des verhafteten Schuldners</w:t>
      </w:r>
      <w:r>
        <w:t xml:space="preserve"> </w:t>
      </w:r>
      <w:r>
        <w:rPr>
          <w:rStyle w:val="Suchmarke"/>
        </w:rPr>
        <w:t>#802i#</w:t>
      </w:r>
      <w:bookmarkEnd w:id="831"/>
    </w:p>
    <w:p>
      <w:r>
        <w:t xml:space="preserve">(1) </w:t>
      </w:r>
      <w:r>
        <w:rPr>
          <w:rStyle w:val="Satznummer"/>
        </w:rPr>
        <w:t>1</w:t>
      </w:r>
      <w:r>
        <w:t xml:space="preserve">Der verhaftete Schuldner kann zu jeder Zeit bei dem Gerichtsvollzieher des Amtsgerichts des Haftortes verlangen, ihm die Vermögensauskunft abzunehmen. </w:t>
      </w:r>
      <w:r>
        <w:rPr>
          <w:rStyle w:val="Satznummer"/>
        </w:rPr>
        <w:t>2</w:t>
      </w:r>
      <w:r>
        <w:t xml:space="preserve">Dem Verlangen ist unverzüglich stattzugeben; </w:t>
      </w:r>
      <w:hyperlink w:anchor="b827" w:history="1">
        <w:r>
          <w:rPr>
            <w:color w:val="0A3A8C"/>
            <w:u w:val="single"/>
          </w:rPr>
          <w:t xml:space="preserve">§ 802f</w:t>
        </w:r>
      </w:hyperlink>
      <w:r>
        <w:t xml:space="preserve"> Absatz 7 gilt entsprechend. </w:t>
      </w:r>
      <w:r>
        <w:rPr>
          <w:rStyle w:val="Satznummer"/>
        </w:rPr>
        <w:t>3</w:t>
      </w:r>
      <w:r>
        <w:t>Dem Gläubiger wird die Teilnahme ermöglicht, wenn er dies beantragt hat und seine Teilnahme nicht zu einer Verzögerung der Abnahme führt.</w:t>
      </w:r>
    </w:p>
    <w:p>
      <w:r>
        <w:t xml:space="preserve">(2) </w:t>
      </w:r>
      <w:r>
        <w:rPr>
          <w:rStyle w:val="Satznummer"/>
        </w:rPr>
        <w:t>1</w:t>
      </w:r>
      <w:r>
        <w:t xml:space="preserve">Nach Abgabe der Vermögensauskunft wird der Schuldner aus der Haft entlassen. </w:t>
      </w:r>
      <w:r>
        <w:rPr>
          <w:rStyle w:val="Satznummer"/>
        </w:rPr>
        <w:t>2</w:t>
      </w:r>
      <w:hyperlink w:anchor="b827" w:history="1">
        <w:r>
          <w:rPr>
            <w:color w:val="0A3A8C"/>
            <w:u w:val="single"/>
          </w:rPr>
          <w:t xml:space="preserve">§ 802f</w:t>
        </w:r>
      </w:hyperlink>
      <w:r>
        <w:t xml:space="preserve"> Absatz 7 und 8 gilt entsprechend.</w:t>
      </w:r>
    </w:p>
    <w:p>
      <w:r>
        <w:t xml:space="preserve">(3) </w:t>
      </w:r>
      <w:r>
        <w:rPr>
          <w:rStyle w:val="Satznummer"/>
        </w:rPr>
        <w:t>1</w:t>
      </w:r>
      <w:r>
        <w:t xml:space="preserve">Kann der Schuldner vollständige Angaben nicht machen, weil er die erforderlichen Unterlagen nicht bei sich hat, so kann der Gerichtsvollzieher einen neuen Termin bestimmen und die Vollziehung des Haftbefehls bis zu diesem Termin aussetzen. </w:t>
      </w:r>
      <w:r>
        <w:rPr>
          <w:rStyle w:val="Satznummer"/>
        </w:rPr>
        <w:t>2</w:t>
      </w:r>
      <w:hyperlink w:anchor="b827" w:history="1">
        <w:r>
          <w:rPr>
            <w:color w:val="0A3A8C"/>
            <w:u w:val="single"/>
          </w:rPr>
          <w:t xml:space="preserve">§ 802f</w:t>
        </w:r>
      </w:hyperlink>
      <w:r>
        <w:t xml:space="preserve"> gilt entsprechend; der Setzung einer Zahlungsfrist bedarf es nicht.</w:t>
      </w:r>
    </w:p>
    <w:p>
      <w:pPr>
        <w:pStyle w:val="Heading4"/>
      </w:pPr>
      <w:bookmarkStart w:id="832" w:name="b831"/>
      <w:r>
        <w:t>§ 802j Dauer der Haft; erneute Haft</w:t>
      </w:r>
      <w:r>
        <w:t xml:space="preserve"> </w:t>
      </w:r>
      <w:r>
        <w:rPr>
          <w:rStyle w:val="Suchmarke"/>
        </w:rPr>
        <w:t>#802j#</w:t>
      </w:r>
      <w:bookmarkEnd w:id="832"/>
    </w:p>
    <w:p>
      <w:r>
        <w:t xml:space="preserve">(1) </w:t>
      </w:r>
      <w:r>
        <w:rPr>
          <w:rStyle w:val="Satznummer"/>
        </w:rPr>
        <w:t>1</w:t>
      </w:r>
      <w:r>
        <w:t xml:space="preserve">Die Haft darf die Dauer von sechs Monaten nicht übersteigen. </w:t>
      </w:r>
      <w:r>
        <w:rPr>
          <w:rStyle w:val="Satznummer"/>
        </w:rPr>
        <w:t>2</w:t>
      </w:r>
      <w:r>
        <w:t>Nach Ablauf der sechs Monate wird der Schuldner von Amts wegen aus der Haft entlassen.</w:t>
      </w:r>
    </w:p>
    <w:p>
      <w:r>
        <w:t>(2) Gegen den Schuldner, der ohne sein Zutun auf Antrag des Gläubigers aus der Haft entlassen ist, findet auf Antrag desselben Gläubigers eine Erneuerung der Haft nicht statt.</w:t>
      </w:r>
    </w:p>
    <w:p>
      <w:r>
        <w:t>(3) Ein Schuldner, gegen den wegen Verweigerung der Abgabe der Vermögensauskunft eine Haft von sechs Monaten vollstreckt ist, kann innerhalb der folgenden zwei Jahre auch auf Antrag eines anderen Gläubigers nur unter den Voraussetzungen des § 802d von neuem zur Abgabe einer solchen Vermögensauskunft durch Haft angehalten werden.</w:t>
      </w:r>
    </w:p>
    <w:p>
      <w:pPr>
        <w:pStyle w:val="Heading4"/>
      </w:pPr>
      <w:bookmarkStart w:id="833" w:name="b832"/>
      <w:r>
        <w:t>§ 802k Zentrale Verwaltung der Vermögensverzeichnisse</w:t>
      </w:r>
      <w:r>
        <w:t xml:space="preserve"> </w:t>
      </w:r>
      <w:r>
        <w:rPr>
          <w:rStyle w:val="Suchmarke"/>
        </w:rPr>
        <w:t>#802k#</w:t>
      </w:r>
      <w:bookmarkEnd w:id="833"/>
    </w:p>
    <w:p>
      <w:r>
        <w:t xml:space="preserve">(1) </w:t>
      </w:r>
      <w:r>
        <w:rPr>
          <w:rStyle w:val="Satznummer"/>
        </w:rPr>
        <w:t>1</w:t>
      </w:r>
      <w:r>
        <w:t xml:space="preserve">Nach </w:t>
      </w:r>
      <w:hyperlink w:anchor="b827" w:history="1">
        <w:r>
          <w:rPr>
            <w:color w:val="0A3A8C"/>
            <w:u w:val="single"/>
          </w:rPr>
          <w:t xml:space="preserve">§ 802f</w:t>
        </w:r>
      </w:hyperlink>
      <w:r>
        <w:t xml:space="preserve"> Absatz 8 dieses Gesetzes oder nach § 284 Abs. 7 Satz 4 der Abgabenordnung zu hinterlegende Vermögensverzeichnisse werden landesweit von einem zentralen Vollstreckungsgericht in elektronischer Form verwaltet. </w:t>
      </w:r>
      <w:r>
        <w:rPr>
          <w:rStyle w:val="Satznummer"/>
        </w:rPr>
        <w:t>2</w:t>
      </w:r>
      <w:r>
        <w:t xml:space="preserve">Die Vermögensverzeichnisse können über eine zentrale und länderübergreifende Abfrage im Internet eingesehen und abgerufen werden. </w:t>
      </w:r>
      <w:r>
        <w:rPr>
          <w:rStyle w:val="Satznummer"/>
        </w:rPr>
        <w:t>3</w:t>
      </w:r>
      <w:r>
        <w:t xml:space="preserve">Gleiches gilt für Vermögensverzeichnisse, die auf Grund einer § 284 Abs. 1 bis 7 der Abgabenordnung gleichwertigen bundesgesetzlichen oder landesgesetzlichen Regelung errichtet wurden, soweit diese Regelung die Hinterlegung anordnet. </w:t>
      </w:r>
      <w:r>
        <w:rPr>
          <w:rStyle w:val="Satznummer"/>
        </w:rPr>
        <w:t>4</w:t>
      </w:r>
      <w:r>
        <w:t>Ein Vermögensverzeichnis nach Satz 1 oder Satz 2 ist nach Ablauf von zwei Jahren seit Abgabe der Auskunft oder bei Eingang eines neuen Vermögensverzeichnisses zu löschen.</w:t>
      </w:r>
    </w:p>
    <w:p>
      <w:r>
        <w:t xml:space="preserve">(2) </w:t>
      </w:r>
      <w:r>
        <w:rPr>
          <w:rStyle w:val="Satznummer"/>
        </w:rPr>
        <w:t>1</w:t>
      </w:r>
      <w:r>
        <w:t xml:space="preserve">Die Gerichtsvollzieher können die von den zentralen Vollstreckungsgerichten nach Absatz 1 verwalteten Vermögensverzeichnisse zu Vollstreckungszwecken abrufen. </w:t>
      </w:r>
      <w:r>
        <w:rPr>
          <w:rStyle w:val="Satznummer"/>
        </w:rPr>
        <w:t>2</w:t>
      </w:r>
      <w:r>
        <w:t>Den Gerichtsvollziehern stehen Vollstreckungsbehörden gleich, die</w:t>
      </w:r>
    </w:p>
    <w:p>
      <w:pPr>
        <w:tabs>
          <w:tab w:pos="567" w:val="left"/>
        </w:tabs>
        <w:ind w:left="567" w:hanging="567"/>
      </w:pPr>
      <w:r>
        <w:t>1.</w:t>
      </w:r>
      <w:r>
        <w:tab/>
      </w:r>
      <w:r>
        <w:t>Vermögensauskünfte nach § 284 der Abgabenordnung verlangen können,</w:t>
      </w:r>
    </w:p>
    <w:p>
      <w:pPr>
        <w:tabs>
          <w:tab w:pos="567" w:val="left"/>
        </w:tabs>
        <w:ind w:left="567" w:hanging="567"/>
      </w:pPr>
      <w:r>
        <w:t>2.</w:t>
      </w:r>
      <w:r>
        <w:tab/>
      </w:r>
      <w:r>
        <w:t>durch Bundesgesetz oder durch Landesgesetz dazu befugt sind, vom Schuldner Auskunft über sein Vermögen zu verlangen, wenn diese Auskunftsbefugnis durch die Errichtung eines nach Absatz 1 zu hinterlegenden Vermögensverzeichnisses ausgeschlossen wird, oder</w:t>
      </w:r>
    </w:p>
    <w:p>
      <w:pPr>
        <w:tabs>
          <w:tab w:pos="567" w:val="left"/>
        </w:tabs>
        <w:ind w:left="567" w:hanging="567"/>
      </w:pPr>
      <w:r>
        <w:t>3.</w:t>
      </w:r>
      <w:r>
        <w:tab/>
      </w:r>
      <w:r>
        <w:t xml:space="preserve">durch Bundesgesetz oder durch Landesgesetz dazu befugt sind, vom Schuldner die Abgabe einer Vermögensauskunft nach </w:t>
      </w:r>
      <w:hyperlink w:anchor="b824" w:history="1">
        <w:r>
          <w:rPr>
            <w:color w:val="0A3A8C"/>
            <w:u w:val="single"/>
          </w:rPr>
          <w:t xml:space="preserve">§ 802c</w:t>
        </w:r>
      </w:hyperlink>
      <w:r>
        <w:t xml:space="preserve"> gegenüber dem Gerichtsvollzieher zu verlangen.</w:t>
      </w:r>
    </w:p>
    <w:p>
      <w:r>
        <w:rPr>
          <w:rStyle w:val="Satznummer"/>
        </w:rPr>
        <w:t>3</w:t>
      </w:r>
      <w:r>
        <w:t>Zur Einsicht befugt sind ferner Vollstreckungsgerichte, Insolvenzgerichte und Registergerichte sowie Strafverfolgungsbehörden, soweit dies zur Erfüllung der ihnen obliegenden Aufgaben erforderlich ist.</w:t>
      </w:r>
    </w:p>
    <w:p>
      <w:r>
        <w:t xml:space="preserve">(3) </w:t>
      </w:r>
      <w:r>
        <w:rPr>
          <w:rStyle w:val="Satznummer"/>
        </w:rPr>
        <w:t>1</w:t>
      </w:r>
      <w:r>
        <w:t xml:space="preserve">Die Landesregierungen bestimmen durch Rechtsverordnung, welches Gericht die Aufgaben des zentralen Vollstreckungsgerichts nach Absatz 1 wahrzunehmen hat. </w:t>
      </w:r>
      <w:r>
        <w:rPr>
          <w:rStyle w:val="Satznummer"/>
        </w:rPr>
        <w:t>2</w:t>
      </w:r>
      <w:r>
        <w:t xml:space="preserve">Sie können diese Befugnis auf die Landesjustizverwaltungen übertragen. </w:t>
      </w:r>
      <w:r>
        <w:rPr>
          <w:rStyle w:val="Satznummer"/>
        </w:rPr>
        <w:t>3</w:t>
      </w:r>
      <w:r>
        <w:t>Das zentrale Vollstreckungsgericht nach Absatz 1 kann andere Stellen mit der Datenverarbeitung beauftragen; die datenschutzrechtlichen Vorschriften über die Verarbeitung personenbezogener Daten im Auftrag sind zu beachten.</w:t>
      </w:r>
    </w:p>
    <w:p>
      <w:r>
        <w:t xml:space="preserve">(4) </w:t>
      </w:r>
      <w:r>
        <w:rPr>
          <w:rStyle w:val="Satznummer"/>
        </w:rPr>
        <w:t>1</w:t>
      </w:r>
      <w:r>
        <w:t xml:space="preserve">Das Bundesministerium der Justiz wird ermächtigt, durch Rechtsverordnung mit Zustimmung des Bundesrates die Einzelheiten des Inhalts, der Form, Aufnahme, Übermittlung, Verwaltung und Löschung der Vermögensverzeichnisse nach </w:t>
      </w:r>
      <w:hyperlink w:anchor="b827" w:history="1">
        <w:r>
          <w:rPr>
            <w:color w:val="0A3A8C"/>
            <w:u w:val="single"/>
          </w:rPr>
          <w:t xml:space="preserve">§ 802f</w:t>
        </w:r>
      </w:hyperlink>
      <w:r>
        <w:t xml:space="preserve"> Absatz 7 dieses Gesetzes und nach § 284 Abs. 7 der Abgabenordnung oder gleichwertigen Regelungen im Sinne von Absatz 1 Satz 2 sowie der Einsichtnahme, insbesondere durch ein automatisiertes Abrufverfahren, zu regeln. </w:t>
      </w:r>
      <w:r>
        <w:rPr>
          <w:rStyle w:val="Satznummer"/>
        </w:rPr>
        <w:t>2</w:t>
      </w:r>
      <w:r>
        <w:t xml:space="preserve">Die Rechtsverordnung hat geeignete Regelungen zur Sicherung des Datenschutzes und der Datensicherheit vorzusehen. </w:t>
      </w:r>
      <w:r>
        <w:rPr>
          <w:rStyle w:val="Satznummer"/>
        </w:rPr>
        <w:t>3</w:t>
      </w:r>
      <w:r>
        <w:t>Insbesondere ist sicherzustellen, dass die Vermögensverzeichnisse</w:t>
      </w:r>
    </w:p>
    <w:p>
      <w:pPr>
        <w:tabs>
          <w:tab w:pos="567" w:val="left"/>
        </w:tabs>
        <w:ind w:left="567" w:hanging="567"/>
      </w:pPr>
      <w:r>
        <w:t>1.</w:t>
      </w:r>
      <w:r>
        <w:tab/>
      </w:r>
      <w:r>
        <w:t>bei der Übermittlung an das zentrale Vollstreckungsgericht nach Absatz 1 sowie bei der Weitergabe an die anderen Stellen nach Absatz 3 Satz 3 gegen unbefugte Kenntnisnahme geschützt sind,</w:t>
      </w:r>
    </w:p>
    <w:p>
      <w:pPr>
        <w:tabs>
          <w:tab w:pos="567" w:val="left"/>
        </w:tabs>
        <w:ind w:left="567" w:hanging="567"/>
      </w:pPr>
      <w:r>
        <w:t>2.</w:t>
      </w:r>
      <w:r>
        <w:tab/>
      </w:r>
      <w:r>
        <w:t>unversehrt und vollständig wiedergegeben werden,</w:t>
      </w:r>
    </w:p>
    <w:p>
      <w:pPr>
        <w:tabs>
          <w:tab w:pos="567" w:val="left"/>
        </w:tabs>
        <w:ind w:left="567" w:hanging="567"/>
      </w:pPr>
      <w:r>
        <w:t>3.</w:t>
      </w:r>
      <w:r>
        <w:tab/>
      </w:r>
      <w:r>
        <w:t>jederzeit ihrem Ursprung nach zugeordnet werden können und</w:t>
      </w:r>
    </w:p>
    <w:p>
      <w:pPr>
        <w:tabs>
          <w:tab w:pos="567" w:val="left"/>
        </w:tabs>
        <w:ind w:left="567" w:hanging="567"/>
      </w:pPr>
      <w:r>
        <w:t>4.</w:t>
      </w:r>
      <w:r>
        <w:tab/>
      </w:r>
      <w:r>
        <w:t>nur von registrierten Nutzern abgerufen werden können und jeder Abrufvorgang protokolliert wird.</w:t>
      </w:r>
    </w:p>
    <w:p>
      <w:r>
        <w:t xml:space="preserve">(5) </w:t>
      </w:r>
      <w:r>
        <w:rPr>
          <w:rStyle w:val="Satznummer"/>
        </w:rPr>
        <w:t>1</w:t>
      </w:r>
      <w:r>
        <w:t xml:space="preserve">Macht eine betroffene Person das Auskunftsrecht nach Artikel 15 Absatz 1 der Verordnung (EU) 2016/679 des Europäischen Parlaments und des Rates vom 27. April 2016 zum Schutz natürlicher Personen bei der Verarbeitung personenbezogener Daten, zum freien Datenverkehr und zur Aufhebung der Richtlinie 95/46/EG (Datenschutz-Grundverordnung) (ABl. L 119 vom 4.5.2016, S. 1; L 314 vom 22.11.2016, S. 72; L 127 vom 23.5.2018, S. 2) in Bezug auf personenbezogene Daten geltend, die in den von den zentralen Vollstreckungsgerichten nach Absatz 1 verwalteten Vermögensverzeichnissen enthalten sind, so sind der betroffenen Person im Hinblick auf die Empfänger, denen die personenbezogenen Daten offengelegt worden sind oder noch offengelegt werden, nur die Kategorien berechtigter Empfänger mitzuteilen. </w:t>
      </w:r>
      <w:r>
        <w:rPr>
          <w:rStyle w:val="Satznummer"/>
        </w:rPr>
        <w:t>2</w:t>
      </w:r>
      <w:r>
        <w:t>Das Widerspruchsrecht gemäß Artikel 21 der Verordnung (EU) 2016/679 findet in Bezug auf die personenbezogenen Daten, die in den von den zentralen Vollstreckungsgerichten nach Absatz 1 verwalteten Vermögensverzeichnissen enthalten sind, keine Anwendung.</w:t>
      </w:r>
    </w:p>
    <w:p>
      <w:pPr>
        <w:pStyle w:val="Heading4"/>
      </w:pPr>
      <w:bookmarkStart w:id="834" w:name="b833"/>
      <w:r>
        <w:t>§ 802l Auskunftsrechte des Gerichtsvollziehers</w:t>
      </w:r>
      <w:r>
        <w:t xml:space="preserve"> </w:t>
      </w:r>
      <w:r>
        <w:rPr>
          <w:rStyle w:val="Suchmarke"/>
        </w:rPr>
        <w:t>#802l#</w:t>
      </w:r>
      <w:bookmarkEnd w:id="834"/>
    </w:p>
    <w:p>
      <w:r>
        <w:t xml:space="preserve">(1) </w:t>
      </w:r>
      <w:r>
        <w:rPr>
          <w:rStyle w:val="Satznummer"/>
        </w:rPr>
        <w:t>1</w:t>
      </w:r>
      <w:r>
        <w:t>Der Gerichtsvollzieher darf vorbehaltlich der Sätze 2 und 3 folgende Maßnahmen durchführen, soweit sie zur Vollstreckung erforderlich sind:</w:t>
      </w:r>
    </w:p>
    <w:p>
      <w:pPr>
        <w:tabs>
          <w:tab w:pos="567" w:val="left"/>
        </w:tabs>
        <w:ind w:left="567" w:hanging="567"/>
      </w:pPr>
      <w:r>
        <w:t>1.</w:t>
      </w:r>
      <w:r>
        <w:tab/>
      </w:r>
      <w:r>
        <w:t>Erhebung des Namens und der Vornamen oder der Firma sowie der Anschrift der derzeitigen Arbeitgeber des Schuldners bei den Trägern der gesetzlichen Rentenversicherung und bei einer berufsständischen Versorgungseinrichtung im Sinne des § 6 Absatz 1 Satz 1 Nummer 1 des Sechsten Buches Sozialgesetzbuch;</w:t>
      </w:r>
    </w:p>
    <w:p>
      <w:pPr>
        <w:tabs>
          <w:tab w:pos="567" w:val="left"/>
        </w:tabs>
        <w:ind w:left="567" w:hanging="567"/>
      </w:pPr>
      <w:r>
        <w:t>2.</w:t>
      </w:r>
      <w:r>
        <w:tab/>
      </w:r>
      <w:r>
        <w:t>Ersuchen an das Bundeszentralamt für Steuern, bei den Kreditinstituten die in § 93b Absatz 1 und 1a der Abgabenordnung bezeichneten Daten, ausgenommen die Identifikationsnummer nach § 139b der Abgabenordnung, abzurufen (§ 93 Absatz 8 der Abgabenordnung);</w:t>
      </w:r>
    </w:p>
    <w:p>
      <w:pPr>
        <w:tabs>
          <w:tab w:pos="567" w:val="left"/>
        </w:tabs>
        <w:ind w:left="567" w:hanging="567"/>
      </w:pPr>
      <w:r>
        <w:t>3.</w:t>
      </w:r>
      <w:r>
        <w:tab/>
      </w:r>
      <w:r>
        <w:t>Erhebung der Fahrzeug- und Halterdaten nach § 33 Absatz 1 des Straßenverkehrsgesetzes beim Kraftfahrt-Bundesamt zu einem Fahrzeug, als dessen Halter der Schuldner eingetragen ist.</w:t>
      </w:r>
    </w:p>
    <w:p>
      <w:r>
        <w:rPr>
          <w:rStyle w:val="Satznummer"/>
        </w:rPr>
        <w:t>2</w:t>
      </w:r>
      <w:r>
        <w:t>Maßnahmen nach Satz 1 sind nur zulässig, wenn</w:t>
      </w:r>
    </w:p>
    <w:p>
      <w:pPr>
        <w:tabs>
          <w:tab w:pos="567" w:val="left"/>
        </w:tabs>
        <w:ind w:left="567" w:hanging="567"/>
      </w:pPr>
      <w:r>
        <w:t>1.</w:t>
      </w:r>
      <w:r>
        <w:tab/>
      </w:r>
      <w:r>
        <w:t>die Ladung zu dem Termin zur Abgabe der Vermögensauskunft an den Schuldner nicht zustellbar ist und</w:t>
      </w:r>
    </w:p>
    <w:p>
      <w:pPr>
        <w:tabs>
          <w:tab w:pos="1134" w:val="left"/>
        </w:tabs>
        <w:ind w:left="1134" w:hanging="567"/>
      </w:pPr>
      <w:r>
        <w:t>a)</w:t>
      </w:r>
      <w:r>
        <w:tab/>
      </w:r>
      <w:r>
        <w:t xml:space="preserve">die Anschrift, unter der die Zustellung ausgeführt werden sollte, mit der Anschrift übereinstimmt, die von einer der in </w:t>
      </w:r>
      <w:hyperlink w:anchor="b758" w:history="1">
        <w:r>
          <w:rPr>
            <w:color w:val="0A3A8C"/>
            <w:u w:val="single"/>
          </w:rPr>
          <w:t xml:space="preserve">§ 755</w:t>
        </w:r>
      </w:hyperlink>
      <w:r>
        <w:t xml:space="preserve"> Absatz 1 und 2 genannten Stellen innerhalb von drei Monaten vor oder nach dem Zustellungsversuch mitgeteilt wurde, oder</w:t>
      </w:r>
    </w:p>
    <w:p>
      <w:pPr>
        <w:tabs>
          <w:tab w:pos="1134" w:val="left"/>
        </w:tabs>
        <w:ind w:left="1134" w:hanging="567"/>
      </w:pPr>
      <w:r>
        <w:t>b)</w:t>
      </w:r>
      <w:r>
        <w:tab/>
      </w:r>
      <w:r>
        <w:t>die Meldebehörde nach dem Zustellungsversuch die Auskunft erteilt, dass ihr keine derzeitige Anschrift des Schuldners bekannt ist, oder</w:t>
      </w:r>
    </w:p>
    <w:p>
      <w:pPr>
        <w:tabs>
          <w:tab w:pos="1134" w:val="left"/>
        </w:tabs>
        <w:ind w:left="1134" w:hanging="567"/>
      </w:pPr>
      <w:r>
        <w:t>c)</w:t>
      </w:r>
      <w:r>
        <w:tab/>
      </w:r>
      <w:r>
        <w:t>die Meldebehörde innerhalb von drei Monaten vor Erteilung des Vollstreckungsauftrags die Auskunft erteilt hat, dass ihr keine derzeitige Anschrift des Schuldners bekannt ist;</w:t>
      </w:r>
    </w:p>
    <w:p>
      <w:pPr>
        <w:tabs>
          <w:tab w:pos="567" w:val="left"/>
        </w:tabs>
        <w:ind w:left="567" w:hanging="567"/>
      </w:pPr>
      <w:r>
        <w:t>2.</w:t>
      </w:r>
      <w:r>
        <w:tab/>
      </w:r>
      <w:r>
        <w:t>der Schuldner seiner Pflicht zur Abgabe der Vermögensauskunft in dem der Maßnahme nach Satz 1 zugrundeliegenden Vollstreckungsverfahren nicht nachkommt oder</w:t>
      </w:r>
    </w:p>
    <w:p>
      <w:pPr>
        <w:tabs>
          <w:tab w:pos="567" w:val="left"/>
        </w:tabs>
        <w:ind w:left="567" w:hanging="567"/>
      </w:pPr>
      <w:r>
        <w:t>3.</w:t>
      </w:r>
      <w:r>
        <w:tab/>
      </w:r>
      <w:r>
        <w:t>bei einer Vollstreckung in die in der Vermögensauskunft aufgeführten Vermögensgegenstände eine vollständige Befriedigung des Gläubigers nicht zu erwarten ist.</w:t>
      </w:r>
    </w:p>
    <w:p>
      <w:r>
        <w:rPr>
          <w:rStyle w:val="Satznummer"/>
        </w:rPr>
        <w:t>3</w:t>
      </w:r>
      <w:r>
        <w:t>Die Erhebung nach Satz 1 Nummer 1 bei einer berufsständischen Versorgungseinrichtung ist zusätzlich zu den Voraussetzungen des Satzes 2 nur zulässig, wenn der Gläubiger die berufsständische Versorgungseinrichtung bezeichnet und tatsächliche Anhaltspunkte nennt, die nahelegen, dass der Schuldner Mitglied dieser berufsständischen Versorgungseinrichtung ist.</w:t>
      </w:r>
    </w:p>
    <w:p>
      <w:r>
        <w:t xml:space="preserve">(2) </w:t>
      </w:r>
      <w:r>
        <w:rPr>
          <w:rStyle w:val="Satznummer"/>
        </w:rPr>
        <w:t>1</w:t>
      </w:r>
      <w:r>
        <w:t xml:space="preserve">Daten, die für die Zwecke der Vollstreckung nicht erforderlich sind, hat der Gerichtsvollzieher unverzüglich zu löschen oder deren Verarbeitung einzuschränken. </w:t>
      </w:r>
      <w:r>
        <w:rPr>
          <w:rStyle w:val="Satznummer"/>
        </w:rPr>
        <w:t>2</w:t>
      </w:r>
      <w:r>
        <w:t>Die Löschung ist zu protokollieren.</w:t>
      </w:r>
    </w:p>
    <w:p>
      <w:r>
        <w:t xml:space="preserve">(3) </w:t>
      </w:r>
      <w:r>
        <w:rPr>
          <w:rStyle w:val="Satznummer"/>
        </w:rPr>
        <w:t>1</w:t>
      </w:r>
      <w:r>
        <w:t xml:space="preserve">Über das Ergebnis einer Erhebung oder eines Ersuchens nach Absatz 1 setzt der Gerichtsvollzieher den Gläubiger unter Beachtung des Absatzes 2 unverzüglich und den Schuldner innerhalb von vier Wochen nach Erhalt in Kenntnis. </w:t>
      </w:r>
      <w:r>
        <w:rPr>
          <w:rStyle w:val="Satznummer"/>
        </w:rPr>
        <w:t>2</w:t>
      </w:r>
      <w:hyperlink w:anchor="b825" w:history="1">
        <w:r>
          <w:rPr>
            <w:color w:val="0A3A8C"/>
            <w:u w:val="single"/>
          </w:rPr>
          <w:t xml:space="preserve">§ 802d</w:t>
        </w:r>
      </w:hyperlink>
      <w:r>
        <w:t xml:space="preserve"> Absatz 1 Satz 3 und Absatz 2 gilt entsprechend.</w:t>
      </w:r>
    </w:p>
    <w:p>
      <w:r>
        <w:t xml:space="preserve">(4) </w:t>
      </w:r>
      <w:r>
        <w:rPr>
          <w:rStyle w:val="Satznummer"/>
        </w:rPr>
        <w:t>1</w:t>
      </w:r>
      <w:r>
        <w:t xml:space="preserve">Nach Absatz 1 Satz 1 erhobene Daten, die innerhalb der letzten drei Monate bei dem Gerichtsvollzieher eingegangen sind, darf dieser auch einem weiteren Gläubiger übermitteln, wenn die Voraussetzungen für die Datenerhebung auch bei diesem Gläubiger vorliegen. </w:t>
      </w:r>
      <w:r>
        <w:rPr>
          <w:rStyle w:val="Satznummer"/>
        </w:rPr>
        <w:t>2</w:t>
      </w:r>
      <w:r>
        <w:t xml:space="preserve">Der Gerichtsvollzieher hat dem weiteren Gläubiger die Tatsache, dass die Daten in einem anderen Verfahren erhoben wurden, und den Zeitpunkt ihres Eingangs bei ihm mitzuteilen. </w:t>
      </w:r>
      <w:r>
        <w:rPr>
          <w:rStyle w:val="Satznummer"/>
        </w:rPr>
        <w:t>3</w:t>
      </w:r>
      <w:r>
        <w:t>Eine erneute Auskunft ist auf Antrag des weiteren Gläubigers einzuholen, wenn Anhaltspunkte dafür vorliegen, dass seit dem Eingang der Auskunft eine Änderung der Vermögensverhältnisse, über die nach Absatz 1 Satz 1 Auskunft eingeholt wurde, eingetreten ist.</w:t>
      </w:r>
    </w:p>
    <w:p>
      <w:r>
        <w:t xml:space="preserve">(5) Übermittelt der Gerichtsvollzieher Daten nach Absatz 4 Satz 1 an einen weiteren Gläubiger, so hat er den Schuldner davon innerhalb von vier Wochen nach der Übermittlung in Kenntnis zu setzen; </w:t>
      </w:r>
      <w:hyperlink w:anchor="b825" w:history="1">
        <w:r>
          <w:rPr>
            <w:color w:val="0A3A8C"/>
            <w:u w:val="single"/>
          </w:rPr>
          <w:t xml:space="preserve">§ 802d</w:t>
        </w:r>
      </w:hyperlink>
      <w:r>
        <w:t xml:space="preserve"> Absatz 1 Satz 3 und Absatz 2 gilt entsprechend.</w:t>
      </w:r>
    </w:p>
    <w:p>
      <w:pPr>
        <w:pStyle w:val="Heading3"/>
      </w:pPr>
      <w:bookmarkStart w:id="835" w:name="b834"/>
      <w:r>
        <w:t>Titel 2 Zwangsvollstreckung in das bewegliche Vermögen</w:t>
      </w:r>
      <w:bookmarkEnd w:id="835"/>
    </w:p>
    <w:p>
      <w:pPr>
        <w:pStyle w:val="Heading4"/>
      </w:pPr>
      <w:bookmarkStart w:id="836" w:name="b835"/>
      <w:r>
        <w:t>Untertitel 1 Allgemeine Vorschriften</w:t>
      </w:r>
      <w:bookmarkEnd w:id="836"/>
    </w:p>
    <w:p>
      <w:pPr>
        <w:pStyle w:val="Heading5"/>
      </w:pPr>
      <w:bookmarkStart w:id="837" w:name="b836"/>
      <w:r>
        <w:t>§ 803 Pfändung</w:t>
      </w:r>
      <w:r>
        <w:t xml:space="preserve"> </w:t>
      </w:r>
      <w:r>
        <w:rPr>
          <w:rStyle w:val="Suchmarke"/>
        </w:rPr>
        <w:t>#803#</w:t>
      </w:r>
      <w:bookmarkEnd w:id="837"/>
    </w:p>
    <w:p>
      <w:r>
        <w:t xml:space="preserve">(1) </w:t>
      </w:r>
      <w:r>
        <w:rPr>
          <w:rStyle w:val="Satznummer"/>
        </w:rPr>
        <w:t>1</w:t>
      </w:r>
      <w:r>
        <w:t xml:space="preserve">Die Zwangsvollstreckung in das bewegliche Vermögen erfolgt durch Pfändung. </w:t>
      </w:r>
      <w:r>
        <w:rPr>
          <w:rStyle w:val="Satznummer"/>
        </w:rPr>
        <w:t>2</w:t>
      </w:r>
      <w:r>
        <w:t>Sie darf nicht weiter ausgedehnt werden, als es zur Befriedigung des Gläubigers und zur Deckung der Kosten der Zwangsvollstreckung erforderlich ist.</w:t>
      </w:r>
    </w:p>
    <w:p>
      <w:r>
        <w:t>(2) Die Pfändung hat zu unterbleiben, wenn sich von der Verwertung der zu pfändenden Gegenstände ein Überschuss über die Kosten der Zwangsvollstreckung nicht erwarten lässt.</w:t>
      </w:r>
    </w:p>
    <w:p>
      <w:pPr>
        <w:pStyle w:val="Heading5"/>
      </w:pPr>
      <w:bookmarkStart w:id="838" w:name="b837"/>
      <w:r>
        <w:t>§ 804 Pfändungspfandrecht</w:t>
      </w:r>
      <w:r>
        <w:t xml:space="preserve"> </w:t>
      </w:r>
      <w:r>
        <w:rPr>
          <w:rStyle w:val="Suchmarke"/>
        </w:rPr>
        <w:t>#804#</w:t>
      </w:r>
      <w:bookmarkEnd w:id="838"/>
    </w:p>
    <w:p>
      <w:r>
        <w:t>(1) Durch die Pfändung erwirbt der Gläubiger ein Pfandrecht an dem gepfändeten Gegenstande.</w:t>
      </w:r>
    </w:p>
    <w:p>
      <w:r>
        <w:t>(2) Das Pfandrecht gewährt dem Gläubiger im Verhältnis zu anderen Gläubigern dieselben Rechte wie ein durch Vertrag erworbenes Faustpfandrecht; es geht Pfand- und Vorzugsrechten vor, die für den Fall eines Insolvenzverfahrens den Faustpfandrechten nicht gleichgestellt sind.</w:t>
      </w:r>
    </w:p>
    <w:p>
      <w:r>
        <w:t>(3) Das durch eine frühere Pfändung begründete Pfandrecht geht demjenigen vor, das durch eine spätere Pfändung begründet wird.</w:t>
      </w:r>
    </w:p>
    <w:p>
      <w:pPr>
        <w:pStyle w:val="Heading5"/>
      </w:pPr>
      <w:bookmarkStart w:id="839" w:name="b838"/>
      <w:r>
        <w:t>§ 805 Klage auf vorzugsweise Befriedigung</w:t>
      </w:r>
      <w:r>
        <w:t xml:space="preserve"> </w:t>
      </w:r>
      <w:r>
        <w:rPr>
          <w:rStyle w:val="Suchmarke"/>
        </w:rPr>
        <w:t>#805#</w:t>
      </w:r>
      <w:bookmarkEnd w:id="839"/>
    </w:p>
    <w:p>
      <w:r>
        <w:t>(1) Der Pfändung einer Sache kann ein Dritter, der sich nicht im Besitz der Sache befindet, auf Grund eines Pfand- oder Vorzugsrechts nicht widersprechen; er kann jedoch seinen Anspruch auf vorzugsweise Befriedigung aus dem Erlös im Wege der Klage geltend machen, ohne Rücksicht darauf, ob seine Forderung fällig ist oder nicht.</w:t>
      </w:r>
    </w:p>
    <w:p>
      <w:r>
        <w:t>(2) Die Klage ist bei dem Vollstreckungsgericht und, wenn der Streitgegenstand zur Zuständigkeit der Amtsgerichte nicht gehört, bei dem Landgericht zu erheben, in dessen Bezirk das Vollstreckungsgericht seinen Sitz hat.</w:t>
      </w:r>
    </w:p>
    <w:p>
      <w:r>
        <w:t>(3) Wird die Klage gegen den Gläubiger und den Schuldner gerichtet, so sind diese als Streitgenossen anzusehen.</w:t>
      </w:r>
    </w:p>
    <w:p>
      <w:r>
        <w:t xml:space="preserve">(4) </w:t>
      </w:r>
      <w:r>
        <w:rPr>
          <w:rStyle w:val="Satznummer"/>
        </w:rPr>
        <w:t>1</w:t>
      </w:r>
      <w:r>
        <w:t xml:space="preserve">Wird der Anspruch glaubhaft gemacht, so hat das Gericht die Hinterlegung des Erlöses anzuordnen. </w:t>
      </w:r>
      <w:r>
        <w:rPr>
          <w:rStyle w:val="Satznummer"/>
        </w:rPr>
        <w:t>2</w:t>
      </w:r>
      <w:r>
        <w:t xml:space="preserve">Die Vorschriften der </w:t>
      </w:r>
      <w:hyperlink w:anchor="b775" w:history="1">
        <w:r>
          <w:rPr>
            <w:color w:val="0A3A8C"/>
            <w:u w:val="single"/>
          </w:rPr>
          <w:t xml:space="preserve">§§ 769</w:t>
        </w:r>
      </w:hyperlink>
      <w:r>
        <w:t xml:space="preserve">, </w:t>
      </w:r>
      <w:hyperlink w:anchor="b776" w:history="1">
        <w:r>
          <w:rPr>
            <w:color w:val="0A3A8C"/>
            <w:u w:val="single"/>
          </w:rPr>
          <w:t xml:space="preserve">770</w:t>
        </w:r>
      </w:hyperlink>
      <w:r>
        <w:t xml:space="preserve"> sind hierbei entsprechend anzuwenden.</w:t>
      </w:r>
    </w:p>
    <w:p>
      <w:pPr>
        <w:pStyle w:val="Heading5"/>
      </w:pPr>
      <w:bookmarkStart w:id="840" w:name="b839"/>
      <w:r>
        <w:t>§ 806 Keine Gewährleistung bei Pfandveräußerung</w:t>
      </w:r>
      <w:r>
        <w:t xml:space="preserve"> </w:t>
      </w:r>
      <w:r>
        <w:rPr>
          <w:rStyle w:val="Suchmarke"/>
        </w:rPr>
        <w:t>#806#</w:t>
      </w:r>
      <w:bookmarkEnd w:id="840"/>
    </w:p>
    <w:p>
      <w:r>
        <w:t>Wird ein Gegenstand auf Grund der Pfändung veräußert, so steht dem Erwerber wegen eines Mangels im Recht oder wegen eines Mangels der veräußerten Sache ein Anspruch auf Gewährleistung nicht zu.</w:t>
      </w:r>
    </w:p>
    <w:p>
      <w:pPr>
        <w:pStyle w:val="Heading5"/>
      </w:pPr>
      <w:bookmarkStart w:id="841" w:name="b840"/>
      <w:r>
        <w:t>§ 806a Mitteilungen und Befragung durch den Gerichtsvollzieher</w:t>
      </w:r>
      <w:r>
        <w:t xml:space="preserve"> </w:t>
      </w:r>
      <w:r>
        <w:rPr>
          <w:rStyle w:val="Suchmarke"/>
        </w:rPr>
        <w:t>#806a#</w:t>
      </w:r>
      <w:bookmarkEnd w:id="841"/>
    </w:p>
    <w:p>
      <w:r>
        <w:t>(1) Erhält der Gerichtsvollzieher anlässlich der Zwangsvollstreckung durch Befragung des Schuldners oder durch Einsicht in Dokumente Kenntnis von Geldforderungen des Schuldners gegen Dritte und konnte eine Pfändung nicht bewirkt werden oder wird eine bewirkte Pfändung voraussichtlich nicht zur vollständigen Befriedigung des Gläubigers führen, so teilt er Namen und Anschriften der Drittschuldner sowie den Grund der Forderungen und für diese bestehende Sicherheiten dem Gläubiger mit.</w:t>
      </w:r>
    </w:p>
    <w:p>
      <w:r>
        <w:t xml:space="preserve">(2) </w:t>
      </w:r>
      <w:r>
        <w:rPr>
          <w:rStyle w:val="Satznummer"/>
        </w:rPr>
        <w:t>1</w:t>
      </w:r>
      <w:r>
        <w:t xml:space="preserve">Trifft der Gerichtsvollzieher den Schuldner in der Wohnung nicht an und konnte eine Pfändung nicht bewirkt werden oder wird eine bewirkte Pfändung voraussichtlich nicht zur vollständigen Befriedigung des Gläubigers führen, so kann der Gerichtsvollzieher die zum Hausstand des Schuldners gehörenden erwachsenen Personen nach dem Arbeitgeber des Schuldners befragen. </w:t>
      </w:r>
      <w:r>
        <w:rPr>
          <w:rStyle w:val="Satznummer"/>
        </w:rPr>
        <w:t>2</w:t>
      </w:r>
      <w:r>
        <w:t xml:space="preserve">Diese sind zu einer Auskunft nicht verpflichtet und vom Gerichtsvollzieher auf die Freiwilligkeit ihrer Angaben hinzuweisen. </w:t>
      </w:r>
      <w:r>
        <w:rPr>
          <w:rStyle w:val="Satznummer"/>
        </w:rPr>
        <w:t>3</w:t>
      </w:r>
      <w:r>
        <w:t>Seine Erkenntnisse teilt der Gerichtsvollzieher dem Gläubiger mit.</w:t>
      </w:r>
    </w:p>
    <w:p>
      <w:pPr>
        <w:pStyle w:val="Heading5"/>
      </w:pPr>
      <w:bookmarkStart w:id="842" w:name="b841"/>
      <w:r>
        <w:t>§ 806b (weggefallen)</w:t>
      </w:r>
      <w:r>
        <w:t xml:space="preserve"> </w:t>
      </w:r>
      <w:r>
        <w:rPr>
          <w:rStyle w:val="Suchmarke"/>
        </w:rPr>
        <w:t>#806b#</w:t>
      </w:r>
      <w:bookmarkEnd w:id="842"/>
    </w:p>
    <w:p>
      <w:pPr>
        <w:pStyle w:val="Heading5"/>
      </w:pPr>
      <w:bookmarkStart w:id="843" w:name="b842"/>
      <w:r>
        <w:t>§ 807 Abnahme der Vermögensauskunft nach Pfändungsversuch</w:t>
      </w:r>
      <w:r>
        <w:t xml:space="preserve"> </w:t>
      </w:r>
      <w:r>
        <w:rPr>
          <w:rStyle w:val="Suchmarke"/>
        </w:rPr>
        <w:t>#807#</w:t>
      </w:r>
      <w:bookmarkEnd w:id="843"/>
    </w:p>
    <w:p>
      <w:r>
        <w:t xml:space="preserve">(1) </w:t>
      </w:r>
      <w:r>
        <w:rPr>
          <w:rStyle w:val="Satznummer"/>
        </w:rPr>
        <w:t>1</w:t>
      </w:r>
      <w:r>
        <w:t>Hat der Gläubiger die Vornahme der Pfändung beim Schuldner beantragt und</w:t>
      </w:r>
    </w:p>
    <w:p>
      <w:pPr>
        <w:tabs>
          <w:tab w:pos="567" w:val="left"/>
        </w:tabs>
        <w:ind w:left="567" w:hanging="567"/>
      </w:pPr>
      <w:r>
        <w:t>1.</w:t>
      </w:r>
      <w:r>
        <w:tab/>
      </w:r>
      <w:r>
        <w:t>hat der Schuldner die Durchsuchung (</w:t>
      </w:r>
      <w:hyperlink w:anchor="b762" w:history="1">
        <w:r>
          <w:rPr>
            <w:color w:val="0A3A8C"/>
            <w:u w:val="single"/>
          </w:rPr>
          <w:t xml:space="preserve">§ 758</w:t>
        </w:r>
      </w:hyperlink>
      <w:r>
        <w:t>) verweigert oder</w:t>
      </w:r>
    </w:p>
    <w:p>
      <w:pPr>
        <w:tabs>
          <w:tab w:pos="567" w:val="left"/>
        </w:tabs>
        <w:ind w:left="567" w:hanging="567"/>
      </w:pPr>
      <w:r>
        <w:t>2.</w:t>
      </w:r>
      <w:r>
        <w:tab/>
      </w:r>
      <w:r>
        <w:t>ergibt der Pfändungsversuch, dass eine Pfändung voraussichtlich nicht zu einer vollständigen Befriedigung des Gläubigers führen wird,</w:t>
      </w:r>
    </w:p>
    <w:p>
      <w:r>
        <w:t xml:space="preserve">so kann der Gerichtsvollzieher dem Schuldner die Vermögensauskunft auf Antrag des Gläubigers abweichend von </w:t>
      </w:r>
      <w:hyperlink w:anchor="b827" w:history="1">
        <w:r>
          <w:rPr>
            <w:color w:val="0A3A8C"/>
            <w:u w:val="single"/>
          </w:rPr>
          <w:t xml:space="preserve">§ 802f</w:t>
        </w:r>
      </w:hyperlink>
      <w:r>
        <w:t xml:space="preserve"> sofort abnehmen. </w:t>
      </w:r>
      <w:r>
        <w:rPr>
          <w:rStyle w:val="Satznummer"/>
        </w:rPr>
        <w:t>2</w:t>
      </w:r>
      <w:hyperlink w:anchor="b827" w:history="1">
        <w:r>
          <w:rPr>
            <w:color w:val="0A3A8C"/>
            <w:u w:val="single"/>
          </w:rPr>
          <w:t xml:space="preserve">§ 802f</w:t>
        </w:r>
      </w:hyperlink>
      <w:r>
        <w:t xml:space="preserve"> Absatz 7 und 8 findet Anwendung.</w:t>
      </w:r>
    </w:p>
    <w:p>
      <w:r>
        <w:t xml:space="preserve">(2) </w:t>
      </w:r>
      <w:r>
        <w:rPr>
          <w:rStyle w:val="Satznummer"/>
        </w:rPr>
        <w:t>1</w:t>
      </w:r>
      <w:r>
        <w:t xml:space="preserve">Der Schuldner kann einer sofortigen Abnahme widersprechen. </w:t>
      </w:r>
      <w:r>
        <w:rPr>
          <w:rStyle w:val="Satznummer"/>
        </w:rPr>
        <w:t>2</w:t>
      </w:r>
      <w:r>
        <w:t xml:space="preserve">In diesem Fall verfährt der Gerichtsvollzieher nach </w:t>
      </w:r>
      <w:hyperlink w:anchor="b827" w:history="1">
        <w:r>
          <w:rPr>
            <w:color w:val="0A3A8C"/>
            <w:u w:val="single"/>
          </w:rPr>
          <w:t xml:space="preserve">§ 802f</w:t>
        </w:r>
      </w:hyperlink>
      <w:r>
        <w:t>; der Setzung einer Zahlungsfrist bedarf es nicht.</w:t>
      </w:r>
    </w:p>
    <w:p>
      <w:pPr>
        <w:pStyle w:val="Heading4"/>
      </w:pPr>
      <w:bookmarkStart w:id="844" w:name="b843"/>
      <w:r>
        <w:t>Untertitel 2 Zwangsvollstreckung in körperliche Sachen</w:t>
      </w:r>
      <w:bookmarkEnd w:id="844"/>
    </w:p>
    <w:p>
      <w:pPr>
        <w:pStyle w:val="Heading5"/>
      </w:pPr>
      <w:bookmarkStart w:id="845" w:name="b844"/>
      <w:r>
        <w:t>§ 808 Pfändung beim Schuldner</w:t>
      </w:r>
      <w:r>
        <w:t xml:space="preserve"> </w:t>
      </w:r>
      <w:r>
        <w:rPr>
          <w:rStyle w:val="Suchmarke"/>
        </w:rPr>
        <w:t>#808#</w:t>
      </w:r>
      <w:bookmarkEnd w:id="845"/>
    </w:p>
    <w:p>
      <w:r>
        <w:t>(1) Die Pfändung der im Gewahrsam des Schuldners befindlichen körperlichen Sachen wird dadurch bewirkt, dass der Gerichtsvollzieher sie in Besitz nimmt.</w:t>
      </w:r>
    </w:p>
    <w:p>
      <w:r>
        <w:t xml:space="preserve">(2) </w:t>
      </w:r>
      <w:r>
        <w:rPr>
          <w:rStyle w:val="Satznummer"/>
        </w:rPr>
        <w:t>1</w:t>
      </w:r>
      <w:r>
        <w:t xml:space="preserve">Andere Sachen als Geld, Kostbarkeiten und Wertpapiere sind im Gewahrsam des Schuldners zu belassen, sofern nicht hierdurch die Befriedigung des Gläubigers gefährdet wird. </w:t>
      </w:r>
      <w:r>
        <w:rPr>
          <w:rStyle w:val="Satznummer"/>
        </w:rPr>
        <w:t>2</w:t>
      </w:r>
      <w:r>
        <w:t>Werden die Sachen im Gewahrsam des Schuldners belassen, so ist die Wirksamkeit der Pfändung dadurch bedingt, dass durch Anlegung von Siegeln oder auf sonstige Weise die Pfändung ersichtlich gemacht ist.</w:t>
      </w:r>
    </w:p>
    <w:p>
      <w:r>
        <w:t>(3) Der Gerichtsvollzieher hat den Schuldner von der erfolgten Pfändung in Kenntnis zu setzen.</w:t>
      </w:r>
    </w:p>
    <w:p>
      <w:pPr>
        <w:pStyle w:val="Heading5"/>
      </w:pPr>
      <w:bookmarkStart w:id="846" w:name="b845"/>
      <w:r>
        <w:t>§ 809 Pfändung beim Gläubiger oder bei Dritten</w:t>
      </w:r>
      <w:r>
        <w:t xml:space="preserve"> </w:t>
      </w:r>
      <w:r>
        <w:rPr>
          <w:rStyle w:val="Suchmarke"/>
        </w:rPr>
        <w:t>#809#</w:t>
      </w:r>
      <w:bookmarkEnd w:id="846"/>
    </w:p>
    <w:p>
      <w:r>
        <w:t>Die vorstehenden Vorschriften sind auf die Pfändung von Sachen, die sich im Gewahrsam des Gläubigers oder eines zur Herausgabe bereiten Dritten befinden, entsprechend anzuwenden.</w:t>
      </w:r>
    </w:p>
    <w:p>
      <w:pPr>
        <w:pStyle w:val="Heading5"/>
      </w:pPr>
      <w:bookmarkStart w:id="847" w:name="b846"/>
      <w:r>
        <w:t>§ 810 Pfändung ungetrennter Früchte</w:t>
      </w:r>
      <w:r>
        <w:t xml:space="preserve"> </w:t>
      </w:r>
      <w:r>
        <w:rPr>
          <w:rStyle w:val="Suchmarke"/>
        </w:rPr>
        <w:t>#810#</w:t>
      </w:r>
      <w:bookmarkEnd w:id="847"/>
    </w:p>
    <w:p>
      <w:r>
        <w:t xml:space="preserve">(1) </w:t>
      </w:r>
      <w:r>
        <w:rPr>
          <w:rStyle w:val="Satznummer"/>
        </w:rPr>
        <w:t>1</w:t>
      </w:r>
      <w:r>
        <w:t xml:space="preserve">Früchte, die von dem Boden noch nicht getrennt sind, können gepfändet werden, solange nicht ihre Beschlagnahme im Wege der Zwangsvollstreckung in das unbewegliche Vermögen erfolgt ist. </w:t>
      </w:r>
      <w:r>
        <w:rPr>
          <w:rStyle w:val="Satznummer"/>
        </w:rPr>
        <w:t>2</w:t>
      </w:r>
      <w:r>
        <w:t>Die Pfändung darf nicht früher als einen Monat vor der gewöhnlichen Zeit der Reife erfolgen.</w:t>
      </w:r>
    </w:p>
    <w:p>
      <w:r>
        <w:t xml:space="preserve">(2) Ein Gläubiger, der ein Recht auf Befriedigung aus dem Grundstück hat, kann der Pfändung nach Maßgabe des </w:t>
      </w:r>
      <w:hyperlink w:anchor="b777" w:history="1">
        <w:r>
          <w:rPr>
            <w:color w:val="0A3A8C"/>
            <w:u w:val="single"/>
          </w:rPr>
          <w:t xml:space="preserve">§ 771</w:t>
        </w:r>
      </w:hyperlink>
      <w:r>
        <w:t xml:space="preserve"> widersprechen, sofern nicht die Pfändung für einen im Falle der Zwangsvollstreckung in das Grundstück vorgehenden Anspruch erfolgt ist.</w:t>
      </w:r>
    </w:p>
    <w:p>
      <w:pPr>
        <w:pStyle w:val="Heading5"/>
      </w:pPr>
      <w:bookmarkStart w:id="848" w:name="b847"/>
      <w:r>
        <w:t>§ 811 Unpfändbare Sachen und Tiere</w:t>
      </w:r>
      <w:r>
        <w:t xml:space="preserve"> </w:t>
      </w:r>
      <w:r>
        <w:rPr>
          <w:rStyle w:val="Suchmarke"/>
        </w:rPr>
        <w:t>#811#</w:t>
      </w:r>
      <w:bookmarkEnd w:id="848"/>
    </w:p>
    <w:p>
      <w:r>
        <w:t>(1) Nicht der Pfändung unterliegen</w:t>
      </w:r>
    </w:p>
    <w:p>
      <w:pPr>
        <w:tabs>
          <w:tab w:pos="567" w:val="left"/>
        </w:tabs>
        <w:ind w:left="567" w:hanging="567"/>
      </w:pPr>
      <w:r>
        <w:t>1.</w:t>
      </w:r>
      <w:r>
        <w:tab/>
      </w:r>
      <w:r>
        <w:t>Sachen, die der Schuldner oder eine Person, mit der er in einem gemeinsamen Haushalt zusammenlebt, benötigt</w:t>
      </w:r>
    </w:p>
    <w:p>
      <w:pPr>
        <w:tabs>
          <w:tab w:pos="1134" w:val="left"/>
        </w:tabs>
        <w:ind w:left="1134" w:hanging="567"/>
      </w:pPr>
      <w:r>
        <w:t>a)</w:t>
      </w:r>
      <w:r>
        <w:tab/>
      </w:r>
      <w:r>
        <w:t>für eine bescheidene Lebens- und Haushaltsführung;</w:t>
      </w:r>
    </w:p>
    <w:p>
      <w:pPr>
        <w:tabs>
          <w:tab w:pos="1134" w:val="left"/>
        </w:tabs>
        <w:ind w:left="1134" w:hanging="567"/>
      </w:pPr>
      <w:r>
        <w:t>b)</w:t>
      </w:r>
      <w:r>
        <w:tab/>
      </w:r>
      <w:r>
        <w:t>für die Ausübung einer Erwerbstätigkeit oder eine damit in Zusammenhang stehende Aus- oder Fortbildung;</w:t>
      </w:r>
    </w:p>
    <w:p>
      <w:pPr>
        <w:tabs>
          <w:tab w:pos="1134" w:val="left"/>
        </w:tabs>
        <w:ind w:left="1134" w:hanging="567"/>
      </w:pPr>
      <w:r>
        <w:t>c)</w:t>
      </w:r>
      <w:r>
        <w:tab/>
      </w:r>
      <w:r>
        <w:t>aus gesundheitlichen Gründen;</w:t>
      </w:r>
    </w:p>
    <w:p>
      <w:pPr>
        <w:tabs>
          <w:tab w:pos="1134" w:val="left"/>
        </w:tabs>
        <w:ind w:left="1134" w:hanging="567"/>
      </w:pPr>
      <w:r>
        <w:t>d)</w:t>
      </w:r>
      <w:r>
        <w:tab/>
      </w:r>
      <w:r>
        <w:t>zur Ausübung von Religion oder Weltanschauung oder als Gegenstand religiöser oder weltanschaulicher Verehrung, wenn ihr Wert 500 Euro nicht übersteigt;</w:t>
      </w:r>
    </w:p>
    <w:p>
      <w:pPr>
        <w:tabs>
          <w:tab w:pos="567" w:val="left"/>
        </w:tabs>
        <w:ind w:left="567" w:hanging="567"/>
      </w:pPr>
      <w:r>
        <w:t>2.</w:t>
      </w:r>
      <w:r>
        <w:tab/>
      </w:r>
      <w:r>
        <w:t>Gartenhäuser, Wohnlauben und ähnliche Einrichtungen, die der Schuldner oder dessen Familie als ständige Unterkunft nutzt und die der Zwangsvollstreckung in das bewegliche Vermögen unterliegen;</w:t>
      </w:r>
    </w:p>
    <w:p>
      <w:pPr>
        <w:tabs>
          <w:tab w:pos="567" w:val="left"/>
        </w:tabs>
        <w:ind w:left="567" w:hanging="567"/>
      </w:pPr>
      <w:r>
        <w:t>3.</w:t>
      </w:r>
      <w:r>
        <w:tab/>
      </w:r>
      <w:r>
        <w:t>Bargeld</w:t>
      </w:r>
    </w:p>
    <w:p>
      <w:pPr>
        <w:tabs>
          <w:tab w:pos="1134" w:val="left"/>
        </w:tabs>
        <w:ind w:left="1134" w:hanging="567"/>
      </w:pPr>
      <w:r>
        <w:t>a)</w:t>
      </w:r>
      <w:r>
        <w:tab/>
      </w:r>
      <w:r>
        <w:t>für den Schuldner, der eine natürliche Person ist, in Höhe von einem Fünftel,</w:t>
      </w:r>
    </w:p>
    <w:p>
      <w:pPr>
        <w:tabs>
          <w:tab w:pos="1134" w:val="left"/>
        </w:tabs>
        <w:ind w:left="1134" w:hanging="567"/>
      </w:pPr>
      <w:r>
        <w:t>b)</w:t>
      </w:r>
      <w:r>
        <w:tab/>
      </w:r>
      <w:r>
        <w:t>für jede weitere Person, mit der der Schuldner in einem gemeinsamen Haushalt zusammenlebt, in Höhe von einem Zehntel</w:t>
      </w:r>
    </w:p>
    <w:p>
      <w:pPr>
        <w:ind w:left="567"/>
      </w:pPr>
      <w:r>
        <w:t xml:space="preserve">des täglichen Freibetrages nach </w:t>
      </w:r>
      <w:hyperlink w:anchor="b901" w:history="1">
        <w:r>
          <w:rPr>
            <w:color w:val="0A3A8C"/>
            <w:u w:val="single"/>
          </w:rPr>
          <w:t xml:space="preserve">§ 850c</w:t>
        </w:r>
      </w:hyperlink>
      <w:r>
        <w:t xml:space="preserve"> Absatz 1 Nummer 3 in Verbindung mit Absatz 4 Nummer 1 für jeden Kalendertag ab dem Zeitpunkt der Pfändung bis zu dem Ende des Monats, in dem die Pfändung bewirkt wird; der Gerichtsvollzieher kann im Einzelfall nach pflichtgemäßem Ermessen einen abweichenden Betrag festsetzen;</w:t>
      </w:r>
    </w:p>
    <w:p>
      <w:pPr>
        <w:tabs>
          <w:tab w:pos="567" w:val="left"/>
        </w:tabs>
        <w:ind w:left="567" w:hanging="567"/>
      </w:pPr>
      <w:r>
        <w:t>4.</w:t>
      </w:r>
      <w:r>
        <w:tab/>
      </w:r>
      <w:r>
        <w:t>Unterlagen, zu deren Aufbewahrung eine gesetzliche Verpflichtung besteht oder die der Schuldner oder eine Person, mit der er in einem gemeinsamen Haushalt zusammenlebt, zu Buchführungs- oder Dokumentationszwecken benötigt;</w:t>
      </w:r>
    </w:p>
    <w:p>
      <w:pPr>
        <w:tabs>
          <w:tab w:pos="567" w:val="left"/>
        </w:tabs>
        <w:ind w:left="567" w:hanging="567"/>
      </w:pPr>
      <w:r>
        <w:t>5.</w:t>
      </w:r>
      <w:r>
        <w:tab/>
      </w:r>
      <w:r>
        <w:t>private Aufzeichnungen, durch deren Verwertung in Persönlichkeitsrechte eingegriffen wird;</w:t>
      </w:r>
    </w:p>
    <w:p>
      <w:pPr>
        <w:tabs>
          <w:tab w:pos="567" w:val="left"/>
        </w:tabs>
        <w:ind w:left="567" w:hanging="567"/>
      </w:pPr>
      <w:r>
        <w:t>6.</w:t>
      </w:r>
      <w:r>
        <w:tab/>
      </w:r>
      <w:r>
        <w:t>öffentliche Urkunden, die der Schuldner, dessen Familie oder eine Person, mit der er in einem gemeinsamen Haushalt zusammenlebt, für Beweisführungszwecke benötigt;</w:t>
      </w:r>
    </w:p>
    <w:p>
      <w:pPr>
        <w:tabs>
          <w:tab w:pos="567" w:val="left"/>
        </w:tabs>
        <w:ind w:left="567" w:hanging="567"/>
      </w:pPr>
      <w:r>
        <w:t>7.</w:t>
      </w:r>
      <w:r>
        <w:tab/>
      </w:r>
      <w:r>
        <w:t>Trauringe, Orden und Ehrenzeichen;</w:t>
      </w:r>
    </w:p>
    <w:p>
      <w:pPr>
        <w:tabs>
          <w:tab w:pos="567" w:val="left"/>
        </w:tabs>
        <w:ind w:left="567" w:hanging="567"/>
      </w:pPr>
      <w:r>
        <w:t>8.</w:t>
      </w:r>
      <w:r>
        <w:tab/>
      </w:r>
      <w:r>
        <w:t>Tiere, die der Schuldner oder eine Person, mit der er in einem gemeinsamen Haushalt zusammenlebt,</w:t>
      </w:r>
    </w:p>
    <w:p>
      <w:pPr>
        <w:tabs>
          <w:tab w:pos="1134" w:val="left"/>
        </w:tabs>
        <w:ind w:left="1134" w:hanging="567"/>
      </w:pPr>
      <w:r>
        <w:t>a)</w:t>
      </w:r>
      <w:r>
        <w:tab/>
      </w:r>
      <w:r>
        <w:t>nicht zu Erwerbszwecken hält oder</w:t>
      </w:r>
    </w:p>
    <w:p>
      <w:pPr>
        <w:tabs>
          <w:tab w:pos="1134" w:val="left"/>
        </w:tabs>
        <w:ind w:left="1134" w:hanging="567"/>
      </w:pPr>
      <w:r>
        <w:t>b)</w:t>
      </w:r>
      <w:r>
        <w:tab/>
      </w:r>
      <w:r>
        <w:t>für die Ausübung einer Erwerbstätigkeit benötigt,</w:t>
      </w:r>
    </w:p>
    <w:p>
      <w:pPr>
        <w:ind w:left="567"/>
      </w:pPr>
      <w:r>
        <w:t>sowie das für diese Tiere erforderliche Futter und die erforderliche Streu.</w:t>
      </w:r>
    </w:p>
    <w:p>
      <w:r>
        <w:t xml:space="preserve">(2) </w:t>
      </w:r>
      <w:r>
        <w:rPr>
          <w:rStyle w:val="Satznummer"/>
        </w:rPr>
        <w:t>1</w:t>
      </w:r>
      <w:r>
        <w:t xml:space="preserve">Eine in Absatz 1 Nummer 1 Buchstabe a und b sowie Nummer 2 bezeichnete Sache oder ein in Absatz 1 Nummer 8 Buchstabe b bezeichnetes Tier kann abweichend von Absatz 1 gepfändet werden, wenn der Verkäufer wegen einer durch Eigentumsvorbehalt gesicherten Geldforderung aus dem Verkauf der Sache oder des Tieres vollstreckt. </w:t>
      </w:r>
      <w:r>
        <w:rPr>
          <w:rStyle w:val="Satznummer"/>
        </w:rPr>
        <w:t>2</w:t>
      </w:r>
      <w:r>
        <w:t>Die Vereinbarung des Eigentumsvorbehaltes ist durch eine Urkunde nachzuweisen.</w:t>
      </w:r>
    </w:p>
    <w:p>
      <w:r>
        <w:t>(3) Auf Antrag des Gläubigers lässt das Vollstreckungsgericht die Pfändung eines in Absatz 1 Nummer 8 Buchstabe a bezeichneten Tieres zu, wenn dieses einen hohen Wert hat und die Unpfändbarkeit für den Gläubiger eine Härte bedeuten würde, die auch unter Würdigung der Belange des Tierschutzes und der berechtigten Interessen des Schuldners nicht zu rechtfertigen ist.</w:t>
      </w:r>
    </w:p>
    <w:p>
      <w:r>
        <w:t>(4) Sachen, die der Schuldner für eine Lebens- und Haushaltsführung benötigt, die nicht als bescheiden angesehen werden kann, sollen nicht gepfändet werden, wenn offensichtlich ist, dass durch ihre Verwertung nur ein Erlös erzielt würde, der in keinem Verhältnis zum Anschaffungswert steht.</w:t>
      </w:r>
    </w:p>
    <w:p>
      <w:pPr>
        <w:pStyle w:val="Heading5"/>
      </w:pPr>
      <w:bookmarkStart w:id="849" w:name="b848"/>
      <w:r>
        <w:t>§ 811a Austauschpfändung</w:t>
      </w:r>
      <w:r>
        <w:t xml:space="preserve"> </w:t>
      </w:r>
      <w:r>
        <w:rPr>
          <w:rStyle w:val="Suchmarke"/>
        </w:rPr>
        <w:t>#811a#</w:t>
      </w:r>
      <w:bookmarkEnd w:id="849"/>
    </w:p>
    <w:p>
      <w:r>
        <w:t>(1) Die Pfändung einer nach § 811 Absatz 1 Nummer 1 Buchstabe a und b und Nummer 2 unpfändbaren Sache kann zugelassen werden, wenn der Gläubiger dem Schuldner vor der Wegnahme der Sache ein Ersatzstück, das dem geschützten Verwendungszweck genügt, oder den zur Beschaffung eines solchen Ersatzstückes erforderlichen Geldbetrag überlässt; ist dem Gläubiger die rechtzeitige Ersatzbeschaffung nicht möglich oder nicht zuzumuten, so kann die Pfändung mit der Maßgabe zugelassen werden, dass dem Schuldner der zur Ersatzbeschaffung erforderliche Geldbetrag aus dem Vollstreckungserlös überlassen wird (Austauschpfändung).</w:t>
      </w:r>
    </w:p>
    <w:p>
      <w:r>
        <w:t xml:space="preserve">(2) </w:t>
      </w:r>
      <w:r>
        <w:rPr>
          <w:rStyle w:val="Satznummer"/>
        </w:rPr>
        <w:t>1</w:t>
      </w:r>
      <w:r>
        <w:t xml:space="preserve">Über die Zulässigkeit der Austauschpfändung entscheidet das Vollstreckungsgericht auf Antrag des Gläubigers durch Beschluss. </w:t>
      </w:r>
      <w:r>
        <w:rPr>
          <w:rStyle w:val="Satznummer"/>
        </w:rPr>
        <w:t>2</w:t>
      </w:r>
      <w:r>
        <w:t xml:space="preserve">Das Gericht soll die Austauschpfändung nur zulassen, wenn sie nach Lage der Verhältnisse angemessen ist, insbesondere wenn zu erwarten ist, dass der Vollstreckungserlös den Wert des Ersatzstückes erheblich übersteigen werde. </w:t>
      </w:r>
      <w:r>
        <w:rPr>
          <w:rStyle w:val="Satznummer"/>
        </w:rPr>
        <w:t>3</w:t>
      </w:r>
      <w:r>
        <w:t xml:space="preserve">Das Gericht setzt den Wert eines vom Gläubiger angebotenen Ersatzstückes oder den zur Ersatzbeschaffung erforderlichen Betrag fest. </w:t>
      </w:r>
      <w:r>
        <w:rPr>
          <w:rStyle w:val="Satznummer"/>
        </w:rPr>
        <w:t>4</w:t>
      </w:r>
      <w:r>
        <w:t>Bei der Austauschpfändung nach Absatz 1 Halbsatz 1 ist der festgesetzte Betrag dem Gläubiger aus dem Vollstreckungserlös zu erstatten; er gehört zu den Kosten der Zwangsvollstreckung.</w:t>
      </w:r>
    </w:p>
    <w:p>
      <w:r>
        <w:t>(3) Der dem Schuldner überlassene Geldbetrag ist unpfändbar.</w:t>
      </w:r>
    </w:p>
    <w:p>
      <w:r>
        <w:t>(4) Bei der Austauschpfändung nach Absatz 1 Halbsatz 2 ist die Wegnahme der gepfändeten Sache erst nach Rechtskraft des Zulassungsbeschlusses zulässig.</w:t>
      </w:r>
    </w:p>
    <w:p>
      <w:pPr>
        <w:pStyle w:val="Heading5"/>
      </w:pPr>
      <w:bookmarkStart w:id="850" w:name="b849"/>
      <w:r>
        <w:t>§ 811b Vorläufige Austauschpfändung</w:t>
      </w:r>
      <w:r>
        <w:t xml:space="preserve"> </w:t>
      </w:r>
      <w:r>
        <w:rPr>
          <w:rStyle w:val="Suchmarke"/>
        </w:rPr>
        <w:t>#811b#</w:t>
      </w:r>
      <w:bookmarkEnd w:id="850"/>
    </w:p>
    <w:p>
      <w:r>
        <w:t xml:space="preserve">(1) </w:t>
      </w:r>
      <w:r>
        <w:rPr>
          <w:rStyle w:val="Satznummer"/>
        </w:rPr>
        <w:t>1</w:t>
      </w:r>
      <w:r>
        <w:t xml:space="preserve">Ohne vorgängige Entscheidung des Gerichts ist eine vorläufige Austauschpfändung zulässig, wenn eine Zulassung durch das Gericht zu erwarten ist. </w:t>
      </w:r>
      <w:r>
        <w:rPr>
          <w:rStyle w:val="Satznummer"/>
        </w:rPr>
        <w:t>2</w:t>
      </w:r>
      <w:r>
        <w:t>Der Gerichtsvollzieher soll die Austauschpfändung nur vornehmen, wenn zu erwarten ist, dass der Vollstreckungserlös den Wert des Ersatzstückes erheblich übersteigen wird.</w:t>
      </w:r>
    </w:p>
    <w:p>
      <w:r>
        <w:t xml:space="preserve">(2) Die Pfändung ist aufzuheben, wenn der Gläubiger nicht binnen einer Frist von zwei Wochen nach Benachrichtigung von der Pfändung einen Antrag nach </w:t>
      </w:r>
      <w:hyperlink w:anchor="b848" w:history="1">
        <w:r>
          <w:rPr>
            <w:color w:val="0A3A8C"/>
            <w:u w:val="single"/>
          </w:rPr>
          <w:t xml:space="preserve">§ 811a</w:t>
        </w:r>
      </w:hyperlink>
      <w:r>
        <w:t xml:space="preserve"> Abs. 2 bei dem Vollstreckungsgericht gestellt hat oder wenn ein solcher Antrag rechtskräftig zurückgewiesen ist.</w:t>
      </w:r>
    </w:p>
    <w:p>
      <w:r>
        <w:t>(3) Bei der Benachrichtigung ist dem Gläubiger unter Hinweis auf die Antragsfrist und die Folgen ihrer Versäumung mitzuteilen, dass die Pfändung als Austauschpfändung erfolgt ist.</w:t>
      </w:r>
    </w:p>
    <w:p>
      <w:r>
        <w:t xml:space="preserve">(4) </w:t>
      </w:r>
      <w:r>
        <w:rPr>
          <w:rStyle w:val="Satznummer"/>
        </w:rPr>
        <w:t>1</w:t>
      </w:r>
      <w:r>
        <w:t xml:space="preserve">Die Übergabe des Ersatzstückes oder des zu seiner Beschaffung erforderlichen Geldbetrages an den Schuldner und die Fortsetzung der Zwangsvollstreckung erfolgen erst nach Erlass des Beschlusses gemäß </w:t>
      </w:r>
      <w:hyperlink w:anchor="b848" w:history="1">
        <w:r>
          <w:rPr>
            <w:color w:val="0A3A8C"/>
            <w:u w:val="single"/>
          </w:rPr>
          <w:t xml:space="preserve">§ 811a</w:t>
        </w:r>
      </w:hyperlink>
      <w:r>
        <w:t xml:space="preserve"> Abs. 2 auf Anweisung des Gläubigers. </w:t>
      </w:r>
      <w:r>
        <w:rPr>
          <w:rStyle w:val="Satznummer"/>
        </w:rPr>
        <w:t>2</w:t>
      </w:r>
      <w:hyperlink w:anchor="b848" w:history="1">
        <w:r>
          <w:rPr>
            <w:color w:val="0A3A8C"/>
            <w:u w:val="single"/>
          </w:rPr>
          <w:t xml:space="preserve">§ 811a</w:t>
        </w:r>
      </w:hyperlink>
      <w:r>
        <w:t xml:space="preserve"> Abs. 4 gilt entsprechend.</w:t>
      </w:r>
    </w:p>
    <w:p>
      <w:pPr>
        <w:pStyle w:val="Heading5"/>
      </w:pPr>
      <w:bookmarkStart w:id="851" w:name="b850"/>
      <w:r>
        <w:t>§ 811c Vorwegpfändung</w:t>
      </w:r>
      <w:r>
        <w:t xml:space="preserve"> </w:t>
      </w:r>
      <w:r>
        <w:rPr>
          <w:rStyle w:val="Suchmarke"/>
        </w:rPr>
        <w:t>#811c#</w:t>
      </w:r>
      <w:bookmarkEnd w:id="851"/>
    </w:p>
    <w:p>
      <w:r>
        <w:t xml:space="preserve">(1) </w:t>
      </w:r>
      <w:r>
        <w:rPr>
          <w:rStyle w:val="Satznummer"/>
        </w:rPr>
        <w:t>1</w:t>
      </w:r>
      <w:r>
        <w:t xml:space="preserve">Ist zu erwarten, dass eine Sache demnächst pfändbar wird, so kann sie gepfändet werden, ist aber im Gewahrsam des Schuldners zu belassen. </w:t>
      </w:r>
      <w:r>
        <w:rPr>
          <w:rStyle w:val="Satznummer"/>
        </w:rPr>
        <w:t>2</w:t>
      </w:r>
      <w:r>
        <w:t>Die Vollstreckung darf erst fortgesetzt werden, wenn die Sache pfändbar geworden ist.</w:t>
      </w:r>
    </w:p>
    <w:p>
      <w:r>
        <w:t>(2) Die Pfändung ist aufzuheben, wenn die Sache nicht binnen eines Jahres pfändbar geworden ist.</w:t>
      </w:r>
    </w:p>
    <w:p>
      <w:pPr>
        <w:pStyle w:val="Heading5"/>
      </w:pPr>
      <w:bookmarkStart w:id="852" w:name="b851"/>
      <w:r>
        <w:t>§ 812 (weggefallen)</w:t>
      </w:r>
      <w:r>
        <w:t xml:space="preserve"> </w:t>
      </w:r>
      <w:r>
        <w:rPr>
          <w:rStyle w:val="Suchmarke"/>
        </w:rPr>
        <w:t>#812#</w:t>
      </w:r>
      <w:bookmarkEnd w:id="852"/>
    </w:p>
    <w:p>
      <w:pPr>
        <w:pStyle w:val="Heading5"/>
      </w:pPr>
      <w:bookmarkStart w:id="853" w:name="b852"/>
      <w:r>
        <w:t>§ 813 Schätzung</w:t>
      </w:r>
      <w:r>
        <w:t xml:space="preserve"> </w:t>
      </w:r>
      <w:r>
        <w:rPr>
          <w:rStyle w:val="Suchmarke"/>
        </w:rPr>
        <w:t>#813#</w:t>
      </w:r>
      <w:bookmarkEnd w:id="853"/>
    </w:p>
    <w:p>
      <w:r>
        <w:t xml:space="preserve">(1) </w:t>
      </w:r>
      <w:r>
        <w:rPr>
          <w:rStyle w:val="Satznummer"/>
        </w:rPr>
        <w:t>1</w:t>
      </w:r>
      <w:r>
        <w:t xml:space="preserve">Die gepfändeten Sachen sollen bei der Pfändung auf ihren gewöhnlichen Verkaufswert geschätzt werden. </w:t>
      </w:r>
      <w:r>
        <w:rPr>
          <w:rStyle w:val="Satznummer"/>
        </w:rPr>
        <w:t>2</w:t>
      </w:r>
      <w:r>
        <w:t xml:space="preserve">Die Schätzung des Wertes von Kostbarkeiten soll einem Sachverständigen übertragen werden. </w:t>
      </w:r>
      <w:r>
        <w:rPr>
          <w:rStyle w:val="Satznummer"/>
        </w:rPr>
        <w:t>3</w:t>
      </w:r>
      <w:r>
        <w:t>In anderen Fällen kann das Vollstreckungsgericht auf Antrag des Gläubigers oder des Schuldners die Schätzung durch einen Sachverständigen anordnen.</w:t>
      </w:r>
    </w:p>
    <w:p>
      <w:r>
        <w:t xml:space="preserve">(2) </w:t>
      </w:r>
      <w:r>
        <w:rPr>
          <w:rStyle w:val="Satznummer"/>
        </w:rPr>
        <w:t>1</w:t>
      </w:r>
      <w:r>
        <w:t xml:space="preserve">Ist die Schätzung des Wertes bei der Pfändung nicht möglich, so soll sie unverzüglich nachgeholt und ihr Ergebnis nachträglich in dem Pfändungsprotokoll vermerkt werden. </w:t>
      </w:r>
      <w:r>
        <w:rPr>
          <w:rStyle w:val="Satznummer"/>
        </w:rPr>
        <w:t>2</w:t>
      </w:r>
      <w:r>
        <w:t xml:space="preserve">Werden die Akten des Gerichtsvollziehers elektronisch geführt, so ist das Ergebnis der Schätzung in einem gesonderten elektronischen Dokument zu vermerken. </w:t>
      </w:r>
      <w:r>
        <w:rPr>
          <w:rStyle w:val="Satznummer"/>
        </w:rPr>
        <w:t>3</w:t>
      </w:r>
      <w:r>
        <w:t>Das Dokument ist mit dem Pfändungsprotokoll untrennbar zu verbinden.</w:t>
      </w:r>
    </w:p>
    <w:p>
      <w:r>
        <w:t>(3) Sollen bei Personen, die Landwirtschaft betreiben,</w:t>
      </w:r>
    </w:p>
    <w:p>
      <w:pPr>
        <w:tabs>
          <w:tab w:pos="567" w:val="left"/>
        </w:tabs>
        <w:ind w:left="567" w:hanging="567"/>
      </w:pPr>
      <w:r>
        <w:t>1.</w:t>
      </w:r>
      <w:r>
        <w:tab/>
      </w:r>
      <w:r>
        <w:t>Früchte, die vom Boden noch nicht getrennt sind,</w:t>
      </w:r>
    </w:p>
    <w:p>
      <w:pPr>
        <w:tabs>
          <w:tab w:pos="567" w:val="left"/>
        </w:tabs>
        <w:ind w:left="567" w:hanging="567"/>
      </w:pPr>
      <w:r>
        <w:t>2.</w:t>
      </w:r>
      <w:r>
        <w:tab/>
      </w:r>
      <w:r>
        <w:t>Sachen nach § 811 Absatz 1 Nummer 1 Buchstabe b,</w:t>
      </w:r>
    </w:p>
    <w:p>
      <w:pPr>
        <w:tabs>
          <w:tab w:pos="567" w:val="left"/>
        </w:tabs>
        <w:ind w:left="567" w:hanging="567"/>
      </w:pPr>
      <w:r>
        <w:t>3.</w:t>
      </w:r>
      <w:r>
        <w:tab/>
      </w:r>
      <w:r>
        <w:t>Tiere nach § 811 Absatz 1 Nummer 8 Buchstabe b oder</w:t>
      </w:r>
    </w:p>
    <w:p>
      <w:pPr>
        <w:tabs>
          <w:tab w:pos="567" w:val="left"/>
        </w:tabs>
        <w:ind w:left="567" w:hanging="567"/>
      </w:pPr>
      <w:r>
        <w:t>4.</w:t>
      </w:r>
      <w:r>
        <w:tab/>
      </w:r>
      <w:r>
        <w:t>landwirtschaftliche Erzeugnisse</w:t>
      </w:r>
    </w:p>
    <w:p>
      <w:r>
        <w:t>gepfändet werden, so soll ein landwirtschaftlicher Sachverständiger herangezogen werden, sofern anzunehmen ist, dass der Wert dieser Sachen und Tiere insgesamt den Betrag von 2 000 Euro übersteigt.</w:t>
      </w:r>
    </w:p>
    <w:p>
      <w:r>
        <w:t>(4) Die Landesjustizverwaltung kann bestimmen, dass auch in anderen Fällen ein Sachverständiger zugezogen werden soll.</w:t>
      </w:r>
    </w:p>
    <w:p>
      <w:pPr>
        <w:pStyle w:val="Heading5"/>
      </w:pPr>
      <w:bookmarkStart w:id="854" w:name="b853"/>
      <w:r>
        <w:t>§ 813a (weggefallen)</w:t>
      </w:r>
      <w:r>
        <w:t xml:space="preserve"> </w:t>
      </w:r>
      <w:r>
        <w:rPr>
          <w:rStyle w:val="Suchmarke"/>
        </w:rPr>
        <w:t>#813a#</w:t>
      </w:r>
      <w:bookmarkEnd w:id="854"/>
    </w:p>
    <w:p>
      <w:pPr>
        <w:pStyle w:val="Heading5"/>
      </w:pPr>
      <w:bookmarkStart w:id="855" w:name="b854"/>
      <w:r>
        <w:t>§ 813b (weggefallen)</w:t>
      </w:r>
      <w:r>
        <w:t xml:space="preserve"> </w:t>
      </w:r>
      <w:r>
        <w:rPr>
          <w:rStyle w:val="Suchmarke"/>
        </w:rPr>
        <w:t>#813b#</w:t>
      </w:r>
      <w:bookmarkEnd w:id="855"/>
    </w:p>
    <w:p>
      <w:pPr>
        <w:pStyle w:val="Heading5"/>
      </w:pPr>
      <w:bookmarkStart w:id="856" w:name="b855"/>
      <w:r>
        <w:t>§ 814 Öffentliche Versteigerung</w:t>
      </w:r>
      <w:r>
        <w:t xml:space="preserve"> </w:t>
      </w:r>
      <w:r>
        <w:rPr>
          <w:rStyle w:val="Suchmarke"/>
        </w:rPr>
        <w:t>#814#</w:t>
      </w:r>
      <w:bookmarkEnd w:id="856"/>
    </w:p>
    <w:p>
      <w:r>
        <w:t xml:space="preserve">(1) Die gepfändeten Sachen sind von dem Gerichtsvollzieher öffentlich zu versteigern; </w:t>
      </w:r>
      <w:r>
        <w:rPr>
          <w:i/>
        </w:rPr>
        <w:t>Kostbarkeiten sind vor der Versteigerung durch einen Sachverständigen abzuschätzen.*)</w:t>
      </w:r>
    </w:p>
    <w:p>
      <w:r>
        <w:t>(2) Eine öffentliche Versteigerung kann nach Wahl des Gerichtsvollziehers</w:t>
      </w:r>
    </w:p>
    <w:p>
      <w:pPr>
        <w:tabs>
          <w:tab w:pos="567" w:val="left"/>
        </w:tabs>
        <w:ind w:left="567" w:hanging="567"/>
      </w:pPr>
      <w:r>
        <w:t>1.</w:t>
      </w:r>
      <w:r>
        <w:tab/>
      </w:r>
      <w:r>
        <w:t>als Versteigerung vor Ort oder</w:t>
      </w:r>
    </w:p>
    <w:p>
      <w:pPr>
        <w:tabs>
          <w:tab w:pos="567" w:val="left"/>
        </w:tabs>
        <w:ind w:left="567" w:hanging="567"/>
      </w:pPr>
      <w:r>
        <w:t>2.</w:t>
      </w:r>
      <w:r>
        <w:tab/>
      </w:r>
      <w:r>
        <w:t>als allgemein zugängliche Versteigerung im Internet über eine Versteigerungsplattform</w:t>
      </w:r>
    </w:p>
    <w:p>
      <w:r>
        <w:t>erfolgen.</w:t>
      </w:r>
    </w:p>
    <w:p>
      <w:r>
        <w:t xml:space="preserve">(3) </w:t>
      </w:r>
      <w:r>
        <w:rPr>
          <w:rStyle w:val="Satznummer"/>
        </w:rPr>
        <w:t>1</w:t>
      </w:r>
      <w:r>
        <w:t>Die Landesregierungen bestimmen für die Versteigerung im Internet nach Absatz 2 Nummer 2 durch Rechtsverordnung</w:t>
      </w:r>
    </w:p>
    <w:p>
      <w:pPr>
        <w:tabs>
          <w:tab w:pos="567" w:val="left"/>
        </w:tabs>
        <w:ind w:left="567" w:hanging="567"/>
      </w:pPr>
      <w:r>
        <w:t>1.</w:t>
      </w:r>
      <w:r>
        <w:tab/>
      </w:r>
      <w:r>
        <w:t>den Zeitpunkt, von dem an die Versteigerung zugelassen ist,</w:t>
      </w:r>
    </w:p>
    <w:p>
      <w:pPr>
        <w:tabs>
          <w:tab w:pos="567" w:val="left"/>
        </w:tabs>
        <w:ind w:left="567" w:hanging="567"/>
      </w:pPr>
      <w:r>
        <w:t>2.</w:t>
      </w:r>
      <w:r>
        <w:tab/>
      </w:r>
      <w:r>
        <w:t>die Versteigerungsplattform,</w:t>
      </w:r>
    </w:p>
    <w:p>
      <w:pPr>
        <w:tabs>
          <w:tab w:pos="567" w:val="left"/>
        </w:tabs>
        <w:ind w:left="567" w:hanging="567"/>
      </w:pPr>
      <w:r>
        <w:t>3.</w:t>
      </w:r>
      <w:r>
        <w:tab/>
      </w:r>
      <w:r>
        <w:t>die Zulassung zur und den Ausschluss von der Teilnahme an der Versteigerung; soweit die Zulassung zur Teilnahme oder der Ausschluss von einer Versteigerung einen Identitätsnachweis natürlicher Personen vorsieht, ist spätestens ab dem 1. Januar 2013 auch die Nutzung des elektronischen Identitätsnachweises (§ 18 des Personalausweisgesetzes, § 12 des eID-Karte-Gesetzes oder § 78 Absatz 5 des Aufenthaltsgesetzes) zu diesem Zweck zu ermöglichen,</w:t>
      </w:r>
    </w:p>
    <w:p>
      <w:pPr>
        <w:tabs>
          <w:tab w:pos="567" w:val="left"/>
        </w:tabs>
        <w:ind w:left="567" w:hanging="567"/>
      </w:pPr>
      <w:r>
        <w:t>4.</w:t>
      </w:r>
      <w:r>
        <w:tab/>
      </w:r>
      <w:r>
        <w:t>Beginn, Ende und Abbruch der Versteigerung,</w:t>
      </w:r>
    </w:p>
    <w:p>
      <w:pPr>
        <w:tabs>
          <w:tab w:pos="567" w:val="left"/>
        </w:tabs>
        <w:ind w:left="567" w:hanging="567"/>
      </w:pPr>
      <w:r>
        <w:t>5.</w:t>
      </w:r>
      <w:r>
        <w:tab/>
      </w:r>
      <w:r>
        <w:t xml:space="preserve">die Versteigerungsbedingungen und die sonstigen rechtlichen Folgen der Versteigerung einschließlich der Belehrung der Teilnehmer über den Gewährleistungsausschluss nach </w:t>
      </w:r>
      <w:hyperlink w:anchor="b839" w:history="1">
        <w:r>
          <w:rPr>
            <w:color w:val="0A3A8C"/>
            <w:u w:val="single"/>
          </w:rPr>
          <w:t xml:space="preserve">§ 806</w:t>
        </w:r>
      </w:hyperlink>
      <w:r>
        <w:t>,</w:t>
      </w:r>
    </w:p>
    <w:p>
      <w:pPr>
        <w:tabs>
          <w:tab w:pos="567" w:val="left"/>
        </w:tabs>
        <w:ind w:left="567" w:hanging="567"/>
      </w:pPr>
      <w:r>
        <w:t>6.</w:t>
      </w:r>
      <w:r>
        <w:tab/>
      </w:r>
      <w:r>
        <w:t>die Anonymisierung der Angaben zur Person des Schuldners vor ihrer Veröffentlichung und die Möglichkeit der Anonymisierung der Daten der Bieter,</w:t>
      </w:r>
    </w:p>
    <w:p>
      <w:pPr>
        <w:tabs>
          <w:tab w:pos="567" w:val="left"/>
        </w:tabs>
        <w:ind w:left="567" w:hanging="567"/>
      </w:pPr>
      <w:r>
        <w:t>7.</w:t>
      </w:r>
      <w:r>
        <w:tab/>
      </w:r>
      <w:r>
        <w:t>das sonstige zu beachtende besondere Verfahren.</w:t>
      </w:r>
    </w:p>
    <w:p>
      <w:r>
        <w:rPr>
          <w:rStyle w:val="Satznummer"/>
        </w:rPr>
        <w:t>2</w:t>
      </w:r>
      <w:r>
        <w:t>Sie können die Ermächtigung durch Rechtsverordnung auf die Landesjustizverwaltungen übertragen.</w:t>
      </w:r>
    </w:p>
    <w:p>
      <w:pPr>
        <w:pStyle w:val="Heading5"/>
      </w:pPr>
      <w:bookmarkStart w:id="857" w:name="b856"/>
      <w:r>
        <w:t>§ 815 Gepfändetes Geld</w:t>
      </w:r>
      <w:r>
        <w:t xml:space="preserve"> </w:t>
      </w:r>
      <w:r>
        <w:rPr>
          <w:rStyle w:val="Suchmarke"/>
        </w:rPr>
        <w:t>#815#</w:t>
      </w:r>
      <w:bookmarkEnd w:id="857"/>
    </w:p>
    <w:p>
      <w:r>
        <w:t>(1) Gepfändetes Geld ist dem Gläubiger abzuliefern.</w:t>
      </w:r>
    </w:p>
    <w:p>
      <w:r>
        <w:t xml:space="preserve">(2) </w:t>
      </w:r>
      <w:r>
        <w:rPr>
          <w:rStyle w:val="Satznummer"/>
        </w:rPr>
        <w:t>1</w:t>
      </w:r>
      <w:r>
        <w:t xml:space="preserve">Wird dem Gerichtsvollzieher glaubhaft gemacht, dass an gepfändetem Geld ein die Veräußerung hinderndes Recht eines Dritten bestehe, so ist das Geld zu hinterlegen. </w:t>
      </w:r>
      <w:r>
        <w:rPr>
          <w:rStyle w:val="Satznummer"/>
        </w:rPr>
        <w:t>2</w:t>
      </w:r>
      <w:r>
        <w:t xml:space="preserve">Die Zwangsvollstreckung ist fortzusetzen, wenn nicht binnen einer Frist von zwei Wochen seit dem Tag der Pfändung eine Entscheidung des nach </w:t>
      </w:r>
      <w:hyperlink w:anchor="b777" w:history="1">
        <w:r>
          <w:rPr>
            <w:color w:val="0A3A8C"/>
            <w:u w:val="single"/>
          </w:rPr>
          <w:t xml:space="preserve">§ 771</w:t>
        </w:r>
      </w:hyperlink>
      <w:r>
        <w:t xml:space="preserve"> Abs. 1 zuständigen Gerichts über die Einstellung der Zwangsvollstreckung beigebracht wird.</w:t>
      </w:r>
    </w:p>
    <w:p>
      <w:r>
        <w:t xml:space="preserve">(3) Die Wegnahme des Geldes durch den Gerichtsvollzieher gilt als Zahlung von Seiten des Schuldners, sofern nicht nach Absatz 2 oder nach </w:t>
      </w:r>
      <w:hyperlink w:anchor="b718" w:history="1">
        <w:r>
          <w:rPr>
            <w:color w:val="0A3A8C"/>
            <w:u w:val="single"/>
          </w:rPr>
          <w:t xml:space="preserve">§ 720</w:t>
        </w:r>
      </w:hyperlink>
      <w:r>
        <w:t xml:space="preserve"> die Hinterlegung zu erfolgen hat.</w:t>
      </w:r>
    </w:p>
    <w:p>
      <w:pPr>
        <w:pStyle w:val="Heading5"/>
      </w:pPr>
      <w:bookmarkStart w:id="858" w:name="b857"/>
      <w:r>
        <w:t>§ 816 Zeit und Ort der Versteigerung</w:t>
      </w:r>
      <w:r>
        <w:t xml:space="preserve"> </w:t>
      </w:r>
      <w:r>
        <w:rPr>
          <w:rStyle w:val="Suchmarke"/>
        </w:rPr>
        <w:t>#816#</w:t>
      </w:r>
      <w:bookmarkEnd w:id="858"/>
    </w:p>
    <w:p>
      <w:r>
        <w:t>(1) Die Versteigerung der gepfändeten Sachen darf nicht vor Ablauf einer Woche seit dem Tag der Pfändung geschehen, sofern nicht der Gläubiger und der Schuldner über eine frühere Versteigerung sich einigen oder diese erforderlich ist, um die Gefahr einer beträchtlichen Wertverringerung der zu versteigernden Sache abzuwenden oder um unverhältnismäßige Kosten einer längeren Aufbewahrung zu vermeiden.</w:t>
      </w:r>
    </w:p>
    <w:p>
      <w:r>
        <w:t>(2) Die Versteigerung erfolgt in der Gemeinde, in der die Pfändung geschehen ist, oder an einem anderen Ort im Bezirk des Vollstreckungsgerichts, sofern nicht der Gläubiger und der Schuldner über einen dritten Ort sich einigen.</w:t>
      </w:r>
    </w:p>
    <w:p>
      <w:r>
        <w:t>(3) Zeit und Ort der Versteigerung sind unter allgemeiner Bezeichnung der zu versteigernden Sachen öffentlich bekannt zu machen.</w:t>
      </w:r>
    </w:p>
    <w:p>
      <w:r>
        <w:t>(4) Bei der Versteigerung gilt die Vorschrift des § 1239 Absatz 1 Satz 1 des Bürgerlichen Gesetzbuchs entsprechend; bei der Versteigerung vor Ort ist auch § 1239 Absatz 2 des Bürgerlichen Gesetzbuchs entsprechend anzuwenden.</w:t>
      </w:r>
    </w:p>
    <w:p>
      <w:r>
        <w:t>(5) Die Absätze 2 und 3 gelten nicht bei einer Versteigerung im Internet.</w:t>
      </w:r>
    </w:p>
    <w:p>
      <w:pPr>
        <w:pStyle w:val="Heading5"/>
      </w:pPr>
      <w:bookmarkStart w:id="859" w:name="b858"/>
      <w:r>
        <w:t>§ 817 Zuschlag und Ablieferung</w:t>
      </w:r>
      <w:r>
        <w:t xml:space="preserve"> </w:t>
      </w:r>
      <w:r>
        <w:rPr>
          <w:rStyle w:val="Suchmarke"/>
        </w:rPr>
        <w:t>#817#</w:t>
      </w:r>
      <w:bookmarkEnd w:id="859"/>
    </w:p>
    <w:p>
      <w:r>
        <w:t xml:space="preserve">(1) </w:t>
      </w:r>
      <w:r>
        <w:rPr>
          <w:rStyle w:val="Satznummer"/>
        </w:rPr>
        <w:t>1</w:t>
      </w:r>
      <w:r>
        <w:t xml:space="preserve">Bei der Versteigerung vor Ort soll dem Zuschlag an den Meistbietenden ein dreimaliger Aufruf vorausgehen. </w:t>
      </w:r>
      <w:r>
        <w:rPr>
          <w:rStyle w:val="Satznummer"/>
        </w:rPr>
        <w:t>2</w:t>
      </w:r>
      <w:r>
        <w:t xml:space="preserve">Bei einer Versteigerung im Internet ist der Zuschlag der Person erteilt, die am Ende der Versteigerung das höchste, wenigstens das nach </w:t>
      </w:r>
      <w:hyperlink w:anchor="b859" w:history="1">
        <w:r>
          <w:rPr>
            <w:color w:val="0A3A8C"/>
            <w:u w:val="single"/>
          </w:rPr>
          <w:t xml:space="preserve">§ 817a</w:t>
        </w:r>
      </w:hyperlink>
      <w:r>
        <w:t xml:space="preserve"> Absatz 1 Satz 1 zu erreichende Mindestgebot abgegeben hat; sie ist von dem Zuschlag zu benachrichtigen. </w:t>
      </w:r>
      <w:r>
        <w:rPr>
          <w:rStyle w:val="Satznummer"/>
        </w:rPr>
        <w:t>3</w:t>
      </w:r>
      <w:r>
        <w:t>§ 156 des Bürgerlichen Gesetzbuchs gilt entsprechend.</w:t>
      </w:r>
    </w:p>
    <w:p>
      <w:r>
        <w:t>(2) Die zugeschlagene Sache darf nur abgeliefert werden, wenn das Kaufgeld gezahlt worden ist oder bei Ablieferung gezahlt wird.</w:t>
      </w:r>
    </w:p>
    <w:p>
      <w:r>
        <w:t xml:space="preserve">(3) </w:t>
      </w:r>
      <w:r>
        <w:rPr>
          <w:rStyle w:val="Satznummer"/>
        </w:rPr>
        <w:t>1</w:t>
      </w:r>
      <w:r>
        <w:t xml:space="preserve">Hat der Meistbietende nicht zu der in den Versteigerungsbedingungen bestimmten Zeit oder in Ermangelung einer solchen Bestimmung nicht vor dem Schluss des Versteigerungstermins die Ablieferung gegen Zahlung des Kaufgeldes verlangt, so wird die Sache anderweit versteigert. </w:t>
      </w:r>
      <w:r>
        <w:rPr>
          <w:rStyle w:val="Satznummer"/>
        </w:rPr>
        <w:t>2</w:t>
      </w:r>
      <w:r>
        <w:t>Der Meistbietende wird zu einem weiteren Gebot nicht zugelassen; er haftet für den Ausfall, auf den Mehrerlös hat er keinen Anspruch.</w:t>
      </w:r>
    </w:p>
    <w:p>
      <w:r>
        <w:t xml:space="preserve">(4) </w:t>
      </w:r>
      <w:r>
        <w:rPr>
          <w:rStyle w:val="Satznummer"/>
        </w:rPr>
        <w:t>1</w:t>
      </w:r>
      <w:r>
        <w:t xml:space="preserve">Wird der Zuschlag dem Gläubiger erteilt, so ist dieser von der Verpflichtung zur baren Zahlung so weit befreit, als der Erlös nach Abzug der Kosten der Zwangsvollstreckung zu seiner Befriedigung zu verwenden ist, sofern nicht dem Schuldner nachgelassen ist, durch Sicherheitsleistung oder durch Hinterlegung die Vollstreckung abzuwenden. </w:t>
      </w:r>
      <w:r>
        <w:rPr>
          <w:rStyle w:val="Satznummer"/>
        </w:rPr>
        <w:t>2</w:t>
      </w:r>
      <w:r>
        <w:t>Soweit der Gläubiger von der Verpflichtung zur baren Zahlung befreit ist, gilt der Betrag als von dem Schuldner an den Gläubiger gezahlt.</w:t>
      </w:r>
    </w:p>
    <w:p>
      <w:pPr>
        <w:pStyle w:val="Heading5"/>
      </w:pPr>
      <w:bookmarkStart w:id="860" w:name="b859"/>
      <w:r>
        <w:t>§ 817a Mindestgebot</w:t>
      </w:r>
      <w:r>
        <w:t xml:space="preserve"> </w:t>
      </w:r>
      <w:r>
        <w:rPr>
          <w:rStyle w:val="Suchmarke"/>
        </w:rPr>
        <w:t>#817a#</w:t>
      </w:r>
      <w:bookmarkEnd w:id="860"/>
    </w:p>
    <w:p>
      <w:r>
        <w:t xml:space="preserve">(1) </w:t>
      </w:r>
      <w:r>
        <w:rPr>
          <w:rStyle w:val="Satznummer"/>
        </w:rPr>
        <w:t>1</w:t>
      </w:r>
      <w:r>
        <w:t xml:space="preserve">Der Zuschlag darf nur auf ein Gebot erteilt werden, das mindestens die Hälfte des gewöhnlichen Verkaufswertes der Sache erreicht (Mindestgebot). </w:t>
      </w:r>
      <w:r>
        <w:rPr>
          <w:rStyle w:val="Satznummer"/>
        </w:rPr>
        <w:t>2</w:t>
      </w:r>
      <w:r>
        <w:t>Der gewöhnliche Verkaufswert und das Mindestgebot sollen bei dem Ausbieten bekannt gegeben werden.</w:t>
      </w:r>
    </w:p>
    <w:p>
      <w:r>
        <w:t xml:space="preserve">(2) </w:t>
      </w:r>
      <w:r>
        <w:rPr>
          <w:rStyle w:val="Satznummer"/>
        </w:rPr>
        <w:t>1</w:t>
      </w:r>
      <w:r>
        <w:t xml:space="preserve">Wird der Zuschlag nicht erteilt, weil ein das Mindestgebot erreichendes Gebot nicht abgegeben ist, so bleibt das Pfandrecht des Gläubigers bestehen. </w:t>
      </w:r>
      <w:r>
        <w:rPr>
          <w:rStyle w:val="Satznummer"/>
        </w:rPr>
        <w:t>2</w:t>
      </w:r>
      <w:r>
        <w:t xml:space="preserve">Er kann jederzeit die Anberaumung eines neuen Versteigerungstermins oder die Anordnung anderweitiger Verwertung der gepfändeten Sache nach </w:t>
      </w:r>
      <w:hyperlink w:anchor="b867" w:history="1">
        <w:r>
          <w:rPr>
            <w:color w:val="0A3A8C"/>
            <w:u w:val="single"/>
          </w:rPr>
          <w:t xml:space="preserve">§ 825</w:t>
        </w:r>
      </w:hyperlink>
      <w:r>
        <w:t xml:space="preserve"> beantragen. </w:t>
      </w:r>
      <w:r>
        <w:rPr>
          <w:rStyle w:val="Satznummer"/>
        </w:rPr>
        <w:t>3</w:t>
      </w:r>
      <w:r>
        <w:t>Wird die anderweitige Verwertung angeordnet, so gilt Absatz 1 entsprechend.</w:t>
      </w:r>
    </w:p>
    <w:p>
      <w:r>
        <w:t xml:space="preserve">(3) </w:t>
      </w:r>
      <w:r>
        <w:rPr>
          <w:rStyle w:val="Satznummer"/>
        </w:rPr>
        <w:t>1</w:t>
      </w:r>
      <w:r>
        <w:t xml:space="preserve">Gold- und Silbersachen dürfen auch nicht unter ihrem Gold- oder Silberwert zugeschlagen werden. </w:t>
      </w:r>
      <w:r>
        <w:rPr>
          <w:rStyle w:val="Satznummer"/>
        </w:rPr>
        <w:t>2</w:t>
      </w:r>
      <w:r>
        <w:t>Wird ein den Zuschlag gestattendes Gebot nicht abgegeben, so kann der Gerichtsvollzieher den Verkauf aus freier Hand zu dem Preise bewirken, der den Gold- oder Silberwert erreicht, jedoch nicht unter der Hälfte des gewöhnlichen Verkaufswertes.</w:t>
      </w:r>
    </w:p>
    <w:p>
      <w:pPr>
        <w:pStyle w:val="Heading5"/>
      </w:pPr>
      <w:bookmarkStart w:id="861" w:name="b860"/>
      <w:r>
        <w:t>§ 818 Einstellung der Versteigerung</w:t>
      </w:r>
      <w:r>
        <w:t xml:space="preserve"> </w:t>
      </w:r>
      <w:r>
        <w:rPr>
          <w:rStyle w:val="Suchmarke"/>
        </w:rPr>
        <w:t>#818#</w:t>
      </w:r>
      <w:bookmarkEnd w:id="861"/>
    </w:p>
    <w:p>
      <w:r>
        <w:t>Die Versteigerung wird eingestellt, sobald der Erlös zur Befriedigung des Gläubigers und zur Deckung der Kosten der Zwangsvollstreckung hinreicht.</w:t>
      </w:r>
    </w:p>
    <w:p>
      <w:pPr>
        <w:pStyle w:val="Heading5"/>
      </w:pPr>
      <w:bookmarkStart w:id="862" w:name="b861"/>
      <w:r>
        <w:t>§ 819 Wirkung des Erlösempfanges</w:t>
      </w:r>
      <w:r>
        <w:t xml:space="preserve"> </w:t>
      </w:r>
      <w:r>
        <w:rPr>
          <w:rStyle w:val="Suchmarke"/>
        </w:rPr>
        <w:t>#819#</w:t>
      </w:r>
      <w:bookmarkEnd w:id="862"/>
    </w:p>
    <w:p>
      <w:r>
        <w:t>Die Empfangnahme des Erlöses durch den Gerichtsvollzieher gilt als Zahlung von Seiten des Schuldners, sofern nicht dem Schuldner nachgelassen ist, durch Sicherheitsleistung oder durch Hinterlegung die Vollstreckung abzuwenden.</w:t>
      </w:r>
    </w:p>
    <w:p>
      <w:pPr>
        <w:pStyle w:val="Heading5"/>
      </w:pPr>
      <w:bookmarkStart w:id="863" w:name="b862"/>
      <w:r>
        <w:t>§ 820</w:t>
      </w:r>
      <w:r>
        <w:t xml:space="preserve"> </w:t>
      </w:r>
      <w:r>
        <w:rPr>
          <w:rStyle w:val="Suchmarke"/>
        </w:rPr>
        <w:t>#820#</w:t>
      </w:r>
      <w:bookmarkEnd w:id="863"/>
    </w:p>
    <w:p>
      <w:r>
        <w:t>(weggefallen)</w:t>
      </w:r>
    </w:p>
    <w:p>
      <w:pPr>
        <w:pStyle w:val="Heading5"/>
      </w:pPr>
      <w:bookmarkStart w:id="864" w:name="b863"/>
      <w:r>
        <w:t>§ 821 Verwertung von Wertpapieren</w:t>
      </w:r>
      <w:r>
        <w:t xml:space="preserve"> </w:t>
      </w:r>
      <w:r>
        <w:rPr>
          <w:rStyle w:val="Suchmarke"/>
        </w:rPr>
        <w:t>#821#</w:t>
      </w:r>
      <w:bookmarkEnd w:id="864"/>
    </w:p>
    <w:p>
      <w:r>
        <w:t>Gepfändete Wertpapiere sind, wenn sie einen Börsen- oder Marktpreis haben, von dem Gerichtsvollzieher aus freier Hand zum Tageskurs zu verkaufen und, wenn sie einen solchen Preis nicht haben, nach den allgemeinen Bestimmungen zu versteigern.</w:t>
      </w:r>
    </w:p>
    <w:p>
      <w:pPr>
        <w:pStyle w:val="Heading5"/>
      </w:pPr>
      <w:bookmarkStart w:id="865" w:name="b864"/>
      <w:r>
        <w:t>§ 822 Umschreibung von Namenspapieren</w:t>
      </w:r>
      <w:r>
        <w:t xml:space="preserve"> </w:t>
      </w:r>
      <w:r>
        <w:rPr>
          <w:rStyle w:val="Suchmarke"/>
        </w:rPr>
        <w:t>#822#</w:t>
      </w:r>
      <w:bookmarkEnd w:id="865"/>
    </w:p>
    <w:p>
      <w:r>
        <w:t>Lautet ein Wertpapier auf Namen, so kann der Gerichtsvollzieher durch das Vollstreckungsgericht ermächtigt werden, die Umschreibung auf den Namen des Käufers zu erwirken und die hierzu erforderlichen Erklärungen an Stelle des Schuldners abzugeben.</w:t>
      </w:r>
    </w:p>
    <w:p>
      <w:pPr>
        <w:pStyle w:val="Heading5"/>
      </w:pPr>
      <w:bookmarkStart w:id="866" w:name="b865"/>
      <w:r>
        <w:t>§ 823 Außer Kurs gesetzte Inhaberpapiere</w:t>
      </w:r>
      <w:r>
        <w:t xml:space="preserve"> </w:t>
      </w:r>
      <w:r>
        <w:rPr>
          <w:rStyle w:val="Suchmarke"/>
        </w:rPr>
        <w:t>#823#</w:t>
      </w:r>
      <w:bookmarkEnd w:id="866"/>
    </w:p>
    <w:p>
      <w:r>
        <w:t>Ist ein Inhaberpapier durch Einschreibung auf den Namen oder in anderer Weise außer Kurs gesetzt, so kann der Gerichtsvollzieher durch das Vollstreckungsgericht ermächtigt werden, die Wiederinkurssetzung zu erwirken und die hierzu erforderlichen Erklärungen an Stelle des Schuldners abzugeben.</w:t>
      </w:r>
    </w:p>
    <w:p>
      <w:pPr>
        <w:pStyle w:val="Heading5"/>
      </w:pPr>
      <w:bookmarkStart w:id="867" w:name="b866"/>
      <w:r>
        <w:t>§ 824 Verwertung ungetrennter Früchte</w:t>
      </w:r>
      <w:r>
        <w:t xml:space="preserve"> </w:t>
      </w:r>
      <w:r>
        <w:rPr>
          <w:rStyle w:val="Suchmarke"/>
        </w:rPr>
        <w:t>#824#</w:t>
      </w:r>
      <w:bookmarkEnd w:id="867"/>
    </w:p>
    <w:p>
      <w:r>
        <w:rPr>
          <w:rStyle w:val="Satznummer"/>
        </w:rPr>
        <w:t>1</w:t>
      </w:r>
      <w:r>
        <w:t xml:space="preserve">Die Versteigerung gepfändeter, von dem Boden noch nicht getrennter Früchte ist erst nach der Reife zulässig. </w:t>
      </w:r>
      <w:r>
        <w:rPr>
          <w:rStyle w:val="Satznummer"/>
        </w:rPr>
        <w:t>2</w:t>
      </w:r>
      <w:r>
        <w:t>Sie kann vor oder nach der Trennung der Früchte erfolgen; im letzteren Fall hat der Gerichtsvollzieher die Aberntung bewirken zu lassen.</w:t>
      </w:r>
    </w:p>
    <w:p>
      <w:pPr>
        <w:pStyle w:val="Heading5"/>
      </w:pPr>
      <w:bookmarkStart w:id="868" w:name="b867"/>
      <w:r>
        <w:t>§ 825 Andere Verwertungsart</w:t>
      </w:r>
      <w:r>
        <w:t xml:space="preserve"> </w:t>
      </w:r>
      <w:r>
        <w:rPr>
          <w:rStyle w:val="Suchmarke"/>
        </w:rPr>
        <w:t>#825#</w:t>
      </w:r>
      <w:bookmarkEnd w:id="868"/>
    </w:p>
    <w:p>
      <w:r>
        <w:t xml:space="preserve">(1) </w:t>
      </w:r>
      <w:r>
        <w:rPr>
          <w:rStyle w:val="Satznummer"/>
        </w:rPr>
        <w:t>1</w:t>
      </w:r>
      <w:r>
        <w:t xml:space="preserve">Auf Antrag des Gläubigers oder des Schuldners kann der Gerichtsvollzieher eine gepfändete Sache in anderer Weise oder an einem anderen Ort verwerten, als in den vorstehenden Paragraphen bestimmt ist. </w:t>
      </w:r>
      <w:r>
        <w:rPr>
          <w:rStyle w:val="Satznummer"/>
        </w:rPr>
        <w:t>2</w:t>
      </w:r>
      <w:r>
        <w:t xml:space="preserve">Über die beabsichtigte Verwertung hat der Gerichtsvollzieher den Antragsgegner zu unterrichten. </w:t>
      </w:r>
      <w:r>
        <w:rPr>
          <w:rStyle w:val="Satznummer"/>
        </w:rPr>
        <w:t>3</w:t>
      </w:r>
      <w:r>
        <w:t>Ohne Zustimmung des Antragsgegners darf er die Sache nicht vor Ablauf von zwei Wochen nach Zustellung der Unterrichtung verwerten.</w:t>
      </w:r>
    </w:p>
    <w:p>
      <w:r>
        <w:t>(2) Die Versteigerung einer gepfändeten Sache durch eine andere Person als den Gerichtsvollzieher kann das Vollstreckungsgericht auf Antrag des Gläubigers oder des Schuldners anordnen.</w:t>
      </w:r>
    </w:p>
    <w:p>
      <w:pPr>
        <w:pStyle w:val="Heading5"/>
      </w:pPr>
      <w:bookmarkStart w:id="869" w:name="b868"/>
      <w:r>
        <w:t>§ 826 Anschlusspfändung</w:t>
      </w:r>
      <w:r>
        <w:t xml:space="preserve"> </w:t>
      </w:r>
      <w:r>
        <w:rPr>
          <w:rStyle w:val="Suchmarke"/>
        </w:rPr>
        <w:t>#826#</w:t>
      </w:r>
      <w:bookmarkEnd w:id="869"/>
    </w:p>
    <w:p>
      <w:r>
        <w:t>(1) Zur Pfändung bereits gepfändeter Sachen genügt die in das Protokoll aufzunehmende Erklärung des Gerichtsvollziehers, dass er die Sachen für seinen Auftraggeber pfände.</w:t>
      </w:r>
    </w:p>
    <w:p>
      <w:r>
        <w:t>(2) Ist die erste Pfändung durch einen anderen Gerichtsvollzieher bewirkt, so ist diesem eine Abschrift des Protokolls zuzustellen.</w:t>
      </w:r>
    </w:p>
    <w:p>
      <w:r>
        <w:t>(3) Der Schuldner ist von den weiteren Pfändungen in Kenntnis zu setzen.</w:t>
      </w:r>
    </w:p>
    <w:p>
      <w:pPr>
        <w:pStyle w:val="Heading5"/>
      </w:pPr>
      <w:bookmarkStart w:id="870" w:name="b869"/>
      <w:r>
        <w:t>§ 827 Verfahren bei mehrfacher Pfändung</w:t>
      </w:r>
      <w:r>
        <w:t xml:space="preserve"> </w:t>
      </w:r>
      <w:r>
        <w:rPr>
          <w:rStyle w:val="Suchmarke"/>
        </w:rPr>
        <w:t>#827#</w:t>
      </w:r>
      <w:bookmarkEnd w:id="870"/>
    </w:p>
    <w:p>
      <w:r>
        <w:t xml:space="preserve">(1) </w:t>
      </w:r>
      <w:r>
        <w:rPr>
          <w:rStyle w:val="Satznummer"/>
        </w:rPr>
        <w:t>1</w:t>
      </w:r>
      <w:r>
        <w:t xml:space="preserve">Auf den Gerichtsvollzieher, von dem die erste Pfändung bewirkt ist, geht der Auftrag des zweiten Gläubigers kraft Gesetzes über, sofern nicht das Vollstreckungsgericht auf Antrag eines beteiligten Gläubigers oder des Schuldners anordnet, dass die Verrichtungen jenes Gerichtsvollziehers von einem anderen zu übernehmen seien. </w:t>
      </w:r>
      <w:r>
        <w:rPr>
          <w:rStyle w:val="Satznummer"/>
        </w:rPr>
        <w:t>2</w:t>
      </w:r>
      <w:r>
        <w:t>Die Versteigerung erfolgt für alle beteiligten Gläubiger.</w:t>
      </w:r>
    </w:p>
    <w:p>
      <w:r>
        <w:t xml:space="preserve">(2) </w:t>
      </w:r>
      <w:r>
        <w:rPr>
          <w:rStyle w:val="Satznummer"/>
        </w:rPr>
        <w:t>1</w:t>
      </w:r>
      <w:r>
        <w:t xml:space="preserve">Ist der Erlös zur Deckung der Forderungen nicht ausreichend und verlangt der Gläubiger, für den die zweite oder eine spätere Pfändung erfolgt ist, ohne Zustimmung der übrigen beteiligten Gläubiger eine andere Verteilung als nach der Reihenfolge der Pfändungen, so hat der Gerichtsvollzieher die Sachlage unter Hinterlegung des Erlöses dem Vollstreckungsgericht anzuzeigen. </w:t>
      </w:r>
      <w:r>
        <w:rPr>
          <w:rStyle w:val="Satznummer"/>
        </w:rPr>
        <w:t>2</w:t>
      </w:r>
      <w:r>
        <w:t>Dieser Anzeige sind die auf das Verfahren sich beziehenden Dokumente beizufügen.</w:t>
      </w:r>
    </w:p>
    <w:p>
      <w:r>
        <w:t>(3) In gleicher Weise ist zu verfahren, wenn die Pfändung für mehrere Gläubiger gleichzeitig bewirkt ist.</w:t>
      </w:r>
    </w:p>
    <w:p>
      <w:pPr>
        <w:pStyle w:val="Heading4"/>
      </w:pPr>
      <w:bookmarkStart w:id="871" w:name="b870"/>
      <w:r>
        <w:t>Untertitel 3 Zwangsvollstreckung in Forderungen und andere Vermögensrechte</w:t>
      </w:r>
      <w:bookmarkEnd w:id="871"/>
    </w:p>
    <w:p>
      <w:pPr>
        <w:pStyle w:val="Heading5"/>
      </w:pPr>
      <w:bookmarkStart w:id="872" w:name="b871"/>
      <w:r>
        <w:t>§ 828 Zuständigkeit des Vollstreckungsgerichts</w:t>
      </w:r>
      <w:r>
        <w:t xml:space="preserve"> </w:t>
      </w:r>
      <w:r>
        <w:rPr>
          <w:rStyle w:val="Suchmarke"/>
        </w:rPr>
        <w:t>#828#</w:t>
      </w:r>
      <w:bookmarkEnd w:id="872"/>
    </w:p>
    <w:p>
      <w:r>
        <w:t>(1) Die gerichtlichen Handlungen, welche die Zwangsvollstreckung in Forderungen und andere Vermögensrechte zum Gegenstand haben, erfolgen durch das Vollstreckungsgericht.</w:t>
      </w:r>
    </w:p>
    <w:p>
      <w:r>
        <w:t xml:space="preserve">(2) Als Vollstreckungsgericht ist das Amtsgericht, bei dem der Schuldner im Inland seinen allgemeinen Gerichtsstand hat, und sonst das Amtsgericht zuständig, bei dem nach </w:t>
      </w:r>
      <w:hyperlink w:anchor="b28" w:history="1">
        <w:r>
          <w:rPr>
            <w:color w:val="0A3A8C"/>
            <w:u w:val="single"/>
          </w:rPr>
          <w:t xml:space="preserve">§ 23</w:t>
        </w:r>
      </w:hyperlink>
      <w:r>
        <w:t xml:space="preserve"> gegen den Schuldner Klage erhoben werden kann.</w:t>
      </w:r>
    </w:p>
    <w:p>
      <w:r>
        <w:t xml:space="preserve">(3) </w:t>
      </w:r>
      <w:r>
        <w:rPr>
          <w:rStyle w:val="Satznummer"/>
        </w:rPr>
        <w:t>1</w:t>
      </w:r>
      <w:r>
        <w:t xml:space="preserve">Ist das angegangene Gericht nicht zuständig, gibt es die Sache auf Antrag des Gläubigers an das zuständige Gericht ab. </w:t>
      </w:r>
      <w:r>
        <w:rPr>
          <w:rStyle w:val="Satznummer"/>
        </w:rPr>
        <w:t>2</w:t>
      </w:r>
      <w:r>
        <w:t>Die Abgabe ist nicht bindend.</w:t>
      </w:r>
    </w:p>
    <w:p>
      <w:pPr>
        <w:pStyle w:val="Heading5"/>
      </w:pPr>
      <w:bookmarkStart w:id="873" w:name="b872"/>
      <w:r>
        <w:t>§ 829 Pfändung einer Geldforderung; Verordnungsermächtigung</w:t>
      </w:r>
      <w:r>
        <w:t xml:space="preserve"> </w:t>
      </w:r>
      <w:r>
        <w:rPr>
          <w:rStyle w:val="Suchmarke"/>
        </w:rPr>
        <w:t>#829#</w:t>
      </w:r>
      <w:bookmarkEnd w:id="873"/>
    </w:p>
    <w:p>
      <w:r>
        <w:t xml:space="preserve">(1) </w:t>
      </w:r>
      <w:r>
        <w:rPr>
          <w:rStyle w:val="Satznummer"/>
        </w:rPr>
        <w:t>1</w:t>
      </w:r>
      <w:r>
        <w:t xml:space="preserve">Soll eine Geldforderung gepfändet werden, so hat das Gericht dem Drittschuldner zu verbieten, an den Schuldner zu zahlen. </w:t>
      </w:r>
      <w:r>
        <w:rPr>
          <w:rStyle w:val="Satznummer"/>
        </w:rPr>
        <w:t>2</w:t>
      </w:r>
      <w:r>
        <w:t xml:space="preserve">Zugleich hat das Gericht an den Schuldner das Gebot zu erlassen, sich jeder Verfügung über die Forderung, insbesondere ihrer Einziehung, zu enthalten. </w:t>
      </w:r>
      <w:r>
        <w:rPr>
          <w:rStyle w:val="Satznummer"/>
        </w:rPr>
        <w:t>3</w:t>
      </w:r>
      <w:r>
        <w:t>Die Pfändung mehrerer Geldforderungen gegen verschiedene Drittschuldner soll auf Antrag des Gläubigers durch einheitlichen Beschluss ausgesprochen werden, soweit dies für Zwecke der Vollstreckung geboten erscheint und kein Grund zu der Annahme besteht, dass schutzwürdige Interessen der Drittschuldner entgegenstehen.</w:t>
      </w:r>
    </w:p>
    <w:p>
      <w:r>
        <w:t xml:space="preserve">(2) </w:t>
      </w:r>
      <w:r>
        <w:rPr>
          <w:rStyle w:val="Satznummer"/>
        </w:rPr>
        <w:t>1</w:t>
      </w:r>
      <w:r>
        <w:t xml:space="preserve">Der Gläubiger hat den Beschluss dem Drittschuldner zustellen zu lassen. </w:t>
      </w:r>
      <w:r>
        <w:rPr>
          <w:rStyle w:val="Satznummer"/>
        </w:rPr>
        <w:t>2</w:t>
      </w:r>
      <w:r>
        <w:t xml:space="preserve">Der Gerichtsvollzieher hat dem Schuldner den Beschluss mit dem Zustellungsnachweis sofort zuzustellen, sofern nicht eine öffentliche Zustellung erforderlich ist. </w:t>
      </w:r>
      <w:r>
        <w:rPr>
          <w:rStyle w:val="Satznummer"/>
        </w:rPr>
        <w:t>3</w:t>
      </w:r>
      <w:r>
        <w:t>An Stelle einer an den Schuldner im Ausland zu bewirkenden Zustellung erfolgt die Zustellung durch Aufgabe zur Post, sofern die Zustellung nicht nach unmittelbar anwendbaren Regelungen der Europäischen Union zu bewirken ist.</w:t>
      </w:r>
    </w:p>
    <w:p>
      <w:r>
        <w:t>(3) Mit der Zustellung des Beschlusses an den Drittschuldner ist die Pfändung als bewirkt anzusehen.</w:t>
      </w:r>
    </w:p>
    <w:p>
      <w:r>
        <w:t xml:space="preserve">(4) </w:t>
      </w:r>
      <w:r>
        <w:rPr>
          <w:rStyle w:val="Satznummer"/>
        </w:rPr>
        <w:t>1</w:t>
      </w:r>
      <w:r>
        <w:t xml:space="preserve">Das Bundesministerium der Justiz und für Verbraucherschutz wird ermächtigt, durch Rechtsverordnung mit Zustimmung des Bundesrates Formulare für den Antrag auf Erlass eines Pfändungs- und Überweisungsbeschlusses einzuführen. </w:t>
      </w:r>
      <w:r>
        <w:rPr>
          <w:rStyle w:val="Satznummer"/>
        </w:rPr>
        <w:t>2</w:t>
      </w:r>
      <w:r>
        <w:t xml:space="preserve">Die Rechtsverordnung kann für diese Formulare besondere technische Rahmenbedingungen für die Übermittlung und die Eignung zur Bearbeitung bestimmen. </w:t>
      </w:r>
      <w:r>
        <w:rPr>
          <w:rStyle w:val="Satznummer"/>
        </w:rPr>
        <w:t>3</w:t>
      </w:r>
      <w:r>
        <w:t>Soweit nach Satz 1 Formulare eingeführt sind, muss sich der Antragsteller ihrer bedienen.</w:t>
      </w:r>
    </w:p>
    <w:p>
      <w:pPr>
        <w:pStyle w:val="Heading5"/>
      </w:pPr>
      <w:bookmarkStart w:id="874" w:name="b873"/>
      <w:r>
        <w:t>§ 829a Elektronischer Antrag auf Erlass eines Pfändungs- und Überweisungsbeschlusses</w:t>
      </w:r>
      <w:r>
        <w:t xml:space="preserve"> </w:t>
      </w:r>
      <w:r>
        <w:rPr>
          <w:rStyle w:val="Suchmarke"/>
        </w:rPr>
        <w:t>#829a#</w:t>
      </w:r>
      <w:bookmarkEnd w:id="874"/>
    </w:p>
    <w:p>
      <w:r>
        <w:t xml:space="preserve">(1) </w:t>
      </w:r>
      <w:r>
        <w:rPr>
          <w:rStyle w:val="Satznummer"/>
        </w:rPr>
        <w:t>1</w:t>
      </w:r>
      <w:r>
        <w:t>Sofern bei einem Antrag auf Pfändung einer Geldforderung (</w:t>
      </w:r>
      <w:hyperlink w:anchor="b872" w:history="1">
        <w:r>
          <w:rPr>
            <w:color w:val="0A3A8C"/>
            <w:u w:val="single"/>
          </w:rPr>
          <w:t xml:space="preserve">§ 829</w:t>
        </w:r>
      </w:hyperlink>
      <w:r>
        <w:t>), auf Pfändung und Überweisung einer Geldforderung (</w:t>
      </w:r>
      <w:hyperlink w:anchor="b872" w:history="1">
        <w:r>
          <w:rPr>
            <w:color w:val="0A3A8C"/>
            <w:u w:val="single"/>
          </w:rPr>
          <w:t xml:space="preserve">§§ 829</w:t>
        </w:r>
      </w:hyperlink>
      <w:r>
        <w:t xml:space="preserve">, </w:t>
      </w:r>
      <w:hyperlink w:anchor="b881" w:history="1">
        <w:r>
          <w:rPr>
            <w:color w:val="0A3A8C"/>
            <w:u w:val="single"/>
          </w:rPr>
          <w:t xml:space="preserve">835</w:t>
        </w:r>
      </w:hyperlink>
      <w:r>
        <w:t>) oder auf Überweisung einer Geldforderung (</w:t>
      </w:r>
      <w:hyperlink w:anchor="b881" w:history="1">
        <w:r>
          <w:rPr>
            <w:color w:val="0A3A8C"/>
            <w:u w:val="single"/>
          </w:rPr>
          <w:t xml:space="preserve">§ 835</w:t>
        </w:r>
      </w:hyperlink>
      <w:r>
        <w:t>) die Übergabe oder Vorlage</w:t>
      </w:r>
    </w:p>
    <w:p>
      <w:pPr>
        <w:tabs>
          <w:tab w:pos="567" w:val="left"/>
        </w:tabs>
        <w:ind w:left="567" w:hanging="567"/>
      </w:pPr>
      <w:r>
        <w:t>1.</w:t>
      </w:r>
      <w:r>
        <w:tab/>
      </w:r>
      <w:r>
        <w:t>der Ausfertigung des Vollstreckungstitels,</w:t>
      </w:r>
    </w:p>
    <w:p>
      <w:pPr>
        <w:tabs>
          <w:tab w:pos="567" w:val="left"/>
        </w:tabs>
        <w:ind w:left="567" w:hanging="567"/>
      </w:pPr>
      <w:r>
        <w:t>2.</w:t>
      </w:r>
      <w:r>
        <w:tab/>
      </w:r>
      <w:r>
        <w:t>der Vollstreckungsklausel oder</w:t>
      </w:r>
    </w:p>
    <w:p>
      <w:pPr>
        <w:tabs>
          <w:tab w:pos="567" w:val="left"/>
        </w:tabs>
        <w:ind w:left="567" w:hanging="567"/>
      </w:pPr>
      <w:r>
        <w:t>3.</w:t>
      </w:r>
      <w:r>
        <w:tab/>
      </w:r>
      <w:r>
        <w:t>weiterer Urkunden zum Nachweis der Vollstreckungsvoraussetzungen</w:t>
      </w:r>
    </w:p>
    <w:p>
      <w:r>
        <w:t xml:space="preserve">erforderlich ist, genügt es bei einem elektronischen Vollstreckungsantrag, die Schriftstücke in elektronische Dokumente zu übertragen und diese dem Gericht zu übermitteln. </w:t>
      </w:r>
      <w:r>
        <w:rPr>
          <w:rStyle w:val="Satznummer"/>
        </w:rPr>
        <w:t>2</w:t>
      </w:r>
      <w:hyperlink w:anchor="b166" w:history="1">
        <w:r>
          <w:rPr>
            <w:color w:val="0A3A8C"/>
            <w:u w:val="single"/>
          </w:rPr>
          <w:t xml:space="preserve">§ 130d</w:t>
        </w:r>
      </w:hyperlink>
      <w:r>
        <w:t xml:space="preserve"> Satz 1 ist auf die in Satz 1 Nummer 1 bis 3 genannten Dokumente nicht anzuwenden. </w:t>
      </w:r>
      <w:r>
        <w:rPr>
          <w:rStyle w:val="Satznummer"/>
        </w:rPr>
        <w:t>3</w:t>
      </w:r>
      <w:r>
        <w:t>Sollen Kosten der Zwangsvollstreckung vollstreckt werden, sind dem Vollstreckungsantrag zusätzlich eine nachprüfbare Aufstellung der Kosten und entsprechende Belege als elektronische Dokumente beizufügen.</w:t>
      </w:r>
    </w:p>
    <w:p>
      <w:r>
        <w:t>(2) Kann das Gericht anhand der übermittelten elektronischen Dokumente nicht zweifelsfrei feststellen, dass die Voraussetzungen der Zwangsvollstreckung vorliegen, teilt es dies dem Antragsteller mit und fordert die für die zweifelsfreie Feststellung erforderlichen Dokumente als elektronische Dokumente oder als Schriftstücke an.</w:t>
      </w:r>
    </w:p>
    <w:p>
      <w:r>
        <w:t>(3) Übermittelt der Antragsteller Schriftstücke nach Absatz 1 Satz 1 Nummer 1 bis 3 als elektronische Dokumente, so hat er dem Gericht zu versichern, dass</w:t>
      </w:r>
    </w:p>
    <w:p>
      <w:pPr>
        <w:tabs>
          <w:tab w:pos="567" w:val="left"/>
        </w:tabs>
        <w:ind w:left="567" w:hanging="567"/>
      </w:pPr>
      <w:r>
        <w:t>1.</w:t>
      </w:r>
      <w:r>
        <w:tab/>
      </w:r>
      <w:r>
        <w:t>die übermittelten elektronischen Dokumente jeweils bildlich und inhaltlich mit den Schriftstücken übereinstimmen und</w:t>
      </w:r>
    </w:p>
    <w:p>
      <w:pPr>
        <w:tabs>
          <w:tab w:pos="567" w:val="left"/>
        </w:tabs>
        <w:ind w:left="567" w:hanging="567"/>
      </w:pPr>
      <w:r>
        <w:t>2.</w:t>
      </w:r>
      <w:r>
        <w:tab/>
      </w:r>
      <w:r>
        <w:t>die Forderung in Höhe des Vollstreckungsantrags noch besteht.</w:t>
      </w:r>
    </w:p>
    <w:p>
      <w:r>
        <w:t xml:space="preserve">(4) </w:t>
      </w:r>
      <w:r>
        <w:rPr>
          <w:rStyle w:val="Satznummer"/>
        </w:rPr>
        <w:t>1</w:t>
      </w:r>
      <w:r>
        <w:t>Bestehen die in Absatz 1 Satz 1 Nummer 1 bis 3 genannten Schriftstücke nicht mehr oder treten Änderungen an ihnen auf, nachdem sie als elektronische Dokumente übermittelt worden sind, hat der Antragsteller</w:t>
      </w:r>
    </w:p>
    <w:p>
      <w:pPr>
        <w:tabs>
          <w:tab w:pos="567" w:val="left"/>
        </w:tabs>
        <w:ind w:left="567" w:hanging="567"/>
      </w:pPr>
      <w:r>
        <w:t>1.</w:t>
      </w:r>
      <w:r>
        <w:tab/>
      </w:r>
      <w:r>
        <w:t>das Gericht hierüber unverzüglich zu informieren und</w:t>
      </w:r>
    </w:p>
    <w:p>
      <w:pPr>
        <w:tabs>
          <w:tab w:pos="567" w:val="left"/>
        </w:tabs>
        <w:ind w:left="567" w:hanging="567"/>
      </w:pPr>
      <w:r>
        <w:t>2.</w:t>
      </w:r>
      <w:r>
        <w:tab/>
      </w:r>
      <w:r>
        <w:t>die geänderten Schriftstücke in elektronische Dokumente zu übertragen und diese dem Gericht zu übermitteln.</w:t>
      </w:r>
    </w:p>
    <w:p>
      <w:r>
        <w:rPr>
          <w:rStyle w:val="Satznummer"/>
        </w:rPr>
        <w:t>2</w:t>
      </w:r>
      <w:r>
        <w:t>Das Gericht darf die ursprünglich übermittelten elektronischen Dokumente der Entscheidung über den Vollstreckungsantrag nicht mehr zugrunde legen, nachdem die Information nach Satz 1 Nummer 1 erfolgt ist.</w:t>
      </w:r>
    </w:p>
    <w:p>
      <w:pPr>
        <w:pStyle w:val="Heading5"/>
      </w:pPr>
      <w:bookmarkStart w:id="875" w:name="b874"/>
      <w:r>
        <w:t>§ 830 Pfändung einer Hypothekenforderung</w:t>
      </w:r>
      <w:r>
        <w:t xml:space="preserve"> </w:t>
      </w:r>
      <w:r>
        <w:rPr>
          <w:rStyle w:val="Suchmarke"/>
        </w:rPr>
        <w:t>#830#</w:t>
      </w:r>
      <w:bookmarkEnd w:id="875"/>
    </w:p>
    <w:p>
      <w:r>
        <w:t xml:space="preserve">(1) </w:t>
      </w:r>
      <w:r>
        <w:rPr>
          <w:rStyle w:val="Satznummer"/>
        </w:rPr>
        <w:t>1</w:t>
      </w:r>
      <w:r>
        <w:t xml:space="preserve">Zur Pfändung einer Forderung, für die eine Hypothek besteht, ist außer dem Pfändungsbeschluss die Übergabe des Hypothekenbriefes an den Gläubiger erforderlich. </w:t>
      </w:r>
      <w:r>
        <w:rPr>
          <w:rStyle w:val="Satznummer"/>
        </w:rPr>
        <w:t>2</w:t>
      </w:r>
      <w:r>
        <w:t xml:space="preserve">Wird die Übergabe im Wege der Zwangsvollstreckung erwirkt, so gilt sie als erfolgt, wenn der Gerichtsvollzieher den Brief zum Zwecke der Ablieferung an den Gläubiger wegnimmt. </w:t>
      </w:r>
      <w:r>
        <w:rPr>
          <w:rStyle w:val="Satznummer"/>
        </w:rPr>
        <w:t>3</w:t>
      </w:r>
      <w:r>
        <w:t>Ist die Erteilung des Hypothekenbriefes ausgeschlossen, so ist die Eintragung der Pfändung in das Grundbuch erforderlich; die Eintragung erfolgt auf Grund des Pfändungsbeschlusses.</w:t>
      </w:r>
    </w:p>
    <w:p>
      <w:r>
        <w:t>(2) Wird der Pfändungsbeschluss vor der Übergabe des Hypothekenbriefes oder der Eintragung der Pfändung dem Drittschuldner zugestellt, so gilt die Pfändung diesem gegenüber mit der Zustellung als bewirkt.</w:t>
      </w:r>
    </w:p>
    <w:p>
      <w:r>
        <w:t xml:space="preserve">(3) </w:t>
      </w:r>
      <w:r>
        <w:rPr>
          <w:rStyle w:val="Satznummer"/>
        </w:rPr>
        <w:t>1</w:t>
      </w:r>
      <w:r>
        <w:t xml:space="preserve">Diese Vorschriften sind nicht anzuwenden, soweit es sich um die Pfändung der Ansprüche auf die im § 1159 des Bürgerlichen Gesetzbuchs bezeichneten Leistungen handelt. </w:t>
      </w:r>
      <w:r>
        <w:rPr>
          <w:rStyle w:val="Satznummer"/>
        </w:rPr>
        <w:t>2</w:t>
      </w:r>
      <w:r>
        <w:t>Das Gleiche gilt bei einer Sicherungshypothek im Falle des § 1187 des Bürgerlichen Gesetzbuchs von der Pfändung der Hauptforderung.</w:t>
      </w:r>
    </w:p>
    <w:p>
      <w:pPr>
        <w:pStyle w:val="Heading5"/>
      </w:pPr>
      <w:bookmarkStart w:id="876" w:name="b875"/>
      <w:r>
        <w:t>§ 830a Pfändung einer Schiffshypothekenforderung</w:t>
      </w:r>
      <w:r>
        <w:t xml:space="preserve"> </w:t>
      </w:r>
      <w:r>
        <w:rPr>
          <w:rStyle w:val="Suchmarke"/>
        </w:rPr>
        <w:t>#830a#</w:t>
      </w:r>
      <w:bookmarkEnd w:id="876"/>
    </w:p>
    <w:p>
      <w:r>
        <w:t>(1) Zur Pfändung einer Forderung, für die eine Schiffshypothek besteht, ist die Eintragung der Pfändung in das Schiffsregister oder in das Schiffsbauregister erforderlich; die Eintragung erfolgt auf Grund des Pfändungsbeschlusses.</w:t>
      </w:r>
    </w:p>
    <w:p>
      <w:r>
        <w:t>(2) Wird der Pfändungsbeschluss vor der Eintragung der Pfändung dem Drittschuldner zugestellt, so gilt die Pfändung diesem gegenüber mit der Zustellung als bewirkt.</w:t>
      </w:r>
    </w:p>
    <w:p>
      <w:r>
        <w:t xml:space="preserve">(3) </w:t>
      </w:r>
      <w:r>
        <w:rPr>
          <w:rStyle w:val="Satznummer"/>
        </w:rPr>
        <w:t>1</w:t>
      </w:r>
      <w:r>
        <w:t xml:space="preserve">Diese Vorschriften sind nicht anzuwenden, soweit es sich um die Pfändung der Ansprüche auf die im § 53 des Gesetzes über Rechte an eingetragenen Schiffen und Schiffsbauwerken vom 15. November 1940 (RGBl. I S. 1499) bezeichneten Leistungen handelt. </w:t>
      </w:r>
      <w:r>
        <w:rPr>
          <w:rStyle w:val="Satznummer"/>
        </w:rPr>
        <w:t>2</w:t>
      </w:r>
      <w:r>
        <w:t>Das Gleiche gilt, wenn bei einer Schiffshypothek für eine Forderung aus einer Schuldverschreibung auf den Inhaber, aus einem Wechsel oder aus einem anderen durch Indossament übertragbaren Papier die Hauptforderung gepfändet wird.</w:t>
      </w:r>
    </w:p>
    <w:p>
      <w:pPr>
        <w:pStyle w:val="Heading5"/>
      </w:pPr>
      <w:bookmarkStart w:id="877" w:name="b876"/>
      <w:r>
        <w:t>§ 831 Pfändung indossabler Papiere</w:t>
      </w:r>
      <w:r>
        <w:t xml:space="preserve"> </w:t>
      </w:r>
      <w:r>
        <w:rPr>
          <w:rStyle w:val="Suchmarke"/>
        </w:rPr>
        <w:t>#831#</w:t>
      </w:r>
      <w:bookmarkEnd w:id="877"/>
    </w:p>
    <w:p>
      <w:r>
        <w:t>Die Pfändung von Forderungen aus Wechseln und anderen Papieren, die durch Indossament übertragen werden können, wird dadurch bewirkt, dass der Gerichtsvollzieher diese Papiere in Besitz nimmt.</w:t>
      </w:r>
    </w:p>
    <w:p>
      <w:pPr>
        <w:pStyle w:val="Heading5"/>
      </w:pPr>
      <w:bookmarkStart w:id="878" w:name="b877"/>
      <w:r>
        <w:t>§ 832 Pfändungsumfang bei fortlaufenden Bezügen</w:t>
      </w:r>
      <w:r>
        <w:t xml:space="preserve"> </w:t>
      </w:r>
      <w:r>
        <w:rPr>
          <w:rStyle w:val="Suchmarke"/>
        </w:rPr>
        <w:t>#832#</w:t>
      </w:r>
      <w:bookmarkEnd w:id="878"/>
    </w:p>
    <w:p>
      <w:r>
        <w:t>Das Pfandrecht, das durch die Pfändung einer Gehaltsforderung oder einer ähnlichen in fortlaufenden Bezügen bestehenden Forderung erworben wird, erstreckt sich auch auf die nach der Pfändung fällig werdenden Beträge.</w:t>
      </w:r>
    </w:p>
    <w:p>
      <w:pPr>
        <w:pStyle w:val="Heading5"/>
      </w:pPr>
      <w:bookmarkStart w:id="879" w:name="b878"/>
      <w:r>
        <w:t>§ 833 Pfändungsumfang bei Arbeits- und Diensteinkommen</w:t>
      </w:r>
      <w:r>
        <w:t xml:space="preserve"> </w:t>
      </w:r>
      <w:r>
        <w:rPr>
          <w:rStyle w:val="Suchmarke"/>
        </w:rPr>
        <w:t>#833#</w:t>
      </w:r>
      <w:bookmarkEnd w:id="879"/>
    </w:p>
    <w:p>
      <w:r>
        <w:t xml:space="preserve">(1) </w:t>
      </w:r>
      <w:r>
        <w:rPr>
          <w:rStyle w:val="Satznummer"/>
        </w:rPr>
        <w:t>1</w:t>
      </w:r>
      <w:r>
        <w:t xml:space="preserve">Durch die Pfändung eines Diensteinkommens wird auch das Einkommen betroffen, das der Schuldner infolge der Versetzung in ein anderes Amt, der Übertragung eines neuen Amtes oder einer Gehaltserhöhung zu beziehen hat. </w:t>
      </w:r>
      <w:r>
        <w:rPr>
          <w:rStyle w:val="Satznummer"/>
        </w:rPr>
        <w:t>2</w:t>
      </w:r>
      <w:r>
        <w:t>Diese Vorschrift ist auf den Fall der Änderung des Dienstherrn nicht anzuwenden.</w:t>
      </w:r>
    </w:p>
    <w:p>
      <w:r>
        <w:t>(2) Endet das Arbeits- oder Dienstverhältnis und begründen Schuldner und Drittschuldner innerhalb von neun Monaten ein solches neu, so erstreckt sich die Pfändung auf die Forderung aus dem neuen Arbeits- oder Dienstverhältnis.</w:t>
      </w:r>
    </w:p>
    <w:p>
      <w:pPr>
        <w:pStyle w:val="Heading5"/>
      </w:pPr>
      <w:bookmarkStart w:id="880" w:name="b879"/>
      <w:r>
        <w:t>§ 833a Pfändungsumfang bei Kontoguthaben</w:t>
      </w:r>
      <w:r>
        <w:t xml:space="preserve"> </w:t>
      </w:r>
      <w:r>
        <w:rPr>
          <w:rStyle w:val="Suchmarke"/>
        </w:rPr>
        <w:t>#833a#</w:t>
      </w:r>
      <w:bookmarkEnd w:id="880"/>
    </w:p>
    <w:p>
      <w:r>
        <w:t>Die Pfändung des Guthabens eines Kontos bei einem Kreditinstitut umfasst das am Tag der Zustellung des Pfändungsbeschlusses bei dem Kreditinstitut bestehende Guthaben sowie die Tagesguthaben der auf die Pfändung folgenden Tage.</w:t>
      </w:r>
    </w:p>
    <w:p>
      <w:pPr>
        <w:pStyle w:val="Heading5"/>
      </w:pPr>
      <w:bookmarkStart w:id="881" w:name="b880"/>
      <w:r>
        <w:t>§ 834 Keine Anhörung des Schuldners</w:t>
      </w:r>
      <w:r>
        <w:t xml:space="preserve"> </w:t>
      </w:r>
      <w:r>
        <w:rPr>
          <w:rStyle w:val="Suchmarke"/>
        </w:rPr>
        <w:t>#834#</w:t>
      </w:r>
      <w:bookmarkEnd w:id="881"/>
    </w:p>
    <w:p>
      <w:r>
        <w:t>Vor der Pfändung ist der Schuldner über das Pfändungsgesuch nicht zu hören.</w:t>
      </w:r>
    </w:p>
    <w:p>
      <w:pPr>
        <w:pStyle w:val="Heading5"/>
      </w:pPr>
      <w:bookmarkStart w:id="882" w:name="b881"/>
      <w:r>
        <w:t>§ 835 Überweisung einer Geldforderung</w:t>
      </w:r>
      <w:r>
        <w:t xml:space="preserve"> </w:t>
      </w:r>
      <w:r>
        <w:rPr>
          <w:rStyle w:val="Suchmarke"/>
        </w:rPr>
        <w:t>#835#</w:t>
      </w:r>
      <w:bookmarkEnd w:id="882"/>
    </w:p>
    <w:p>
      <w:r>
        <w:t>(1) Die gepfändete Geldforderung ist dem Gläubiger nach seiner Wahl zur Einziehung oder an Zahlungs statt zum Nennwert zu überweisen.</w:t>
      </w:r>
    </w:p>
    <w:p>
      <w:r>
        <w:t>(2) Im letzteren Fall geht die Forderung auf den Gläubiger mit der Wirkung über, dass er, soweit die Forderung besteht, wegen seiner Forderung an den Schuldner als befriedigt anzusehen ist.</w:t>
      </w:r>
    </w:p>
    <w:p>
      <w:r>
        <w:t xml:space="preserve">(3) </w:t>
      </w:r>
      <w:r>
        <w:rPr>
          <w:rStyle w:val="Satznummer"/>
        </w:rPr>
        <w:t>1</w:t>
      </w:r>
      <w:r>
        <w:t xml:space="preserve">Die Vorschriften des </w:t>
      </w:r>
      <w:hyperlink w:anchor="b872" w:history="1">
        <w:r>
          <w:rPr>
            <w:color w:val="0A3A8C"/>
            <w:u w:val="single"/>
          </w:rPr>
          <w:t xml:space="preserve">§ 829</w:t>
        </w:r>
      </w:hyperlink>
      <w:r>
        <w:t xml:space="preserve"> Abs. 2, 3 sind auf die Überweisung entsprechend anzuwenden. </w:t>
      </w:r>
      <w:r>
        <w:rPr>
          <w:rStyle w:val="Satznummer"/>
        </w:rPr>
        <w:t>2</w:t>
      </w:r>
      <w:r>
        <w:t>Wird ein bei einem Kreditinstitut gepfändetes Guthaben eines Schuldners, der eine natürliche Person ist, dem Gläubiger überwiesen, so darf erst einen Monat nach der Zustellung des Überweisungsbeschlusses an den Drittschuldner aus dem Guthaben an den Gläubiger geleistet oder der Betrag hinterlegt werden; ist künftiges Guthaben gepfändet worden, ordnet das Vollstreckungsgericht auf Antrag zusätzlich an, dass erst einen Monat nach der Gutschrift von eingehenden Zahlungen an den Gläubiger geleistet oder der Betrag hinterlegt werden darf.</w:t>
      </w:r>
    </w:p>
    <w:p>
      <w:r>
        <w:t>(4) Wenn nicht wiederkehrend zahlbare Vergütungen eines Schuldners, der eine natürliche Person ist, für persönlich geleistete Arbeiten oder Dienste oder sonstige Einkünfte, die kein Arbeitseinkommen sind, dem Gläubiger überwiesen werden, so darf der Drittschuldner erst einen Monat nach der Zustellung des Überweisungsbeschlusses an den Gläubiger leisten oder den Betrag hinterlegen.</w:t>
      </w:r>
    </w:p>
    <w:p>
      <w:pPr>
        <w:pStyle w:val="Heading5"/>
      </w:pPr>
      <w:bookmarkStart w:id="883" w:name="b882"/>
      <w:r>
        <w:t>§ 836 Wirkung der Überweisung</w:t>
      </w:r>
      <w:r>
        <w:t xml:space="preserve"> </w:t>
      </w:r>
      <w:r>
        <w:rPr>
          <w:rStyle w:val="Suchmarke"/>
        </w:rPr>
        <w:t>#836#</w:t>
      </w:r>
      <w:bookmarkEnd w:id="883"/>
    </w:p>
    <w:p>
      <w:r>
        <w:t>(1) Die Überweisung ersetzt die förmlichen Erklärungen des Schuldners, von denen nach den Vorschriften des bürgerlichen Rechts die Berechtigung zur Einziehung der Forderung abhängig ist.</w:t>
      </w:r>
    </w:p>
    <w:p>
      <w:r>
        <w:t>(2) Der Überweisungsbeschluss gilt, auch wenn er mit Unrecht erlassen ist, zugunsten des Drittschuldners dem Schuldner gegenüber so lange als rechtsbeständig, bis er aufgehoben wird und die Aufhebung zur Kenntnis des Drittschuldners gelangt.</w:t>
      </w:r>
    </w:p>
    <w:p>
      <w:r>
        <w:t xml:space="preserve">(3) </w:t>
      </w:r>
      <w:r>
        <w:rPr>
          <w:rStyle w:val="Satznummer"/>
        </w:rPr>
        <w:t>1</w:t>
      </w:r>
      <w:r>
        <w:t xml:space="preserve">Der Schuldner ist verpflichtet, dem Gläubiger die zur Geltendmachung der Forderung nötige Auskunft zu erteilen und ihm die über die Forderung vorhandenen Urkunden herauszugeben. </w:t>
      </w:r>
      <w:r>
        <w:rPr>
          <w:rStyle w:val="Satznummer"/>
        </w:rPr>
        <w:t>2</w:t>
      </w:r>
      <w:r>
        <w:t xml:space="preserve">Erteilt der Schuldner die Auskunft nicht, so ist er auf Antrag des Gläubigers verpflichtet, sie zu Protokoll zu geben und seine Angaben an Eides statt zu versichern. </w:t>
      </w:r>
      <w:r>
        <w:rPr>
          <w:rStyle w:val="Satznummer"/>
        </w:rPr>
        <w:t>3</w:t>
      </w:r>
      <w:r>
        <w:t xml:space="preserve">Der gemäß </w:t>
      </w:r>
      <w:hyperlink w:anchor="b826" w:history="1">
        <w:r>
          <w:rPr>
            <w:color w:val="0A3A8C"/>
            <w:u w:val="single"/>
          </w:rPr>
          <w:t xml:space="preserve">§ 802e</w:t>
        </w:r>
      </w:hyperlink>
      <w:r>
        <w:t xml:space="preserve"> zuständige Gerichtsvollzieher lädt den Schuldner zur Abgabe der Auskunft und eidesstattlichen Versicherung. </w:t>
      </w:r>
      <w:r>
        <w:rPr>
          <w:rStyle w:val="Satznummer"/>
        </w:rPr>
        <w:t>4</w:t>
      </w:r>
      <w:r>
        <w:t xml:space="preserve">Die Vorschriften des </w:t>
      </w:r>
      <w:hyperlink w:anchor="b827" w:history="1">
        <w:r>
          <w:rPr>
            <w:color w:val="0A3A8C"/>
            <w:u w:val="single"/>
          </w:rPr>
          <w:t xml:space="preserve">§ 802f</w:t>
        </w:r>
      </w:hyperlink>
      <w:r>
        <w:t xml:space="preserve"> Absatz 6 und der </w:t>
      </w:r>
      <w:hyperlink w:anchor="b828" w:history="1">
        <w:r>
          <w:rPr>
            <w:color w:val="0A3A8C"/>
            <w:u w:val="single"/>
          </w:rPr>
          <w:t xml:space="preserve">§§ 802g</w:t>
        </w:r>
      </w:hyperlink>
      <w:r>
        <w:t xml:space="preserve"> bis </w:t>
      </w:r>
      <w:hyperlink w:anchor="b830" w:history="1">
        <w:r>
          <w:rPr>
            <w:color w:val="0A3A8C"/>
            <w:u w:val="single"/>
          </w:rPr>
          <w:t xml:space="preserve">802i</w:t>
        </w:r>
      </w:hyperlink>
      <w:r>
        <w:t xml:space="preserve">, </w:t>
      </w:r>
      <w:hyperlink w:anchor="b831" w:history="1">
        <w:r>
          <w:rPr>
            <w:color w:val="0A3A8C"/>
            <w:u w:val="single"/>
          </w:rPr>
          <w:t xml:space="preserve">802j</w:t>
        </w:r>
      </w:hyperlink>
      <w:r>
        <w:t xml:space="preserve"> Abs. 1 und 2 gelten entsprechend. </w:t>
      </w:r>
      <w:r>
        <w:rPr>
          <w:rStyle w:val="Satznummer"/>
        </w:rPr>
        <w:t>5</w:t>
      </w:r>
      <w:r>
        <w:t>Die Herausgabe der Urkunden kann von dem Gläubiger im Wege der Zwangsvollstreckung erwirkt werden.</w:t>
      </w:r>
    </w:p>
    <w:p>
      <w:pPr>
        <w:pStyle w:val="Heading5"/>
      </w:pPr>
      <w:bookmarkStart w:id="884" w:name="b883"/>
      <w:r>
        <w:t>§ 837 Überweisung einer Hypothekenforderung</w:t>
      </w:r>
      <w:r>
        <w:t xml:space="preserve"> </w:t>
      </w:r>
      <w:r>
        <w:rPr>
          <w:rStyle w:val="Suchmarke"/>
        </w:rPr>
        <w:t>#837#</w:t>
      </w:r>
      <w:bookmarkEnd w:id="884"/>
    </w:p>
    <w:p>
      <w:r>
        <w:t xml:space="preserve">(1) </w:t>
      </w:r>
      <w:r>
        <w:rPr>
          <w:rStyle w:val="Satznummer"/>
        </w:rPr>
        <w:t>1</w:t>
      </w:r>
      <w:r>
        <w:t xml:space="preserve">Zur Überweisung einer gepfändeten Forderung, für die eine Hypothek besteht, genügt die Aushändigung des Überweisungsbeschlusses an den Gläubiger. </w:t>
      </w:r>
      <w:r>
        <w:rPr>
          <w:rStyle w:val="Satznummer"/>
        </w:rPr>
        <w:t>2</w:t>
      </w:r>
      <w:r>
        <w:t>Ist die Erteilung des Hypothekenbriefes ausgeschlossen, so ist zur Überweisung an Zahlungs statt die Eintragung der Überweisung in das Grundbuch erforderlich; die Eintragung erfolgt auf Grund des Überweisungsbeschlusses.</w:t>
      </w:r>
    </w:p>
    <w:p>
      <w:r>
        <w:t xml:space="preserve">(2) </w:t>
      </w:r>
      <w:r>
        <w:rPr>
          <w:rStyle w:val="Satznummer"/>
        </w:rPr>
        <w:t>1</w:t>
      </w:r>
      <w:r>
        <w:t xml:space="preserve">Diese Vorschriften sind nicht anzuwenden, soweit es sich um die Überweisung der Ansprüche auf die im § 1159 des Bürgerlichen Gesetzbuchs bezeichneten Leistungen handelt. </w:t>
      </w:r>
      <w:r>
        <w:rPr>
          <w:rStyle w:val="Satznummer"/>
        </w:rPr>
        <w:t>2</w:t>
      </w:r>
      <w:r>
        <w:t>Das Gleiche gilt bei einer Sicherungshypothek im Falle des § 1187 des Bürgerlichen Gesetzbuchs von der Überweisung der Hauptforderung.</w:t>
      </w:r>
    </w:p>
    <w:p>
      <w:r>
        <w:t>(3) Bei einer Sicherungshypothek der im § 1190 des Bürgerlichen Gesetzbuchs bezeichneten Art kann die Hauptforderung nach den allgemeinen Vorschriften gepfändet und überwiesen werden, wenn der Gläubiger die Überweisung der Forderung ohne die Hypothek an Zahlungs statt beantragt.</w:t>
      </w:r>
    </w:p>
    <w:p>
      <w:pPr>
        <w:pStyle w:val="Heading5"/>
      </w:pPr>
      <w:bookmarkStart w:id="885" w:name="b884"/>
      <w:r>
        <w:t>§ 837a Überweisung einer Schiffshypothekenforderung</w:t>
      </w:r>
      <w:r>
        <w:t xml:space="preserve"> </w:t>
      </w:r>
      <w:r>
        <w:rPr>
          <w:rStyle w:val="Suchmarke"/>
        </w:rPr>
        <w:t>#837a#</w:t>
      </w:r>
      <w:bookmarkEnd w:id="885"/>
    </w:p>
    <w:p>
      <w:r>
        <w:t xml:space="preserve">(1) </w:t>
      </w:r>
      <w:r>
        <w:rPr>
          <w:rStyle w:val="Satznummer"/>
        </w:rPr>
        <w:t>1</w:t>
      </w:r>
      <w:r>
        <w:t xml:space="preserve">Zur Überweisung einer gepfändeten Forderung, für die eine Schiffshypothek besteht, genügt, wenn die Forderung zur Einziehung überwiesen wird, die Aushändigung des Überweisungsbeschlusses an den Gläubiger. </w:t>
      </w:r>
      <w:r>
        <w:rPr>
          <w:rStyle w:val="Satznummer"/>
        </w:rPr>
        <w:t>2</w:t>
      </w:r>
      <w:r>
        <w:t>Zur Überweisung an Zahlungs statt ist die Eintragung der Überweisung in das Schiffsregister oder in das Schiffsbauregister erforderlich; die Eintragung erfolgt auf Grund des Überweisungsbeschlusses.</w:t>
      </w:r>
    </w:p>
    <w:p>
      <w:r>
        <w:t xml:space="preserve">(2) </w:t>
      </w:r>
      <w:r>
        <w:rPr>
          <w:rStyle w:val="Satznummer"/>
        </w:rPr>
        <w:t>1</w:t>
      </w:r>
      <w:r>
        <w:t xml:space="preserve">Diese Vorschriften sind nicht anzuwenden, soweit es sich um die Überweisung der Ansprüche auf die im § 53 des Gesetzes über Rechte an eingetragenen Schiffen und Schiffsbauwerken vom 15. November 1940 (RGBl. I S. 1499) bezeichneten Leistungen handelt. </w:t>
      </w:r>
      <w:r>
        <w:rPr>
          <w:rStyle w:val="Satznummer"/>
        </w:rPr>
        <w:t>2</w:t>
      </w:r>
      <w:r>
        <w:t>Das Gleiche gilt, wenn bei einer Schiffshypothek für eine Forderung aus einer Schuldverschreibung auf den Inhaber, aus einem Wechsel oder aus einem anderen durch Indossament übertragbaren Papier die Hauptforderung überwiesen wird.</w:t>
      </w:r>
    </w:p>
    <w:p>
      <w:r>
        <w:t xml:space="preserve">(3) Bei einer Schiffshypothek für einen Höchstbetrag (§ 75 des im Absatz 2 genannten Gesetzes) gilt </w:t>
      </w:r>
      <w:hyperlink w:anchor="b883" w:history="1">
        <w:r>
          <w:rPr>
            <w:color w:val="0A3A8C"/>
            <w:u w:val="single"/>
          </w:rPr>
          <w:t xml:space="preserve">§ 837</w:t>
        </w:r>
      </w:hyperlink>
      <w:r>
        <w:t xml:space="preserve"> Abs. 3 entsprechend.</w:t>
      </w:r>
    </w:p>
    <w:p>
      <w:pPr>
        <w:pStyle w:val="Heading5"/>
      </w:pPr>
      <w:bookmarkStart w:id="886" w:name="b885"/>
      <w:r>
        <w:t>§ 838 Einrede des Schuldners bei Faustpfand</w:t>
      </w:r>
      <w:r>
        <w:t xml:space="preserve"> </w:t>
      </w:r>
      <w:r>
        <w:rPr>
          <w:rStyle w:val="Suchmarke"/>
        </w:rPr>
        <w:t>#838#</w:t>
      </w:r>
      <w:bookmarkEnd w:id="886"/>
    </w:p>
    <w:p>
      <w:r>
        <w:t>Wird eine durch ein Pfandrecht an einer beweglichen Sache gesicherte Forderung überwiesen, so kann der Schuldner die Herausgabe des Pfandes an den Gläubiger verweigern, bis ihm Sicherheit für die Haftung geleistet wird, die für ihn aus einer Verletzung der dem Gläubiger dem Verpfänder gegenüber obliegenden Verpflichtungen entstehen kann.</w:t>
      </w:r>
    </w:p>
    <w:p>
      <w:pPr>
        <w:pStyle w:val="Heading5"/>
      </w:pPr>
      <w:bookmarkStart w:id="887" w:name="b886"/>
      <w:r>
        <w:t>§ 839 Überweisung bei Abwendungsbefugnis</w:t>
      </w:r>
      <w:r>
        <w:t xml:space="preserve"> </w:t>
      </w:r>
      <w:r>
        <w:rPr>
          <w:rStyle w:val="Suchmarke"/>
        </w:rPr>
        <w:t>#839#</w:t>
      </w:r>
      <w:bookmarkEnd w:id="887"/>
    </w:p>
    <w:p>
      <w:r>
        <w:t xml:space="preserve">Darf der Schuldner nach </w:t>
      </w:r>
      <w:hyperlink w:anchor="b709" w:history="1">
        <w:r>
          <w:rPr>
            <w:color w:val="0A3A8C"/>
            <w:u w:val="single"/>
          </w:rPr>
          <w:t xml:space="preserve">§ 711</w:t>
        </w:r>
      </w:hyperlink>
      <w:r>
        <w:t xml:space="preserve"> Satz 1, </w:t>
      </w:r>
      <w:hyperlink w:anchor="b710" w:history="1">
        <w:r>
          <w:rPr>
            <w:color w:val="0A3A8C"/>
            <w:u w:val="single"/>
          </w:rPr>
          <w:t xml:space="preserve">§ 712</w:t>
        </w:r>
      </w:hyperlink>
      <w:r>
        <w:t xml:space="preserve"> Abs. 1 Satz 1 die Vollstreckung durch Sicherheitsleistung oder Hinterlegung abwenden, so findet die Überweisung gepfändeter Geldforderungen nur zur Einziehung und nur mit der Wirkung statt, dass der Drittschuldner den Schuldbetrag zu hinterlegen hat.</w:t>
      </w:r>
    </w:p>
    <w:p>
      <w:pPr>
        <w:pStyle w:val="Heading5"/>
      </w:pPr>
      <w:bookmarkStart w:id="888" w:name="b887"/>
      <w:r>
        <w:t>§ 840 Erklärungspflicht des Drittschuldners</w:t>
      </w:r>
      <w:r>
        <w:t xml:space="preserve"> </w:t>
      </w:r>
      <w:r>
        <w:rPr>
          <w:rStyle w:val="Suchmarke"/>
        </w:rPr>
        <w:t>#840#</w:t>
      </w:r>
      <w:bookmarkEnd w:id="888"/>
    </w:p>
    <w:p>
      <w:r>
        <w:t>(1) Auf Verlangen des Gläubigers hat der Drittschuldner binnen zwei Wochen, von der Zustellung des Pfändungsbeschlusses an gerechnet, dem Gläubiger zu erklären:</w:t>
      </w:r>
    </w:p>
    <w:p>
      <w:pPr>
        <w:tabs>
          <w:tab w:pos="567" w:val="left"/>
        </w:tabs>
        <w:ind w:left="567" w:hanging="567"/>
      </w:pPr>
      <w:r>
        <w:t>1.</w:t>
      </w:r>
      <w:r>
        <w:tab/>
      </w:r>
      <w:r>
        <w:t>ob und inwieweit er die Forderung als begründet anerkenne und Zahlung zu leisten bereit sei;</w:t>
      </w:r>
    </w:p>
    <w:p>
      <w:pPr>
        <w:tabs>
          <w:tab w:pos="567" w:val="left"/>
        </w:tabs>
        <w:ind w:left="567" w:hanging="567"/>
      </w:pPr>
      <w:r>
        <w:t>2.</w:t>
      </w:r>
      <w:r>
        <w:tab/>
      </w:r>
      <w:r>
        <w:t>ob und welche Ansprüche andere Personen an die Forderung machen;</w:t>
      </w:r>
    </w:p>
    <w:p>
      <w:pPr>
        <w:tabs>
          <w:tab w:pos="567" w:val="left"/>
        </w:tabs>
        <w:ind w:left="567" w:hanging="567"/>
      </w:pPr>
      <w:r>
        <w:t>3.</w:t>
      </w:r>
      <w:r>
        <w:tab/>
      </w:r>
      <w:r>
        <w:t>ob und wegen welcher Ansprüche die Forderung bereits für andere Gläubiger gepfändet sei;</w:t>
      </w:r>
    </w:p>
    <w:p>
      <w:pPr>
        <w:tabs>
          <w:tab w:pos="567" w:val="left"/>
        </w:tabs>
        <w:ind w:left="567" w:hanging="567"/>
      </w:pPr>
      <w:r>
        <w:t>4.</w:t>
      </w:r>
      <w:r>
        <w:tab/>
      </w:r>
      <w:r>
        <w:t xml:space="preserve">ob innerhalb der letzten zwölf Monate im Hinblick auf das Konto, dessen Guthaben gepfändet worden ist, nach </w:t>
      </w:r>
      <w:hyperlink w:anchor="b988" w:history="1">
        <w:r>
          <w:rPr>
            <w:color w:val="0A3A8C"/>
            <w:u w:val="single"/>
          </w:rPr>
          <w:t xml:space="preserve">§ 907</w:t>
        </w:r>
      </w:hyperlink>
      <w:r>
        <w:t xml:space="preserve"> die Unpfändbarkeit des Guthabens festgesetzt worden ist, und</w:t>
      </w:r>
    </w:p>
    <w:p>
      <w:pPr>
        <w:tabs>
          <w:tab w:pos="567" w:val="left"/>
        </w:tabs>
        <w:ind w:left="567" w:hanging="567"/>
      </w:pPr>
      <w:r>
        <w:t>5.</w:t>
      </w:r>
      <w:r>
        <w:tab/>
      </w:r>
      <w:r>
        <w:t xml:space="preserve">ob es sich bei dem Konto, dessen Guthaben gepfändet worden ist, um ein Pfändungsschutzkonto im Sinne des </w:t>
      </w:r>
      <w:hyperlink w:anchor="b908" w:history="1">
        <w:r>
          <w:rPr>
            <w:color w:val="0A3A8C"/>
            <w:u w:val="single"/>
          </w:rPr>
          <w:t xml:space="preserve">§ 850k</w:t>
        </w:r>
      </w:hyperlink>
      <w:r>
        <w:t xml:space="preserve"> oder ein Gemeinschaftskonto im Sinne des </w:t>
      </w:r>
      <w:hyperlink w:anchor="b909" w:history="1">
        <w:r>
          <w:rPr>
            <w:color w:val="0A3A8C"/>
            <w:u w:val="single"/>
          </w:rPr>
          <w:t xml:space="preserve">§ 850l</w:t>
        </w:r>
      </w:hyperlink>
      <w:r>
        <w:t xml:space="preserve"> handelt; bei einem Gemeinschaftskonto ist zugleich anzugeben, ob der Schuldner nur gemeinsam mit einer oder mehreren anderen Personen verfügungsbefugt ist.</w:t>
      </w:r>
    </w:p>
    <w:p>
      <w:r>
        <w:t xml:space="preserve">(2) </w:t>
      </w:r>
      <w:r>
        <w:rPr>
          <w:rStyle w:val="Satznummer"/>
        </w:rPr>
        <w:t>1</w:t>
      </w:r>
      <w:r>
        <w:t xml:space="preserve">Die Aufforderung zur Abgabe dieser Erklärungen muss zusammen mit dem Pfändungsbeschluss übermittelt werden. </w:t>
      </w:r>
      <w:r>
        <w:rPr>
          <w:rStyle w:val="Satznummer"/>
        </w:rPr>
        <w:t>2</w:t>
      </w:r>
      <w:r>
        <w:t>Der Drittschuldner haftet dem Gläubiger für den aus der Nichterfüllung seiner Verpflichtung entstehenden Schaden.</w:t>
      </w:r>
    </w:p>
    <w:p>
      <w:r>
        <w:t xml:space="preserve">(3) </w:t>
      </w:r>
      <w:r>
        <w:rPr>
          <w:rStyle w:val="Satznummer"/>
        </w:rPr>
        <w:t>1</w:t>
      </w:r>
      <w:r>
        <w:t xml:space="preserve">Die Erklärungen des Drittschuldners können innerhalb der in Absatz 1 bestimmten Frist auch gegenüber dem Gerichtsvollzieher abgegeben werden. </w:t>
      </w:r>
      <w:r>
        <w:rPr>
          <w:rStyle w:val="Satznummer"/>
        </w:rPr>
        <w:t>2</w:t>
      </w:r>
      <w:r>
        <w:t xml:space="preserve">Werden die Erklärungen bei einer Zustellung des Pfändungsbeschlusses nach </w:t>
      </w:r>
      <w:hyperlink w:anchor="b235" w:history="1">
        <w:r>
          <w:rPr>
            <w:color w:val="0A3A8C"/>
            <w:u w:val="single"/>
          </w:rPr>
          <w:t xml:space="preserve">§ 193</w:t>
        </w:r>
      </w:hyperlink>
      <w:r>
        <w:t xml:space="preserve"> abgegeben, so sind sie in die Zustellungsurkunde aufzunehmen und von dem Drittschuldner zu unterschreiben.</w:t>
      </w:r>
    </w:p>
    <w:p>
      <w:pPr>
        <w:pStyle w:val="Heading5"/>
      </w:pPr>
      <w:bookmarkStart w:id="889" w:name="b888"/>
      <w:r>
        <w:t>§ 841 Pflicht zur Streitverkündung</w:t>
      </w:r>
      <w:r>
        <w:t xml:space="preserve"> </w:t>
      </w:r>
      <w:r>
        <w:rPr>
          <w:rStyle w:val="Suchmarke"/>
        </w:rPr>
        <w:t>#841#</w:t>
      </w:r>
      <w:bookmarkEnd w:id="889"/>
    </w:p>
    <w:p>
      <w:r>
        <w:t>Der Gläubiger, der die Forderung einklagt, ist verpflichtet, dem Schuldner gerichtlich den Streit zu verkünden, sofern nicht eine Zustellung im Ausland oder eine öffentliche Zustellung erforderlich wird.</w:t>
      </w:r>
    </w:p>
    <w:p>
      <w:pPr>
        <w:pStyle w:val="Heading5"/>
      </w:pPr>
      <w:bookmarkStart w:id="890" w:name="b889"/>
      <w:r>
        <w:t>§ 842 Schadenersatz bei verzögerter Beitreibung</w:t>
      </w:r>
      <w:r>
        <w:t xml:space="preserve"> </w:t>
      </w:r>
      <w:r>
        <w:rPr>
          <w:rStyle w:val="Suchmarke"/>
        </w:rPr>
        <w:t>#842#</w:t>
      </w:r>
      <w:bookmarkEnd w:id="890"/>
    </w:p>
    <w:p>
      <w:r>
        <w:t>Der Gläubiger, der die Beitreibung einer ihm zur Einziehung überwiesenen Forderung verzögert, haftet dem Schuldner für den daraus entstehenden Schaden.</w:t>
      </w:r>
    </w:p>
    <w:p>
      <w:pPr>
        <w:pStyle w:val="Heading5"/>
      </w:pPr>
      <w:bookmarkStart w:id="891" w:name="b890"/>
      <w:r>
        <w:t>§ 843 Verzicht des Pfandgläubigers</w:t>
      </w:r>
      <w:r>
        <w:t xml:space="preserve"> </w:t>
      </w:r>
      <w:r>
        <w:rPr>
          <w:rStyle w:val="Suchmarke"/>
        </w:rPr>
        <w:t>#843#</w:t>
      </w:r>
      <w:bookmarkEnd w:id="891"/>
    </w:p>
    <w:p>
      <w:r>
        <w:rPr>
          <w:rStyle w:val="Satznummer"/>
        </w:rPr>
        <w:t>1</w:t>
      </w:r>
      <w:r>
        <w:t xml:space="preserve">Der Gläubiger kann auf die durch Pfändung und Überweisung zur Einziehung erworbenen Rechte unbeschadet seines Anspruchs verzichten. </w:t>
      </w:r>
      <w:r>
        <w:rPr>
          <w:rStyle w:val="Satznummer"/>
        </w:rPr>
        <w:t>2</w:t>
      </w:r>
      <w:r>
        <w:t xml:space="preserve">Die Verzichtleistung erfolgt durch eine dem Schuldner zuzustellende Erklärung. </w:t>
      </w:r>
      <w:r>
        <w:rPr>
          <w:rStyle w:val="Satznummer"/>
        </w:rPr>
        <w:t>3</w:t>
      </w:r>
      <w:r>
        <w:t>Die Erklärung ist auch dem Drittschuldner zuzustellen.</w:t>
      </w:r>
    </w:p>
    <w:p>
      <w:pPr>
        <w:pStyle w:val="Heading5"/>
      </w:pPr>
      <w:bookmarkStart w:id="892" w:name="b891"/>
      <w:r>
        <w:t>§ 844 Andere Verwertungsart</w:t>
      </w:r>
      <w:r>
        <w:t xml:space="preserve"> </w:t>
      </w:r>
      <w:r>
        <w:rPr>
          <w:rStyle w:val="Suchmarke"/>
        </w:rPr>
        <w:t>#844#</w:t>
      </w:r>
      <w:bookmarkEnd w:id="892"/>
    </w:p>
    <w:p>
      <w:r>
        <w:t>(1) Ist die gepfändete Forderung bedingt oder betagt oder ist ihre Einziehung wegen der Abhängigkeit von einer Gegenleistung oder aus anderen Gründen mit Schwierigkeiten verbunden, so kann das Gericht auf Antrag an Stelle der Überweisung eine andere Art der Verwertung anordnen.</w:t>
      </w:r>
    </w:p>
    <w:p>
      <w:r>
        <w:t>(2) Vor dem Beschluss, durch welchen dem Antrag stattgegeben wird, ist der Gegner zu hören, sofern nicht eine Zustellung im Ausland oder eine öffentliche Zustellung erforderlich wird.</w:t>
      </w:r>
    </w:p>
    <w:p>
      <w:pPr>
        <w:pStyle w:val="Heading5"/>
      </w:pPr>
      <w:bookmarkStart w:id="893" w:name="b892"/>
      <w:r>
        <w:t>§ 845 Vorpfändung</w:t>
      </w:r>
      <w:r>
        <w:t xml:space="preserve"> </w:t>
      </w:r>
      <w:r>
        <w:rPr>
          <w:rStyle w:val="Suchmarke"/>
        </w:rPr>
        <w:t>#845#</w:t>
      </w:r>
      <w:bookmarkEnd w:id="893"/>
    </w:p>
    <w:p>
      <w:r>
        <w:t xml:space="preserve">(1) </w:t>
      </w:r>
      <w:r>
        <w:rPr>
          <w:rStyle w:val="Satznummer"/>
        </w:rPr>
        <w:t>1</w:t>
      </w:r>
      <w:r>
        <w:t xml:space="preserve">Schon vor der Pfändung kann der Gläubiger auf Grund eines vollstreckbaren Schuldtitels durch den Gerichtsvollzieher dem Drittschuldner und dem Schuldner die Benachrichtigung, dass die Pfändung bevorstehe, zustellen lassen mit der Aufforderung an den Drittschuldner, nicht an den Schuldner zu zahlen, und mit der Aufforderung an den Schuldner, sich jeder Verfügung über die Forderung, insbesondere ihrer Einziehung, zu enthalten. </w:t>
      </w:r>
      <w:r>
        <w:rPr>
          <w:rStyle w:val="Satznummer"/>
        </w:rPr>
        <w:t>2</w:t>
      </w:r>
      <w:r>
        <w:t xml:space="preserve">Der Gerichtsvollzieher hat die Benachrichtigung mit den Aufforderungen selbst anzufertigen, wenn er von dem Gläubiger hierzu ausdrücklich beauftragt worden ist. </w:t>
      </w:r>
      <w:r>
        <w:rPr>
          <w:rStyle w:val="Satznummer"/>
        </w:rPr>
        <w:t>3</w:t>
      </w:r>
      <w:r>
        <w:t>An Stelle einer an den Schuldner im Ausland zu bewirkenden Zustellung erfolgt die Zustellung durch Aufgabe zur Post, sofern die Zustellung nicht nach unmittelbar anwendbaren Regelungen der Europäischen Union zu bewirken ist.</w:t>
      </w:r>
    </w:p>
    <w:p>
      <w:r>
        <w:t xml:space="preserve">(2) </w:t>
      </w:r>
      <w:r>
        <w:rPr>
          <w:rStyle w:val="Satznummer"/>
        </w:rPr>
        <w:t>1</w:t>
      </w:r>
      <w:r>
        <w:t>Die Benachrichtigung an den Drittschuldner hat die Wirkung eines Arrestes (</w:t>
      </w:r>
      <w:hyperlink w:anchor="b1008" w:history="1">
        <w:r>
          <w:rPr>
            <w:color w:val="0A3A8C"/>
            <w:u w:val="single"/>
          </w:rPr>
          <w:t xml:space="preserve">§ 930</w:t>
        </w:r>
      </w:hyperlink>
      <w:r>
        <w:t xml:space="preserve">), sofern die Pfändung der Forderung innerhalb eines Monats bewirkt wird. </w:t>
      </w:r>
      <w:r>
        <w:rPr>
          <w:rStyle w:val="Satznummer"/>
        </w:rPr>
        <w:t>2</w:t>
      </w:r>
      <w:r>
        <w:t>Die Frist beginnt mit dem Tag, an dem die Benachrichtigung zugestellt ist.</w:t>
      </w:r>
    </w:p>
    <w:p>
      <w:pPr>
        <w:pStyle w:val="Heading5"/>
      </w:pPr>
      <w:bookmarkStart w:id="894" w:name="b893"/>
      <w:r>
        <w:t>§ 846 Zwangsvollstreckung in Herausgabeansprüche</w:t>
      </w:r>
      <w:r>
        <w:t xml:space="preserve"> </w:t>
      </w:r>
      <w:r>
        <w:rPr>
          <w:rStyle w:val="Suchmarke"/>
        </w:rPr>
        <w:t>#846#</w:t>
      </w:r>
      <w:bookmarkEnd w:id="894"/>
    </w:p>
    <w:p>
      <w:r>
        <w:t xml:space="preserve">Die Zwangsvollstreckung in Ansprüche, welche die Herausgabe oder Leistung körperlicher Sachen zum Gegenstand haben, erfolgt nach den </w:t>
      </w:r>
      <w:hyperlink w:anchor="b872" w:history="1">
        <w:r>
          <w:rPr>
            <w:color w:val="0A3A8C"/>
            <w:u w:val="single"/>
          </w:rPr>
          <w:t xml:space="preserve">§§ 829</w:t>
        </w:r>
      </w:hyperlink>
      <w:r>
        <w:t xml:space="preserve"> bis </w:t>
      </w:r>
      <w:hyperlink w:anchor="b892" w:history="1">
        <w:r>
          <w:rPr>
            <w:color w:val="0A3A8C"/>
            <w:u w:val="single"/>
          </w:rPr>
          <w:t xml:space="preserve">845</w:t>
        </w:r>
      </w:hyperlink>
      <w:r>
        <w:t xml:space="preserve"> unter Berücksichtigung der nachstehenden Vorschriften.</w:t>
      </w:r>
    </w:p>
    <w:p>
      <w:pPr>
        <w:pStyle w:val="Heading5"/>
      </w:pPr>
      <w:bookmarkStart w:id="895" w:name="b894"/>
      <w:r>
        <w:t>§ 847 Herausgabeanspruch auf eine bewegliche Sache</w:t>
      </w:r>
      <w:r>
        <w:t xml:space="preserve"> </w:t>
      </w:r>
      <w:r>
        <w:rPr>
          <w:rStyle w:val="Suchmarke"/>
        </w:rPr>
        <w:t>#847#</w:t>
      </w:r>
      <w:bookmarkEnd w:id="895"/>
    </w:p>
    <w:p>
      <w:r>
        <w:t>(1) Bei der Pfändung eines Anspruchs, der eine bewegliche körperliche Sache betrifft, ist anzuordnen, dass die Sache an einen vom Gläubiger zu beauftragenden Gerichtsvollzieher herauszugeben sei.</w:t>
      </w:r>
    </w:p>
    <w:p>
      <w:r>
        <w:t>(2) Auf die Verwertung der Sache sind die Vorschriften über die Verwertung gepfändeter Sachen anzuwenden.</w:t>
      </w:r>
    </w:p>
    <w:p>
      <w:pPr>
        <w:pStyle w:val="Heading5"/>
      </w:pPr>
      <w:bookmarkStart w:id="896" w:name="b895"/>
      <w:r>
        <w:t>§ 847a Herausgabeanspruch auf ein Schiff</w:t>
      </w:r>
      <w:r>
        <w:t xml:space="preserve"> </w:t>
      </w:r>
      <w:r>
        <w:rPr>
          <w:rStyle w:val="Suchmarke"/>
        </w:rPr>
        <w:t>#847a#</w:t>
      </w:r>
      <w:bookmarkEnd w:id="896"/>
    </w:p>
    <w:p>
      <w:r>
        <w:t>(1) Bei der Pfändung eines Anspruchs, der ein eingetragenes Schiff betrifft, ist anzuordnen, dass das Schiff an einen vom Vollstreckungsgericht zu bestellenden Treuhänder herauszugeben ist.</w:t>
      </w:r>
    </w:p>
    <w:p>
      <w:r>
        <w:t xml:space="preserve">(2) </w:t>
      </w:r>
      <w:r>
        <w:rPr>
          <w:rStyle w:val="Satznummer"/>
        </w:rPr>
        <w:t>1</w:t>
      </w:r>
      <w:r>
        <w:t xml:space="preserve">Ist der Anspruch auf Übertragung des Eigentums gerichtet, so vertritt der Treuhänder den Schuldner bei der Übertragung des Eigentums. </w:t>
      </w:r>
      <w:r>
        <w:rPr>
          <w:rStyle w:val="Satznummer"/>
        </w:rPr>
        <w:t>2</w:t>
      </w:r>
      <w:r>
        <w:t xml:space="preserve">Mit dem Übergang des Eigentums auf den Schuldner erlangt der Gläubiger eine Schiffshypothek für seine Forderung. </w:t>
      </w:r>
      <w:r>
        <w:rPr>
          <w:rStyle w:val="Satznummer"/>
        </w:rPr>
        <w:t>3</w:t>
      </w:r>
      <w:r>
        <w:t>Der Treuhänder hat die Eintragung der Schiffshypothek in das Schiffsregister zu bewilligen.</w:t>
      </w:r>
    </w:p>
    <w:p>
      <w:r>
        <w:t>(3) Die Zwangsvollstreckung in das Schiff wird nach den für die Zwangsvollstreckung in unbewegliche Sachen geltenden Vorschriften bewirkt.</w:t>
      </w:r>
    </w:p>
    <w:p>
      <w:r>
        <w:t>(4) Die vorstehenden Vorschriften gelten entsprechend, wenn der Anspruch ein Schiffsbauwerk betrifft, das im Schiffsbauregister eingetragen ist oder in dieses Register eingetragen werden kann.</w:t>
      </w:r>
    </w:p>
    <w:p>
      <w:pPr>
        <w:pStyle w:val="Heading5"/>
      </w:pPr>
      <w:bookmarkStart w:id="897" w:name="b896"/>
      <w:r>
        <w:t>§ 848 Herausgabeanspruch auf eine unbewegliche Sache</w:t>
      </w:r>
      <w:r>
        <w:t xml:space="preserve"> </w:t>
      </w:r>
      <w:r>
        <w:rPr>
          <w:rStyle w:val="Suchmarke"/>
        </w:rPr>
        <w:t>#848#</w:t>
      </w:r>
      <w:bookmarkEnd w:id="897"/>
    </w:p>
    <w:p>
      <w:r>
        <w:t>(1) Bei Pfändung eines Anspruchs, der eine unbewegliche Sache betrifft, ist anzuordnen, dass die Sache an einen auf Antrag des Gläubigers vom Amtsgericht der belegenen Sache zu bestellenden Sequester herauszugeben sei.</w:t>
      </w:r>
    </w:p>
    <w:p>
      <w:r>
        <w:t xml:space="preserve">(2) </w:t>
      </w:r>
      <w:r>
        <w:rPr>
          <w:rStyle w:val="Satznummer"/>
        </w:rPr>
        <w:t>1</w:t>
      </w:r>
      <w:r>
        <w:t xml:space="preserve">Ist der Anspruch auf Übertragung des Eigentums gerichtet, so hat die Auflassung an den Sequester als Vertreter des Schuldners zu erfolgen. </w:t>
      </w:r>
      <w:r>
        <w:rPr>
          <w:rStyle w:val="Satznummer"/>
        </w:rPr>
        <w:t>2</w:t>
      </w:r>
      <w:r>
        <w:t xml:space="preserve">Mit dem Übergang des Eigentums auf den Schuldner erlangt der Gläubiger eine Sicherungshypothek für seine Forderung. </w:t>
      </w:r>
      <w:r>
        <w:rPr>
          <w:rStyle w:val="Satznummer"/>
        </w:rPr>
        <w:t>3</w:t>
      </w:r>
      <w:r>
        <w:t>Der Sequester hat die Eintragung der Sicherungshypothek zu bewilligen.</w:t>
      </w:r>
    </w:p>
    <w:p>
      <w:r>
        <w:t>(3) Die Zwangsvollstreckung in die herausgegebene Sache wird nach den für die Zwangsvollstreckung in unbewegliche Sachen geltenden Vorschriften bewirkt.</w:t>
      </w:r>
    </w:p>
    <w:p>
      <w:pPr>
        <w:pStyle w:val="Heading5"/>
      </w:pPr>
      <w:bookmarkStart w:id="898" w:name="b897"/>
      <w:r>
        <w:t>§ 849 Keine Überweisung an Zahlungs statt</w:t>
      </w:r>
      <w:r>
        <w:t xml:space="preserve"> </w:t>
      </w:r>
      <w:r>
        <w:rPr>
          <w:rStyle w:val="Suchmarke"/>
        </w:rPr>
        <w:t>#849#</w:t>
      </w:r>
      <w:bookmarkEnd w:id="898"/>
    </w:p>
    <w:p>
      <w:r>
        <w:t xml:space="preserve">Eine Überweisung der im </w:t>
      </w:r>
      <w:hyperlink w:anchor="b893" w:history="1">
        <w:r>
          <w:rPr>
            <w:color w:val="0A3A8C"/>
            <w:u w:val="single"/>
          </w:rPr>
          <w:t xml:space="preserve">§ 846</w:t>
        </w:r>
      </w:hyperlink>
      <w:r>
        <w:t xml:space="preserve"> bezeichneten Ansprüche an Zahlungs statt ist unzulässig.</w:t>
      </w:r>
    </w:p>
    <w:p>
      <w:pPr>
        <w:pStyle w:val="Heading5"/>
      </w:pPr>
      <w:bookmarkStart w:id="899" w:name="b898"/>
      <w:r>
        <w:t>§ 850 Pfändungsschutz für Arbeitseinkommen</w:t>
      </w:r>
      <w:r>
        <w:t xml:space="preserve"> </w:t>
      </w:r>
      <w:r>
        <w:rPr>
          <w:rStyle w:val="Suchmarke"/>
        </w:rPr>
        <w:t>#850#</w:t>
      </w:r>
      <w:bookmarkEnd w:id="899"/>
    </w:p>
    <w:p>
      <w:r>
        <w:t xml:space="preserve">(1) Arbeitseinkommen, das in Geld zahlbar ist, kann nur nach Maßgabe der </w:t>
      </w:r>
      <w:hyperlink w:anchor="b899" w:history="1">
        <w:r>
          <w:rPr>
            <w:color w:val="0A3A8C"/>
            <w:u w:val="single"/>
          </w:rPr>
          <w:t xml:space="preserve">§§ 850a</w:t>
        </w:r>
      </w:hyperlink>
      <w:r>
        <w:t xml:space="preserve"> bis </w:t>
      </w:r>
      <w:hyperlink w:anchor="b907" w:history="1">
        <w:r>
          <w:rPr>
            <w:color w:val="0A3A8C"/>
            <w:u w:val="single"/>
          </w:rPr>
          <w:t xml:space="preserve">850i</w:t>
        </w:r>
      </w:hyperlink>
      <w:r>
        <w:t xml:space="preserve"> gepfändet werden.</w:t>
      </w:r>
    </w:p>
    <w:p>
      <w:r>
        <w:t>(2) Arbeitseinkommen im Sinne dieser Vorschrift sind die Dienst- und Versorgungsbezüge der Beamten, Arbeits- und Dienstlöhne, Ruhegelder und ähnliche nach dem einstweiligen oder dauernden Ausscheiden aus dem Dienst- oder Arbeitsverhältnis gewährte fortlaufende Einkünfte, ferner Hinterbliebenenbezüge sowie sonstige Vergütungen für Dienstleistungen aller Art, die die Erwerbstätigkeit des Schuldners vollständig oder zu einem wesentlichen Teil in Anspruch nehmen.</w:t>
      </w:r>
    </w:p>
    <w:p>
      <w:r>
        <w:t>(3) Arbeitseinkommen sind auch die folgenden Bezüge, soweit sie in Geld zahlbar sind:</w:t>
      </w:r>
    </w:p>
    <w:p>
      <w:pPr>
        <w:tabs>
          <w:tab w:pos="567" w:val="left"/>
        </w:tabs>
        <w:ind w:left="567" w:hanging="567"/>
      </w:pPr>
      <w:r>
        <w:t>a)</w:t>
      </w:r>
      <w:r>
        <w:tab/>
      </w:r>
      <w:r>
        <w:t>Bezüge, die ein Arbeitnehmer zum Ausgleich für Wettbewerbsbeschränkungen für die Zeit nach Beendigung seines Dienstverhältnisses beanspruchen kann;</w:t>
      </w:r>
    </w:p>
    <w:p>
      <w:pPr>
        <w:tabs>
          <w:tab w:pos="567" w:val="left"/>
        </w:tabs>
        <w:ind w:left="567" w:hanging="567"/>
      </w:pPr>
      <w:r>
        <w:t>b)</w:t>
      </w:r>
      <w:r>
        <w:tab/>
      </w:r>
      <w:r>
        <w:t>Renten, die auf Grund von Versicherungsverträgen gewährt werden, wenn diese Verträge zur Versorgung des Versicherungsnehmers oder seiner unterhaltsberechtigten Angehörigen eingegangen sind.</w:t>
      </w:r>
    </w:p>
    <w:p>
      <w:r>
        <w:t>(4) Die Pfändung des in Geld zahlbaren Arbeitseinkommens erfasst alle Vergütungen, die dem Schuldner aus der Arbeits- oder Dienstleistung zustehen, ohne Rücksicht auf ihre Benennung oder Berechnungsart.</w:t>
      </w:r>
    </w:p>
    <w:p>
      <w:pPr>
        <w:pStyle w:val="Heading5"/>
      </w:pPr>
      <w:bookmarkStart w:id="900" w:name="b899"/>
      <w:r>
        <w:t>§ 850a Unpfändbare Bezüge</w:t>
      </w:r>
      <w:r>
        <w:t xml:space="preserve"> </w:t>
      </w:r>
      <w:r>
        <w:rPr>
          <w:rStyle w:val="Suchmarke"/>
        </w:rPr>
        <w:t>#850a#</w:t>
      </w:r>
      <w:bookmarkEnd w:id="900"/>
    </w:p>
    <w:p>
      <w:r>
        <w:t>Unpfändbar sind</w:t>
      </w:r>
    </w:p>
    <w:p>
      <w:pPr>
        <w:tabs>
          <w:tab w:pos="567" w:val="left"/>
        </w:tabs>
        <w:ind w:left="567" w:hanging="567"/>
      </w:pPr>
      <w:r>
        <w:t>1.</w:t>
      </w:r>
      <w:r>
        <w:tab/>
      </w:r>
      <w:r>
        <w:t>zur Hälfte die für die Leistung von Mehrarbeitsstunden gezahlten Teile des Arbeitseinkommens;</w:t>
      </w:r>
    </w:p>
    <w:p>
      <w:pPr>
        <w:tabs>
          <w:tab w:pos="567" w:val="left"/>
        </w:tabs>
        <w:ind w:left="567" w:hanging="567"/>
      </w:pPr>
      <w:r>
        <w:t>2.</w:t>
      </w:r>
      <w:r>
        <w:tab/>
      </w:r>
      <w:r>
        <w:t>die für die Dauer eines Urlaubs über das Arbeitseinkommen hinaus gewährten Bezüge, Zuwendungen aus Anlass eines besonderen Betriebsereignisses und Treugelder, soweit sie den Rahmen des Üblichen nicht übersteigen;</w:t>
      </w:r>
    </w:p>
    <w:p>
      <w:pPr>
        <w:tabs>
          <w:tab w:pos="567" w:val="left"/>
        </w:tabs>
        <w:ind w:left="567" w:hanging="567"/>
      </w:pPr>
      <w:r>
        <w:t>3.</w:t>
      </w:r>
      <w:r>
        <w:tab/>
      </w:r>
      <w:r>
        <w:t>Aufwandsentschädigungen, Auslösungsgelder und sonstige soziale Zulagen für auswärtige Beschäftigungen, das Entgelt für selbstgestelltes Arbeitsmaterial, Gefahrenzulagen sowie Schmutz- und Erschwerniszulagen, soweit diese Bezüge den Rahmen des Üblichen nicht übersteigen;</w:t>
      </w:r>
    </w:p>
    <w:p>
      <w:pPr>
        <w:tabs>
          <w:tab w:pos="567" w:val="left"/>
        </w:tabs>
        <w:ind w:left="567" w:hanging="567"/>
      </w:pPr>
      <w:r>
        <w:t>4.</w:t>
      </w:r>
      <w:r>
        <w:tab/>
      </w:r>
      <w:r>
        <w:t xml:space="preserve">Weihnachtsvergütungen bis zu der Hälfte des Betrages, dessen Höhe sich nach Aufrundung des monatlichen Freibetrages nach </w:t>
      </w:r>
      <w:hyperlink w:anchor="b901" w:history="1">
        <w:r>
          <w:rPr>
            <w:color w:val="0A3A8C"/>
            <w:u w:val="single"/>
          </w:rPr>
          <w:t xml:space="preserve">§ 850c</w:t>
        </w:r>
      </w:hyperlink>
      <w:r>
        <w:t xml:space="preserve"> Absatz 1 in Verbindung mit Absatz 4 auf den nächsten vollen 10-Euro-Betrag ergibt;</w:t>
      </w:r>
    </w:p>
    <w:p>
      <w:pPr>
        <w:tabs>
          <w:tab w:pos="567" w:val="left"/>
        </w:tabs>
        <w:ind w:left="567" w:hanging="567"/>
      </w:pPr>
      <w:r>
        <w:t>5.</w:t>
      </w:r>
      <w:r>
        <w:tab/>
      </w:r>
      <w:r>
        <w:t>Geburtsbeihilfen sowie Beihilfen aus Anlass der Eingehung einer Ehe oder Begründung einer Lebenspartnerschaft, sofern die Vollstreckung wegen anderer als der aus Anlass der Geburt, der Eingehung einer Ehe oder der Begründung einer Lebenspartnerschaft entstandenen Ansprüche betrieben wird;</w:t>
      </w:r>
    </w:p>
    <w:p>
      <w:pPr>
        <w:tabs>
          <w:tab w:pos="567" w:val="left"/>
        </w:tabs>
        <w:ind w:left="567" w:hanging="567"/>
      </w:pPr>
      <w:r>
        <w:t>6.</w:t>
      </w:r>
      <w:r>
        <w:tab/>
      </w:r>
      <w:r>
        <w:t>Erziehungsgelder, Studienbeihilfen und ähnliche Bezüge;</w:t>
      </w:r>
    </w:p>
    <w:p>
      <w:pPr>
        <w:tabs>
          <w:tab w:pos="567" w:val="left"/>
        </w:tabs>
        <w:ind w:left="567" w:hanging="567"/>
      </w:pPr>
      <w:r>
        <w:t>7.</w:t>
      </w:r>
      <w:r>
        <w:tab/>
      </w:r>
      <w:r>
        <w:t>Sterbe- und Gnadenbezüge aus Arbeits- oder Dienstverhältnissen;</w:t>
      </w:r>
    </w:p>
    <w:p>
      <w:pPr>
        <w:tabs>
          <w:tab w:pos="567" w:val="left"/>
        </w:tabs>
        <w:ind w:left="567" w:hanging="567"/>
      </w:pPr>
      <w:r>
        <w:t>8.</w:t>
      </w:r>
      <w:r>
        <w:tab/>
      </w:r>
      <w:r>
        <w:t>Blindenzulagen.</w:t>
      </w:r>
    </w:p>
    <w:p>
      <w:pPr>
        <w:pStyle w:val="Heading5"/>
      </w:pPr>
      <w:bookmarkStart w:id="901" w:name="b900"/>
      <w:r>
        <w:t>§ 850b Bedingt pfändbare Bezüge</w:t>
      </w:r>
      <w:r>
        <w:t xml:space="preserve"> </w:t>
      </w:r>
      <w:r>
        <w:rPr>
          <w:rStyle w:val="Suchmarke"/>
        </w:rPr>
        <w:t>#850b#</w:t>
      </w:r>
      <w:bookmarkEnd w:id="901"/>
    </w:p>
    <w:p>
      <w:r>
        <w:t>(1) Unpfändbar sind ferner</w:t>
      </w:r>
    </w:p>
    <w:p>
      <w:pPr>
        <w:tabs>
          <w:tab w:pos="567" w:val="left"/>
        </w:tabs>
        <w:ind w:left="567" w:hanging="567"/>
      </w:pPr>
      <w:r>
        <w:t>1.</w:t>
      </w:r>
      <w:r>
        <w:tab/>
      </w:r>
      <w:r>
        <w:t>Renten, die wegen einer Verletzung des Körpers oder der Gesundheit zu entrichten sind;</w:t>
      </w:r>
    </w:p>
    <w:p>
      <w:pPr>
        <w:tabs>
          <w:tab w:pos="567" w:val="left"/>
        </w:tabs>
        <w:ind w:left="567" w:hanging="567"/>
      </w:pPr>
      <w:r>
        <w:t>2.</w:t>
      </w:r>
      <w:r>
        <w:tab/>
      </w:r>
      <w:r>
        <w:t>Unterhaltsrenten, die auf gesetzlicher Vorschrift beruhen, sowie die wegen Entziehung einer solchen Forderung zu entrichtenden Renten;</w:t>
      </w:r>
    </w:p>
    <w:p>
      <w:pPr>
        <w:tabs>
          <w:tab w:pos="567" w:val="left"/>
        </w:tabs>
        <w:ind w:left="567" w:hanging="567"/>
      </w:pPr>
      <w:r>
        <w:t>3.</w:t>
      </w:r>
      <w:r>
        <w:tab/>
      </w:r>
      <w:r>
        <w:t>fortlaufende Einkünfte, die ein Schuldner aus Stiftungen oder sonst auf Grund der Fürsorge und Freigebigkeit eines Dritten oder auf Grund eines Altenteils oder Auszugsvertrags bezieht;</w:t>
      </w:r>
    </w:p>
    <w:p>
      <w:pPr>
        <w:tabs>
          <w:tab w:pos="567" w:val="left"/>
        </w:tabs>
        <w:ind w:left="567" w:hanging="567"/>
      </w:pPr>
      <w:r>
        <w:t>4.</w:t>
      </w:r>
      <w:r>
        <w:tab/>
      </w:r>
      <w:r>
        <w:t>Bezüge aus Witwen-, Waisen-, Hilfs- und Krankenkassen, die ausschließlich oder zu einem wesentlichen Teil zu Unterstützungszwecken gewährt werden, ferner Ansprüche aus Lebensversicherungen, die nur auf den Todesfall des Versicherungsnehmers abgeschlossen sind, wenn die Versicherungssumme 5 400 Euro nicht übersteigt.</w:t>
      </w:r>
    </w:p>
    <w:p>
      <w:r>
        <w:t>(2) Diese Bezüge können nach den für Arbeitseinkommen geltenden Vorschriften gepfändet werden, wenn die Vollstreckung in das sonstige bewegliche Vermögen des Schuldners zu einer vollständigen Befriedigung des Gläubigers nicht geführt hat oder voraussichtlich nicht führen wird und wenn nach den Umständen des Falles, insbesondere nach der Art des beizutreibenden Anspruchs und der Höhe der Bezüge, die Pfändung der Billigkeit entspricht.</w:t>
      </w:r>
    </w:p>
    <w:p>
      <w:r>
        <w:t>(3) Das Vollstreckungsgericht soll vor seiner Entscheidung die Beteiligten hören.</w:t>
      </w:r>
    </w:p>
    <w:p>
      <w:pPr>
        <w:pStyle w:val="Heading5"/>
      </w:pPr>
      <w:bookmarkStart w:id="902" w:name="b901"/>
      <w:r>
        <w:t>§ 850c Pfändungsgrenzen für Arbeitseinkommen</w:t>
      </w:r>
      <w:r>
        <w:t xml:space="preserve"> </w:t>
      </w:r>
      <w:r>
        <w:rPr>
          <w:rStyle w:val="Suchmarke"/>
        </w:rPr>
        <w:t>#850c#</w:t>
      </w:r>
      <w:bookmarkEnd w:id="902"/>
    </w:p>
    <w:p>
      <w:r>
        <w:t>(1) Arbeitseinkommen ist unpfändbar, wenn es, je nach dem Zeitraum, für den es gezahlt wird, nicht mehr als</w:t>
      </w:r>
    </w:p>
    <w:p>
      <w:pPr>
        <w:tabs>
          <w:tab w:pos="567" w:val="left"/>
        </w:tabs>
        <w:ind w:left="567" w:hanging="567"/>
      </w:pPr>
      <w:r>
        <w:t>1.</w:t>
      </w:r>
      <w:r>
        <w:tab/>
      </w:r>
      <w:r>
        <w:t>1 178,59 Euro monatlich,</w:t>
      </w:r>
    </w:p>
    <w:p>
      <w:pPr>
        <w:tabs>
          <w:tab w:pos="567" w:val="left"/>
        </w:tabs>
        <w:ind w:left="567" w:hanging="567"/>
      </w:pPr>
      <w:r>
        <w:t>2.</w:t>
      </w:r>
      <w:r>
        <w:tab/>
      </w:r>
      <w:r>
        <w:t>271,24 Euro wöchentlich oder</w:t>
      </w:r>
    </w:p>
    <w:p>
      <w:pPr>
        <w:tabs>
          <w:tab w:pos="567" w:val="left"/>
        </w:tabs>
        <w:ind w:left="567" w:hanging="567"/>
      </w:pPr>
      <w:r>
        <w:t>3.</w:t>
      </w:r>
      <w:r>
        <w:tab/>
      </w:r>
      <w:r>
        <w:t>54,25 Euro täglich</w:t>
      </w:r>
    </w:p>
    <w:p>
      <w:r>
        <w:t>beträgt.</w:t>
      </w:r>
    </w:p>
    <w:p>
      <w:r>
        <w:t xml:space="preserve">(2) </w:t>
      </w:r>
      <w:r>
        <w:rPr>
          <w:rStyle w:val="Satznummer"/>
        </w:rPr>
        <w:t>1</w:t>
      </w:r>
      <w:r>
        <w:t>Gewährt der Schuldner auf Grund einer gesetzlichen Verpflichtung seinem Ehegatten, einem früheren Ehegatten, seinem Lebenspartner, einem früheren Lebenspartner, einem Verwandten oder nach den §§ 1615l und 1615n des Bürgerlichen Gesetzbuchs einem Elternteil Unterhalt, so erhöht sich der Betrag nach Absatz 1 für die erste Person, der Unterhalt gewährt wird, und zwar um</w:t>
      </w:r>
    </w:p>
    <w:p>
      <w:pPr>
        <w:tabs>
          <w:tab w:pos="567" w:val="left"/>
        </w:tabs>
        <w:ind w:left="567" w:hanging="567"/>
      </w:pPr>
      <w:r>
        <w:t>1.</w:t>
      </w:r>
      <w:r>
        <w:tab/>
      </w:r>
      <w:r>
        <w:t>443,57 Euro monatlich,</w:t>
      </w:r>
    </w:p>
    <w:p>
      <w:pPr>
        <w:tabs>
          <w:tab w:pos="567" w:val="left"/>
        </w:tabs>
        <w:ind w:left="567" w:hanging="567"/>
      </w:pPr>
      <w:r>
        <w:t>2.</w:t>
      </w:r>
      <w:r>
        <w:tab/>
      </w:r>
      <w:r>
        <w:t>102,08 Euro wöchentlich oder</w:t>
      </w:r>
    </w:p>
    <w:p>
      <w:pPr>
        <w:tabs>
          <w:tab w:pos="567" w:val="left"/>
        </w:tabs>
        <w:ind w:left="567" w:hanging="567"/>
      </w:pPr>
      <w:r>
        <w:t>3.</w:t>
      </w:r>
      <w:r>
        <w:tab/>
      </w:r>
      <w:r>
        <w:t>20,42 Euro täglich.</w:t>
      </w:r>
    </w:p>
    <w:p>
      <w:r>
        <w:rPr>
          <w:rStyle w:val="Satznummer"/>
        </w:rPr>
        <w:t>2</w:t>
      </w:r>
      <w:r>
        <w:t>Für die zweite bis fünfte Person, der Unterhalt gewährt wird, erhöht sich der Betrag nach Absatz 1 um je</w:t>
      </w:r>
    </w:p>
    <w:p>
      <w:pPr>
        <w:tabs>
          <w:tab w:pos="567" w:val="left"/>
        </w:tabs>
        <w:ind w:left="567" w:hanging="567"/>
      </w:pPr>
      <w:r>
        <w:t>1.</w:t>
      </w:r>
      <w:r>
        <w:tab/>
      </w:r>
      <w:r>
        <w:t>247,12 Euro monatlich,</w:t>
      </w:r>
    </w:p>
    <w:p>
      <w:pPr>
        <w:tabs>
          <w:tab w:pos="567" w:val="left"/>
        </w:tabs>
        <w:ind w:left="567" w:hanging="567"/>
      </w:pPr>
      <w:r>
        <w:t>2.</w:t>
      </w:r>
      <w:r>
        <w:tab/>
      </w:r>
      <w:r>
        <w:t>56,87 Euro wöchentlich oder</w:t>
      </w:r>
    </w:p>
    <w:p>
      <w:pPr>
        <w:tabs>
          <w:tab w:pos="567" w:val="left"/>
        </w:tabs>
        <w:ind w:left="567" w:hanging="567"/>
      </w:pPr>
      <w:r>
        <w:t>3.</w:t>
      </w:r>
      <w:r>
        <w:tab/>
      </w:r>
      <w:r>
        <w:t>11,37 Euro täglich.</w:t>
      </w:r>
    </w:p>
    <w:p>
      <w:r>
        <w:t xml:space="preserve">(3) </w:t>
      </w:r>
      <w:r>
        <w:rPr>
          <w:rStyle w:val="Satznummer"/>
        </w:rPr>
        <w:t>1</w:t>
      </w:r>
      <w:r>
        <w:t xml:space="preserve">Übersteigt das Arbeitseinkommen den Betrag nach Absatz 1, so ist es hinsichtlich des überschießenden Teils in Höhe von drei Zehnteln unpfändbar. </w:t>
      </w:r>
      <w:r>
        <w:rPr>
          <w:rStyle w:val="Satznummer"/>
        </w:rPr>
        <w:t>2</w:t>
      </w:r>
      <w:r>
        <w:t xml:space="preserve">Gewährt der Schuldner nach Absatz 2 Unterhalt, so sind für die erste Person weitere zwei Zehntel und für die zweite bis fünfte Person jeweils ein weiteres Zehntel unpfändbar. </w:t>
      </w:r>
      <w:r>
        <w:rPr>
          <w:rStyle w:val="Satznummer"/>
        </w:rPr>
        <w:t>3</w:t>
      </w:r>
      <w:r>
        <w:t>Der Teil des Arbeitseinkommens, der</w:t>
      </w:r>
    </w:p>
    <w:p>
      <w:pPr>
        <w:tabs>
          <w:tab w:pos="567" w:val="left"/>
        </w:tabs>
        <w:ind w:left="567" w:hanging="567"/>
      </w:pPr>
      <w:r>
        <w:t>1.</w:t>
      </w:r>
      <w:r>
        <w:tab/>
      </w:r>
      <w:r>
        <w:t>3 613,08 Euro monatlich,</w:t>
      </w:r>
    </w:p>
    <w:p>
      <w:pPr>
        <w:tabs>
          <w:tab w:pos="567" w:val="left"/>
        </w:tabs>
        <w:ind w:left="567" w:hanging="567"/>
      </w:pPr>
      <w:r>
        <w:t>2.</w:t>
      </w:r>
      <w:r>
        <w:tab/>
      </w:r>
      <w:r>
        <w:t>831,50 Euro wöchentlich oder</w:t>
      </w:r>
    </w:p>
    <w:p>
      <w:pPr>
        <w:tabs>
          <w:tab w:pos="567" w:val="left"/>
        </w:tabs>
        <w:ind w:left="567" w:hanging="567"/>
      </w:pPr>
      <w:r>
        <w:t>3.</w:t>
      </w:r>
      <w:r>
        <w:tab/>
      </w:r>
      <w:r>
        <w:t>166,30 Euro täglich</w:t>
      </w:r>
    </w:p>
    <w:p>
      <w:r>
        <w:t>übersteigt, bleibt bei der Berechnung des unpfändbaren Betrages unberücksichtigt.</w:t>
      </w:r>
    </w:p>
    <w:p>
      <w:r>
        <w:t xml:space="preserve">(4) </w:t>
      </w:r>
      <w:r>
        <w:rPr>
          <w:rStyle w:val="Satznummer"/>
        </w:rPr>
        <w:t>1</w:t>
      </w:r>
      <w:r>
        <w:t>Das Bundesministerium der Justiz und für Verbraucherschutz macht im Bundesgesetzblatt Folgendes bekannt (Pfändungsfreigrenzenbekanntmachung):</w:t>
      </w:r>
    </w:p>
    <w:p>
      <w:pPr>
        <w:tabs>
          <w:tab w:pos="567" w:val="left"/>
        </w:tabs>
        <w:ind w:left="567" w:hanging="567"/>
      </w:pPr>
      <w:r>
        <w:t>1.</w:t>
      </w:r>
      <w:r>
        <w:tab/>
      </w:r>
      <w:r>
        <w:t>die Höhe des unpfändbaren Arbeitseinkommens nach Absatz 1,</w:t>
      </w:r>
    </w:p>
    <w:p>
      <w:pPr>
        <w:tabs>
          <w:tab w:pos="567" w:val="left"/>
        </w:tabs>
        <w:ind w:left="567" w:hanging="567"/>
      </w:pPr>
      <w:r>
        <w:t>2.</w:t>
      </w:r>
      <w:r>
        <w:tab/>
      </w:r>
      <w:r>
        <w:t>die Höhe der Erhöhungsbeträge nach Absatz 2,</w:t>
      </w:r>
    </w:p>
    <w:p>
      <w:pPr>
        <w:tabs>
          <w:tab w:pos="567" w:val="left"/>
        </w:tabs>
        <w:ind w:left="567" w:hanging="567"/>
      </w:pPr>
      <w:r>
        <w:t>3.</w:t>
      </w:r>
      <w:r>
        <w:tab/>
      </w:r>
      <w:r>
        <w:t>die Höhe der in Absatz 3 Satz 3 genannten Höchstbeträge.</w:t>
      </w:r>
    </w:p>
    <w:p>
      <w:r>
        <w:rPr>
          <w:rStyle w:val="Satznummer"/>
        </w:rPr>
        <w:t>2</w:t>
      </w:r>
      <w:r>
        <w:t>Die Beträge werden jeweils zum 1. Juli eines Jahres entsprechend der im Vergleich zum jeweiligen Vorjahreszeitraum sich ergebenden prozentualen Entwicklung des Grundfreibetrages nach § 32a Absatz 1 Satz 2 Nummer 1 des Einkommensteuergesetzes angepasst; der Berechnung ist die am 1. Januar des jeweiligen Jahres geltende Fassung des § 32a Absatz 1 Satz 2 Nummer 1 des Einkommensteuergesetzes zugrunde zu legen.</w:t>
      </w:r>
    </w:p>
    <w:p>
      <w:r>
        <w:t xml:space="preserve">(5) </w:t>
      </w:r>
      <w:r>
        <w:rPr>
          <w:rStyle w:val="Satznummer"/>
        </w:rPr>
        <w:t>1</w:t>
      </w:r>
      <w:r>
        <w:t>Um den nach Absatz 3 pfändbaren Teil des Arbeitseinkommens zu berechnen, ist das Arbeitseinkommen, gegebenenfalls nach Abzug des nach Absatz 3 Satz 3 pfändbaren Betrages, auf eine Zahl abzurunden, die bei einer Auszahlung für</w:t>
      </w:r>
    </w:p>
    <w:p>
      <w:pPr>
        <w:tabs>
          <w:tab w:pos="567" w:val="left"/>
        </w:tabs>
        <w:ind w:left="567" w:hanging="567"/>
      </w:pPr>
      <w:r>
        <w:t>1.</w:t>
      </w:r>
      <w:r>
        <w:tab/>
      </w:r>
      <w:r>
        <w:t>Monate bei einer Teilung durch 10 eine natürliche Zahl ergibt,</w:t>
      </w:r>
    </w:p>
    <w:p>
      <w:pPr>
        <w:tabs>
          <w:tab w:pos="567" w:val="left"/>
        </w:tabs>
        <w:ind w:left="567" w:hanging="567"/>
      </w:pPr>
      <w:r>
        <w:t>2.</w:t>
      </w:r>
      <w:r>
        <w:tab/>
      </w:r>
      <w:r>
        <w:t>Wochen bei einer Teilung durch 2,5 eine natürliche Zahl ergibt,</w:t>
      </w:r>
    </w:p>
    <w:p>
      <w:pPr>
        <w:tabs>
          <w:tab w:pos="567" w:val="left"/>
        </w:tabs>
        <w:ind w:left="567" w:hanging="567"/>
      </w:pPr>
      <w:r>
        <w:t>3.</w:t>
      </w:r>
      <w:r>
        <w:tab/>
      </w:r>
      <w:r>
        <w:t>Tage bei einer Teilung durch 0,5 eine natürliche Zahl ergibt.</w:t>
      </w:r>
    </w:p>
    <w:p>
      <w:r>
        <w:rPr>
          <w:rStyle w:val="Satznummer"/>
        </w:rPr>
        <w:t>2</w:t>
      </w:r>
      <w:r>
        <w:t xml:space="preserve">Die sich aus der Berechnung nach Satz 1 ergebenden Beträge sind in der Pfändungsfreigrenzenbekanntmachung als Tabelle enthalten. </w:t>
      </w:r>
      <w:r>
        <w:rPr>
          <w:rStyle w:val="Satznummer"/>
        </w:rPr>
        <w:t>3</w:t>
      </w:r>
      <w:r>
        <w:t>Im Pfändungsbeschluss genügt die Bezugnahme auf die Tabelle.</w:t>
      </w:r>
    </w:p>
    <w:p>
      <w:r>
        <w:t>(6) Hat eine Person, welcher der Schuldner auf Grund gesetzlicher Verpflichtung Unterhalt gewährt, eigene Einkünfte, so kann das Vollstreckungsgericht auf Antrag des Gläubigers nach billigem Ermessen bestimmen, dass diese Person bei der Berechnung des unpfändbaren Teils des Arbeitseinkommens ganz oder teilweise unberücksichtigt bleibt; soll die Person nur teilweise berücksichtigt werden, so ist Absatz 5 Satz 3 nicht anzuwenden.</w:t>
      </w:r>
    </w:p>
    <w:p>
      <w:pPr>
        <w:pStyle w:val="Heading5"/>
      </w:pPr>
      <w:bookmarkStart w:id="903" w:name="b902"/>
      <w:r>
        <w:t>§ 850d Pfändbarkeit bei Unterhaltsansprüchen</w:t>
      </w:r>
      <w:r>
        <w:t xml:space="preserve"> </w:t>
      </w:r>
      <w:r>
        <w:rPr>
          <w:rStyle w:val="Suchmarke"/>
        </w:rPr>
        <w:t>#850d#</w:t>
      </w:r>
      <w:bookmarkEnd w:id="903"/>
    </w:p>
    <w:p>
      <w:r>
        <w:t xml:space="preserve">(1) </w:t>
      </w:r>
      <w:r>
        <w:rPr>
          <w:rStyle w:val="Satznummer"/>
        </w:rPr>
        <w:t>1</w:t>
      </w:r>
      <w:r>
        <w:t xml:space="preserve">Wegen der Unterhaltsansprüche, die kraft Gesetzes einem Verwandten, dem Ehegatten, einem früheren Ehegatten, dem Lebenspartner, einem früheren Lebenspartner oder nach §§ 1615l, 1615n des Bürgerlichen Gesetzbuchs einem Elternteil zustehen, sind das Arbeitseinkommen und die in </w:t>
      </w:r>
      <w:hyperlink w:anchor="b899" w:history="1">
        <w:r>
          <w:rPr>
            <w:color w:val="0A3A8C"/>
            <w:u w:val="single"/>
          </w:rPr>
          <w:t xml:space="preserve">§ 850a</w:t>
        </w:r>
      </w:hyperlink>
      <w:r>
        <w:t xml:space="preserve"> Nr. 1, 2 und 4 genannten Bezüge ohne die in </w:t>
      </w:r>
      <w:hyperlink w:anchor="b901" w:history="1">
        <w:r>
          <w:rPr>
            <w:color w:val="0A3A8C"/>
            <w:u w:val="single"/>
          </w:rPr>
          <w:t xml:space="preserve">§ 850c</w:t>
        </w:r>
      </w:hyperlink>
      <w:r>
        <w:t xml:space="preserve"> bezeichneten Beschränkungen pfändbar. </w:t>
      </w:r>
      <w:r>
        <w:rPr>
          <w:rStyle w:val="Satznummer"/>
        </w:rPr>
        <w:t>2</w:t>
      </w:r>
      <w:r>
        <w:t xml:space="preserve">Dem Schuldner ist jedoch so viel zu belassen, als er für seinen notwendigen Unterhalt und zur Erfüllung seiner laufenden gesetzlichen Unterhaltspflichten gegenüber den dem Gläubiger vorgehenden Berechtigten oder zur gleichmäßigen Befriedigung der dem Gläubiger gleichstehenden Berechtigten bedarf; von den in </w:t>
      </w:r>
      <w:hyperlink w:anchor="b899" w:history="1">
        <w:r>
          <w:rPr>
            <w:color w:val="0A3A8C"/>
            <w:u w:val="single"/>
          </w:rPr>
          <w:t xml:space="preserve">§ 850a</w:t>
        </w:r>
      </w:hyperlink>
      <w:r>
        <w:t xml:space="preserve"> Nr. 1, 2 und 4 genannten Bezügen hat ihm mindestens die Hälfte des nach </w:t>
      </w:r>
      <w:hyperlink w:anchor="b899" w:history="1">
        <w:r>
          <w:rPr>
            <w:color w:val="0A3A8C"/>
            <w:u w:val="single"/>
          </w:rPr>
          <w:t xml:space="preserve">§ 850a</w:t>
        </w:r>
      </w:hyperlink>
      <w:r>
        <w:t xml:space="preserve"> unpfändbaren Betrages zu verbleiben. </w:t>
      </w:r>
      <w:r>
        <w:rPr>
          <w:rStyle w:val="Satznummer"/>
        </w:rPr>
        <w:t>3</w:t>
      </w:r>
      <w:r>
        <w:t xml:space="preserve">Der dem Schuldner hiernach verbleibende Teil seines Arbeitseinkommens darf den Betrag nicht übersteigen, der ihm nach den Vorschriften des </w:t>
      </w:r>
      <w:hyperlink w:anchor="b901" w:history="1">
        <w:r>
          <w:rPr>
            <w:color w:val="0A3A8C"/>
            <w:u w:val="single"/>
          </w:rPr>
          <w:t xml:space="preserve">§ 850c</w:t>
        </w:r>
      </w:hyperlink>
      <w:r>
        <w:t xml:space="preserve"> gegenüber nicht bevorrechtigten Gläubigern zu verbleiben hätte. </w:t>
      </w:r>
      <w:r>
        <w:rPr>
          <w:rStyle w:val="Satznummer"/>
        </w:rPr>
        <w:t>4</w:t>
      </w:r>
      <w:r>
        <w:t>Für die Pfändung wegen der Rückstände, die länger als ein Jahr vor dem Antrag auf Erlass des Pfändungsbeschlusses fällig geworden sind, gelten die Vorschriften dieses Absatzes insoweit nicht, als nach Lage der Verhältnisse nicht anzunehmen ist, dass der Schuldner sich seiner Zahlungspflicht absichtlich entzogen hat.</w:t>
      </w:r>
    </w:p>
    <w:p>
      <w:r>
        <w:t>(2) Mehrere nach Absatz 1 Berechtigte sind mit ihren Ansprüchen in der Reihenfolge nach § 1609 des Bürgerlichen Gesetzbuchs und § 16 des Lebenspartnerschaftsgesetzes zu berücksichtigen, wobei mehrere gleich nahe Berechtigte untereinander den gleichen Rang haben.</w:t>
      </w:r>
    </w:p>
    <w:p>
      <w:r>
        <w:t>(3) Bei der Vollstreckung wegen der in Absatz 1 bezeichneten Ansprüche sowie wegen der aus Anlass einer Verletzung des Körpers oder der Gesundheit zu zahlenden Renten kann zugleich mit der Pfändung wegen fälliger Ansprüche auch künftig fällig werdendes Arbeitseinkommen wegen der dann jeweils fällig werdenden Ansprüche gepfändet und überwiesen werden.</w:t>
      </w:r>
    </w:p>
    <w:p>
      <w:pPr>
        <w:pStyle w:val="Heading5"/>
      </w:pPr>
      <w:bookmarkStart w:id="904" w:name="b903"/>
      <w:r>
        <w:t>§ 850e Berechnung des pfändbaren Arbeitseinkommens</w:t>
      </w:r>
      <w:r>
        <w:t xml:space="preserve"> </w:t>
      </w:r>
      <w:r>
        <w:rPr>
          <w:rStyle w:val="Suchmarke"/>
        </w:rPr>
        <w:t>#850e#</w:t>
      </w:r>
      <w:bookmarkEnd w:id="904"/>
    </w:p>
    <w:p>
      <w:r>
        <w:t>Für die Berechnung des pfändbaren Arbeitseinkommens gilt Folgendes:</w:t>
      </w:r>
    </w:p>
    <w:p>
      <w:pPr>
        <w:tabs>
          <w:tab w:pos="567" w:val="left"/>
        </w:tabs>
        <w:ind w:left="567" w:hanging="567"/>
      </w:pPr>
      <w:r>
        <w:t>1.</w:t>
      </w:r>
      <w:r>
        <w:tab/>
      </w:r>
      <w:r>
        <w:t xml:space="preserve">Nicht mitzurechnen sind die nach § 850a der Pfändung entzogenen Bezüge, ferner Beträge, die unmittelbar auf Grund steuerrechtlicher oder sozialrechtlicher Vorschriften zur Erfüllung gesetzlicher Verpflichtungen des Schuldners abzuführen sind. </w:t>
      </w:r>
      <w:r>
        <w:rPr>
          <w:rStyle w:val="Satznummer"/>
        </w:rPr>
        <w:t>2</w:t>
      </w:r>
      <w:r>
        <w:t>Diesen Beträgen stehen gleich die auf den Auszahlungszeitraum entfallenden Beträge, die der Schuldner</w:t>
      </w:r>
    </w:p>
    <w:p>
      <w:pPr>
        <w:tabs>
          <w:tab w:pos="1134" w:val="left"/>
        </w:tabs>
        <w:ind w:left="1134" w:hanging="567"/>
      </w:pPr>
      <w:r>
        <w:t>a)</w:t>
      </w:r>
      <w:r>
        <w:tab/>
      </w:r>
      <w:r>
        <w:t>nach den Vorschriften der Sozialversicherungsgesetze zur Weiterversicherung entrichtet oder</w:t>
      </w:r>
    </w:p>
    <w:p>
      <w:pPr>
        <w:tabs>
          <w:tab w:pos="1134" w:val="left"/>
        </w:tabs>
        <w:ind w:left="1134" w:hanging="567"/>
      </w:pPr>
      <w:r>
        <w:t>b)</w:t>
      </w:r>
      <w:r>
        <w:tab/>
      </w:r>
      <w:r>
        <w:t>an eine Ersatzkasse oder an ein Unternehmen der privaten Krankenversicherung leistet, soweit sie den Rahmen des Üblichen nicht übersteigen.</w:t>
      </w:r>
    </w:p>
    <w:p>
      <w:pPr>
        <w:tabs>
          <w:tab w:pos="567" w:val="left"/>
        </w:tabs>
        <w:ind w:left="567" w:hanging="567"/>
      </w:pPr>
      <w:r>
        <w:t>2.</w:t>
      </w:r>
      <w:r>
        <w:tab/>
      </w:r>
      <w:r>
        <w:t xml:space="preserve">Mehrere Arbeitseinkommen sind auf Antrag vom Vollstreckungsgericht bei der Pfändung zusammenzurechnen. </w:t>
      </w:r>
      <w:r>
        <w:rPr>
          <w:rStyle w:val="Satznummer"/>
        </w:rPr>
        <w:t>2</w:t>
      </w:r>
      <w:r>
        <w:t>Der unpfändbare Grundbetrag ist in erster Linie dem Arbeitseinkommen zu entnehmen, das die wesentliche Grundlage der Lebenshaltung des Schuldners bildet.</w:t>
      </w:r>
    </w:p>
    <w:p>
      <w:pPr>
        <w:tabs>
          <w:tab w:pos="567" w:val="left"/>
        </w:tabs>
        <w:ind w:left="567" w:hanging="567"/>
      </w:pPr>
      <w:r>
        <w:t>2a.</w:t>
      </w:r>
      <w:r>
        <w:tab/>
      </w:r>
      <w:r>
        <w:t xml:space="preserve">Mit Arbeitseinkommen sind auf Antrag auch Ansprüche auf laufende Geldleistungen nach dem Sozialgesetzbuch zusammenzurechnen, soweit diese der Pfändung unterworfen sind. </w:t>
      </w:r>
      <w:r>
        <w:rPr>
          <w:rStyle w:val="Satznummer"/>
        </w:rPr>
        <w:t>2</w:t>
      </w:r>
      <w:r>
        <w:t xml:space="preserve">Der unpfändbare Grundbetrag ist, soweit die Pfändung nicht wegen gesetzlicher Unterhaltsansprüche erfolgt, in erster Linie den laufenden Geldleistungen nach dem Sozialgesetzbuch zu entnehmen. </w:t>
      </w:r>
      <w:r>
        <w:rPr>
          <w:rStyle w:val="Satznummer"/>
        </w:rPr>
        <w:t>3</w:t>
      </w:r>
      <w:r>
        <w:t>Ansprüche auf Geldleistungen für Kinder dürfen mit Arbeitseinkommen nur zusammengerechnet werden, soweit sie nach § 76 des Einkommensteuergesetzes oder nach § 54 Abs. 5 des Ersten Buches Sozialgesetzbuch gepfändet werden können.</w:t>
      </w:r>
    </w:p>
    <w:p>
      <w:pPr>
        <w:tabs>
          <w:tab w:pos="567" w:val="left"/>
        </w:tabs>
        <w:ind w:left="567" w:hanging="567"/>
      </w:pPr>
      <w:r>
        <w:t>3.</w:t>
      </w:r>
      <w:r>
        <w:tab/>
      </w:r>
      <w:r>
        <w:t xml:space="preserve">Erhält der Schuldner neben seinem in Geld zahlbaren Einkommen auch Naturalleistungen, so sind Geld- und Naturalleistungen zusammenzurechnen. </w:t>
      </w:r>
      <w:r>
        <w:rPr>
          <w:rStyle w:val="Satznummer"/>
        </w:rPr>
        <w:t>2</w:t>
      </w:r>
      <w:r>
        <w:t xml:space="preserve">In diesem Fall ist der in Geld zahlbare Betrag insoweit pfändbar, als der nach </w:t>
      </w:r>
      <w:hyperlink w:anchor="b901" w:history="1">
        <w:r>
          <w:rPr>
            <w:color w:val="0A3A8C"/>
            <w:u w:val="single"/>
          </w:rPr>
          <w:t xml:space="preserve">§ 850c</w:t>
        </w:r>
      </w:hyperlink>
      <w:r>
        <w:t xml:space="preserve"> unpfändbare Teil des Gesamteinkommens durch den Wert der dem Schuldner verbleibenden Naturalleistungen gedeckt ist.</w:t>
      </w:r>
    </w:p>
    <w:p>
      <w:pPr>
        <w:tabs>
          <w:tab w:pos="567" w:val="left"/>
        </w:tabs>
        <w:ind w:left="567" w:hanging="567"/>
      </w:pPr>
      <w:r>
        <w:t>4.</w:t>
      </w:r>
      <w:r>
        <w:tab/>
      </w:r>
      <w:r>
        <w:t xml:space="preserve">Trifft eine Pfändung, eine Abtretung oder eine sonstige Verfügung wegen eines der in </w:t>
      </w:r>
      <w:hyperlink w:anchor="b902" w:history="1">
        <w:r>
          <w:rPr>
            <w:color w:val="0A3A8C"/>
            <w:u w:val="single"/>
          </w:rPr>
          <w:t xml:space="preserve">§ 850d</w:t>
        </w:r>
      </w:hyperlink>
      <w:r>
        <w:t xml:space="preserve"> bezeichneten Ansprüche mit einer Pfändung wegen eines sonstigen Anspruchs zusammen, so sind auf die Unterhaltsansprüche zunächst die gemäß § 850d der Pfändung in erweitertem Umfang unterliegenden Teile des Arbeitseinkommens zu verrechnen. </w:t>
      </w:r>
      <w:r>
        <w:rPr>
          <w:rStyle w:val="Satznummer"/>
        </w:rPr>
        <w:t>2</w:t>
      </w:r>
      <w:r>
        <w:t xml:space="preserve">Die Verrechnung nimmt auf Antrag eines Beteiligten das Vollstreckungsgericht vor. </w:t>
      </w:r>
      <w:r>
        <w:rPr>
          <w:rStyle w:val="Satznummer"/>
        </w:rPr>
        <w:t>3</w:t>
      </w:r>
      <w:r>
        <w:t>Der Drittschuldner kann, solange ihm eine Entscheidung des Vollstreckungsgerichts nicht zugestellt ist, nach dem Inhalt der ihm bekannten Pfändungsbeschlüsse, Abtretungen und sonstigen Verfügungen mit befreiender Wirkung leisten.</w:t>
      </w:r>
    </w:p>
    <w:p>
      <w:pPr>
        <w:pStyle w:val="Heading5"/>
      </w:pPr>
      <w:bookmarkStart w:id="905" w:name="b904"/>
      <w:r>
        <w:t>§ 850f Änderung des unpfändbaren Betrages</w:t>
      </w:r>
      <w:r>
        <w:t xml:space="preserve"> </w:t>
      </w:r>
      <w:r>
        <w:rPr>
          <w:rStyle w:val="Suchmarke"/>
        </w:rPr>
        <w:t>#850f#</w:t>
      </w:r>
      <w:bookmarkEnd w:id="905"/>
    </w:p>
    <w:p>
      <w:r>
        <w:t xml:space="preserve">(1) Das Vollstreckungsgericht kann dem Schuldner auf Antrag von dem nach den Bestimmungen der </w:t>
      </w:r>
      <w:hyperlink w:anchor="b901" w:history="1">
        <w:r>
          <w:rPr>
            <w:color w:val="0A3A8C"/>
            <w:u w:val="single"/>
          </w:rPr>
          <w:t xml:space="preserve">§§ 850c</w:t>
        </w:r>
      </w:hyperlink>
      <w:r>
        <w:t xml:space="preserve">, </w:t>
      </w:r>
      <w:hyperlink w:anchor="b902" w:history="1">
        <w:r>
          <w:rPr>
            <w:color w:val="0A3A8C"/>
            <w:u w:val="single"/>
          </w:rPr>
          <w:t xml:space="preserve">850d</w:t>
        </w:r>
      </w:hyperlink>
      <w:r>
        <w:t xml:space="preserve"> und </w:t>
      </w:r>
      <w:hyperlink w:anchor="b907" w:history="1">
        <w:r>
          <w:rPr>
            <w:color w:val="0A3A8C"/>
            <w:u w:val="single"/>
          </w:rPr>
          <w:t xml:space="preserve">850i</w:t>
        </w:r>
      </w:hyperlink>
      <w:r>
        <w:t xml:space="preserve"> pfändbaren Teil seines Arbeitseinkommens einen Teil belassen, wenn</w:t>
      </w:r>
    </w:p>
    <w:p>
      <w:pPr>
        <w:tabs>
          <w:tab w:pos="567" w:val="left"/>
        </w:tabs>
        <w:ind w:left="567" w:hanging="567"/>
      </w:pPr>
      <w:r>
        <w:t>1.</w:t>
      </w:r>
      <w:r>
        <w:tab/>
      </w:r>
      <w:r>
        <w:t>der Schuldner nachweist, dass bei Anwendung der Pfändungsfreigrenzen entsprechend § 850c der notwendige Lebensunterhalt im Sinne des Dritten und Vierten Kapitels des Zwölften Buches Sozialgesetzbuch oder nach Kapitel 3 Abschnitt 2 des Zweiten Buches Sozialgesetzbuch für sich und für die Personen, denen er gesetzlich zum Unterhalt verpflichtet ist, nicht gedeckt ist,</w:t>
      </w:r>
    </w:p>
    <w:p>
      <w:pPr>
        <w:tabs>
          <w:tab w:pos="567" w:val="left"/>
        </w:tabs>
        <w:ind w:left="567" w:hanging="567"/>
      </w:pPr>
      <w:r>
        <w:t>2.</w:t>
      </w:r>
      <w:r>
        <w:tab/>
      </w:r>
      <w:r>
        <w:t>besondere Bedürfnisse des Schuldners aus persönlichen oder beruflichen Gründen oder</w:t>
      </w:r>
    </w:p>
    <w:p>
      <w:pPr>
        <w:tabs>
          <w:tab w:pos="567" w:val="left"/>
        </w:tabs>
        <w:ind w:left="567" w:hanging="567"/>
      </w:pPr>
      <w:r>
        <w:t>3.</w:t>
      </w:r>
      <w:r>
        <w:tab/>
      </w:r>
      <w:r>
        <w:t>der besondere Umfang der gesetzlichen Unterhaltspflichten des Schuldners, insbesondere die Zahl der Unterhaltsberechtigten, dies erfordern</w:t>
      </w:r>
    </w:p>
    <w:p>
      <w:r>
        <w:t>und überwiegende Belange des Gläubigers nicht entgegenstehen.</w:t>
      </w:r>
    </w:p>
    <w:p>
      <w:r>
        <w:t xml:space="preserve">(2) Wird die Zwangsvollstreckung wegen einer Forderung aus einer vorsätzlich begangenen unerlaubten Handlung betrieben, so kann das Vollstreckungsgericht auf Antrag des Gläubigers den pfändbaren Teil des Arbeitseinkommens ohne Rücksicht auf die in </w:t>
      </w:r>
      <w:hyperlink w:anchor="b901" w:history="1">
        <w:r>
          <w:rPr>
            <w:color w:val="0A3A8C"/>
            <w:u w:val="single"/>
          </w:rPr>
          <w:t xml:space="preserve">§ 850c</w:t>
        </w:r>
      </w:hyperlink>
      <w:r>
        <w:t xml:space="preserve"> vorgesehenen Beschränkungen bestimmen; dem Schuldner ist jedoch so viel zu belassen, wie er für seinen notwendigen Unterhalt und zur Erfüllung seiner laufenden gesetzlichen Unterhaltspflichten bedarf.</w:t>
      </w:r>
    </w:p>
    <w:p>
      <w:r>
        <w:t>(3) (weggefallen)</w:t>
      </w:r>
    </w:p>
    <w:p>
      <w:pPr>
        <w:pStyle w:val="Heading5"/>
      </w:pPr>
      <w:bookmarkStart w:id="906" w:name="b905"/>
      <w:r>
        <w:t>§ 850g Änderung der Unpfändbarkeitsvoraussetzungen</w:t>
      </w:r>
      <w:r>
        <w:t xml:space="preserve"> </w:t>
      </w:r>
      <w:r>
        <w:rPr>
          <w:rStyle w:val="Suchmarke"/>
        </w:rPr>
        <w:t>#850g#</w:t>
      </w:r>
      <w:bookmarkEnd w:id="906"/>
    </w:p>
    <w:p>
      <w:r>
        <w:rPr>
          <w:rStyle w:val="Satznummer"/>
        </w:rPr>
        <w:t>1</w:t>
      </w:r>
      <w:r>
        <w:t xml:space="preserve">Ändern sich die Voraussetzungen für die Bemessung des unpfändbaren Teils des Arbeitseinkommens, so hat das Vollstreckungsgericht auf Antrag des Schuldners oder des Gläubigers den Pfändungsbeschluss entsprechend zu ändern. </w:t>
      </w:r>
      <w:r>
        <w:rPr>
          <w:rStyle w:val="Satznummer"/>
        </w:rPr>
        <w:t>2</w:t>
      </w:r>
      <w:r>
        <w:t xml:space="preserve">Antragsberechtigt ist auch ein Dritter, dem der Schuldner kraft Gesetzes Unterhalt zu gewähren hat. </w:t>
      </w:r>
      <w:r>
        <w:rPr>
          <w:rStyle w:val="Satznummer"/>
        </w:rPr>
        <w:t>3</w:t>
      </w:r>
      <w:r>
        <w:t>Der Drittschuldner kann nach dem Inhalt des früheren Pfändungsbeschlusses mit befreiender Wirkung leisten, bis ihm der Änderungsbeschluss zugestellt wird.</w:t>
      </w:r>
    </w:p>
    <w:p>
      <w:pPr>
        <w:pStyle w:val="Heading5"/>
      </w:pPr>
      <w:bookmarkStart w:id="907" w:name="b906"/>
      <w:r>
        <w:t>§ 850h Verschleiertes Arbeitseinkommen</w:t>
      </w:r>
      <w:r>
        <w:t xml:space="preserve"> </w:t>
      </w:r>
      <w:r>
        <w:rPr>
          <w:rStyle w:val="Suchmarke"/>
        </w:rPr>
        <w:t>#850h#</w:t>
      </w:r>
      <w:bookmarkEnd w:id="907"/>
    </w:p>
    <w:p>
      <w:r>
        <w:t xml:space="preserve">(1) </w:t>
      </w:r>
      <w:r>
        <w:rPr>
          <w:rStyle w:val="Satznummer"/>
        </w:rPr>
        <w:t>1</w:t>
      </w:r>
      <w:r>
        <w:t xml:space="preserve">Hat sich der Empfänger der vom Schuldner geleisteten Arbeiten oder Dienste verpflichtet, Leistungen an einen Dritten zu bewirken, die nach Lage der Verhältnisse ganz oder teilweise eine Vergütung für die Leistung des Schuldners darstellen, so kann der Anspruch des Drittberechtigten insoweit auf Grund des Schuldtitels gegen den Schuldner gepfändet werden, wie wenn der Anspruch dem Schuldner zustände. </w:t>
      </w:r>
      <w:r>
        <w:rPr>
          <w:rStyle w:val="Satznummer"/>
        </w:rPr>
        <w:t>2</w:t>
      </w:r>
      <w:r>
        <w:t xml:space="preserve">Die Pfändung des Vergütungsanspruchs des Schuldners umfasst ohne weiteres den Anspruch des Drittberechtigten. </w:t>
      </w:r>
      <w:r>
        <w:rPr>
          <w:rStyle w:val="Satznummer"/>
        </w:rPr>
        <w:t>3</w:t>
      </w:r>
      <w:r>
        <w:t>Der Pfändungsbeschluss ist dem Drittberechtigten ebenso wie dem Schuldner zuzustellen.</w:t>
      </w:r>
    </w:p>
    <w:p>
      <w:r>
        <w:t xml:space="preserve">(2) </w:t>
      </w:r>
      <w:r>
        <w:rPr>
          <w:rStyle w:val="Satznummer"/>
        </w:rPr>
        <w:t>1</w:t>
      </w:r>
      <w:r>
        <w:t xml:space="preserve">Leistet der Schuldner einem Dritten in einem ständigen Verhältnis Arbeiten oder Dienste, die nach Art und Umfang üblicherweise vergütet werden, unentgeltlich oder gegen eine unverhältnismäßig geringe Vergütung, so gilt im Verhältnis des Gläubigers zu dem Empfänger der Arbeits- und Dienstleistungen eine angemessene Vergütung als geschuldet. </w:t>
      </w:r>
      <w:r>
        <w:rPr>
          <w:rStyle w:val="Satznummer"/>
        </w:rPr>
        <w:t>2</w:t>
      </w:r>
      <w:r>
        <w:t>Bei der Prüfung, ob diese Voraussetzungen vorliegen, sowie bei der Bemessung der Vergütung ist auf alle Umstände des Einzelfalles, insbesondere die Art der Arbeits- und Dienstleistung, die verwandtschaftlichen oder sonstigen Beziehungen zwischen dem Dienstberechtigten und dem Dienstverpflichteten und die wirtschaftliche Leistungsfähigkeit des Dienstberechtigten Rücksicht zu nehmen.</w:t>
      </w:r>
    </w:p>
    <w:p>
      <w:pPr>
        <w:pStyle w:val="Heading5"/>
      </w:pPr>
      <w:bookmarkStart w:id="908" w:name="b907"/>
      <w:r>
        <w:t>§ 850i Pfändungsschutz für sonstige Einkünfte</w:t>
      </w:r>
      <w:r>
        <w:t xml:space="preserve"> </w:t>
      </w:r>
      <w:r>
        <w:rPr>
          <w:rStyle w:val="Suchmarke"/>
        </w:rPr>
        <w:t>#850i#</w:t>
      </w:r>
      <w:bookmarkEnd w:id="908"/>
    </w:p>
    <w:p>
      <w:r>
        <w:t xml:space="preserve">(1) </w:t>
      </w:r>
      <w:r>
        <w:rPr>
          <w:rStyle w:val="Satznummer"/>
        </w:rPr>
        <w:t>1</w:t>
      </w:r>
      <w:r>
        <w:t xml:space="preserve">Werden nicht wiederkehrend zahlbare Vergütungen für persönlich geleistete Arbeiten oder Dienste oder sonstige Einkünfte, die kein Arbeitseinkommen sind, gepfändet, so hat das Gericht dem Schuldner auf Antrag während eines angemessenen Zeitraums so viel zu belassen, als ihm nach freier Schätzung des Gerichts verbleiben würde, wenn sein Einkommen aus laufendem Arbeits- oder Dienstlohn bestünde. </w:t>
      </w:r>
      <w:r>
        <w:rPr>
          <w:rStyle w:val="Satznummer"/>
        </w:rPr>
        <w:t>2</w:t>
      </w:r>
      <w:r>
        <w:t xml:space="preserve">Bei der Entscheidung sind die wirtschaftlichen Verhältnisse des Schuldners, insbesondere seine sonstigen Verdienstmöglichkeiten, frei zu würdigen. </w:t>
      </w:r>
      <w:r>
        <w:rPr>
          <w:rStyle w:val="Satznummer"/>
        </w:rPr>
        <w:t>3</w:t>
      </w:r>
      <w:r>
        <w:t>Der Antrag des Schuldners ist insoweit abzulehnen, als überwiegende Belange des Gläubigers entgegenstehen.</w:t>
      </w:r>
    </w:p>
    <w:p>
      <w:r>
        <w:t>(2) Die Vorschriften des § 27 des Heimarbeitsgesetzes vom 14. März 1951 (BGBl. I S. 191) bleiben unberührt.</w:t>
      </w:r>
    </w:p>
    <w:p>
      <w:r>
        <w:t>(3) Die Bestimmungen der Versicherungs-, Versorgungs- und sonstigen gesetzlichen Vorschriften über die Pfändung von Ansprüchen bestimmter Art bleiben unberührt.</w:t>
      </w:r>
    </w:p>
    <w:p>
      <w:pPr>
        <w:pStyle w:val="Heading5"/>
      </w:pPr>
      <w:bookmarkStart w:id="909" w:name="b908"/>
      <w:r>
        <w:t>§ 850k Einrichtung und Beendigung des Pfändungsschutzkontos</w:t>
      </w:r>
      <w:r>
        <w:t xml:space="preserve"> </w:t>
      </w:r>
      <w:r>
        <w:rPr>
          <w:rStyle w:val="Suchmarke"/>
        </w:rPr>
        <w:t>#850k#</w:t>
      </w:r>
      <w:bookmarkEnd w:id="909"/>
    </w:p>
    <w:p>
      <w:r>
        <w:t xml:space="preserve">(1) </w:t>
      </w:r>
      <w:r>
        <w:rPr>
          <w:rStyle w:val="Satznummer"/>
        </w:rPr>
        <w:t>1</w:t>
      </w:r>
      <w:r>
        <w:t xml:space="preserve">Eine natürliche Person kann jederzeit von dem Kreditinstitut verlangen, dass ein von ihr dort geführtes Zahlungskonto als Pfändungsschutzkonto geführt wird. </w:t>
      </w:r>
      <w:r>
        <w:rPr>
          <w:rStyle w:val="Satznummer"/>
        </w:rPr>
        <w:t>2</w:t>
      </w:r>
      <w:r>
        <w:t xml:space="preserve">Satz 1 gilt auch, wenn das Zahlungskonto zum Zeitpunkt des Verlangens einen negativen Saldo aufweist. </w:t>
      </w:r>
      <w:r>
        <w:rPr>
          <w:rStyle w:val="Satznummer"/>
        </w:rPr>
        <w:t>3</w:t>
      </w:r>
      <w:r>
        <w:t>Ein Pfändungsschutzkonto darf jedoch ausschließlich auf Guthabenbasis geführt werden.</w:t>
      </w:r>
    </w:p>
    <w:p>
      <w:r>
        <w:t xml:space="preserve">(2) </w:t>
      </w:r>
      <w:r>
        <w:rPr>
          <w:rStyle w:val="Satznummer"/>
        </w:rPr>
        <w:t>1</w:t>
      </w:r>
      <w:r>
        <w:t xml:space="preserve">Ist Guthaben auf dem Zahlungskonto bereits gepfändet worden, kann der Schuldner die Führung dieses Kontos als Pfändungsschutzkonto zum Beginn des vierten auf sein Verlangen folgenden Geschäftstages fordern. </w:t>
      </w:r>
      <w:r>
        <w:rPr>
          <w:rStyle w:val="Satznummer"/>
        </w:rPr>
        <w:t>2</w:t>
      </w:r>
      <w:r>
        <w:t>Das Vertragsverhältnis zwischen dem Kontoinhaber und dem Kreditinstitut bleibt im Übrigen unberührt.</w:t>
      </w:r>
    </w:p>
    <w:p>
      <w:r>
        <w:t xml:space="preserve">(3) </w:t>
      </w:r>
      <w:r>
        <w:rPr>
          <w:rStyle w:val="Satznummer"/>
        </w:rPr>
        <w:t>1</w:t>
      </w:r>
      <w:r>
        <w:t xml:space="preserve">Jede Person darf nur ein Pfändungsschutzkonto unterhalten. </w:t>
      </w:r>
      <w:r>
        <w:rPr>
          <w:rStyle w:val="Satznummer"/>
        </w:rPr>
        <w:t>2</w:t>
      </w:r>
      <w:r>
        <w:t>Bei dem Verlangen nach Absatz 1 hat der Kunde gegenüber dem Kreditinstitut zu versichern, dass er kein weiteres Pfändungsschutzkonto unterhält.</w:t>
      </w:r>
    </w:p>
    <w:p>
      <w:r>
        <w:t xml:space="preserve">(4) </w:t>
      </w:r>
      <w:r>
        <w:rPr>
          <w:rStyle w:val="Satznummer"/>
        </w:rPr>
        <w:t>1</w:t>
      </w:r>
      <w:r>
        <w:t xml:space="preserve">Unterhält ein Schuldner entgegen Absatz 3 Satz 1 mehrere Zahlungskonten als Pfändungsschutzkonten, ordnet das Vollstreckungsgericht auf Antrag des Gläubigers an, dass nur das von dem Gläubiger in seinem Antrag bezeichnete Zahlungskonto dem Schuldner als Pfändungsschutzkonto verbleibt. </w:t>
      </w:r>
      <w:r>
        <w:rPr>
          <w:rStyle w:val="Satznummer"/>
        </w:rPr>
        <w:t>2</w:t>
      </w:r>
      <w:r>
        <w:t xml:space="preserve">Der Gläubiger hat den Umstand, dass ein Schuldner entgegen Satz 1 mehrere Zahlungskonten als Pfändungsschutzkonten unterhält, durch Vorlage entsprechender Erklärungen der Drittschuldner glaubhaft zu machen. </w:t>
      </w:r>
      <w:r>
        <w:rPr>
          <w:rStyle w:val="Satznummer"/>
        </w:rPr>
        <w:t>3</w:t>
      </w:r>
      <w:r>
        <w:t xml:space="preserve">Eine Anhörung des Schuldners durch das Vollstreckungsgericht unterbleibt. </w:t>
      </w:r>
      <w:r>
        <w:rPr>
          <w:rStyle w:val="Satznummer"/>
        </w:rPr>
        <w:t>4</w:t>
      </w:r>
      <w:r>
        <w:t xml:space="preserve">Die Anordnung nach Satz 1 ist allen Drittschuldnern zuzustellen. </w:t>
      </w:r>
      <w:r>
        <w:rPr>
          <w:rStyle w:val="Satznummer"/>
        </w:rPr>
        <w:t>5</w:t>
      </w:r>
      <w:r>
        <w:t>Mit der Zustellung der Anordnung an diejenigen Kreditinstitute, deren Zahlungskonten nicht zum Pfändungsschutzkonto bestimmt sind, entfallen die Wirkungen dieser Pfändungsschutzkonten.</w:t>
      </w:r>
    </w:p>
    <w:p>
      <w:r>
        <w:t xml:space="preserve">(5) </w:t>
      </w:r>
      <w:r>
        <w:rPr>
          <w:rStyle w:val="Satznummer"/>
        </w:rPr>
        <w:t>1</w:t>
      </w:r>
      <w:r>
        <w:t xml:space="preserve">Der Kontoinhaber kann mit einer Frist von mindestens vier Geschäftstagen zum Monatsende von dem Kreditinstitut verlangen, dass das dort geführte Pfändungsschutzkonto als Zahlungskonto ohne Pfändungsschutz geführt wird. </w:t>
      </w:r>
      <w:r>
        <w:rPr>
          <w:rStyle w:val="Satznummer"/>
        </w:rPr>
        <w:t>2</w:t>
      </w:r>
      <w:r>
        <w:t>Absatz 2 Satz 2 gilt entsprechend.</w:t>
      </w:r>
    </w:p>
    <w:p>
      <w:pPr>
        <w:pStyle w:val="Heading5"/>
      </w:pPr>
      <w:bookmarkStart w:id="910" w:name="b909"/>
      <w:r>
        <w:t>§ 850l Pfändung des Gemeinschaftskontos</w:t>
      </w:r>
      <w:r>
        <w:t xml:space="preserve"> </w:t>
      </w:r>
      <w:r>
        <w:rPr>
          <w:rStyle w:val="Suchmarke"/>
        </w:rPr>
        <w:t>#850l#</w:t>
      </w:r>
      <w:bookmarkEnd w:id="910"/>
    </w:p>
    <w:p>
      <w:r>
        <w:t xml:space="preserve">(1) </w:t>
      </w:r>
      <w:r>
        <w:rPr>
          <w:rStyle w:val="Satznummer"/>
        </w:rPr>
        <w:t>1</w:t>
      </w:r>
      <w:r>
        <w:t xml:space="preserve">Unterhält der Schuldner, der eine natürliche Person ist, mit einer anderen natürlichen oder mit einer juristischen Person oder mit einer Mehrheit von Personen ein Gemeinschaftskonto und wird Guthaben auf diesem Konto gepfändet, so darf das Kreditinstitut erst nach Ablauf von einem Monat nach Zustellung des Überweisungsbeschlusses aus dem Guthaben an den Gläubiger leisten oder den Betrag hinterlegen. </w:t>
      </w:r>
      <w:r>
        <w:rPr>
          <w:rStyle w:val="Satznummer"/>
        </w:rPr>
        <w:t>2</w:t>
      </w:r>
      <w:r>
        <w:t>Satz 1 gilt auch für künftiges Guthaben.</w:t>
      </w:r>
    </w:p>
    <w:p>
      <w:r>
        <w:t xml:space="preserve">(2) </w:t>
      </w:r>
      <w:r>
        <w:rPr>
          <w:rStyle w:val="Satznummer"/>
        </w:rPr>
        <w:t>1</w:t>
      </w:r>
      <w:r>
        <w:t xml:space="preserve">Ist der Schuldner eine natürliche Person, kann er innerhalb des Zeitraums nach Absatz 1 Satz 1 von dem Kreditinstitut verlangen, bestehendes oder künftiges Guthaben von dem Gemeinschaftskonto auf ein bei dem Kreditinstitut allein auf seinen Namen lautendes Zahlungskonto zu übertragen. </w:t>
      </w:r>
      <w:r>
        <w:rPr>
          <w:rStyle w:val="Satznummer"/>
        </w:rPr>
        <w:t>2</w:t>
      </w:r>
      <w:r>
        <w:t xml:space="preserve">Wird Guthaben nach Satz 1 übertragen und verlangt der Schuldner innerhalb des Zeitraums nach Absatz 1 Satz 1, dass das Zahlungskonto als Pfändungsschutzkonto geführt wird, so gelten für die Einrichtung des Pfändungsschutzkontos </w:t>
      </w:r>
      <w:hyperlink w:anchor="b908" w:history="1">
        <w:r>
          <w:rPr>
            <w:color w:val="0A3A8C"/>
            <w:u w:val="single"/>
          </w:rPr>
          <w:t xml:space="preserve">§ 850k</w:t>
        </w:r>
      </w:hyperlink>
      <w:r>
        <w:t xml:space="preserve"> und für das übertragene Guthaben die Regelungen des Buches 8 Abschnitt 4. </w:t>
      </w:r>
      <w:r>
        <w:rPr>
          <w:rStyle w:val="Satznummer"/>
        </w:rPr>
        <w:t>3</w:t>
      </w:r>
      <w:r>
        <w:t xml:space="preserve">Für die Übertragung nach Satz 1 ist eine Mitwirkung anderer Kontoinhaber oder des Gläubigers nicht erforderlich. </w:t>
      </w:r>
      <w:r>
        <w:rPr>
          <w:rStyle w:val="Satznummer"/>
        </w:rPr>
        <w:t>4</w:t>
      </w:r>
      <w:r>
        <w:t xml:space="preserve">Der Übertragungsbetrag beläuft sich auf den Kopfteil des Schuldners an dem Guthaben. </w:t>
      </w:r>
      <w:r>
        <w:rPr>
          <w:rStyle w:val="Satznummer"/>
        </w:rPr>
        <w:t>5</w:t>
      </w:r>
      <w:r>
        <w:t>Sämtliche Kontoinhaber und der Gläubiger können sich auf eine von Satz 4 abweichende Aufteilung des Übertragungsbetrages einigen; die Vereinbarung ist dem Kreditinstitut in Textform mitzuteilen.</w:t>
      </w:r>
    </w:p>
    <w:p>
      <w:r>
        <w:t>(3) Absatz 2 Satz 1 und 3 bis 5 ist auf natürliche Personen, mit denen der Schuldner das Gemeinschaftskonto unterhält, entsprechend anzuwenden.</w:t>
      </w:r>
    </w:p>
    <w:p>
      <w:r>
        <w:t>(4) Die Wirkungen von Pfändung und Überweisung von Guthaben auf dem Gemeinschaftskonto setzen sich an dem nach Absatz 2 Satz 1 auf ein Einzelkonto des Schuldners übertragenen Guthaben fort; sie setzen sich nicht an dem Guthaben fort, das nach Absatz 3 übertragen wird.</w:t>
      </w:r>
    </w:p>
    <w:p>
      <w:pPr>
        <w:pStyle w:val="Heading5"/>
      </w:pPr>
      <w:bookmarkStart w:id="911" w:name="b910"/>
      <w:r>
        <w:t>§ 851 Nicht übertragbare Forderungen</w:t>
      </w:r>
      <w:r>
        <w:t xml:space="preserve"> </w:t>
      </w:r>
      <w:r>
        <w:rPr>
          <w:rStyle w:val="Suchmarke"/>
        </w:rPr>
        <w:t>#851#</w:t>
      </w:r>
      <w:bookmarkEnd w:id="911"/>
    </w:p>
    <w:p>
      <w:r>
        <w:t>(1) Eine Forderung ist in Ermangelung besonderer Vorschriften der Pfändung nur insoweit unterworfen, als sie übertragbar ist.</w:t>
      </w:r>
    </w:p>
    <w:p>
      <w:r>
        <w:t>(2) Eine nach § 399 des Bürgerlichen Gesetzbuchs nicht übertragbare Forderung kann insoweit gepfändet und zur Einziehung überwiesen werden, als der geschuldete Gegenstand der Pfändung unterworfen ist.</w:t>
      </w:r>
    </w:p>
    <w:p>
      <w:pPr>
        <w:pStyle w:val="Heading5"/>
      </w:pPr>
      <w:bookmarkStart w:id="912" w:name="b911"/>
      <w:r>
        <w:t>§ 851a Pfändungsschutz für Landwirte</w:t>
      </w:r>
      <w:r>
        <w:t xml:space="preserve"> </w:t>
      </w:r>
      <w:r>
        <w:rPr>
          <w:rStyle w:val="Suchmarke"/>
        </w:rPr>
        <w:t>#851a#</w:t>
      </w:r>
      <w:bookmarkEnd w:id="912"/>
    </w:p>
    <w:p>
      <w:r>
        <w:t>(1) Die Pfändung von Forderungen, die einem die Landwirtschaft betreibenden Schuldner aus dem Verkauf von landwirtschaftlichen Erzeugnissen zustehen, ist auf seinen Antrag vom Vollstreckungsgericht insoweit aufzuheben, als die Einkünfte zum Unterhalt des Schuldners, seiner Familie und seiner Arbeitnehmer oder zur Aufrechterhaltung einer geordneten Wirtschaftsführung unentbehrlich sind.</w:t>
      </w:r>
    </w:p>
    <w:p>
      <w:r>
        <w:t>(2) Die Pfändung soll unterbleiben, wenn offenkundig ist, dass die Voraussetzungen für die Aufhebung der Zwangsvollstreckung nach Absatz 1 vorliegen.</w:t>
      </w:r>
    </w:p>
    <w:p>
      <w:pPr>
        <w:pStyle w:val="Heading5"/>
      </w:pPr>
      <w:bookmarkStart w:id="913" w:name="b912"/>
      <w:r>
        <w:t>§ 851b Pfändungsschutz bei Miet- und Pachtzinsen</w:t>
      </w:r>
      <w:r>
        <w:t xml:space="preserve"> </w:t>
      </w:r>
      <w:r>
        <w:rPr>
          <w:rStyle w:val="Suchmarke"/>
        </w:rPr>
        <w:t>#851b#</w:t>
      </w:r>
      <w:bookmarkEnd w:id="913"/>
    </w:p>
    <w:p>
      <w:r>
        <w:t xml:space="preserve">(1) </w:t>
      </w:r>
      <w:r>
        <w:rPr>
          <w:rStyle w:val="Satznummer"/>
        </w:rPr>
        <w:t>1</w:t>
      </w:r>
      <w:r>
        <w:t xml:space="preserve">Die Pfändung von Miete und Pacht ist auf Antrag des Schuldners vom Vollstreckungsgericht insoweit aufzuheben, als diese Einkünfte für den Schuldner zur laufenden Unterhaltung des Grundstücks, zur Vornahme notwendiger Instandsetzungsarbeiten und zur Befriedigung von Ansprüchen unentbehrlich sind, die bei einer Zwangsvollstreckung in das Grundstück dem Anspruch des Gläubigers nach § 10 des Gesetzes über die Zwangsversteigerung und die Zwangsverwaltung vorgehen würden. </w:t>
      </w:r>
      <w:r>
        <w:rPr>
          <w:rStyle w:val="Satznummer"/>
        </w:rPr>
        <w:t>2</w:t>
      </w:r>
      <w:r>
        <w:t>Das Gleiche gilt von der Pfändung von Barmitteln und Guthaben, die aus Miet- oder Pachtzahlungen herrühren und zu den in Satz 1 bezeichneten Zwecken unentbehrlich sind.</w:t>
      </w:r>
    </w:p>
    <w:p>
      <w:r>
        <w:t xml:space="preserve">(2) </w:t>
      </w:r>
      <w:r>
        <w:rPr>
          <w:rStyle w:val="Satznummer"/>
        </w:rPr>
        <w:t>1</w:t>
      </w:r>
      <w:r>
        <w:t xml:space="preserve">Wird der Antrag nicht binnen einer Frist von zwei Wochen gestellt, so ist er ohne sachliche Prüfung zurückzuweisen, wenn das Vollstreckungsgericht der Überzeugung ist, dass der Schuldner den Antrag in der Absicht der Verschleppung oder aus grober Nachlässigkeit nicht früher gestellt hat. </w:t>
      </w:r>
      <w:r>
        <w:rPr>
          <w:rStyle w:val="Satznummer"/>
        </w:rPr>
        <w:t>2</w:t>
      </w:r>
      <w:r>
        <w:t>Die Frist beginnt mit der Pfändung.</w:t>
      </w:r>
    </w:p>
    <w:p>
      <w:r>
        <w:t>(3) Anordnungen nach Absatz 1 können mehrmals ergehen und, soweit es nach Lage der Verhältnisse geboten ist, auf Antrag aufgehoben oder abgeändert werden.</w:t>
      </w:r>
    </w:p>
    <w:p>
      <w:r>
        <w:t xml:space="preserve">(4) </w:t>
      </w:r>
      <w:r>
        <w:rPr>
          <w:rStyle w:val="Satznummer"/>
        </w:rPr>
        <w:t>1</w:t>
      </w:r>
      <w:r>
        <w:t xml:space="preserve">Vor den in den Absätzen 1 und 3 bezeichneten Entscheidungen ist, soweit dies ohne erhebliche Verzögerung möglich ist, der Gläubiger zu hören. </w:t>
      </w:r>
      <w:r>
        <w:rPr>
          <w:rStyle w:val="Satznummer"/>
        </w:rPr>
        <w:t>2</w:t>
      </w:r>
      <w:r>
        <w:t xml:space="preserve">Die für die Entscheidung wesentlichen tatsächlichen Verhältnisse sind glaubhaft zu machen. </w:t>
      </w:r>
      <w:r>
        <w:rPr>
          <w:rStyle w:val="Satznummer"/>
        </w:rPr>
        <w:t>3</w:t>
      </w:r>
      <w:r>
        <w:t>Die Pfändung soll unterbleiben, wenn offenkundig ist, dass die Voraussetzungen für die Aufhebung der Zwangsvollstreckung nach Absatz 1 vorliegen.</w:t>
      </w:r>
    </w:p>
    <w:p>
      <w:pPr>
        <w:pStyle w:val="Heading5"/>
      </w:pPr>
      <w:bookmarkStart w:id="914" w:name="b913"/>
      <w:r>
        <w:t>§ 851c Pfändungsschutz bei Altersrenten</w:t>
      </w:r>
      <w:r>
        <w:t xml:space="preserve"> </w:t>
      </w:r>
      <w:r>
        <w:rPr>
          <w:rStyle w:val="Suchmarke"/>
        </w:rPr>
        <w:t>#851c#</w:t>
      </w:r>
      <w:bookmarkEnd w:id="914"/>
    </w:p>
    <w:p>
      <w:r>
        <w:t>(1) Ansprüche auf Leistungen, die auf Grund von Verträgen gewährt werden, dürfen nur wie Arbeitseinkommen gepfändet werden, wenn</w:t>
      </w:r>
    </w:p>
    <w:p>
      <w:pPr>
        <w:tabs>
          <w:tab w:pos="567" w:val="left"/>
        </w:tabs>
        <w:ind w:left="567" w:hanging="567"/>
      </w:pPr>
      <w:r>
        <w:t>1.</w:t>
      </w:r>
      <w:r>
        <w:tab/>
      </w:r>
      <w:r>
        <w:t>die Leistung in regelmäßigen Zeitabständen lebenslang und nicht vor Vollendung des 60. Lebensjahres oder nur bei Eintritt der Berufsunfähigkeit gewährt wird,</w:t>
      </w:r>
    </w:p>
    <w:p>
      <w:pPr>
        <w:tabs>
          <w:tab w:pos="567" w:val="left"/>
        </w:tabs>
        <w:ind w:left="567" w:hanging="567"/>
      </w:pPr>
      <w:r>
        <w:t>2.</w:t>
      </w:r>
      <w:r>
        <w:tab/>
      </w:r>
      <w:r>
        <w:t>über die Ansprüche aus dem Vertrag nicht verfügt werden darf,</w:t>
      </w:r>
    </w:p>
    <w:p>
      <w:pPr>
        <w:tabs>
          <w:tab w:pos="567" w:val="left"/>
        </w:tabs>
        <w:ind w:left="567" w:hanging="567"/>
      </w:pPr>
      <w:r>
        <w:t>3.</w:t>
      </w:r>
      <w:r>
        <w:tab/>
      </w:r>
      <w:r>
        <w:t>die Bestimmung von Dritten mit Ausnahme von Hinterbliebenen als Berechtigte ausgeschlossen ist und</w:t>
      </w:r>
    </w:p>
    <w:p>
      <w:pPr>
        <w:tabs>
          <w:tab w:pos="567" w:val="left"/>
        </w:tabs>
        <w:ind w:left="567" w:hanging="567"/>
      </w:pPr>
      <w:r>
        <w:t>4.</w:t>
      </w:r>
      <w:r>
        <w:tab/>
      </w:r>
      <w:r>
        <w:t>die Zahlung einer Kapitalleistung, ausgenommen eine Zahlung für den Todesfall, nicht vereinbart wurde.</w:t>
      </w:r>
    </w:p>
    <w:p>
      <w:r>
        <w:t xml:space="preserve">(2) </w:t>
      </w:r>
      <w:r>
        <w:rPr>
          <w:rStyle w:val="Satznummer"/>
        </w:rPr>
        <w:t>1</w:t>
      </w:r>
      <w:r>
        <w:t>Beträge, die der Schuldner anspart, um in Erfüllung eines Vertrages nach Absatz 1 eine angemessene Alterssicherung aufzubauen, unterliegen nicht der Pfändung, soweit sie</w:t>
      </w:r>
    </w:p>
    <w:p>
      <w:pPr>
        <w:tabs>
          <w:tab w:pos="567" w:val="left"/>
        </w:tabs>
        <w:ind w:left="567" w:hanging="567"/>
      </w:pPr>
      <w:r>
        <w:t>1.</w:t>
      </w:r>
      <w:r>
        <w:tab/>
      </w:r>
      <w:r>
        <w:t>jährlich nicht mehr betragen als</w:t>
      </w:r>
    </w:p>
    <w:p>
      <w:pPr>
        <w:tabs>
          <w:tab w:pos="1134" w:val="left"/>
        </w:tabs>
        <w:ind w:left="1134" w:hanging="567"/>
      </w:pPr>
      <w:r>
        <w:t>a)</w:t>
      </w:r>
      <w:r>
        <w:tab/>
      </w:r>
      <w:r>
        <w:t>6 000 Euro bei einem Schuldner vom 18. bis zum vollendeten 27. Lebensjahr und</w:t>
      </w:r>
    </w:p>
    <w:p>
      <w:pPr>
        <w:tabs>
          <w:tab w:pos="1134" w:val="left"/>
        </w:tabs>
        <w:ind w:left="1134" w:hanging="567"/>
      </w:pPr>
      <w:r>
        <w:t>b)</w:t>
      </w:r>
      <w:r>
        <w:tab/>
      </w:r>
      <w:r>
        <w:t>7 000 Euro bei einem Schuldner vom 28. bis zum vollendeten 67. Lebensjahr und</w:t>
      </w:r>
    </w:p>
    <w:p>
      <w:pPr>
        <w:tabs>
          <w:tab w:pos="567" w:val="left"/>
        </w:tabs>
        <w:ind w:left="567" w:hanging="567"/>
      </w:pPr>
      <w:r>
        <w:t>2.</w:t>
      </w:r>
      <w:r>
        <w:tab/>
      </w:r>
      <w:r>
        <w:t>einen Gesamtbetrag von 340 000 Euro nicht übersteigen.</w:t>
      </w:r>
    </w:p>
    <w:p>
      <w:r>
        <w:rPr>
          <w:rStyle w:val="Satznummer"/>
        </w:rPr>
        <w:t>2</w:t>
      </w:r>
      <w:r>
        <w:t xml:space="preserve">Die in Satz 1 genannten Beträge werden jeweils zum 1. Juli eines jeden fünften Jahres, erstmals zum 1. Juli 2027, entsprechend der Entwicklung auf dem Kapitalmarkt, dem Sterblichkeitsrisiko und der Höhe der Pfändungsfreigrenze angepasst und die angepassten Beträge werden vom Bundesministerium der Justiz und für Verbraucherschutz in der Pfändungsfreigrenzenbekanntmachung im Sinne des </w:t>
      </w:r>
      <w:hyperlink w:anchor="b901" w:history="1">
        <w:r>
          <w:rPr>
            <w:color w:val="0A3A8C"/>
            <w:u w:val="single"/>
          </w:rPr>
          <w:t xml:space="preserve">§ 850c</w:t>
        </w:r>
      </w:hyperlink>
      <w:r>
        <w:t xml:space="preserve"> Absatz 4 Satz 1 bekannt gemacht. </w:t>
      </w:r>
      <w:r>
        <w:rPr>
          <w:rStyle w:val="Satznummer"/>
        </w:rPr>
        <w:t>3</w:t>
      </w:r>
      <w:r>
        <w:t xml:space="preserve">Übersteigt der Rückkaufwert der Alterssicherung den unpfändbaren Betrag, sind drei Zehntel des überschießenden Betrags unpfändbar. </w:t>
      </w:r>
      <w:r>
        <w:rPr>
          <w:rStyle w:val="Satznummer"/>
        </w:rPr>
        <w:t>4</w:t>
      </w:r>
      <w:r>
        <w:t>Satz 3 gilt nicht für den Teil des Rückkaufwerts, der den dreifachen Wert des in Satz 1 Nummer 2 genannten Betrags übersteigt.</w:t>
      </w:r>
    </w:p>
    <w:p>
      <w:r>
        <w:t xml:space="preserve">(3) </w:t>
      </w:r>
      <w:hyperlink w:anchor="b903" w:history="1">
        <w:r>
          <w:rPr>
            <w:color w:val="0A3A8C"/>
            <w:u w:val="single"/>
          </w:rPr>
          <w:t xml:space="preserve">§ 850e</w:t>
        </w:r>
      </w:hyperlink>
      <w:r>
        <w:t xml:space="preserve"> Nr. 2 und 2a gilt entsprechend.</w:t>
      </w:r>
    </w:p>
    <w:p>
      <w:pPr>
        <w:pStyle w:val="Heading5"/>
      </w:pPr>
      <w:bookmarkStart w:id="915" w:name="b914"/>
      <w:r>
        <w:t>§ 851d Pfändungsschutz bei steuerlich gefördertem Altersvorsorgevermögen</w:t>
      </w:r>
      <w:r>
        <w:t xml:space="preserve"> </w:t>
      </w:r>
      <w:r>
        <w:rPr>
          <w:rStyle w:val="Suchmarke"/>
        </w:rPr>
        <w:t>#851d#</w:t>
      </w:r>
      <w:bookmarkEnd w:id="915"/>
    </w:p>
    <w:p>
      <w:r>
        <w:t>Monatliche Leistungen in Form einer lebenslangen Rente oder monatlicher Ratenzahlungen im Rahmen eines Auszahlungsplans nach § 1 Abs. 1 Satz 1 Nr. 4 des Altersvorsorgeverträge-Zertifizierungsgesetzes aus steuerlich gefördertem Altersvorsorgevermögen sind wie Arbeitseinkommen pfändbar.</w:t>
      </w:r>
    </w:p>
    <w:p>
      <w:pPr>
        <w:pStyle w:val="Heading5"/>
      </w:pPr>
      <w:bookmarkStart w:id="916" w:name="b915"/>
      <w:r>
        <w:t>§ 852 Beschränkt pfändbare Forderungen</w:t>
      </w:r>
      <w:r>
        <w:t xml:space="preserve"> </w:t>
      </w:r>
      <w:r>
        <w:rPr>
          <w:rStyle w:val="Suchmarke"/>
        </w:rPr>
        <w:t>#852#</w:t>
      </w:r>
      <w:bookmarkEnd w:id="916"/>
    </w:p>
    <w:p>
      <w:r>
        <w:t>(1) Der Pflichtteilsanspruch ist der Pfändung nur unterworfen, wenn er durch Vertrag anerkannt oder rechtshängig geworden ist.</w:t>
      </w:r>
    </w:p>
    <w:p>
      <w:r>
        <w:t>(2) Das Gleiche gilt für den nach § 528 des Bürgerlichen Gesetzbuchs dem Schenker zustehenden Anspruch auf Herausgabe des Geschenkes sowie für den Anspruch eines Ehegatten oder Lebenspartners auf den Ausgleich des Zugewinns.</w:t>
      </w:r>
    </w:p>
    <w:p>
      <w:pPr>
        <w:pStyle w:val="Heading5"/>
      </w:pPr>
      <w:bookmarkStart w:id="917" w:name="b916"/>
      <w:r>
        <w:t>§ 853 Mehrfache Pfändung einer Geldforderung</w:t>
      </w:r>
      <w:r>
        <w:t xml:space="preserve"> </w:t>
      </w:r>
      <w:r>
        <w:rPr>
          <w:rStyle w:val="Suchmarke"/>
        </w:rPr>
        <w:t>#853#</w:t>
      </w:r>
      <w:bookmarkEnd w:id="917"/>
    </w:p>
    <w:p>
      <w:r>
        <w:t>Ist eine Geldforderung für mehrere Gläubiger gepfändet, so ist der Drittschuldner berechtigt und auf Verlangen eines Gläubigers, dem die Forderung überwiesen wurde, verpflichtet, unter Anzeige der Sachlage und unter Aushändigung der ihm zugestellten Beschlüsse an das Amtsgericht, dessen Beschluss ihm zuerst zugestellt ist, den Schuldbetrag zu hinterlegen.</w:t>
      </w:r>
    </w:p>
    <w:p>
      <w:pPr>
        <w:pStyle w:val="Heading5"/>
      </w:pPr>
      <w:bookmarkStart w:id="918" w:name="b917"/>
      <w:r>
        <w:t>§ 854 Mehrfache Pfändung eines Anspruchs auf bewegliche Sachen</w:t>
      </w:r>
      <w:r>
        <w:t xml:space="preserve"> </w:t>
      </w:r>
      <w:r>
        <w:rPr>
          <w:rStyle w:val="Suchmarke"/>
        </w:rPr>
        <w:t>#854#</w:t>
      </w:r>
      <w:bookmarkEnd w:id="918"/>
    </w:p>
    <w:p>
      <w:r>
        <w:t xml:space="preserve">(1) </w:t>
      </w:r>
      <w:r>
        <w:rPr>
          <w:rStyle w:val="Satznummer"/>
        </w:rPr>
        <w:t>1</w:t>
      </w:r>
      <w:r>
        <w:t xml:space="preserve">Ist ein Anspruch, der eine bewegliche körperliche Sache betrifft, für mehrere Gläubiger gepfändet, so ist der Drittschuldner berechtigt und auf Verlangen eines Gläubigers, dem der Anspruch überwiesen wurde, verpflichtet, die Sache unter Anzeige der Sachlage und unter Aushändigung der ihm zugestellten Beschlüsse dem Gerichtsvollzieher herauszugeben, der nach dem ihm zuerst zugestellten Beschluss zur Empfangnahme der Sache ermächtigt ist. </w:t>
      </w:r>
      <w:r>
        <w:rPr>
          <w:rStyle w:val="Satznummer"/>
        </w:rPr>
        <w:t>2</w:t>
      </w:r>
      <w:r>
        <w:t>Hat der Gläubiger einen solchen Gerichtsvollzieher nicht bezeichnet, so wird dieser auf Antrag des Drittschuldners von dem Amtsgericht des Ortes ernannt, wo die Sache herauszugeben ist.</w:t>
      </w:r>
    </w:p>
    <w:p>
      <w:r>
        <w:t xml:space="preserve">(2) </w:t>
      </w:r>
      <w:r>
        <w:rPr>
          <w:rStyle w:val="Satznummer"/>
        </w:rPr>
        <w:t>1</w:t>
      </w:r>
      <w:r>
        <w:t xml:space="preserve">Ist der Erlös zur Deckung der Forderungen nicht ausreichend und verlangt der Gläubiger, für den die zweite oder eine spätere Pfändung erfolgt ist, ohne Zustimmung der übrigen beteiligten Gläubiger eine andere Verteilung als nach der Reihenfolge der Pfändungen, so hat der Gerichtsvollzieher die Sachlage unter Hinterlegung des Erlöses dem Amtsgericht anzuzeigen, dessen Beschluss dem Drittschuldner zuerst zugestellt ist. </w:t>
      </w:r>
      <w:r>
        <w:rPr>
          <w:rStyle w:val="Satznummer"/>
        </w:rPr>
        <w:t>2</w:t>
      </w:r>
      <w:r>
        <w:t>Dieser Anzeige sind die Dokumente beizufügen, die sich auf das Verfahren beziehen.</w:t>
      </w:r>
    </w:p>
    <w:p>
      <w:r>
        <w:t>(3) In gleicher Weise ist zu verfahren, wenn die Pfändung für mehrere Gläubiger gleichzeitig bewirkt ist.</w:t>
      </w:r>
    </w:p>
    <w:p>
      <w:pPr>
        <w:pStyle w:val="Heading5"/>
      </w:pPr>
      <w:bookmarkStart w:id="919" w:name="b918"/>
      <w:r>
        <w:t>§ 855 Mehrfache Pfändung eines Anspruchs auf eine unbewegliche Sache</w:t>
      </w:r>
      <w:r>
        <w:t xml:space="preserve"> </w:t>
      </w:r>
      <w:r>
        <w:rPr>
          <w:rStyle w:val="Suchmarke"/>
        </w:rPr>
        <w:t>#855#</w:t>
      </w:r>
      <w:bookmarkEnd w:id="919"/>
    </w:p>
    <w:p>
      <w:r>
        <w:t>Betrifft der Anspruch eine unbewegliche Sache, so ist der Drittschuldner berechtigt und auf Verlangen eines Gläubigers, dem der Anspruch überwiesen wurde, verpflichtet, die Sache unter Anzeige der Sachlage und unter Aushändigung der ihm zugestellten Beschlüsse an den von dem Amtsgericht der belegenen Sache ernannten oder auf seinen Antrag zu ernennenden Sequester herauszugeben.</w:t>
      </w:r>
    </w:p>
    <w:p>
      <w:pPr>
        <w:pStyle w:val="Heading5"/>
      </w:pPr>
      <w:bookmarkStart w:id="920" w:name="b919"/>
      <w:r>
        <w:t>§ 855a Mehrfache Pfändung eines Anspruchs auf ein Schiff</w:t>
      </w:r>
      <w:r>
        <w:t xml:space="preserve"> </w:t>
      </w:r>
      <w:r>
        <w:rPr>
          <w:rStyle w:val="Suchmarke"/>
        </w:rPr>
        <w:t>#855a#</w:t>
      </w:r>
      <w:bookmarkEnd w:id="920"/>
    </w:p>
    <w:p>
      <w:r>
        <w:t>(1) Betrifft der Anspruch ein eingetragenes Schiff, so ist der Drittschuldner berechtigt und auf Verlangen eines Gläubigers, dem der Anspruch überwiesen wurde, verpflichtet, das Schiff unter Anzeige der Sachlage und unter Aushändigung der Beschlüsse dem Treuhänder herauszugeben, der in dem ihm zuerst zugestellten Beschluss bestellt ist.</w:t>
      </w:r>
    </w:p>
    <w:p>
      <w:r>
        <w:t>(2) Absatz 1 gilt sinngemäß, wenn der Anspruch ein Schiffsbauwerk betrifft, das im Schiffsbauregister eingetragen ist oder in dieses Register eingetragen werden kann.</w:t>
      </w:r>
    </w:p>
    <w:p>
      <w:pPr>
        <w:pStyle w:val="Heading5"/>
      </w:pPr>
      <w:bookmarkStart w:id="921" w:name="b920"/>
      <w:r>
        <w:t>§ 856 Klage bei mehrfacher Pfändung</w:t>
      </w:r>
      <w:r>
        <w:t xml:space="preserve"> </w:t>
      </w:r>
      <w:r>
        <w:rPr>
          <w:rStyle w:val="Suchmarke"/>
        </w:rPr>
        <w:t>#856#</w:t>
      </w:r>
      <w:bookmarkEnd w:id="921"/>
    </w:p>
    <w:p>
      <w:r>
        <w:t xml:space="preserve">(1) Jeder Gläubiger, dem der Anspruch überwiesen wurde, ist berechtigt, gegen den Drittschuldner Klage auf Erfüllung der nach den Vorschriften der </w:t>
      </w:r>
      <w:hyperlink w:anchor="b916" w:history="1">
        <w:r>
          <w:rPr>
            <w:color w:val="0A3A8C"/>
            <w:u w:val="single"/>
          </w:rPr>
          <w:t xml:space="preserve">§§ 853</w:t>
        </w:r>
      </w:hyperlink>
      <w:r>
        <w:t xml:space="preserve"> bis </w:t>
      </w:r>
      <w:hyperlink w:anchor="b918" w:history="1">
        <w:r>
          <w:rPr>
            <w:color w:val="0A3A8C"/>
            <w:u w:val="single"/>
          </w:rPr>
          <w:t xml:space="preserve">855</w:t>
        </w:r>
      </w:hyperlink>
      <w:r>
        <w:t xml:space="preserve"> diesem obliegenden Verpflichtungen zu erheben.</w:t>
      </w:r>
    </w:p>
    <w:p>
      <w:r>
        <w:t>(2) Jeder Gläubiger, für den der Anspruch gepfändet ist, kann sich dem Kläger in jeder Lage des Rechtsstreits als Streitgenosse anschließen.</w:t>
      </w:r>
    </w:p>
    <w:p>
      <w:r>
        <w:t>(3) Der Drittschuldner hat bei dem Prozessgericht zu beantragen, dass die Gläubiger, welche die Klage nicht erhoben und dem Kläger sich nicht angeschlossen haben, zum Termin zur mündlichen Verhandlung geladen werden.</w:t>
      </w:r>
    </w:p>
    <w:p>
      <w:r>
        <w:t>(4) Die Entscheidung, die in dem Rechtsstreit über den in der Klage erhobenen Anspruch erlassen wird, ist für und gegen sämtliche Gläubiger wirksam.</w:t>
      </w:r>
    </w:p>
    <w:p>
      <w:r>
        <w:t>(5) Der Drittschuldner kann sich gegenüber einem Gläubiger auf die ihm günstige Entscheidung nicht berufen, wenn der Gläubiger zum Termin zur mündlichen Verhandlung nicht geladen worden ist.</w:t>
      </w:r>
    </w:p>
    <w:p>
      <w:pPr>
        <w:pStyle w:val="Heading5"/>
      </w:pPr>
      <w:bookmarkStart w:id="922" w:name="b921"/>
      <w:r>
        <w:t>§ 857 Zwangsvollstreckung in andere Vermögensrechte</w:t>
      </w:r>
      <w:r>
        <w:t xml:space="preserve"> </w:t>
      </w:r>
      <w:r>
        <w:rPr>
          <w:rStyle w:val="Suchmarke"/>
        </w:rPr>
        <w:t>#857#</w:t>
      </w:r>
      <w:bookmarkEnd w:id="922"/>
    </w:p>
    <w:p>
      <w:r>
        <w:t>(1) Für die Zwangsvollstreckung in andere Vermögensrechte, die nicht Gegenstand der Zwangsvollstreckung in das unbewegliche Vermögen sind, gelten die vorstehenden Vorschriften entsprechend.</w:t>
      </w:r>
    </w:p>
    <w:p>
      <w:r>
        <w:t>(2) Ist ein Drittschuldner nicht vorhanden, so ist die Pfändung mit dem Zeitpunkt als bewirkt anzusehen, in welchem dem Schuldner das Gebot, sich jeder Verfügung über das Recht zu enthalten, zugestellt ist.</w:t>
      </w:r>
    </w:p>
    <w:p>
      <w:r>
        <w:t>(3) Ein unveräußerliches Recht ist in Ermangelung besonderer Vorschriften der Pfändung insoweit unterworfen, als die Ausübung einem anderen überlassen werden kann.</w:t>
      </w:r>
    </w:p>
    <w:p>
      <w:r>
        <w:t xml:space="preserve">(4) </w:t>
      </w:r>
      <w:r>
        <w:rPr>
          <w:rStyle w:val="Satznummer"/>
        </w:rPr>
        <w:t>1</w:t>
      </w:r>
      <w:r>
        <w:t xml:space="preserve">Das Gericht kann bei der Zwangsvollstreckung in unveräußerliche Rechte, deren Ausübung einem anderen überlassen werden kann, besondere Anordnungen erlassen. </w:t>
      </w:r>
      <w:r>
        <w:rPr>
          <w:rStyle w:val="Satznummer"/>
        </w:rPr>
        <w:t>2</w:t>
      </w:r>
      <w:r>
        <w:t>Es kann insbesondere bei der Zwangsvollstreckung in Nutzungsrechte eine Verwaltung anordnen; in diesem Fall wird die Pfändung durch Übergabe der zu benutzenden Sache an den Verwalter bewirkt, sofern sie nicht durch Zustellung des Beschlusses bereits vorher bewirkt ist.</w:t>
      </w:r>
    </w:p>
    <w:p>
      <w:r>
        <w:t>(5) Ist die Veräußerung des Rechts selbst zulässig, so kann auch diese Veräußerung von dem Gericht angeordnet werden.</w:t>
      </w:r>
    </w:p>
    <w:p>
      <w:r>
        <w:t>(6) Auf die Zwangsvollstreckung in eine Reallast, eine Grundschuld oder eine Rentenschuld sind die Vorschriften über die Zwangsvollstreckung in eine Forderung, für die eine Hypothek besteht, entsprechend anzuwenden.</w:t>
      </w:r>
    </w:p>
    <w:p>
      <w:r>
        <w:t xml:space="preserve">(7) Die Vorschrift des </w:t>
      </w:r>
      <w:hyperlink w:anchor="b892" w:history="1">
        <w:r>
          <w:rPr>
            <w:color w:val="0A3A8C"/>
            <w:u w:val="single"/>
          </w:rPr>
          <w:t xml:space="preserve">§ 845</w:t>
        </w:r>
      </w:hyperlink>
      <w:r>
        <w:t xml:space="preserve"> Abs. 1 Satz 2 ist nicht anzuwenden.</w:t>
      </w:r>
    </w:p>
    <w:p>
      <w:pPr>
        <w:pStyle w:val="Heading5"/>
      </w:pPr>
      <w:bookmarkStart w:id="923" w:name="b922"/>
      <w:r>
        <w:t>§ 858 Zwangsvollstreckung in Schiffspart</w:t>
      </w:r>
      <w:r>
        <w:t xml:space="preserve"> </w:t>
      </w:r>
      <w:r>
        <w:rPr>
          <w:rStyle w:val="Suchmarke"/>
        </w:rPr>
        <w:t>#858#</w:t>
      </w:r>
      <w:bookmarkEnd w:id="923"/>
    </w:p>
    <w:p>
      <w:r>
        <w:t xml:space="preserve">(1) Für die Zwangsvollstreckung in die Schiffspart (§§ 489 ff. des Handelsgesetzbuchs) gilt </w:t>
      </w:r>
      <w:hyperlink w:anchor="b921" w:history="1">
        <w:r>
          <w:rPr>
            <w:color w:val="0A3A8C"/>
            <w:u w:val="single"/>
          </w:rPr>
          <w:t xml:space="preserve">§ 857</w:t>
        </w:r>
      </w:hyperlink>
      <w:r>
        <w:t xml:space="preserve"> mit folgenden Abweichungen.</w:t>
      </w:r>
    </w:p>
    <w:p>
      <w:r>
        <w:t>(2) Als Vollstreckungsgericht ist das Amtsgericht zuständig, bei dem das Register für das Schiff geführt wird.</w:t>
      </w:r>
    </w:p>
    <w:p>
      <w:r>
        <w:t xml:space="preserve">(3) </w:t>
      </w:r>
      <w:r>
        <w:rPr>
          <w:rStyle w:val="Satznummer"/>
        </w:rPr>
        <w:t>1</w:t>
      </w:r>
      <w:r>
        <w:t xml:space="preserve">Die Pfändung bedarf der Eintragung in das Schiffsregister; die Eintragung erfolgt auf Grund des Pfändungsbeschlusses. </w:t>
      </w:r>
      <w:r>
        <w:rPr>
          <w:rStyle w:val="Satznummer"/>
        </w:rPr>
        <w:t>2</w:t>
      </w:r>
      <w:r>
        <w:t>Der Pfändungsbeschluss soll dem Korrespondentreeder zugestellt werden; wird der Beschluss diesem vor der Eintragung zugestellt, so gilt die Pfändung ihm gegenüber mit der Zustellung als bewirkt.</w:t>
      </w:r>
    </w:p>
    <w:p>
      <w:r>
        <w:t xml:space="preserve">(4) </w:t>
      </w:r>
      <w:r>
        <w:rPr>
          <w:rStyle w:val="Satznummer"/>
        </w:rPr>
        <w:t>1</w:t>
      </w:r>
      <w:r>
        <w:t xml:space="preserve">Verwertet wird die gepfändete Schiffspart im Wege der Veräußerung. </w:t>
      </w:r>
      <w:r>
        <w:rPr>
          <w:rStyle w:val="Satznummer"/>
        </w:rPr>
        <w:t>2</w:t>
      </w:r>
      <w:r>
        <w:t>Dem Antrag auf Anordnung der Veräußerung ist ein Auszug aus dem Schiffsregister beizufügen, der alle das Schiff und die Schiffspart betreffenden Eintragungen enthält; der Auszug darf nicht älter als eine Woche sein.</w:t>
      </w:r>
    </w:p>
    <w:p>
      <w:r>
        <w:t xml:space="preserve">(5) </w:t>
      </w:r>
      <w:r>
        <w:rPr>
          <w:rStyle w:val="Satznummer"/>
        </w:rPr>
        <w:t>1</w:t>
      </w:r>
      <w:r>
        <w:t xml:space="preserve">Ergibt der Auszug aus dem Schiffsregister, dass die Schiffspart mit einem Pfandrecht belastet ist, das einem anderen als dem betreibenden Gläubiger zusteht, so ist die Hinterlegung des Erlöses anzuordnen. </w:t>
      </w:r>
      <w:r>
        <w:rPr>
          <w:rStyle w:val="Satznummer"/>
        </w:rPr>
        <w:t>2</w:t>
      </w:r>
      <w:r>
        <w:t xml:space="preserve">Der Erlös wird in diesem Fall nach den Vorschriften der </w:t>
      </w:r>
      <w:hyperlink w:anchor="b939" w:history="1">
        <w:r>
          <w:rPr>
            <w:color w:val="0A3A8C"/>
            <w:u w:val="single"/>
          </w:rPr>
          <w:t xml:space="preserve">§§ 873</w:t>
        </w:r>
      </w:hyperlink>
      <w:r>
        <w:t xml:space="preserve"> bis </w:t>
      </w:r>
      <w:hyperlink w:anchor="b948" w:history="1">
        <w:r>
          <w:rPr>
            <w:color w:val="0A3A8C"/>
            <w:u w:val="single"/>
          </w:rPr>
          <w:t xml:space="preserve">882</w:t>
        </w:r>
      </w:hyperlink>
      <w:r>
        <w:t xml:space="preserve"> verteilt; Forderungen, für die ein Pfandrecht an der Schiffspart eingetragen ist, sind nach dem Inhalt des Schiffsregisters in den Teilungsplan aufzunehmen.</w:t>
      </w:r>
    </w:p>
    <w:p>
      <w:pPr>
        <w:pStyle w:val="Heading5"/>
      </w:pPr>
      <w:bookmarkStart w:id="924" w:name="b923"/>
      <w:r>
        <w:t>§ 859 Pfändung von Gesamthandsanteilen</w:t>
      </w:r>
      <w:r>
        <w:t xml:space="preserve"> </w:t>
      </w:r>
      <w:r>
        <w:rPr>
          <w:rStyle w:val="Suchmarke"/>
        </w:rPr>
        <w:t>#859#</w:t>
      </w:r>
      <w:bookmarkEnd w:id="924"/>
    </w:p>
    <w:p>
      <w:r>
        <w:rPr>
          <w:rStyle w:val="Satznummer"/>
        </w:rPr>
        <w:t>1</w:t>
      </w:r>
      <w:r>
        <w:t xml:space="preserve">Der Anteil eines Miterben an dem Nachlass ist der Pfändung unterworfen. </w:t>
      </w:r>
      <w:r>
        <w:rPr>
          <w:rStyle w:val="Satznummer"/>
        </w:rPr>
        <w:t>2</w:t>
      </w:r>
      <w:r>
        <w:t>Der Anteil des Miterben an den einzelnen Nachlassgegenständen ist der Pfändung nicht unterworfen.</w:t>
      </w:r>
    </w:p>
    <w:p>
      <w:pPr>
        <w:pStyle w:val="Heading5"/>
      </w:pPr>
      <w:bookmarkStart w:id="925" w:name="b924"/>
      <w:r>
        <w:t>§ 860 Pfändung von Gesamtgutanteilen</w:t>
      </w:r>
      <w:r>
        <w:t xml:space="preserve"> </w:t>
      </w:r>
      <w:r>
        <w:rPr>
          <w:rStyle w:val="Suchmarke"/>
        </w:rPr>
        <w:t>#860#</w:t>
      </w:r>
      <w:bookmarkEnd w:id="925"/>
    </w:p>
    <w:p>
      <w:r>
        <w:t xml:space="preserve">(1) </w:t>
      </w:r>
      <w:r>
        <w:rPr>
          <w:rStyle w:val="Satznummer"/>
        </w:rPr>
        <w:t>1</w:t>
      </w:r>
      <w:r>
        <w:t xml:space="preserve">Bei dem Güterstand der Gütergemeinschaft ist der Anteil eines Ehegatten oder Lebenspartners an dem Gesamtgut und an den einzelnen dazu gehörenden Gegenständen der Pfändung nicht unterworfen. </w:t>
      </w:r>
      <w:r>
        <w:rPr>
          <w:rStyle w:val="Satznummer"/>
        </w:rPr>
        <w:t>2</w:t>
      </w:r>
      <w:r>
        <w:t>Das Gleiche gilt bei der fortgesetzten Gütergemeinschaft von den Anteilen des überlebenden Ehegatten oder Lebenspartners und der Abkömmlinge.</w:t>
      </w:r>
    </w:p>
    <w:p>
      <w:r>
        <w:t>(2) Nach der Beendigung der Gemeinschaft ist der Anteil an dem Gesamtgut zugunsten der Gläubiger des Anteilsberechtigten der Pfändung unterworfen.</w:t>
      </w:r>
    </w:p>
    <w:p>
      <w:pPr>
        <w:pStyle w:val="Heading5"/>
      </w:pPr>
      <w:bookmarkStart w:id="926" w:name="b925"/>
      <w:r>
        <w:t>§§ 861 und 862 (weggefallen)</w:t>
      </w:r>
      <w:bookmarkEnd w:id="926"/>
    </w:p>
    <w:p>
      <w:pPr>
        <w:pStyle w:val="Heading5"/>
      </w:pPr>
      <w:bookmarkStart w:id="927" w:name="b926"/>
      <w:r>
        <w:t>§ 863 Pfändungsbeschränkungen bei Erbschaftsnutzungen</w:t>
      </w:r>
      <w:r>
        <w:t xml:space="preserve"> </w:t>
      </w:r>
      <w:r>
        <w:rPr>
          <w:rStyle w:val="Suchmarke"/>
        </w:rPr>
        <w:t>#863#</w:t>
      </w:r>
      <w:bookmarkEnd w:id="927"/>
    </w:p>
    <w:p>
      <w:r>
        <w:t xml:space="preserve">(1) </w:t>
      </w:r>
      <w:r>
        <w:rPr>
          <w:rStyle w:val="Satznummer"/>
        </w:rPr>
        <w:t>1</w:t>
      </w:r>
      <w:r>
        <w:t xml:space="preserve">Ist der Schuldner als Erbe nach § 2338 des Bürgerlichen Gesetzbuchs durch die Einsetzung eines Nacherben beschränkt, so sind die Nutzungen der Erbschaft der Pfändung nicht unterworfen, soweit sie zur Erfüllung der dem Schuldner seinem Ehegatten, seinem früheren Ehegatten, seinem Lebenspartner, einem früheren Lebenspartner oder seinen Verwandten gegenüber gesetzlich obliegenden Unterhaltspflicht und zur Bestreitung seines standesmäßigen Unterhalts erforderlich sind. </w:t>
      </w:r>
      <w:r>
        <w:rPr>
          <w:rStyle w:val="Satznummer"/>
        </w:rPr>
        <w:t>2</w:t>
      </w:r>
      <w:r>
        <w:t>Das Gleiche gilt, wenn der Schuldner nach § 2338 des Bürgerlichen Gesetzbuchs durch die Ernennung eines Testamentsvollstreckers beschränkt ist, für seinen Anspruch auf den jährlichen Reinertrag.</w:t>
      </w:r>
    </w:p>
    <w:p>
      <w:r>
        <w:t>(2) Die Pfändung ist unbeschränkt zulässig, wenn der Anspruch eines Nachlassgläubigers oder ein auch dem Nacherben oder dem Testamentsvollstrecker gegenüber wirksames Recht geltend gemacht wird.</w:t>
      </w:r>
    </w:p>
    <w:p>
      <w:r>
        <w:t>(3) Diese Vorschriften gelten entsprechend, wenn der Anteil eines Abkömmlings an dem Gesamtgut der fortgesetzten Gütergemeinschaft nach § 1513 Abs. 2 des Bürgerlichen Gesetzbuchs einer Beschränkung der im Absatz 1 bezeichneten Art unterliegt.</w:t>
      </w:r>
    </w:p>
    <w:p>
      <w:pPr>
        <w:pStyle w:val="Heading3"/>
      </w:pPr>
      <w:bookmarkStart w:id="928" w:name="b927"/>
      <w:r>
        <w:t>Titel 3 Zwangsvollstreckung in das unbewegliche Vermögen</w:t>
      </w:r>
      <w:bookmarkEnd w:id="928"/>
    </w:p>
    <w:p>
      <w:pPr>
        <w:pStyle w:val="Heading4"/>
      </w:pPr>
      <w:bookmarkStart w:id="929" w:name="b928"/>
      <w:r>
        <w:t>§ 864 Gegenstand der Immobiliarvollstreckung</w:t>
      </w:r>
      <w:r>
        <w:t xml:space="preserve"> </w:t>
      </w:r>
      <w:r>
        <w:rPr>
          <w:rStyle w:val="Suchmarke"/>
        </w:rPr>
        <w:t>#864#</w:t>
      </w:r>
      <w:bookmarkEnd w:id="929"/>
    </w:p>
    <w:p>
      <w:r>
        <w:t>(1) Der Zwangsvollstreckung in das unbewegliche Vermögen unterliegen außer den Grundstücken die Berechtigungen, für welche die sich auf Grundstücke beziehenden Vorschriften gelten, die im Schiffsregister eingetragenen Schiffe und die Schiffsbauwerke, die im Schiffsbauregister eingetragen sind oder in dieses Register eingetragen werden können.</w:t>
      </w:r>
    </w:p>
    <w:p>
      <w:r>
        <w:t>(2) Die Zwangsvollstreckung in den Bruchteil eines Grundstücks, einer Berechtigung der im Absatz 1 bezeichneten Art oder eines Schiffes oder Schiffsbauwerks ist nur zulässig, wenn der Bruchteil in dem Anteil eines Miteigentümers besteht oder wenn sich der Anspruch des Gläubigers auf ein Recht gründet, mit dem der Bruchteil als solcher belastet ist.</w:t>
      </w:r>
    </w:p>
    <w:p>
      <w:pPr>
        <w:pStyle w:val="Heading4"/>
      </w:pPr>
      <w:bookmarkStart w:id="930" w:name="b929"/>
      <w:r>
        <w:t>§ 865 Verhältnis zur Mobiliarvollstreckung</w:t>
      </w:r>
      <w:r>
        <w:t xml:space="preserve"> </w:t>
      </w:r>
      <w:r>
        <w:rPr>
          <w:rStyle w:val="Suchmarke"/>
        </w:rPr>
        <w:t>#865#</w:t>
      </w:r>
      <w:bookmarkEnd w:id="930"/>
    </w:p>
    <w:p>
      <w:r>
        <w:t>(1) Die Zwangsvollstreckung in das unbewegliche Vermögen umfasst auch die Gegenstände, auf die sich bei Grundstücken und Berechtigungen die Hypothek, bei Schiffen oder Schiffsbauwerken die Schiffshypothek erstreckt.</w:t>
      </w:r>
    </w:p>
    <w:p>
      <w:r>
        <w:t xml:space="preserve">(2) </w:t>
      </w:r>
      <w:r>
        <w:rPr>
          <w:rStyle w:val="Satznummer"/>
        </w:rPr>
        <w:t>1</w:t>
      </w:r>
      <w:r>
        <w:t xml:space="preserve">Diese Gegenstände können, soweit sie Zubehör sind, nicht gepfändet werden. </w:t>
      </w:r>
      <w:r>
        <w:rPr>
          <w:rStyle w:val="Satznummer"/>
        </w:rPr>
        <w:t>2</w:t>
      </w:r>
      <w:r>
        <w:t>Im Übrigen unterliegen sie der Zwangsvollstreckung in das bewegliche Vermögen, solange nicht ihre Beschlagnahme im Wege der Zwangsvollstreckung in das unbewegliche Vermögen erfolgt ist.</w:t>
      </w:r>
    </w:p>
    <w:p>
      <w:pPr>
        <w:pStyle w:val="Heading4"/>
      </w:pPr>
      <w:bookmarkStart w:id="931" w:name="b930"/>
      <w:r>
        <w:t>§ 866 Arten der Vollstreckung</w:t>
      </w:r>
      <w:r>
        <w:t xml:space="preserve"> </w:t>
      </w:r>
      <w:r>
        <w:rPr>
          <w:rStyle w:val="Suchmarke"/>
        </w:rPr>
        <w:t>#866#</w:t>
      </w:r>
      <w:bookmarkEnd w:id="931"/>
    </w:p>
    <w:p>
      <w:r>
        <w:t>(1) Die Zwangsvollstreckung in ein Grundstück erfolgt durch Eintragung einer Sicherungshypothek für die Forderung, durch Zwangsversteigerung und durch Zwangsverwaltung.</w:t>
      </w:r>
    </w:p>
    <w:p>
      <w:r>
        <w:t>(2) Der Gläubiger kann verlangen, dass eine dieser Maßregeln allein oder neben den übrigen ausgeführt werde.</w:t>
      </w:r>
    </w:p>
    <w:p>
      <w:r>
        <w:t xml:space="preserve">(3) </w:t>
      </w:r>
      <w:r>
        <w:rPr>
          <w:rStyle w:val="Satznummer"/>
        </w:rPr>
        <w:t>1</w:t>
      </w:r>
      <w:r>
        <w:t xml:space="preserve">Eine Sicherungshypothek (Absatz 1) darf nur für einen Betrag von mehr als 750 Euro eingetragen werden; Zinsen bleiben dabei unberücksichtigt, soweit sie als Nebenforderung geltend gemacht sind. </w:t>
      </w:r>
      <w:r>
        <w:rPr>
          <w:rStyle w:val="Satznummer"/>
        </w:rPr>
        <w:t>2</w:t>
      </w:r>
      <w:r>
        <w:t>Auf Grund mehrerer demselben Gläubiger zustehender Schuldtitel kann eine einheitliche Sicherungshypothek eingetragen werden.</w:t>
      </w:r>
    </w:p>
    <w:p>
      <w:pPr>
        <w:pStyle w:val="Heading4"/>
      </w:pPr>
      <w:bookmarkStart w:id="932" w:name="b931"/>
      <w:r>
        <w:t>§ 867 Zwangshypothek</w:t>
      </w:r>
      <w:r>
        <w:t xml:space="preserve"> </w:t>
      </w:r>
      <w:r>
        <w:rPr>
          <w:rStyle w:val="Suchmarke"/>
        </w:rPr>
        <w:t>#867#</w:t>
      </w:r>
      <w:bookmarkEnd w:id="932"/>
    </w:p>
    <w:p>
      <w:r>
        <w:t xml:space="preserve">(1) </w:t>
      </w:r>
      <w:r>
        <w:rPr>
          <w:rStyle w:val="Satznummer"/>
        </w:rPr>
        <w:t>1</w:t>
      </w:r>
      <w:r>
        <w:t xml:space="preserve">Die Sicherungshypothek wird auf Antrag des Gläubigers in das Grundbuch eingetragen; die Eintragung ist auf dem vollstreckbaren Titel zu vermerken. </w:t>
      </w:r>
      <w:r>
        <w:rPr>
          <w:rStyle w:val="Satznummer"/>
        </w:rPr>
        <w:t>2</w:t>
      </w:r>
      <w:r>
        <w:t xml:space="preserve">Mit der Eintragung entsteht die Hypothek. </w:t>
      </w:r>
      <w:r>
        <w:rPr>
          <w:rStyle w:val="Satznummer"/>
        </w:rPr>
        <w:t>3</w:t>
      </w:r>
      <w:r>
        <w:t>Das Grundstück haftet auch für die dem Schuldner zur Last fallenden Kosten der Eintragung.</w:t>
      </w:r>
    </w:p>
    <w:p>
      <w:r>
        <w:t xml:space="preserve">(2) </w:t>
      </w:r>
      <w:r>
        <w:rPr>
          <w:rStyle w:val="Satznummer"/>
        </w:rPr>
        <w:t>1</w:t>
      </w:r>
      <w:r>
        <w:t xml:space="preserve">Sollen mehrere Grundstücke des Schuldners mit der Hypothek belastet werden, so ist der Betrag der Forderung auf die einzelnen Grundstücke zu verteilen. </w:t>
      </w:r>
      <w:r>
        <w:rPr>
          <w:rStyle w:val="Satznummer"/>
        </w:rPr>
        <w:t>2</w:t>
      </w:r>
      <w:r>
        <w:t xml:space="preserve">Die Größe der Teile bestimmt der Gläubiger; für die Teile gilt </w:t>
      </w:r>
      <w:hyperlink w:anchor="b930" w:history="1">
        <w:r>
          <w:rPr>
            <w:color w:val="0A3A8C"/>
            <w:u w:val="single"/>
          </w:rPr>
          <w:t xml:space="preserve">§ 866</w:t>
        </w:r>
      </w:hyperlink>
      <w:r>
        <w:t xml:space="preserve"> Abs. 3 Satz 1 entsprechend.</w:t>
      </w:r>
    </w:p>
    <w:p>
      <w:r>
        <w:t>(3) Zur Befriedigung aus dem Grundstück durch Zwangsversteigerung genügt der vollstreckbare Titel, auf dem die Eintragung vermerkt ist.</w:t>
      </w:r>
    </w:p>
    <w:p>
      <w:pPr>
        <w:pStyle w:val="Heading4"/>
      </w:pPr>
      <w:bookmarkStart w:id="933" w:name="b932"/>
      <w:r>
        <w:t>§ 868 Erwerb der Zwangshypothek durch den Eigentümer</w:t>
      </w:r>
      <w:r>
        <w:t xml:space="preserve"> </w:t>
      </w:r>
      <w:r>
        <w:rPr>
          <w:rStyle w:val="Suchmarke"/>
        </w:rPr>
        <w:t>#868#</w:t>
      </w:r>
      <w:bookmarkEnd w:id="933"/>
    </w:p>
    <w:p>
      <w:r>
        <w:t>(1) Wird durch eine vollstreckbare Entscheidung die zu vollstreckende Entscheidung oder ihre vorläufige Vollstreckbarkeit aufgehoben oder die Zwangsvollstreckung für unzulässig erklärt oder deren Einstellung angeordnet, so erwirbt der Eigentümer des Grundstücks die Hypothek.</w:t>
      </w:r>
    </w:p>
    <w:p>
      <w:r>
        <w:t>(2) Das Gleiche gilt, wenn durch eine gerichtliche Entscheidung die einstweilige Einstellung der Vollstreckung und zugleich die Aufhebung der erfolgten Vollstreckungsmaßregeln angeordnet wird oder wenn die zur Abwendung der Vollstreckung nachgelassene Sicherheitsleistung oder Hinterlegung erfolgt.</w:t>
      </w:r>
    </w:p>
    <w:p>
      <w:pPr>
        <w:pStyle w:val="Heading4"/>
      </w:pPr>
      <w:bookmarkStart w:id="934" w:name="b933"/>
      <w:r>
        <w:t>§ 869 Zwangsversteigerung und Zwangsverwaltung</w:t>
      </w:r>
      <w:r>
        <w:t xml:space="preserve"> </w:t>
      </w:r>
      <w:r>
        <w:rPr>
          <w:rStyle w:val="Suchmarke"/>
        </w:rPr>
        <w:t>#869#</w:t>
      </w:r>
      <w:bookmarkEnd w:id="934"/>
    </w:p>
    <w:p>
      <w:r>
        <w:t>Die Zwangsversteigerung und die Zwangsverwaltung werden durch ein besonderes Gesetz geregelt.</w:t>
      </w:r>
    </w:p>
    <w:p>
      <w:pPr>
        <w:pStyle w:val="Heading4"/>
      </w:pPr>
      <w:bookmarkStart w:id="935" w:name="b934"/>
      <w:r>
        <w:t>§ 870 Grundstücksgleiche Rechte</w:t>
      </w:r>
      <w:r>
        <w:t xml:space="preserve"> </w:t>
      </w:r>
      <w:r>
        <w:rPr>
          <w:rStyle w:val="Suchmarke"/>
        </w:rPr>
        <w:t>#870#</w:t>
      </w:r>
      <w:bookmarkEnd w:id="935"/>
    </w:p>
    <w:p>
      <w:r>
        <w:t>Auf die Zwangsvollstreckung in eine Berechtigung, für welche die sich auf Grundstücke beziehenden Vorschriften gelten, sind die Vorschriften über die Zwangsvollstreckung in Grundstücke entsprechend anzuwenden.</w:t>
      </w:r>
    </w:p>
    <w:p>
      <w:pPr>
        <w:pStyle w:val="Heading4"/>
      </w:pPr>
      <w:bookmarkStart w:id="936" w:name="b935"/>
      <w:r>
        <w:t>§ 870a Zwangsvollstreckung in ein Schiff oder Schiffsbauwerk</w:t>
      </w:r>
      <w:r>
        <w:t xml:space="preserve"> </w:t>
      </w:r>
      <w:r>
        <w:rPr>
          <w:rStyle w:val="Suchmarke"/>
        </w:rPr>
        <w:t>#870a#</w:t>
      </w:r>
      <w:bookmarkEnd w:id="936"/>
    </w:p>
    <w:p>
      <w:r>
        <w:t xml:space="preserve">(1) </w:t>
      </w:r>
      <w:r>
        <w:rPr>
          <w:rStyle w:val="Satznummer"/>
        </w:rPr>
        <w:t>1</w:t>
      </w:r>
      <w:r>
        <w:t xml:space="preserve">Die Zwangsvollstreckung in ein eingetragenes Schiff oder in ein Schiffsbauwerk, das im Schiffsbauregister eingetragen ist oder in dieses Register eingetragen werden kann, erfolgt durch Eintragung einer Schiffshypothek für die Forderung oder durch Zwangsversteigerung. </w:t>
      </w:r>
      <w:r>
        <w:rPr>
          <w:rStyle w:val="Satznummer"/>
        </w:rPr>
        <w:t>2</w:t>
      </w:r>
      <w:r>
        <w:t>Die Anordnung einer Zwangsversteigerung eines Seeschiffs ist unzulässig, wenn sich das Schiff auf der Reise befindet und nicht in einem Hafen liegt.</w:t>
      </w:r>
    </w:p>
    <w:p>
      <w:r>
        <w:t xml:space="preserve">(2) </w:t>
      </w:r>
      <w:hyperlink w:anchor="b930" w:history="1">
        <w:r>
          <w:rPr>
            <w:color w:val="0A3A8C"/>
            <w:u w:val="single"/>
          </w:rPr>
          <w:t xml:space="preserve">§ 866</w:t>
        </w:r>
      </w:hyperlink>
      <w:r>
        <w:t xml:space="preserve"> Abs. 2, 3, </w:t>
      </w:r>
      <w:hyperlink w:anchor="b931" w:history="1">
        <w:r>
          <w:rPr>
            <w:color w:val="0A3A8C"/>
            <w:u w:val="single"/>
          </w:rPr>
          <w:t xml:space="preserve">§ 867</w:t>
        </w:r>
      </w:hyperlink>
      <w:r>
        <w:t xml:space="preserve"> gelten entsprechend.</w:t>
      </w:r>
    </w:p>
    <w:p>
      <w:r>
        <w:t xml:space="preserve">(3) </w:t>
      </w:r>
      <w:r>
        <w:rPr>
          <w:rStyle w:val="Satznummer"/>
        </w:rPr>
        <w:t>1</w:t>
      </w:r>
      <w:r>
        <w:t xml:space="preserve">Wird durch eine vollstreckbare Entscheidung die zu vollstreckende Entscheidung oder ihre vorläufige Vollstreckbarkeit aufgehoben oder die Zwangsvollstreckung für unzulässig erklärt oder deren Einstellung angeordnet, so erlischt die Schiffshypothek; § 57 Abs. 3 des Gesetzes über Rechte an eingetragenen Schiffen und Schiffsbauwerken vom 15. November 1940 (RGBl. I S. 1499) ist anzuwenden. </w:t>
      </w:r>
      <w:r>
        <w:rPr>
          <w:rStyle w:val="Satznummer"/>
        </w:rPr>
        <w:t>2</w:t>
      </w:r>
      <w:r>
        <w:t>Das Gleiche gilt, wenn durch eine gerichtliche Entscheidung die einstweilige Einstellung der Zwangsvollstreckung und zugleich die Aufhebung der erfolgten Vollstreckungsmaßregeln angeordnet wird oder wenn die zur Abwendung der Vollstreckung nachgelassene Sicherheitsleistung oder Hinterlegung erfolgt.</w:t>
      </w:r>
    </w:p>
    <w:p>
      <w:pPr>
        <w:pStyle w:val="Heading4"/>
      </w:pPr>
      <w:bookmarkStart w:id="937" w:name="b936"/>
      <w:r>
        <w:t>§ 871 Landesrechtlicher Vorbehalt bei Eisenbahnen</w:t>
      </w:r>
      <w:r>
        <w:t xml:space="preserve"> </w:t>
      </w:r>
      <w:r>
        <w:rPr>
          <w:rStyle w:val="Suchmarke"/>
        </w:rPr>
        <w:t>#871#</w:t>
      </w:r>
      <w:bookmarkEnd w:id="937"/>
    </w:p>
    <w:p>
      <w:r>
        <w:t>Unberührt bleiben die landesgesetzlichen Vorschriften, nach denen, wenn ein anderer als der Eigentümer einer Eisenbahn oder Kleinbahn den Betrieb der Bahn kraft eigenen Nutzungsrechts ausübt, das Nutzungsrecht und gewisse dem Betriebe gewidmete Gegenstände in Ansehung der Zwangsvollstreckung zum unbeweglichen Vermögen gehören und die Zwangsvollstreckung abweichend von den Vorschriften des Bundesrechts geregelt ist.</w:t>
      </w:r>
    </w:p>
    <w:p>
      <w:pPr>
        <w:pStyle w:val="Heading3"/>
      </w:pPr>
      <w:bookmarkStart w:id="938" w:name="b937"/>
      <w:r>
        <w:t>Titel 4 Verteilungsverfahren</w:t>
      </w:r>
      <w:bookmarkEnd w:id="938"/>
    </w:p>
    <w:p>
      <w:pPr>
        <w:pStyle w:val="Heading4"/>
      </w:pPr>
      <w:bookmarkStart w:id="939" w:name="b938"/>
      <w:r>
        <w:t>§ 872 Voraussetzungen</w:t>
      </w:r>
      <w:r>
        <w:t xml:space="preserve"> </w:t>
      </w:r>
      <w:r>
        <w:rPr>
          <w:rStyle w:val="Suchmarke"/>
        </w:rPr>
        <w:t>#872#</w:t>
      </w:r>
      <w:bookmarkEnd w:id="939"/>
    </w:p>
    <w:p>
      <w:r>
        <w:t>Das Verteilungsverfahren tritt ein, wenn bei der Zwangsvollstreckung in das bewegliche Vermögen ein Geldbetrag hinterlegt ist, der zur Befriedigung der beteiligten Gläubiger nicht hinreicht.</w:t>
      </w:r>
    </w:p>
    <w:p>
      <w:pPr>
        <w:pStyle w:val="Heading4"/>
      </w:pPr>
      <w:bookmarkStart w:id="940" w:name="b939"/>
      <w:r>
        <w:t>§ 873 Aufforderung des Verteilungsgerichts</w:t>
      </w:r>
      <w:r>
        <w:t xml:space="preserve"> </w:t>
      </w:r>
      <w:r>
        <w:rPr>
          <w:rStyle w:val="Suchmarke"/>
        </w:rPr>
        <w:t>#873#</w:t>
      </w:r>
      <w:bookmarkEnd w:id="940"/>
    </w:p>
    <w:p>
      <w:r>
        <w:t>Das zuständige Amtsgericht (</w:t>
      </w:r>
      <w:hyperlink w:anchor="b869" w:history="1">
        <w:r>
          <w:rPr>
            <w:color w:val="0A3A8C"/>
            <w:u w:val="single"/>
          </w:rPr>
          <w:t xml:space="preserve">§§ 827</w:t>
        </w:r>
      </w:hyperlink>
      <w:r>
        <w:t xml:space="preserve">, </w:t>
      </w:r>
      <w:hyperlink w:anchor="b916" w:history="1">
        <w:r>
          <w:rPr>
            <w:color w:val="0A3A8C"/>
            <w:u w:val="single"/>
          </w:rPr>
          <w:t xml:space="preserve">853</w:t>
        </w:r>
      </w:hyperlink>
      <w:r>
        <w:t xml:space="preserve">, </w:t>
      </w:r>
      <w:hyperlink w:anchor="b917" w:history="1">
        <w:r>
          <w:rPr>
            <w:color w:val="0A3A8C"/>
            <w:u w:val="single"/>
          </w:rPr>
          <w:t xml:space="preserve">854</w:t>
        </w:r>
      </w:hyperlink>
      <w:r>
        <w:t>) hat nach Eingang der Anzeige über die Sachlage an jeden der beteiligten Gläubiger die Aufforderung zu erlassen, binnen zwei Wochen eine Berechnung der Forderung an Kapital, Zinsen, Kosten und sonstigen Nebenforderungen einzureichen.</w:t>
      </w:r>
    </w:p>
    <w:p>
      <w:pPr>
        <w:pStyle w:val="Heading4"/>
      </w:pPr>
      <w:bookmarkStart w:id="941" w:name="b940"/>
      <w:r>
        <w:t>§ 874 Teilungsplan</w:t>
      </w:r>
      <w:r>
        <w:t xml:space="preserve"> </w:t>
      </w:r>
      <w:r>
        <w:rPr>
          <w:rStyle w:val="Suchmarke"/>
        </w:rPr>
        <w:t>#874#</w:t>
      </w:r>
      <w:bookmarkEnd w:id="941"/>
    </w:p>
    <w:p>
      <w:r>
        <w:t>(1) Nach Ablauf der zweiwöchigen Fristen wird von dem Gericht ein Teilungsplan angefertigt.</w:t>
      </w:r>
    </w:p>
    <w:p>
      <w:r>
        <w:t>(2) Der Betrag der Kosten des Verfahrens ist von dem Bestand der Masse vorweg in Abzug zu bringen.</w:t>
      </w:r>
    </w:p>
    <w:p>
      <w:r>
        <w:t xml:space="preserve">(3) </w:t>
      </w:r>
      <w:r>
        <w:rPr>
          <w:rStyle w:val="Satznummer"/>
        </w:rPr>
        <w:t>1</w:t>
      </w:r>
      <w:r>
        <w:t xml:space="preserve">Die Forderung eines Gläubigers, der bis zur Anfertigung des Teilungsplanes der an ihn gerichteten Aufforderung nicht nachgekommen ist, wird nach der Anzeige und deren Unterlagen berechnet. </w:t>
      </w:r>
      <w:r>
        <w:rPr>
          <w:rStyle w:val="Satznummer"/>
        </w:rPr>
        <w:t>2</w:t>
      </w:r>
      <w:r>
        <w:t>Eine nachträgliche Ergänzung der Forderung findet nicht statt.</w:t>
      </w:r>
    </w:p>
    <w:p>
      <w:pPr>
        <w:pStyle w:val="Heading4"/>
      </w:pPr>
      <w:bookmarkStart w:id="942" w:name="b941"/>
      <w:r>
        <w:t>§ 875 Terminsbestimmung</w:t>
      </w:r>
      <w:r>
        <w:t xml:space="preserve"> </w:t>
      </w:r>
      <w:r>
        <w:rPr>
          <w:rStyle w:val="Suchmarke"/>
        </w:rPr>
        <w:t>#875#</w:t>
      </w:r>
      <w:bookmarkEnd w:id="942"/>
    </w:p>
    <w:p>
      <w:r>
        <w:t xml:space="preserve">(1) </w:t>
      </w:r>
      <w:r>
        <w:rPr>
          <w:rStyle w:val="Satznummer"/>
        </w:rPr>
        <w:t>1</w:t>
      </w:r>
      <w:r>
        <w:t xml:space="preserve">Das Gericht hat zur Erklärung über den Teilungsplan sowie zur Ausführung der Verteilung einen Termin zu bestimmen. </w:t>
      </w:r>
      <w:r>
        <w:rPr>
          <w:rStyle w:val="Satznummer"/>
        </w:rPr>
        <w:t>2</w:t>
      </w:r>
      <w:r>
        <w:t>Der Teilungsplan muss spätestens drei Tage vor dem Termin auf der Geschäftsstelle zur Einsicht der Beteiligten niedergelegt werden.</w:t>
      </w:r>
    </w:p>
    <w:p>
      <w:r>
        <w:t>(2) Die Ladung des Schuldners zu dem Termin ist nicht erforderlich, wenn sie durch Zustellung im Ausland oder durch öffentliche Zustellung erfolgen müsste.</w:t>
      </w:r>
    </w:p>
    <w:p>
      <w:pPr>
        <w:pStyle w:val="Heading4"/>
      </w:pPr>
      <w:bookmarkStart w:id="943" w:name="b942"/>
      <w:r>
        <w:t>§ 876 Termin zur Erklärung und Ausführung</w:t>
      </w:r>
      <w:r>
        <w:t xml:space="preserve"> </w:t>
      </w:r>
      <w:r>
        <w:rPr>
          <w:rStyle w:val="Suchmarke"/>
        </w:rPr>
        <w:t>#876#</w:t>
      </w:r>
      <w:bookmarkEnd w:id="943"/>
    </w:p>
    <w:p>
      <w:r>
        <w:rPr>
          <w:rStyle w:val="Satznummer"/>
        </w:rPr>
        <w:t>1</w:t>
      </w:r>
      <w:r>
        <w:t xml:space="preserve">Wird in dem Termin ein Widerspruch gegen den Plan nicht erhoben, so ist dieser zur Ausführung zu bringen. </w:t>
      </w:r>
      <w:r>
        <w:rPr>
          <w:rStyle w:val="Satznummer"/>
        </w:rPr>
        <w:t>2</w:t>
      </w:r>
      <w:r>
        <w:t xml:space="preserve">Erfolgt ein Widerspruch, so hat sich jeder dabei beteiligte Gläubiger sofort zu erklären. </w:t>
      </w:r>
      <w:r>
        <w:rPr>
          <w:rStyle w:val="Satznummer"/>
        </w:rPr>
        <w:t>3</w:t>
      </w:r>
      <w:r>
        <w:t xml:space="preserve">Wird der Widerspruch von den Beteiligten als begründet anerkannt oder kommt anderweit eine Einigung zustande, so ist der Plan demgemäß zu berichtigen. </w:t>
      </w:r>
      <w:r>
        <w:rPr>
          <w:rStyle w:val="Satznummer"/>
        </w:rPr>
        <w:t>4</w:t>
      </w:r>
      <w:r>
        <w:t>Wenn ein Widerspruch sich nicht erledigt, so wird der Plan insoweit ausgeführt, als er durch den Widerspruch nicht betroffen wird.</w:t>
      </w:r>
    </w:p>
    <w:p>
      <w:pPr>
        <w:pStyle w:val="Heading4"/>
      </w:pPr>
      <w:bookmarkStart w:id="944" w:name="b943"/>
      <w:r>
        <w:t>§ 877 Säumnisfolgen</w:t>
      </w:r>
      <w:r>
        <w:t xml:space="preserve"> </w:t>
      </w:r>
      <w:r>
        <w:rPr>
          <w:rStyle w:val="Suchmarke"/>
        </w:rPr>
        <w:t>#877#</w:t>
      </w:r>
      <w:bookmarkEnd w:id="944"/>
    </w:p>
    <w:p>
      <w:r>
        <w:t>(1) Gegen einen Gläubiger, der in dem Termin weder erschienen ist noch vor dem Termin bei dem Gericht Widerspruch erhoben hat, wird angenommen, dass er mit der Ausführung des Planes einverstanden sei.</w:t>
      </w:r>
    </w:p>
    <w:p>
      <w:r>
        <w:t>(2) Ist ein in dem Termin nicht erschienener Gläubiger bei dem Widerspruch beteiligt, den ein anderer Gläubiger erhoben hat, so wird angenommen, dass er diesen Widerspruch nicht als begründet anerkenne.</w:t>
      </w:r>
    </w:p>
    <w:p>
      <w:pPr>
        <w:pStyle w:val="Heading4"/>
      </w:pPr>
      <w:bookmarkStart w:id="945" w:name="b944"/>
      <w:r>
        <w:t>§ 878 Widerspruchsklage</w:t>
      </w:r>
      <w:r>
        <w:t xml:space="preserve"> </w:t>
      </w:r>
      <w:r>
        <w:rPr>
          <w:rStyle w:val="Suchmarke"/>
        </w:rPr>
        <w:t>#878#</w:t>
      </w:r>
      <w:bookmarkEnd w:id="945"/>
    </w:p>
    <w:p>
      <w:r>
        <w:t xml:space="preserve">(1) </w:t>
      </w:r>
      <w:r>
        <w:rPr>
          <w:rStyle w:val="Satznummer"/>
        </w:rPr>
        <w:t>1</w:t>
      </w:r>
      <w:r>
        <w:t xml:space="preserve">Der widersprechende Gläubiger muss ohne vorherige Aufforderung binnen einer Frist von einem Monat, die mit dem Terminstag beginnt, dem Gericht nachweisen, dass er gegen die beteiligten Gläubiger Klage erhoben habe. </w:t>
      </w:r>
      <w:r>
        <w:rPr>
          <w:rStyle w:val="Satznummer"/>
        </w:rPr>
        <w:t>2</w:t>
      </w:r>
      <w:r>
        <w:t>Nach fruchtlosem Ablauf dieser Frist wird die Ausführung des Planes ohne Rücksicht auf den Widerspruch angeordnet.</w:t>
      </w:r>
    </w:p>
    <w:p>
      <w:r>
        <w:t>(2) Die Befugnis des Gläubigers, der dem Plan widersprochen hat, ein besseres Recht gegen den Gläubiger, der einen Geldbetrag nach dem Plan erhalten hat, im Wege der Klage geltend zu machen, wird durch die Versäumung der Frist und durch die Ausführung des Planes nicht ausgeschlossen.</w:t>
      </w:r>
    </w:p>
    <w:p>
      <w:pPr>
        <w:pStyle w:val="Heading4"/>
      </w:pPr>
      <w:bookmarkStart w:id="946" w:name="b945"/>
      <w:r>
        <w:t>§ 879 Zuständigkeit für die Widerspruchsklage</w:t>
      </w:r>
      <w:r>
        <w:t xml:space="preserve"> </w:t>
      </w:r>
      <w:r>
        <w:rPr>
          <w:rStyle w:val="Suchmarke"/>
        </w:rPr>
        <w:t>#879#</w:t>
      </w:r>
      <w:bookmarkEnd w:id="946"/>
    </w:p>
    <w:p>
      <w:r>
        <w:t>(1) Die Klage ist bei dem Verteilungsgericht und, wenn der Streitgegenstand zur Zuständigkeit der Amtsgerichte nicht gehört, bei dem Landgericht zu erheben, in dessen Bezirk das Verteilungsgericht seinen Sitz hat.</w:t>
      </w:r>
    </w:p>
    <w:p>
      <w:r>
        <w:t>(2) Das Landgericht ist für sämtliche Klagen zuständig, wenn seine Zuständigkeit nach dem Inhalt der erhobenen und in dem Termin nicht zur Erledigung gelangten Widersprüche auch nur bei einer Klage begründet ist, sofern nicht die sämtlichen beteiligten Gläubiger vereinbaren, dass das Verteilungsgericht über alle Widersprüche entscheiden solle.</w:t>
      </w:r>
    </w:p>
    <w:p>
      <w:pPr>
        <w:pStyle w:val="Heading4"/>
      </w:pPr>
      <w:bookmarkStart w:id="947" w:name="b946"/>
      <w:r>
        <w:t>§ 880 Inhalt des Urteils</w:t>
      </w:r>
      <w:r>
        <w:t xml:space="preserve"> </w:t>
      </w:r>
      <w:r>
        <w:rPr>
          <w:rStyle w:val="Suchmarke"/>
        </w:rPr>
        <w:t>#880#</w:t>
      </w:r>
      <w:bookmarkEnd w:id="947"/>
    </w:p>
    <w:p>
      <w:r>
        <w:rPr>
          <w:rStyle w:val="Satznummer"/>
        </w:rPr>
        <w:t>1</w:t>
      </w:r>
      <w:r>
        <w:t xml:space="preserve">In dem Urteil, durch das über einen erhobenen Widerspruch entschieden wird, ist zugleich zu bestimmen, an welche Gläubiger und in welchen Beträgen der streitige Teil der Masse auszuzahlen sei. </w:t>
      </w:r>
      <w:r>
        <w:rPr>
          <w:rStyle w:val="Satznummer"/>
        </w:rPr>
        <w:t>2</w:t>
      </w:r>
      <w:r>
        <w:t>Wird dies nicht für angemessen erachtet, so ist die Anfertigung eines neuen Planes und ein anderweites Verteilungsverfahren in dem Urteil anzuordnen.</w:t>
      </w:r>
    </w:p>
    <w:p>
      <w:pPr>
        <w:pStyle w:val="Heading4"/>
      </w:pPr>
      <w:bookmarkStart w:id="948" w:name="b947"/>
      <w:r>
        <w:t>§ 881 Versäumnisurteil</w:t>
      </w:r>
      <w:r>
        <w:t xml:space="preserve"> </w:t>
      </w:r>
      <w:r>
        <w:rPr>
          <w:rStyle w:val="Suchmarke"/>
        </w:rPr>
        <w:t>#881#</w:t>
      </w:r>
      <w:bookmarkEnd w:id="948"/>
    </w:p>
    <w:p>
      <w:r>
        <w:t>Das Versäumnisurteil gegen einen widersprechenden Gläubiger ist dahin zu erlassen, dass der Widerspruch als zurückgenommen anzusehen sei.</w:t>
      </w:r>
    </w:p>
    <w:p>
      <w:pPr>
        <w:pStyle w:val="Heading4"/>
      </w:pPr>
      <w:bookmarkStart w:id="949" w:name="b948"/>
      <w:r>
        <w:t>§ 882 Verfahren nach dem Urteil</w:t>
      </w:r>
      <w:r>
        <w:t xml:space="preserve"> </w:t>
      </w:r>
      <w:r>
        <w:rPr>
          <w:rStyle w:val="Suchmarke"/>
        </w:rPr>
        <w:t>#882#</w:t>
      </w:r>
      <w:bookmarkEnd w:id="949"/>
    </w:p>
    <w:p>
      <w:r>
        <w:t>Auf Grund des erlassenen Urteils wird die Auszahlung oder das anderweite Verteilungsverfahren von dem Verteilungsgericht angeordnet.</w:t>
      </w:r>
    </w:p>
    <w:p>
      <w:pPr>
        <w:pStyle w:val="Heading3"/>
      </w:pPr>
      <w:bookmarkStart w:id="950" w:name="b949"/>
      <w:r>
        <w:t>Titel 5 Zwangsvollstreckung in Sachen, die der Erfüllung öffentlicher Aufgaben dienen</w:t>
      </w:r>
      <w:bookmarkEnd w:id="950"/>
    </w:p>
    <w:p>
      <w:pPr>
        <w:pStyle w:val="Heading4"/>
      </w:pPr>
      <w:bookmarkStart w:id="951" w:name="b950"/>
      <w:r>
        <w:t>§ 882a Zwangsvollstreckung wegen einer Geldforderung</w:t>
      </w:r>
      <w:r>
        <w:t xml:space="preserve"> </w:t>
      </w:r>
      <w:r>
        <w:rPr>
          <w:rStyle w:val="Suchmarke"/>
        </w:rPr>
        <w:t>#882a#</w:t>
      </w:r>
      <w:bookmarkEnd w:id="951"/>
    </w:p>
    <w:p>
      <w:r>
        <w:t xml:space="preserve">(1) </w:t>
      </w:r>
      <w:r>
        <w:rPr>
          <w:rStyle w:val="Satznummer"/>
        </w:rPr>
        <w:t>1</w:t>
      </w:r>
      <w:r>
        <w:t xml:space="preserve">Die Zwangsvollstreckung gegen den Bund oder ein Land wegen einer Geldforderung darf, soweit nicht dingliche Rechte verfolgt werden, erst vier Wochen nach dem Zeitpunkt beginnen, in dem der Gläubiger seine Absicht, die Zwangsvollstreckung zu betreiben, der zur Vertretung des Schuldners berufenen Behörde und, sofern die Zwangsvollstreckung in ein von einer anderen Behörde verwaltetes Vermögen erfolgen soll, auch dem zuständigen Ministerium der Finanzen angezeigt hat. </w:t>
      </w:r>
      <w:r>
        <w:rPr>
          <w:rStyle w:val="Satznummer"/>
        </w:rPr>
        <w:t>2</w:t>
      </w:r>
      <w:r>
        <w:t xml:space="preserve">Dem Gläubiger ist auf Verlangen der Empfang der Anzeige zu bescheinigen. </w:t>
      </w:r>
      <w:r>
        <w:rPr>
          <w:rStyle w:val="Satznummer"/>
        </w:rPr>
        <w:t>3</w:t>
      </w:r>
      <w:r>
        <w:t>Soweit in solchen Fällen die Zwangsvollstreckung durch den Gerichtsvollzieher zu erfolgen hat, ist der Gerichtsvollzieher auf Antrag des Gläubigers vom Vollstreckungsgericht zu bestimmen.</w:t>
      </w:r>
    </w:p>
    <w:p>
      <w:r>
        <w:t xml:space="preserve">(2) </w:t>
      </w:r>
      <w:r>
        <w:rPr>
          <w:rStyle w:val="Satznummer"/>
        </w:rPr>
        <w:t>1</w:t>
      </w:r>
      <w:r>
        <w:t xml:space="preserve">Die Zwangsvollstreckung ist unzulässig in Sachen, die für die Erfüllung öffentlicher Aufgaben eines in Absatz 1 Satz 1 bezeichneten Schuldners unentbehrlich sind oder deren Veräußerung ein öffentliches Interesse entgegensteht. </w:t>
      </w:r>
      <w:r>
        <w:rPr>
          <w:rStyle w:val="Satznummer"/>
        </w:rPr>
        <w:t>2</w:t>
      </w:r>
      <w:r>
        <w:t xml:space="preserve">Darüber, ob die Voraussetzungen des Satzes 1 vorliegen, ist im Streitfall nach </w:t>
      </w:r>
      <w:hyperlink w:anchor="b772" w:history="1">
        <w:r>
          <w:rPr>
            <w:color w:val="0A3A8C"/>
            <w:u w:val="single"/>
          </w:rPr>
          <w:t xml:space="preserve">§ 766</w:t>
        </w:r>
      </w:hyperlink>
      <w:r>
        <w:t xml:space="preserve"> zu entscheiden. </w:t>
      </w:r>
      <w:r>
        <w:rPr>
          <w:rStyle w:val="Satznummer"/>
        </w:rPr>
        <w:t>3</w:t>
      </w:r>
      <w:r>
        <w:t>Vor der Entscheidung ist das zuständige Ministerium zu hören.</w:t>
      </w:r>
    </w:p>
    <w:p>
      <w:r>
        <w:t xml:space="preserve">(3) </w:t>
      </w:r>
      <w:r>
        <w:rPr>
          <w:rStyle w:val="Satznummer"/>
        </w:rPr>
        <w:t>1</w:t>
      </w:r>
      <w:r>
        <w:t xml:space="preserve">Die Vorschriften der Absätze 1 und 2 sind auf die Zwangsvollstreckung gegen sonstige Körperschaften, Anstalten und Stiftungen des öffentlichen Rechtes mit der Maßgabe anzuwenden, dass an die Stelle der Behörde im Sinne des Absatzes 1 die gesetzlichen Vertreter treten. </w:t>
      </w:r>
      <w:r>
        <w:rPr>
          <w:rStyle w:val="Satznummer"/>
        </w:rPr>
        <w:t>2</w:t>
      </w:r>
      <w:r>
        <w:t>Für öffentlich-rechtliche Bank- und Kreditanstalten gelten die Beschränkungen der Absätze 1 und 2 nicht.</w:t>
      </w:r>
    </w:p>
    <w:p>
      <w:r>
        <w:t xml:space="preserve">(4) </w:t>
      </w:r>
      <w:r>
        <w:rPr>
          <w:rStyle w:val="Satznummer"/>
        </w:rPr>
        <w:t>1</w:t>
      </w:r>
      <w:r>
        <w:t xml:space="preserve">Soll in eine für die Erfüllung öffentlicher Aufgaben unentbehrliche Sache vollstreckt werden, die im Eigentum eines Dritten steht, kann das Vollstreckungsgericht auf Antrag die Zwangsvollstreckung wegen einer Geldforderung gemäß </w:t>
      </w:r>
      <w:hyperlink w:anchor="b772" w:history="1">
        <w:r>
          <w:rPr>
            <w:color w:val="0A3A8C"/>
            <w:u w:val="single"/>
          </w:rPr>
          <w:t xml:space="preserve">§ 766</w:t>
        </w:r>
      </w:hyperlink>
      <w:r>
        <w:t xml:space="preserve"> für unzulässig erklären. </w:t>
      </w:r>
      <w:r>
        <w:rPr>
          <w:rStyle w:val="Satznummer"/>
        </w:rPr>
        <w:t>2</w:t>
      </w:r>
      <w:r>
        <w:t>Antragsberechtigt sind</w:t>
      </w:r>
    </w:p>
    <w:p>
      <w:pPr>
        <w:tabs>
          <w:tab w:pos="567" w:val="left"/>
        </w:tabs>
        <w:ind w:left="567" w:hanging="567"/>
      </w:pPr>
      <w:r>
        <w:t>1.</w:t>
      </w:r>
      <w:r>
        <w:tab/>
      </w:r>
      <w:r>
        <w:t>der Schuldner und</w:t>
      </w:r>
    </w:p>
    <w:p>
      <w:pPr>
        <w:tabs>
          <w:tab w:pos="567" w:val="left"/>
        </w:tabs>
        <w:ind w:left="567" w:hanging="567"/>
      </w:pPr>
      <w:r>
        <w:t>2.</w:t>
      </w:r>
      <w:r>
        <w:tab/>
      </w:r>
      <w:r>
        <w:t>der Bund, das Land, die Körperschaft, Anstalt oder Stiftung des öffentlichen Rechts.</w:t>
      </w:r>
    </w:p>
    <w:p>
      <w:r>
        <w:rPr>
          <w:rStyle w:val="Satznummer"/>
        </w:rPr>
        <w:t>3</w:t>
      </w:r>
      <w:r>
        <w:t xml:space="preserve">Voraussetzung für die Antragsberechtigung nach Satz 2 Nummer 2 ist, dass die Sache zur Erfüllung der jeweiligen öffentlichen Aufgaben der in Satz 2 Nummer 2 genannten Antragsberechtigten dient. </w:t>
      </w:r>
      <w:r>
        <w:rPr>
          <w:rStyle w:val="Satznummer"/>
        </w:rPr>
        <w:t>4</w:t>
      </w:r>
      <w:r>
        <w:t>Vor der Entscheidung ist das zuständige Ministerium zu hören.</w:t>
      </w:r>
    </w:p>
    <w:p>
      <w:r>
        <w:t>(5) Der Ankündigung der Zwangsvollstreckung und der Einhaltung einer Wartefrist nach Maßgabe der Absätze 1 und 3 bedarf es nicht, wenn es sich um den Vollzug einer einstweiligen Verfügung handelt.</w:t>
      </w:r>
    </w:p>
    <w:p>
      <w:pPr>
        <w:pStyle w:val="Heading3"/>
      </w:pPr>
      <w:bookmarkStart w:id="952" w:name="b951"/>
      <w:r>
        <w:t>Titel 6 Schuldnerverzeichnis</w:t>
      </w:r>
      <w:bookmarkEnd w:id="952"/>
    </w:p>
    <w:p>
      <w:pPr>
        <w:pStyle w:val="Heading4"/>
      </w:pPr>
      <w:bookmarkStart w:id="953" w:name="b952"/>
      <w:r>
        <w:t>§ 882b Inhalt des Schuldnerverzeichnisses</w:t>
      </w:r>
      <w:r>
        <w:t xml:space="preserve"> </w:t>
      </w:r>
      <w:r>
        <w:rPr>
          <w:rStyle w:val="Suchmarke"/>
        </w:rPr>
        <w:t>#882b#</w:t>
      </w:r>
      <w:bookmarkEnd w:id="953"/>
    </w:p>
    <w:p>
      <w:r>
        <w:t xml:space="preserve">(1) Das zentrale Vollstreckungsgericht nach </w:t>
      </w:r>
      <w:hyperlink w:anchor="b958" w:history="1">
        <w:r>
          <w:rPr>
            <w:color w:val="0A3A8C"/>
            <w:u w:val="single"/>
          </w:rPr>
          <w:t xml:space="preserve">§ 882h</w:t>
        </w:r>
      </w:hyperlink>
      <w:r>
        <w:t xml:space="preserve"> Abs. 1 führt ein Verzeichnis (Schuldnerverzeichnis) derjenigen Personen,</w:t>
      </w:r>
    </w:p>
    <w:p>
      <w:pPr>
        <w:tabs>
          <w:tab w:pos="567" w:val="left"/>
        </w:tabs>
        <w:ind w:left="567" w:hanging="567"/>
      </w:pPr>
      <w:r>
        <w:t>1.</w:t>
      </w:r>
      <w:r>
        <w:tab/>
      </w:r>
      <w:r>
        <w:t xml:space="preserve">deren Eintragung der Gerichtsvollzieher nach Maßgabe des </w:t>
      </w:r>
      <w:hyperlink w:anchor="b953" w:history="1">
        <w:r>
          <w:rPr>
            <w:color w:val="0A3A8C"/>
            <w:u w:val="single"/>
          </w:rPr>
          <w:t xml:space="preserve">§ 882c</w:t>
        </w:r>
      </w:hyperlink>
      <w:r>
        <w:t xml:space="preserve"> angeordnet hat;</w:t>
      </w:r>
    </w:p>
    <w:p>
      <w:pPr>
        <w:tabs>
          <w:tab w:pos="567" w:val="left"/>
        </w:tabs>
        <w:ind w:left="567" w:hanging="567"/>
      </w:pPr>
      <w:r>
        <w:t>2.</w:t>
      </w:r>
      <w:r>
        <w:tab/>
      </w:r>
      <w:r>
        <w:t>deren Eintragung die Vollstreckungsbehörde nach Maßgabe des § 284 Abs. 9 der Abgabenordnung angeordnet hat; einer Eintragungsanordnung nach § 284 Abs. 9 der Abgabenordnung steht die Anordnung der Eintragung in das Schuldnerverzeichnis durch eine Vollstreckungsbehörde gleich, die auf Grund einer gleichwertigen Regelung durch Bundesgesetz oder durch Landesgesetz ergangen ist;</w:t>
      </w:r>
    </w:p>
    <w:p>
      <w:pPr>
        <w:tabs>
          <w:tab w:pos="567" w:val="left"/>
        </w:tabs>
        <w:ind w:left="567" w:hanging="567"/>
      </w:pPr>
      <w:r>
        <w:t>3.</w:t>
      </w:r>
      <w:r>
        <w:tab/>
      </w:r>
      <w:r>
        <w:t xml:space="preserve">deren Eintragung das Insolvenzgericht nach Maßgabe des </w:t>
      </w:r>
      <w:hyperlink w:anchor="b31" w:history="1">
        <w:r>
          <w:rPr>
            <w:color w:val="0A3A8C"/>
            <w:u w:val="single"/>
          </w:rPr>
          <w:t xml:space="preserve">§ 26</w:t>
        </w:r>
      </w:hyperlink>
      <w:r>
        <w:t xml:space="preserve"> Absatz 2 oder des § 303a der Insolvenzordnung angeordnet hat.</w:t>
      </w:r>
    </w:p>
    <w:p>
      <w:r>
        <w:t>(2) Im Schuldnerverzeichnis werden angegeben:</w:t>
      </w:r>
    </w:p>
    <w:p>
      <w:pPr>
        <w:tabs>
          <w:tab w:pos="567" w:val="left"/>
        </w:tabs>
        <w:ind w:left="567" w:hanging="567"/>
      </w:pPr>
      <w:r>
        <w:t>1.</w:t>
      </w:r>
      <w:r>
        <w:tab/>
      </w:r>
      <w:r>
        <w:t>Name, Vorname und Geburtsname des Schuldners sowie die Firma und deren Nummer des Registerblatts im Handelsregister,</w:t>
      </w:r>
    </w:p>
    <w:p>
      <w:pPr>
        <w:tabs>
          <w:tab w:pos="567" w:val="left"/>
        </w:tabs>
        <w:ind w:left="567" w:hanging="567"/>
      </w:pPr>
      <w:r>
        <w:t>2.</w:t>
      </w:r>
      <w:r>
        <w:tab/>
      </w:r>
      <w:r>
        <w:t>Geburtsdatum und Geburtsort des Schuldners,</w:t>
      </w:r>
    </w:p>
    <w:p>
      <w:pPr>
        <w:tabs>
          <w:tab w:pos="567" w:val="left"/>
        </w:tabs>
        <w:ind w:left="567" w:hanging="567"/>
      </w:pPr>
      <w:r>
        <w:t>3.</w:t>
      </w:r>
      <w:r>
        <w:tab/>
      </w:r>
      <w:r>
        <w:t>Wohnsitze des Schuldners oder Sitz des Schuldners,</w:t>
      </w:r>
    </w:p>
    <w:p>
      <w:r>
        <w:t>einschließlich abweichender Personendaten.</w:t>
      </w:r>
    </w:p>
    <w:p>
      <w:r>
        <w:t>(3) Im Schuldnerverzeichnis werden weiter angegeben:</w:t>
      </w:r>
    </w:p>
    <w:p>
      <w:pPr>
        <w:tabs>
          <w:tab w:pos="567" w:val="left"/>
        </w:tabs>
        <w:ind w:left="567" w:hanging="567"/>
      </w:pPr>
      <w:r>
        <w:t>1.</w:t>
      </w:r>
      <w:r>
        <w:tab/>
      </w:r>
      <w:r>
        <w:t>Aktenzeichen und Gericht oder Vollstreckungsbehörde der Vollstreckungssache oder des Insolvenzverfahrens,</w:t>
      </w:r>
    </w:p>
    <w:p>
      <w:pPr>
        <w:tabs>
          <w:tab w:pos="567" w:val="left"/>
        </w:tabs>
        <w:ind w:left="567" w:hanging="567"/>
      </w:pPr>
      <w:r>
        <w:t>2.</w:t>
      </w:r>
      <w:r>
        <w:tab/>
      </w:r>
      <w:r>
        <w:t>im Fall des Absatzes 1 Nr. 1 das Datum der Eintragungsanordnung und der gemäß § 882c zur Eintragung führende Grund,</w:t>
      </w:r>
    </w:p>
    <w:p>
      <w:pPr>
        <w:tabs>
          <w:tab w:pos="567" w:val="left"/>
        </w:tabs>
        <w:ind w:left="567" w:hanging="567"/>
      </w:pPr>
      <w:r>
        <w:t>3.</w:t>
      </w:r>
      <w:r>
        <w:tab/>
      </w:r>
      <w:r>
        <w:t>im Fall des Absatzes 1 Nr. 2 das Datum der Eintragungsanordnung und der gemäß § 284 Abs. 9 der Abgabenordnung oder einer gleichwertigen Regelung im Sinne von Absatz 1 Nr. 2 Halbsatz 2 zur Eintragung führende Grund,</w:t>
      </w:r>
    </w:p>
    <w:p>
      <w:pPr>
        <w:tabs>
          <w:tab w:pos="567" w:val="left"/>
        </w:tabs>
        <w:ind w:left="567" w:hanging="567"/>
      </w:pPr>
      <w:r>
        <w:t>4.</w:t>
      </w:r>
      <w:r>
        <w:tab/>
      </w:r>
      <w:r>
        <w:t>im Fall des Absatzes 1 Nummer 3 das Datum der Eintragungsanordnung sowie die Feststellung, dass ein Antrag auf Eröffnung des Insolvenzverfahrens über das Vermögen des Schuldners mangels Masse gemäß § 26 Absatz 1 Satz 1 der Insolvenzordnung abgewiesen wurde, oder bei einer Eintragung gemäß § 303a der Insolvenzordnung der zur Eintragung führende Grund und das Datum der Entscheidung des Insolvenzgerichts.</w:t>
      </w:r>
    </w:p>
    <w:p>
      <w:pPr>
        <w:pStyle w:val="Heading4"/>
      </w:pPr>
      <w:bookmarkStart w:id="954" w:name="b953"/>
      <w:r>
        <w:t>§ 882c Eintragungsanordnung</w:t>
      </w:r>
      <w:r>
        <w:t xml:space="preserve"> </w:t>
      </w:r>
      <w:r>
        <w:rPr>
          <w:rStyle w:val="Suchmarke"/>
        </w:rPr>
        <w:t>#882c#</w:t>
      </w:r>
      <w:bookmarkEnd w:id="954"/>
    </w:p>
    <w:p>
      <w:r>
        <w:t xml:space="preserve">(1) </w:t>
      </w:r>
      <w:r>
        <w:rPr>
          <w:rStyle w:val="Satznummer"/>
        </w:rPr>
        <w:t>1</w:t>
      </w:r>
      <w:r>
        <w:t>Der zuständige Gerichtsvollzieher ordnet von Amts wegen die Eintragung des Schuldners in das Schuldnerverzeichnis an, wenn</w:t>
      </w:r>
    </w:p>
    <w:p>
      <w:pPr>
        <w:tabs>
          <w:tab w:pos="567" w:val="left"/>
        </w:tabs>
        <w:ind w:left="567" w:hanging="567"/>
      </w:pPr>
      <w:r>
        <w:t>1.</w:t>
      </w:r>
      <w:r>
        <w:tab/>
      </w:r>
      <w:r>
        <w:t>der Schuldner seiner Pflicht zur Abgabe der Vermögensauskunft nicht nachgekommen ist;</w:t>
      </w:r>
    </w:p>
    <w:p>
      <w:pPr>
        <w:tabs>
          <w:tab w:pos="567" w:val="left"/>
        </w:tabs>
        <w:ind w:left="567" w:hanging="567"/>
      </w:pPr>
      <w:r>
        <w:t>2.</w:t>
      </w:r>
      <w:r>
        <w:tab/>
      </w:r>
      <w:r>
        <w:t>eine Vollstreckung nach dem Inhalt des Vermögensverzeichnisses offensichtlich nicht geeignet wäre, zu einer vollständigen Befriedigung des Gläubigers zu führen, auf dessen Antrag die Vermögensauskunft erteilt oder dem die erteilte Auskunft zugeleitet wurde, oder</w:t>
      </w:r>
    </w:p>
    <w:p>
      <w:pPr>
        <w:tabs>
          <w:tab w:pos="567" w:val="left"/>
        </w:tabs>
        <w:ind w:left="567" w:hanging="567"/>
      </w:pPr>
      <w:r>
        <w:t>3.</w:t>
      </w:r>
      <w:r>
        <w:tab/>
      </w:r>
      <w:r>
        <w:t xml:space="preserve">der Schuldner dem Gerichtsvollzieher nicht innerhalb eines Monats nach Abgabe der Vermögensauskunft oder Bekanntgabe der Zuleitung nach </w:t>
      </w:r>
      <w:hyperlink w:anchor="b825" w:history="1">
        <w:r>
          <w:rPr>
            <w:color w:val="0A3A8C"/>
            <w:u w:val="single"/>
          </w:rPr>
          <w:t xml:space="preserve">§ 802d</w:t>
        </w:r>
      </w:hyperlink>
      <w:r>
        <w:t xml:space="preserve"> Abs. 1 Satz 2 die vollständige Befriedigung des Gläubigers nachweist, auf dessen Antrag die Vermögensauskunft erteilt oder dem die erteilte Auskunft zugeleitet wurde. </w:t>
      </w:r>
      <w:r>
        <w:rPr>
          <w:rStyle w:val="Satznummer"/>
        </w:rPr>
        <w:t>2</w:t>
      </w:r>
      <w:r>
        <w:t xml:space="preserve">Dies gilt nicht, solange ein Zahlungsplan nach </w:t>
      </w:r>
      <w:hyperlink w:anchor="b823" w:history="1">
        <w:r>
          <w:rPr>
            <w:color w:val="0A3A8C"/>
            <w:u w:val="single"/>
          </w:rPr>
          <w:t xml:space="preserve">§ 802b</w:t>
        </w:r>
      </w:hyperlink>
      <w:r>
        <w:t xml:space="preserve"> festgesetzt und nicht hinfällig ist.</w:t>
      </w:r>
    </w:p>
    <w:p>
      <w:r>
        <w:rPr>
          <w:rStyle w:val="Satznummer"/>
        </w:rPr>
        <w:t>2</w:t>
      </w:r>
      <w:r>
        <w:t>Die Anordnung der Eintragung des Schuldners in das Schuldnerverzeichnis ist Teil des Vollstreckungsverfahrens.</w:t>
      </w:r>
    </w:p>
    <w:p>
      <w:r>
        <w:t xml:space="preserve">(2) </w:t>
      </w:r>
      <w:r>
        <w:rPr>
          <w:rStyle w:val="Satznummer"/>
        </w:rPr>
        <w:t>1</w:t>
      </w:r>
      <w:r>
        <w:t xml:space="preserve">Die Eintragungsanordnung soll kurz begründet werden. </w:t>
      </w:r>
      <w:r>
        <w:rPr>
          <w:rStyle w:val="Satznummer"/>
        </w:rPr>
        <w:t>2</w:t>
      </w:r>
      <w:r>
        <w:t>Der Gerichtsvollzieher stellt sie dem Schuldner von Amts wegen zu, soweit sie ihm nicht mündlich bekannt gegeben und in das Protokoll aufgenommen wird (</w:t>
      </w:r>
      <w:hyperlink w:anchor="b768" w:history="1">
        <w:r>
          <w:rPr>
            <w:color w:val="0A3A8C"/>
            <w:u w:val="single"/>
          </w:rPr>
          <w:t xml:space="preserve">§ 763</w:t>
        </w:r>
      </w:hyperlink>
      <w:r>
        <w:t xml:space="preserve"> Absatz 1). </w:t>
      </w:r>
      <w:r>
        <w:rPr>
          <w:rStyle w:val="Satznummer"/>
        </w:rPr>
        <w:t>3</w:t>
      </w:r>
      <w:r>
        <w:t>Über die Bewilligung der öffentlichen Zustellung entscheidet abweichend von § 186 Absatz 1 Satz 1 der Gerichtsvollzieher.</w:t>
      </w:r>
    </w:p>
    <w:p>
      <w:r>
        <w:t xml:space="preserve">(3) </w:t>
      </w:r>
      <w:r>
        <w:rPr>
          <w:rStyle w:val="Satznummer"/>
        </w:rPr>
        <w:t>1</w:t>
      </w:r>
      <w:r>
        <w:t xml:space="preserve">Die Eintragungsanordnung hat die in </w:t>
      </w:r>
      <w:hyperlink w:anchor="b952" w:history="1">
        <w:r>
          <w:rPr>
            <w:color w:val="0A3A8C"/>
            <w:u w:val="single"/>
          </w:rPr>
          <w:t xml:space="preserve">§ 882b</w:t>
        </w:r>
      </w:hyperlink>
      <w:r>
        <w:t xml:space="preserve"> Abs. 2 und 3 genannten Daten zu enthalten. </w:t>
      </w:r>
      <w:r>
        <w:rPr>
          <w:rStyle w:val="Satznummer"/>
        </w:rPr>
        <w:t>2</w:t>
      </w:r>
      <w:r>
        <w:t xml:space="preserve">Sind dem Gerichtsvollzieher die nach § 882b Abs. 2 Nr. 1 bis 3 im Schuldnerverzeichnis anzugebenden Daten nicht bekannt, holt er Auskünfte bei den in </w:t>
      </w:r>
      <w:hyperlink w:anchor="b758" w:history="1">
        <w:r>
          <w:rPr>
            <w:color w:val="0A3A8C"/>
            <w:u w:val="single"/>
          </w:rPr>
          <w:t xml:space="preserve">§ 755</w:t>
        </w:r>
      </w:hyperlink>
      <w:r>
        <w:t xml:space="preserve"> Abs. 1 und 2 Satz 1 Nr. 1 genannten Stellen ein, um die erforderlichen Daten zu beschaffen. </w:t>
      </w:r>
      <w:r>
        <w:rPr>
          <w:rStyle w:val="Satznummer"/>
        </w:rPr>
        <w:t>3</w:t>
      </w:r>
      <w:r>
        <w:t xml:space="preserve">Hat der Gerichtsvollzieher Anhaltspunkte dafür, dass zugunsten des Schuldners eine Auskunftssperre gemäß § 51 des Bundesmeldegesetzes eingetragen oder ein bedingter Sperrvermerk gemäß § 52 des Bundesmeldegesetzes eingerichtet wurde, hat der Gerichtsvollzieher den Schuldner auf die Möglichkeit eines Vorgehens nach </w:t>
      </w:r>
      <w:hyperlink w:anchor="b956" w:history="1">
        <w:r>
          <w:rPr>
            <w:color w:val="0A3A8C"/>
            <w:u w:val="single"/>
          </w:rPr>
          <w:t xml:space="preserve">§ 882f</w:t>
        </w:r>
      </w:hyperlink>
      <w:r>
        <w:t xml:space="preserve"> Absatz 2 hinzuweisen.</w:t>
      </w:r>
    </w:p>
    <w:p>
      <w:pPr>
        <w:pStyle w:val="Heading4"/>
      </w:pPr>
      <w:bookmarkStart w:id="955" w:name="b954"/>
      <w:r>
        <w:t>§ 882d Vollziehung der Eintragungsanordnung</w:t>
      </w:r>
      <w:r>
        <w:t xml:space="preserve"> </w:t>
      </w:r>
      <w:r>
        <w:rPr>
          <w:rStyle w:val="Suchmarke"/>
        </w:rPr>
        <w:t>#882d#</w:t>
      </w:r>
      <w:bookmarkEnd w:id="955"/>
    </w:p>
    <w:p>
      <w:r>
        <w:t xml:space="preserve">(1) </w:t>
      </w:r>
      <w:r>
        <w:rPr>
          <w:rStyle w:val="Satznummer"/>
        </w:rPr>
        <w:t>1</w:t>
      </w:r>
      <w:r>
        <w:t xml:space="preserve">Gegen die Eintragungsanordnung nach </w:t>
      </w:r>
      <w:hyperlink w:anchor="b953" w:history="1">
        <w:r>
          <w:rPr>
            <w:color w:val="0A3A8C"/>
            <w:u w:val="single"/>
          </w:rPr>
          <w:t xml:space="preserve">§ 882c</w:t>
        </w:r>
      </w:hyperlink>
      <w:r>
        <w:t xml:space="preserve"> kann der Schuldner binnen zwei Wochen seit Bekanntgabe Widerspruch beim zuständigen Vollstreckungsgericht einlegen. </w:t>
      </w:r>
      <w:r>
        <w:rPr>
          <w:rStyle w:val="Satznummer"/>
        </w:rPr>
        <w:t>2</w:t>
      </w:r>
      <w:r>
        <w:t xml:space="preserve">Der Widerspruch hemmt nicht die Vollziehung. </w:t>
      </w:r>
      <w:r>
        <w:rPr>
          <w:rStyle w:val="Satznummer"/>
        </w:rPr>
        <w:t>3</w:t>
      </w:r>
      <w:r>
        <w:t xml:space="preserve">Nach Ablauf der Frist des Satzes 1 übermittelt der Gerichtsvollzieher die Anordnung unverzüglich elektronisch dem zentralen Vollstreckungsgericht nach </w:t>
      </w:r>
      <w:hyperlink w:anchor="b958" w:history="1">
        <w:r>
          <w:rPr>
            <w:color w:val="0A3A8C"/>
            <w:u w:val="single"/>
          </w:rPr>
          <w:t xml:space="preserve">§ 882h</w:t>
        </w:r>
      </w:hyperlink>
      <w:r>
        <w:t xml:space="preserve"> Abs. 1. </w:t>
      </w:r>
      <w:r>
        <w:rPr>
          <w:rStyle w:val="Satznummer"/>
        </w:rPr>
        <w:t>4</w:t>
      </w:r>
      <w:r>
        <w:t xml:space="preserve">Dieses veranlasst die Eintragung des Schuldners. </w:t>
      </w:r>
      <w:r>
        <w:rPr>
          <w:rStyle w:val="Satznummer"/>
        </w:rPr>
        <w:t>5</w:t>
      </w:r>
      <w:r>
        <w:t>Wird dem Gerichtsvollzieher vor der Übermittlung der Anordnung nach Satz 3 bekannt, dass die Voraussetzungen für die Eintragung nicht oder nicht mehr vorliegen, hebt er die Anordnung auf und unterrichtet den Schuldner hierüber.</w:t>
      </w:r>
    </w:p>
    <w:p>
      <w:r>
        <w:t xml:space="preserve">(2) </w:t>
      </w:r>
      <w:r>
        <w:rPr>
          <w:rStyle w:val="Satznummer"/>
        </w:rPr>
        <w:t>1</w:t>
      </w:r>
      <w:r>
        <w:t xml:space="preserve">Auf Antrag des Schuldners kann das Vollstreckungsgericht anordnen, dass die Eintragung einstweilen ausgesetzt wird. </w:t>
      </w:r>
      <w:r>
        <w:rPr>
          <w:rStyle w:val="Satznummer"/>
        </w:rPr>
        <w:t>2</w:t>
      </w:r>
      <w:r>
        <w:t xml:space="preserve">Das zentrale Vollstreckungsgericht nach </w:t>
      </w:r>
      <w:hyperlink w:anchor="b958" w:history="1">
        <w:r>
          <w:rPr>
            <w:color w:val="0A3A8C"/>
            <w:u w:val="single"/>
          </w:rPr>
          <w:t xml:space="preserve">§ 882h</w:t>
        </w:r>
      </w:hyperlink>
      <w:r>
        <w:t xml:space="preserve"> Abs. 1 hat von einer Eintragung abzusehen, wenn ihm die Ausfertigung einer vollstreckbaren Entscheidung vorgelegt wird, aus der sich ergibt, dass die Eintragungsanordnung einstweilen ausgesetzt ist.</w:t>
      </w:r>
    </w:p>
    <w:p>
      <w:r>
        <w:t xml:space="preserve">(3) </w:t>
      </w:r>
      <w:r>
        <w:rPr>
          <w:rStyle w:val="Satznummer"/>
        </w:rPr>
        <w:t>1</w:t>
      </w:r>
      <w:r>
        <w:t xml:space="preserve">Über die Rechtsbehelfe nach den Absätzen 1 und 2 ist der Schuldner mit der Bekanntgabe der Eintragungsanordnung zu belehren. </w:t>
      </w:r>
      <w:r>
        <w:rPr>
          <w:rStyle w:val="Satznummer"/>
        </w:rPr>
        <w:t>2</w:t>
      </w:r>
      <w:r>
        <w:t xml:space="preserve">Das Gericht, das über die Rechtsbehelfe entschieden hat, übermittelt seine Entscheidung dem zentralen Vollstreckungsgericht nach </w:t>
      </w:r>
      <w:hyperlink w:anchor="b958" w:history="1">
        <w:r>
          <w:rPr>
            <w:color w:val="0A3A8C"/>
            <w:u w:val="single"/>
          </w:rPr>
          <w:t xml:space="preserve">§ 882h</w:t>
        </w:r>
      </w:hyperlink>
      <w:r>
        <w:t xml:space="preserve"> Abs. 1 elektronisch.</w:t>
      </w:r>
    </w:p>
    <w:p>
      <w:pPr>
        <w:pStyle w:val="Heading4"/>
      </w:pPr>
      <w:bookmarkStart w:id="956" w:name="b955"/>
      <w:r>
        <w:t>§ 882e Löschung</w:t>
      </w:r>
      <w:r>
        <w:t xml:space="preserve"> </w:t>
      </w:r>
      <w:r>
        <w:rPr>
          <w:rStyle w:val="Suchmarke"/>
        </w:rPr>
        <w:t>#882e#</w:t>
      </w:r>
      <w:bookmarkEnd w:id="956"/>
    </w:p>
    <w:p>
      <w:r>
        <w:t xml:space="preserve">(1) Eine Eintragung im Schuldnerverzeichnis wird nach Ablauf von drei Jahren seit dem Tag der Eintragungsanordnung von dem zentralen Vollstreckungsgericht nach </w:t>
      </w:r>
      <w:hyperlink w:anchor="b958" w:history="1">
        <w:r>
          <w:rPr>
            <w:color w:val="0A3A8C"/>
            <w:u w:val="single"/>
          </w:rPr>
          <w:t xml:space="preserve">§ 882h</w:t>
        </w:r>
      </w:hyperlink>
      <w:r>
        <w:t xml:space="preserve"> Abs. 1 gelöscht.</w:t>
      </w:r>
    </w:p>
    <w:p>
      <w:r>
        <w:t xml:space="preserve">(2) </w:t>
      </w:r>
      <w:r>
        <w:rPr>
          <w:rStyle w:val="Satznummer"/>
        </w:rPr>
        <w:t>1</w:t>
      </w:r>
      <w:r>
        <w:t xml:space="preserve">Über Einwendungen gegen die Löschung nach Absatz 1 oder ihre Versagung entscheidet der Urkundsbeamte der Geschäftsstelle. </w:t>
      </w:r>
      <w:r>
        <w:rPr>
          <w:rStyle w:val="Satznummer"/>
        </w:rPr>
        <w:t>2</w:t>
      </w:r>
      <w:r>
        <w:t xml:space="preserve">Gegen seine Entscheidung findet die Erinnerung nach </w:t>
      </w:r>
      <w:hyperlink w:anchor="b629" w:history="1">
        <w:r>
          <w:rPr>
            <w:color w:val="0A3A8C"/>
            <w:u w:val="single"/>
          </w:rPr>
          <w:t xml:space="preserve">§ 573</w:t>
        </w:r>
      </w:hyperlink>
      <w:r>
        <w:t xml:space="preserve"> statt.</w:t>
      </w:r>
    </w:p>
    <w:p>
      <w:r>
        <w:t xml:space="preserve">(3) Abweichend von Absatz 1 wird eine Eintragung auf Anordnung des zentralen Vollstreckungsgerichts nach </w:t>
      </w:r>
      <w:hyperlink w:anchor="b958" w:history="1">
        <w:r>
          <w:rPr>
            <w:color w:val="0A3A8C"/>
            <w:u w:val="single"/>
          </w:rPr>
          <w:t xml:space="preserve">§ 882h</w:t>
        </w:r>
      </w:hyperlink>
      <w:r>
        <w:t xml:space="preserve"> Abs. 1 gelöscht, wenn diesem</w:t>
      </w:r>
    </w:p>
    <w:p>
      <w:pPr>
        <w:tabs>
          <w:tab w:pos="567" w:val="left"/>
        </w:tabs>
        <w:ind w:left="567" w:hanging="567"/>
      </w:pPr>
      <w:r>
        <w:t>1.</w:t>
      </w:r>
      <w:r>
        <w:tab/>
      </w:r>
      <w:r>
        <w:t>die vollständige Befriedigung des Gläubigers nachgewiesen worden ist;</w:t>
      </w:r>
    </w:p>
    <w:p>
      <w:pPr>
        <w:tabs>
          <w:tab w:pos="567" w:val="left"/>
        </w:tabs>
        <w:ind w:left="567" w:hanging="567"/>
      </w:pPr>
      <w:r>
        <w:t>2.</w:t>
      </w:r>
      <w:r>
        <w:tab/>
      </w:r>
      <w:r>
        <w:t>das Fehlen oder der Wegfall des Eintragungsgrundes bekannt geworden ist oder</w:t>
      </w:r>
    </w:p>
    <w:p>
      <w:pPr>
        <w:tabs>
          <w:tab w:pos="567" w:val="left"/>
        </w:tabs>
        <w:ind w:left="567" w:hanging="567"/>
      </w:pPr>
      <w:r>
        <w:t>3.</w:t>
      </w:r>
      <w:r>
        <w:tab/>
      </w:r>
      <w:r>
        <w:t>die Ausfertigung einer vollstreckbaren Entscheidung vorgelegt wird, aus der sich ergibt, dass die Eintragungsanordnung aufgehoben oder einstweilen ausgesetzt ist.</w:t>
      </w:r>
    </w:p>
    <w:p>
      <w:r>
        <w:t xml:space="preserve">(4) </w:t>
      </w:r>
      <w:r>
        <w:rPr>
          <w:rStyle w:val="Satznummer"/>
        </w:rPr>
        <w:t>1</w:t>
      </w:r>
      <w:r>
        <w:t xml:space="preserve">Wird dem zentralen Vollstreckungsgericht nach </w:t>
      </w:r>
      <w:hyperlink w:anchor="b958" w:history="1">
        <w:r>
          <w:rPr>
            <w:color w:val="0A3A8C"/>
            <w:u w:val="single"/>
          </w:rPr>
          <w:t xml:space="preserve">§ 882h</w:t>
        </w:r>
      </w:hyperlink>
      <w:r>
        <w:t xml:space="preserve"> Abs. 1 bekannt, dass der Inhalt einer Eintragung von Beginn an fehlerhaft war, wird die Eintragung durch den Urkundsbeamten der Geschäftsstelle geändert. </w:t>
      </w:r>
      <w:r>
        <w:rPr>
          <w:rStyle w:val="Satznummer"/>
        </w:rPr>
        <w:t>2</w:t>
      </w:r>
      <w:r>
        <w:t xml:space="preserve">Wird der Schuldner oder ein Dritter durch die Änderung der Eintragung beschwert, findet die Erinnerung nach </w:t>
      </w:r>
      <w:hyperlink w:anchor="b629" w:history="1">
        <w:r>
          <w:rPr>
            <w:color w:val="0A3A8C"/>
            <w:u w:val="single"/>
          </w:rPr>
          <w:t xml:space="preserve">§ 573</w:t>
        </w:r>
      </w:hyperlink>
      <w:r>
        <w:t xml:space="preserve"> statt.</w:t>
      </w:r>
    </w:p>
    <w:p>
      <w:pPr>
        <w:pStyle w:val="Heading4"/>
      </w:pPr>
      <w:bookmarkStart w:id="957" w:name="b956"/>
      <w:r>
        <w:t>§ 882f Einsicht in das Schuldnerverzeichnis</w:t>
      </w:r>
      <w:r>
        <w:t xml:space="preserve"> </w:t>
      </w:r>
      <w:r>
        <w:rPr>
          <w:rStyle w:val="Suchmarke"/>
        </w:rPr>
        <w:t>#882f#</w:t>
      </w:r>
      <w:bookmarkEnd w:id="957"/>
    </w:p>
    <w:p>
      <w:r>
        <w:t xml:space="preserve">(1) </w:t>
      </w:r>
      <w:r>
        <w:rPr>
          <w:rStyle w:val="Satznummer"/>
        </w:rPr>
        <w:t>1</w:t>
      </w:r>
      <w:r>
        <w:t xml:space="preserve">Die Einsicht in das Schuldnerverzeichnis ist jedem gestattet, der darlegt, Angaben nach </w:t>
      </w:r>
      <w:hyperlink w:anchor="b952" w:history="1">
        <w:r>
          <w:rPr>
            <w:color w:val="0A3A8C"/>
            <w:u w:val="single"/>
          </w:rPr>
          <w:t xml:space="preserve">§ 882b</w:t>
        </w:r>
      </w:hyperlink>
      <w:r>
        <w:t xml:space="preserve"> zu benötigen:</w:t>
      </w:r>
    </w:p>
    <w:p>
      <w:pPr>
        <w:tabs>
          <w:tab w:pos="567" w:val="left"/>
        </w:tabs>
        <w:ind w:left="567" w:hanging="567"/>
      </w:pPr>
      <w:r>
        <w:t>1.</w:t>
      </w:r>
      <w:r>
        <w:tab/>
      </w:r>
      <w:r>
        <w:t>für Zwecke der Zwangsvollstreckung;</w:t>
      </w:r>
    </w:p>
    <w:p>
      <w:pPr>
        <w:tabs>
          <w:tab w:pos="567" w:val="left"/>
        </w:tabs>
        <w:ind w:left="567" w:hanging="567"/>
      </w:pPr>
      <w:r>
        <w:t>2.</w:t>
      </w:r>
      <w:r>
        <w:tab/>
      </w:r>
      <w:r>
        <w:t>um gesetzliche Pflichten zur Prüfung der wirtschaftlichen Zuverlässigkeit zu erfüllen;</w:t>
      </w:r>
    </w:p>
    <w:p>
      <w:pPr>
        <w:tabs>
          <w:tab w:pos="567" w:val="left"/>
        </w:tabs>
        <w:ind w:left="567" w:hanging="567"/>
      </w:pPr>
      <w:r>
        <w:t>3.</w:t>
      </w:r>
      <w:r>
        <w:tab/>
      </w:r>
      <w:r>
        <w:t>um Voraussetzungen für die Gewährung von öffentlichen Leistungen zu prüfen;</w:t>
      </w:r>
    </w:p>
    <w:p>
      <w:pPr>
        <w:tabs>
          <w:tab w:pos="567" w:val="left"/>
        </w:tabs>
        <w:ind w:left="567" w:hanging="567"/>
      </w:pPr>
      <w:r>
        <w:t>4.</w:t>
      </w:r>
      <w:r>
        <w:tab/>
      </w:r>
      <w:r>
        <w:t>um wirtschaftliche Nachteile abzuwenden, die daraus entstehen können, dass Schuldner ihren Zahlungsverpflichtungen nicht nachkommen;</w:t>
      </w:r>
    </w:p>
    <w:p>
      <w:pPr>
        <w:tabs>
          <w:tab w:pos="567" w:val="left"/>
        </w:tabs>
        <w:ind w:left="567" w:hanging="567"/>
      </w:pPr>
      <w:r>
        <w:t>5.</w:t>
      </w:r>
      <w:r>
        <w:tab/>
      </w:r>
      <w:r>
        <w:t>für Zwecke der Strafverfolgung und der Strafvollstreckung;</w:t>
      </w:r>
    </w:p>
    <w:p>
      <w:pPr>
        <w:tabs>
          <w:tab w:pos="567" w:val="left"/>
        </w:tabs>
        <w:ind w:left="567" w:hanging="567"/>
      </w:pPr>
      <w:r>
        <w:t>6.</w:t>
      </w:r>
      <w:r>
        <w:tab/>
      </w:r>
      <w:r>
        <w:t>zur Auskunft über ihn selbst betreffende Eintragungen;</w:t>
      </w:r>
    </w:p>
    <w:p>
      <w:pPr>
        <w:tabs>
          <w:tab w:pos="567" w:val="left"/>
        </w:tabs>
        <w:ind w:left="567" w:hanging="567"/>
      </w:pPr>
      <w:r>
        <w:t>7.</w:t>
      </w:r>
      <w:r>
        <w:tab/>
      </w:r>
      <w:r>
        <w:t>für Zwecke der Dienstaufsicht über Justizbedienstete, die mit dem Schuldnerverzeichnis befasst sind.</w:t>
      </w:r>
    </w:p>
    <w:p>
      <w:r>
        <w:rPr>
          <w:rStyle w:val="Satznummer"/>
        </w:rPr>
        <w:t>2</w:t>
      </w:r>
      <w:r>
        <w:t xml:space="preserve">Die Informationen dürfen nur für den Zweck verarbeitet werden, für den sie übermittelt worden sind; sie sind nach Zweckerreichung zu löschen. </w:t>
      </w:r>
      <w:r>
        <w:rPr>
          <w:rStyle w:val="Satznummer"/>
        </w:rPr>
        <w:t>3</w:t>
      </w:r>
      <w:r>
        <w:t>Nichtöffentliche Stellen sind darauf bei der Übermittlung hinzuweisen.</w:t>
      </w:r>
    </w:p>
    <w:p>
      <w:r>
        <w:t xml:space="preserve">(2) </w:t>
      </w:r>
      <w:r>
        <w:rPr>
          <w:rStyle w:val="Satznummer"/>
        </w:rPr>
        <w:t>1</w:t>
      </w:r>
      <w:r>
        <w:t xml:space="preserve">Das Recht auf Einsichtnahme durch Dritte erstreckt sich nicht auf Angaben nach </w:t>
      </w:r>
      <w:hyperlink w:anchor="b952" w:history="1">
        <w:r>
          <w:rPr>
            <w:color w:val="0A3A8C"/>
            <w:u w:val="single"/>
          </w:rPr>
          <w:t xml:space="preserve">§ 882b</w:t>
        </w:r>
      </w:hyperlink>
      <w:r>
        <w:t xml:space="preserve"> Absatz 2 Nummer 3, wenn glaubhaft gemacht wird, dass zugunsten des Schuldners eine Auskunftssperre gemäß § 51 des Bundesmeldegesetzes eingetragen oder ein bedingter Sperrvermerk gemäß § 52 des Bundesmeldegesetzes eingerichtet wurde. </w:t>
      </w:r>
      <w:r>
        <w:rPr>
          <w:rStyle w:val="Satznummer"/>
        </w:rPr>
        <w:t>2</w:t>
      </w:r>
      <w:r>
        <w:t xml:space="preserve">Der Schuldner hat das Bestehen einer solchen Auskunftssperre oder eines solchen Sperrvermerks gegenüber dem Gerichtsvollzieher glaubhaft zu machen. </w:t>
      </w:r>
      <w:r>
        <w:rPr>
          <w:rStyle w:val="Satznummer"/>
        </w:rPr>
        <w:t>3</w:t>
      </w:r>
      <w:r>
        <w:t xml:space="preserve">Satz 2 gilt entsprechend gegenüber dem zentralen Vollstreckungsgericht, wenn die Eintragungsanordnung an dieses gemäß </w:t>
      </w:r>
      <w:hyperlink w:anchor="b954" w:history="1">
        <w:r>
          <w:rPr>
            <w:color w:val="0A3A8C"/>
            <w:u w:val="single"/>
          </w:rPr>
          <w:t xml:space="preserve">§ 882d</w:t>
        </w:r>
      </w:hyperlink>
      <w:r>
        <w:t xml:space="preserve"> Absatz 1 Satz 3 übermittelt worden ist. </w:t>
      </w:r>
      <w:r>
        <w:rPr>
          <w:rStyle w:val="Satznummer"/>
        </w:rPr>
        <w:t>4</w:t>
      </w:r>
      <w:r>
        <w:t>Satz 1 ist nicht anzuwenden auf die Einsichtnahme in das Schuldnerverzeichnis durch Gerichte und Behörden für die in Absatz 1 Satz 1 Nummer 2 und 5 bezeichneten Zwecke.</w:t>
      </w:r>
    </w:p>
    <w:p>
      <w:pPr>
        <w:pStyle w:val="Heading4"/>
      </w:pPr>
      <w:bookmarkStart w:id="958" w:name="b957"/>
      <w:r>
        <w:t>§ 882g Erteilung von Abdrucken</w:t>
      </w:r>
      <w:r>
        <w:t xml:space="preserve"> </w:t>
      </w:r>
      <w:r>
        <w:rPr>
          <w:rStyle w:val="Suchmarke"/>
        </w:rPr>
        <w:t>#882g#</w:t>
      </w:r>
      <w:bookmarkEnd w:id="958"/>
    </w:p>
    <w:p>
      <w:r>
        <w:t xml:space="preserve">(1) </w:t>
      </w:r>
      <w:r>
        <w:rPr>
          <w:rStyle w:val="Satznummer"/>
        </w:rPr>
        <w:t>1</w:t>
      </w:r>
      <w:r>
        <w:t xml:space="preserve">Aus dem Schuldnerverzeichnis können auf Antrag Abdrucke zum laufenden Bezug erteilt werden, auch durch Übermittlung in einer nur maschinell lesbaren Form. </w:t>
      </w:r>
      <w:r>
        <w:rPr>
          <w:rStyle w:val="Satznummer"/>
        </w:rPr>
        <w:t>2</w:t>
      </w:r>
      <w:r>
        <w:t xml:space="preserve">Bei der Übermittlung in einer nur maschinell lesbaren Form gelten die von der Landesjustizverwaltung festgelegten Datenübertragungsregeln. </w:t>
      </w:r>
      <w:r>
        <w:rPr>
          <w:rStyle w:val="Satznummer"/>
        </w:rPr>
        <w:t>3</w:t>
      </w:r>
      <w:r>
        <w:t xml:space="preserve">Liegen die Voraussetzungen des </w:t>
      </w:r>
      <w:hyperlink w:anchor="b956" w:history="1">
        <w:r>
          <w:rPr>
            <w:color w:val="0A3A8C"/>
            <w:u w:val="single"/>
          </w:rPr>
          <w:t xml:space="preserve">§ 882f</w:t>
        </w:r>
      </w:hyperlink>
      <w:r>
        <w:t xml:space="preserve"> Absatz 2 vor, dürfen Abdrucke insoweit nicht erteilt werden.</w:t>
      </w:r>
    </w:p>
    <w:p>
      <w:r>
        <w:t>(2) Abdrucke erhalten:</w:t>
      </w:r>
    </w:p>
    <w:p>
      <w:pPr>
        <w:tabs>
          <w:tab w:pos="567" w:val="left"/>
        </w:tabs>
        <w:ind w:left="567" w:hanging="567"/>
      </w:pPr>
      <w:r>
        <w:t>1.</w:t>
      </w:r>
      <w:r>
        <w:tab/>
      </w:r>
      <w:r>
        <w:t>Industrie- und Handelskammern sowie Körperschaften des öffentlichen Rechts, in denen Angehörige eines Berufes kraft Gesetzes zusammengeschlossen sind (Kammern),</w:t>
      </w:r>
    </w:p>
    <w:p>
      <w:pPr>
        <w:tabs>
          <w:tab w:pos="567" w:val="left"/>
        </w:tabs>
        <w:ind w:left="567" w:hanging="567"/>
      </w:pPr>
      <w:r>
        <w:t>2.</w:t>
      </w:r>
      <w:r>
        <w:tab/>
      </w:r>
      <w:r>
        <w:t>Antragsteller, die Abdrucke zur Errichtung und Führung nichtöffentlicher zentraler Schuldnerverzeichnisse verwenden, oder</w:t>
      </w:r>
    </w:p>
    <w:p>
      <w:pPr>
        <w:tabs>
          <w:tab w:pos="567" w:val="left"/>
        </w:tabs>
        <w:ind w:left="567" w:hanging="567"/>
      </w:pPr>
      <w:r>
        <w:t>3.</w:t>
      </w:r>
      <w:r>
        <w:tab/>
      </w:r>
      <w:r>
        <w:t>Antragsteller, deren berechtigtem Interesse durch Einzeleinsicht in die Länderschuldnerverzeichnisse oder durch den Bezug von Listen nach Absatz 5 nicht hinreichend Rechnung getragen werden kann.</w:t>
      </w:r>
    </w:p>
    <w:p>
      <w:r>
        <w:t xml:space="preserve">(3) </w:t>
      </w:r>
      <w:r>
        <w:rPr>
          <w:rStyle w:val="Satznummer"/>
        </w:rPr>
        <w:t>1</w:t>
      </w:r>
      <w:r>
        <w:t xml:space="preserve">Die Abdrucke sind vertraulich zu behandeln und dürfen Dritten nicht zugänglich gemacht werden. </w:t>
      </w:r>
      <w:r>
        <w:rPr>
          <w:rStyle w:val="Satznummer"/>
        </w:rPr>
        <w:t>2</w:t>
      </w:r>
      <w:r>
        <w:t>Nach der Beendigung des laufenden Bezugs sind die Abdrucke unverzüglich zu vernichten; Auskünfte dürfen nicht mehr erteilt werden.</w:t>
      </w:r>
    </w:p>
    <w:p>
      <w:r>
        <w:t xml:space="preserve">(4) </w:t>
      </w:r>
      <w:r>
        <w:rPr>
          <w:rStyle w:val="Satznummer"/>
        </w:rPr>
        <w:t>1</w:t>
      </w:r>
      <w:r>
        <w:t xml:space="preserve">Die Kammern dürfen ihren Mitgliedern oder den Mitgliedern einer anderen Kammer Auskünfte erteilen. </w:t>
      </w:r>
      <w:r>
        <w:rPr>
          <w:rStyle w:val="Satznummer"/>
        </w:rPr>
        <w:t>2</w:t>
      </w:r>
      <w:r>
        <w:t xml:space="preserve">Andere Bezieher von Abdrucken dürfen Auskünfte erteilen, soweit dies zu ihrer ordnungsgemäßen Tätigkeit gehört. </w:t>
      </w:r>
      <w:r>
        <w:rPr>
          <w:rStyle w:val="Satznummer"/>
        </w:rPr>
        <w:t>3</w:t>
      </w:r>
      <w:r>
        <w:t xml:space="preserve">Absatz 3 gilt entsprechend. </w:t>
      </w:r>
      <w:r>
        <w:rPr>
          <w:rStyle w:val="Satznummer"/>
        </w:rPr>
        <w:t>4</w:t>
      </w:r>
      <w:r>
        <w:t>Die Auskünfte dürfen auch im automatisierten Abrufverfahren erteilt werden, soweit dieses Verfahren unter Berücksichtigung der schutzwürdigen Interessen der Betroffenen und der Geschäftszwecke der zum Abruf berechtigten Stellen angemessen ist.</w:t>
      </w:r>
    </w:p>
    <w:p>
      <w:r>
        <w:t xml:space="preserve">(5) </w:t>
      </w:r>
      <w:r>
        <w:rPr>
          <w:rStyle w:val="Satznummer"/>
        </w:rPr>
        <w:t>1</w:t>
      </w:r>
      <w:r>
        <w:t xml:space="preserve">Die Kammern dürfen die Abdrucke in Listen zusammenfassen oder hiermit Dritte beauftragen; sie haben diese bei der Durchführung des Auftrags zu beaufsichtigen. </w:t>
      </w:r>
      <w:r>
        <w:rPr>
          <w:rStyle w:val="Satznummer"/>
        </w:rPr>
        <w:t>2</w:t>
      </w:r>
      <w:r>
        <w:t xml:space="preserve">Die Listen dürfen den Mitgliedern von Kammern auf Antrag zum laufenden Bezug überlassen werden. </w:t>
      </w:r>
      <w:r>
        <w:rPr>
          <w:rStyle w:val="Satznummer"/>
        </w:rPr>
        <w:t>3</w:t>
      </w:r>
      <w:r>
        <w:t xml:space="preserve">Für den Bezug der Listen gelten Absatz 2 Nr. 3 und Absatz 3 entsprechend. </w:t>
      </w:r>
      <w:r>
        <w:rPr>
          <w:rStyle w:val="Satznummer"/>
        </w:rPr>
        <w:t>4</w:t>
      </w:r>
      <w:r>
        <w:t>Die Bezieher der Listen dürfen Auskünfte nur jemandem erteilen, dessen Belange sie kraft Gesetzes oder Vertrages wahrzunehmen haben.</w:t>
      </w:r>
    </w:p>
    <w:p>
      <w:r>
        <w:t xml:space="preserve">(6) </w:t>
      </w:r>
      <w:r>
        <w:rPr>
          <w:rStyle w:val="Satznummer"/>
        </w:rPr>
        <w:t>1</w:t>
      </w:r>
      <w:r>
        <w:t xml:space="preserve">Für Abdrucke, Listen und Aufzeichnungen über eine Eintragung im Schuldnerverzeichnis, die auf der Verarbeitung von Abdrucken oder Listen oder auf Auskünften über Eintragungen im Schuldnerverzeichnis beruhen, gilt </w:t>
      </w:r>
      <w:hyperlink w:anchor="b955" w:history="1">
        <w:r>
          <w:rPr>
            <w:color w:val="0A3A8C"/>
            <w:u w:val="single"/>
          </w:rPr>
          <w:t xml:space="preserve">§ 882e</w:t>
        </w:r>
      </w:hyperlink>
      <w:r>
        <w:t xml:space="preserve"> Abs. 1 entsprechend. </w:t>
      </w:r>
      <w:r>
        <w:rPr>
          <w:rStyle w:val="Satznummer"/>
        </w:rPr>
        <w:t>2</w:t>
      </w:r>
      <w:r>
        <w:t>Über vorzeitige Löschungen (</w:t>
      </w:r>
      <w:hyperlink w:anchor="b955" w:history="1">
        <w:r>
          <w:rPr>
            <w:color w:val="0A3A8C"/>
            <w:u w:val="single"/>
          </w:rPr>
          <w:t xml:space="preserve">§ 882e</w:t>
        </w:r>
      </w:hyperlink>
      <w:r>
        <w:t xml:space="preserve"> Abs. 3) sind die Bezieher von Abdrucken innerhalb eines Monats zu unterrichten. </w:t>
      </w:r>
      <w:r>
        <w:rPr>
          <w:rStyle w:val="Satznummer"/>
        </w:rPr>
        <w:t>3</w:t>
      </w:r>
      <w:r>
        <w:t xml:space="preserve">Sie unterrichten unverzüglich die Bezieher von Listen (Absatz 5 Satz 2). </w:t>
      </w:r>
      <w:r>
        <w:rPr>
          <w:rStyle w:val="Satznummer"/>
        </w:rPr>
        <w:t>4</w:t>
      </w:r>
      <w:r>
        <w:t xml:space="preserve">In den auf Grund der Abdrucke und Listen erstellten Aufzeichnungen sind die Eintragungen unverzüglich zu löschen. </w:t>
      </w:r>
      <w:r>
        <w:rPr>
          <w:rStyle w:val="Satznummer"/>
        </w:rPr>
        <w:t>5</w:t>
      </w:r>
      <w:r>
        <w:t>Listen sind auch unverzüglich zu vernichten, soweit sie durch neue ersetzt werden.</w:t>
      </w:r>
    </w:p>
    <w:p>
      <w:r>
        <w:t xml:space="preserve">(7) </w:t>
      </w:r>
      <w:r>
        <w:rPr>
          <w:rStyle w:val="Satznummer"/>
        </w:rPr>
        <w:t>1</w:t>
      </w:r>
      <w:r>
        <w:t xml:space="preserve">In den Fällen des Absatzes 2 Nr. 2 und 3 sowie des Absatzes 5 gilt für nichtöffentliche Stellen § 40 des Bundesdatenschutzgesetzes mit der Maßgabe, dass die Aufsichtsbehörde auch die Verarbeitung dieser personenbezogenen Daten in oder aus Akten überwacht. </w:t>
      </w:r>
      <w:r>
        <w:rPr>
          <w:rStyle w:val="Satznummer"/>
        </w:rPr>
        <w:t>2</w:t>
      </w:r>
      <w:r>
        <w:t>Entsprechendes gilt für nichtöffentliche Stellen, die von den in Absatz 2 genannten Stellen Auskünfte erhalten haben.</w:t>
      </w:r>
    </w:p>
    <w:p>
      <w:r>
        <w:t>(8) Das Bundesministerium der Justiz und für Verbraucherschutz wird ermächtigt, durch Rechtsverordnung mit Zustimmung des Bundesrates</w:t>
      </w:r>
    </w:p>
    <w:p>
      <w:pPr>
        <w:tabs>
          <w:tab w:pos="567" w:val="left"/>
        </w:tabs>
        <w:ind w:left="567" w:hanging="567"/>
      </w:pPr>
      <w:r>
        <w:t>1.</w:t>
      </w:r>
      <w:r>
        <w:tab/>
      </w:r>
      <w:r>
        <w:t>Vorschriften über den Bezug von Abdrucken nach den Absätzen 1 und 2 und das Bewilligungsverfahren sowie den Bezug von Listen nach Absatz 5 zu erlassen;</w:t>
      </w:r>
    </w:p>
    <w:p>
      <w:pPr>
        <w:tabs>
          <w:tab w:pos="567" w:val="left"/>
        </w:tabs>
        <w:ind w:left="567" w:hanging="567"/>
      </w:pPr>
      <w:r>
        <w:t>2.</w:t>
      </w:r>
      <w:r>
        <w:tab/>
      </w:r>
      <w:r>
        <w:t>Einzelheiten der Einrichtung und Ausgestaltung automatisierter Abrufverfahren nach Absatz 4 Satz 4, insbesondere der Protokollierung der Abrufe für Zwecke der Datenschutzkontrolle, zu regeln;</w:t>
      </w:r>
    </w:p>
    <w:p>
      <w:pPr>
        <w:tabs>
          <w:tab w:pos="567" w:val="left"/>
        </w:tabs>
        <w:ind w:left="567" w:hanging="567"/>
      </w:pPr>
      <w:r>
        <w:t>3.</w:t>
      </w:r>
      <w:r>
        <w:tab/>
      </w:r>
      <w:r>
        <w:t>die Erteilung und Aufbewahrung von Abdrucken aus dem Schuldnerverzeichnis, die Anfertigung, Verwendung und Weitergabe von Listen, die Mitteilung und den Vollzug von Löschungen und den Ausschluss vom Bezug von Abdrucken und Listen näher zu regeln, um die ordnungsgemäße Behandlung der Mitteilungen, den Schutz vor unbefugter Verwendung und die rechtzeitige Löschung von Eintragungen sicherzustellen;</w:t>
      </w:r>
    </w:p>
    <w:p>
      <w:pPr>
        <w:tabs>
          <w:tab w:pos="567" w:val="left"/>
        </w:tabs>
        <w:ind w:left="567" w:hanging="567"/>
      </w:pPr>
      <w:r>
        <w:t>4.</w:t>
      </w:r>
      <w:r>
        <w:tab/>
      </w:r>
      <w:r>
        <w:t>zur Durchsetzung der Vernichtungs- und Löschungspflichten im Fall des Widerrufs der Bewilligung die Verhängung von Zwangsgeldern vorzusehen; das einzelne Zwangsgeld darf den Betrag von 25 000 Euro nicht übersteigen.</w:t>
      </w:r>
    </w:p>
    <w:p>
      <w:pPr>
        <w:pStyle w:val="Heading4"/>
      </w:pPr>
      <w:bookmarkStart w:id="959" w:name="b958"/>
      <w:r>
        <w:t>§ 882h Zuständigkeit; Ausgestaltung des Schuldnerverzeichnisses</w:t>
      </w:r>
      <w:r>
        <w:t xml:space="preserve"> </w:t>
      </w:r>
      <w:r>
        <w:rPr>
          <w:rStyle w:val="Suchmarke"/>
        </w:rPr>
        <w:t>#882h#</w:t>
      </w:r>
      <w:bookmarkEnd w:id="959"/>
    </w:p>
    <w:p>
      <w:r>
        <w:t xml:space="preserve">(1) </w:t>
      </w:r>
      <w:r>
        <w:rPr>
          <w:rStyle w:val="Satznummer"/>
        </w:rPr>
        <w:t>1</w:t>
      </w:r>
      <w:r>
        <w:t xml:space="preserve">Das Schuldnerverzeichnis wird für jedes Land von einem zentralen Vollstreckungsgericht geführt. </w:t>
      </w:r>
      <w:r>
        <w:rPr>
          <w:rStyle w:val="Satznummer"/>
        </w:rPr>
        <w:t>2</w:t>
      </w:r>
      <w:r>
        <w:t xml:space="preserve">Der Inhalt des Schuldnerverzeichnisses kann über eine zentrale und länderübergreifende Abfrage im Internet eingesehen werden. </w:t>
      </w:r>
      <w:r>
        <w:rPr>
          <w:rStyle w:val="Satznummer"/>
        </w:rPr>
        <w:t>3</w:t>
      </w:r>
      <w:r>
        <w:t>Die Länder können Einzug und Verteilung der Gebühren sowie weitere Abwicklungsaufgaben im Zusammenhang mit der Abfrage nach Satz 2 auf die zuständige Stelle eines Landes übertragen.</w:t>
      </w:r>
    </w:p>
    <w:p>
      <w:r>
        <w:t xml:space="preserve">(2) </w:t>
      </w:r>
      <w:r>
        <w:rPr>
          <w:rStyle w:val="Satznummer"/>
        </w:rPr>
        <w:t>1</w:t>
      </w:r>
      <w:r>
        <w:t xml:space="preserve">Die Landesregierungen bestimmen durch Rechtsverordnung, welches Gericht die Aufgaben des zentralen Vollstreckungsgerichts nach Absatz 1 wahrzunehmen hat. </w:t>
      </w:r>
      <w:r>
        <w:rPr>
          <w:rStyle w:val="Satznummer"/>
        </w:rPr>
        <w:t>2</w:t>
      </w:r>
      <w:hyperlink w:anchor="b832" w:history="1">
        <w:r>
          <w:rPr>
            <w:color w:val="0A3A8C"/>
            <w:u w:val="single"/>
          </w:rPr>
          <w:t xml:space="preserve">§ 802k</w:t>
        </w:r>
      </w:hyperlink>
      <w:r>
        <w:t xml:space="preserve"> Abs. 3 Satz 2 und 3 gilt entsprechend. </w:t>
      </w:r>
      <w:r>
        <w:rPr>
          <w:rStyle w:val="Satznummer"/>
        </w:rPr>
        <w:t>3</w:t>
      </w:r>
      <w:r>
        <w:t>Die Führung des Schuldnerverzeichnisses stellt eine Angelegenheit der Justizverwaltung dar.</w:t>
      </w:r>
    </w:p>
    <w:p>
      <w:r>
        <w:t xml:space="preserve">(3) </w:t>
      </w:r>
      <w:r>
        <w:rPr>
          <w:rStyle w:val="Satznummer"/>
        </w:rPr>
        <w:t>1</w:t>
      </w:r>
      <w:r>
        <w:t xml:space="preserve">Das Bundesministerium der Justiz und für Verbraucherschutz wird ermächtigt, durch Rechtsverordnung mit Zustimmung des Bundesrates die Einzelheiten zu Form und Übermittlung der Eintragungsanordnungen nach </w:t>
      </w:r>
      <w:hyperlink w:anchor="b952" w:history="1">
        <w:r>
          <w:rPr>
            <w:color w:val="0A3A8C"/>
            <w:u w:val="single"/>
          </w:rPr>
          <w:t xml:space="preserve">§ 882b</w:t>
        </w:r>
      </w:hyperlink>
      <w:r>
        <w:t xml:space="preserve"> Abs. 1 und der Entscheidungen nach </w:t>
      </w:r>
      <w:hyperlink w:anchor="b954" w:history="1">
        <w:r>
          <w:rPr>
            <w:color w:val="0A3A8C"/>
            <w:u w:val="single"/>
          </w:rPr>
          <w:t xml:space="preserve">§ 882d</w:t>
        </w:r>
      </w:hyperlink>
      <w:r>
        <w:t xml:space="preserve"> Abs. 3 Satz 2 dieses Gesetzes und § 284 Abs. 10 Satz 2 der Abgabenordnung oder gleichwertigen Regelungen im Sinne von </w:t>
      </w:r>
      <w:hyperlink w:anchor="b952" w:history="1">
        <w:r>
          <w:rPr>
            <w:color w:val="0A3A8C"/>
            <w:u w:val="single"/>
          </w:rPr>
          <w:t xml:space="preserve">§ 882b</w:t>
        </w:r>
      </w:hyperlink>
      <w:r>
        <w:t xml:space="preserve"> Abs. 1 Nr. 2 Halbsatz 2 dieses Gesetzes sowie zum Inhalt des Schuldnerverzeichnisses und zur Ausgestaltung der Einsicht insbesondere durch ein automatisiertes Abrufverfahren zu regeln. </w:t>
      </w:r>
      <w:r>
        <w:rPr>
          <w:rStyle w:val="Satznummer"/>
        </w:rPr>
        <w:t>2</w:t>
      </w:r>
      <w:r>
        <w:t xml:space="preserve">Die Rechtsverordnung hat geeignete Regelungen zur Sicherung des Datenschutzes und der Datensicherheit vorzusehen. </w:t>
      </w:r>
      <w:r>
        <w:rPr>
          <w:rStyle w:val="Satznummer"/>
        </w:rPr>
        <w:t>3</w:t>
      </w:r>
      <w:r>
        <w:t>Insbesondere ist sicherzustellen, dass die Daten</w:t>
      </w:r>
    </w:p>
    <w:p>
      <w:pPr>
        <w:tabs>
          <w:tab w:pos="567" w:val="left"/>
        </w:tabs>
        <w:ind w:left="567" w:hanging="567"/>
      </w:pPr>
      <w:r>
        <w:t>1.</w:t>
      </w:r>
      <w:r>
        <w:tab/>
      </w:r>
      <w:r>
        <w:t>bei der elektronischen Übermittlung an das zentrale Vollstreckungsgericht nach Absatz 1 sowie bei der Weitergabe an eine andere Stelle nach Absatz 2 Satz 2 gegen unbefugte Kenntnisnahme geschützt sind,</w:t>
      </w:r>
    </w:p>
    <w:p>
      <w:pPr>
        <w:tabs>
          <w:tab w:pos="567" w:val="left"/>
        </w:tabs>
        <w:ind w:left="567" w:hanging="567"/>
      </w:pPr>
      <w:r>
        <w:t>2.</w:t>
      </w:r>
      <w:r>
        <w:tab/>
      </w:r>
      <w:r>
        <w:t>unversehrt und vollständig wiedergegeben werden,</w:t>
      </w:r>
    </w:p>
    <w:p>
      <w:pPr>
        <w:tabs>
          <w:tab w:pos="567" w:val="left"/>
        </w:tabs>
        <w:ind w:left="567" w:hanging="567"/>
      </w:pPr>
      <w:r>
        <w:t>3.</w:t>
      </w:r>
      <w:r>
        <w:tab/>
      </w:r>
      <w:r>
        <w:t>jederzeit ihrem Ursprung nach zugeordnet werden können und</w:t>
      </w:r>
    </w:p>
    <w:p>
      <w:pPr>
        <w:tabs>
          <w:tab w:pos="567" w:val="left"/>
        </w:tabs>
        <w:ind w:left="567" w:hanging="567"/>
      </w:pPr>
      <w:r>
        <w:t>4.</w:t>
      </w:r>
      <w:r>
        <w:tab/>
      </w:r>
      <w:r>
        <w:t>nur von registrierten Nutzern nach Angabe des Verwendungszwecks abgerufen werden können, jeder Abrufvorgang protokolliert wird und Nutzer im Fall des missbräuchlichen Datenabrufs oder einer missbräuchlichen Datenverarbeitung von der Einsichtnahme ausgeschlossen werden können.</w:t>
      </w:r>
    </w:p>
    <w:p>
      <w:r>
        <w:rPr>
          <w:rStyle w:val="Satznummer"/>
        </w:rPr>
        <w:t>4</w:t>
      </w:r>
      <w:r>
        <w:t>Die Daten der Nutzer dürfen nur für die in Satz 3 Nr. 4 genannten Zwecke verarbeitet werden.</w:t>
      </w:r>
    </w:p>
    <w:p>
      <w:pPr>
        <w:pStyle w:val="Heading4"/>
      </w:pPr>
      <w:bookmarkStart w:id="960" w:name="b959"/>
      <w:r>
        <w:t>§ 882i Rechte der Betroffenen</w:t>
      </w:r>
      <w:r>
        <w:t xml:space="preserve"> </w:t>
      </w:r>
      <w:r>
        <w:rPr>
          <w:rStyle w:val="Suchmarke"/>
        </w:rPr>
        <w:t>#882i#</w:t>
      </w:r>
      <w:bookmarkEnd w:id="960"/>
    </w:p>
    <w:p>
      <w:r>
        <w:t xml:space="preserve">(1) </w:t>
      </w:r>
      <w:r>
        <w:rPr>
          <w:rStyle w:val="Satznummer"/>
        </w:rPr>
        <w:t>1</w:t>
      </w:r>
      <w:r>
        <w:t xml:space="preserve">Das Auskunftsrecht nach Artikel 15 Absatz 1 und das Recht auf Erhalt einer Kopie nach Artikel 15 Absatz 3 der Verordnung (EU) 2016/679 wird in Bezug auf die personenbezogenen Daten, die im Schuldnerverzeichnis und in den an das zentrale Vollstreckungsgericht übermittelten Anordnungen der Eintragung in das Schuldnerverzeichnis enthalten sind, dadurch gewährt, dass die betroffene Person Einsicht in das Schuldnerverzeichnis über die zentrale und länderübergreifende Abfrage im Internet nach </w:t>
      </w:r>
      <w:hyperlink w:anchor="b958" w:history="1">
        <w:r>
          <w:rPr>
            <w:color w:val="0A3A8C"/>
            <w:u w:val="single"/>
          </w:rPr>
          <w:t xml:space="preserve">§ 882h</w:t>
        </w:r>
      </w:hyperlink>
      <w:r>
        <w:t xml:space="preserve"> Absatz 1 Satz 2 nehmen kann. </w:t>
      </w:r>
      <w:r>
        <w:rPr>
          <w:rStyle w:val="Satznummer"/>
        </w:rPr>
        <w:t>2</w:t>
      </w:r>
      <w:r>
        <w:t>Eine Information der betroffenen Person über konkrete Empfänger, gegenüber denen die in Satz 1 genannten personenbezogenen Daten offengelegt werden, erfolgt nur insoweit, als Daten zu diesen Empfängern nach den Vorschriften für Zwecke der Datenschutzkontrolle zu speichern sind.</w:t>
      </w:r>
    </w:p>
    <w:p>
      <w:r>
        <w:t xml:space="preserve">(2) Hinsichtlich der im Schuldnerverzeichnis enthaltenen personenbezogenen Daten kann das Recht auf Berichtigung nach Artikel 16 der Verordnung (EU) 2016/679 nur unter den Voraussetzungen ausgeübt werden, die in </w:t>
      </w:r>
      <w:hyperlink w:anchor="b955" w:history="1">
        <w:r>
          <w:rPr>
            <w:color w:val="0A3A8C"/>
            <w:u w:val="single"/>
          </w:rPr>
          <w:t xml:space="preserve">§ 882e</w:t>
        </w:r>
      </w:hyperlink>
      <w:r>
        <w:t xml:space="preserve"> für Löschungen von Eintragungen oder die Änderung fehlerhafter Eintragungen vorgesehen sind.</w:t>
      </w:r>
    </w:p>
    <w:p>
      <w:r>
        <w:t>(3) Das Widerspruchsrecht gemäß Artikel 21 der Verordnung (EU) 2016/679 gilt nicht in Bezug auf die personenbezogenen Daten, die im Schuldnerverzeichnis und in den an das zentrale Vollstreckungsgericht übermittelten Anordnungen der Eintragung in das Schuldnerverzeichnis enthalten sind.</w:t>
      </w:r>
    </w:p>
    <w:p>
      <w:pPr>
        <w:pStyle w:val="Heading2"/>
      </w:pPr>
      <w:bookmarkStart w:id="961" w:name="b960"/>
      <w:r>
        <w:t>Abschnitt 3 Zwangsvollstreckung zur Erwirkung der Herausgabe von Sachen und zur Erwirkung von Handlungen oder Unterlassungen</w:t>
      </w:r>
      <w:bookmarkEnd w:id="961"/>
    </w:p>
    <w:p>
      <w:pPr>
        <w:pStyle w:val="Heading3"/>
      </w:pPr>
      <w:bookmarkStart w:id="962" w:name="b961"/>
      <w:r>
        <w:t>§ 883 Herausgabe bestimmter beweglicher Sachen</w:t>
      </w:r>
      <w:r>
        <w:t xml:space="preserve"> </w:t>
      </w:r>
      <w:r>
        <w:rPr>
          <w:rStyle w:val="Suchmarke"/>
        </w:rPr>
        <w:t>#883#</w:t>
      </w:r>
      <w:bookmarkEnd w:id="962"/>
    </w:p>
    <w:p>
      <w:r>
        <w:t>(1) Hat der Schuldner eine bewegliche Sache oder eine Menge bestimmter beweglicher Sachen herauszugeben, so sind sie von dem Gerichtsvollzieher ihm wegzunehmen und dem Gläubiger zu übergeben.</w:t>
      </w:r>
    </w:p>
    <w:p>
      <w:r>
        <w:t xml:space="preserve">(2) </w:t>
      </w:r>
      <w:r>
        <w:rPr>
          <w:rStyle w:val="Satznummer"/>
        </w:rPr>
        <w:t>1</w:t>
      </w:r>
      <w:r>
        <w:t xml:space="preserve">Wird die herauszugebende Sache nicht vorgefunden, so ist der Schuldner verpflichtet, auf Antrag des Gläubigers zu Protokoll an Eides statt zu versichern, dass er die Sache nicht besitze, auch nicht wisse, wo die Sache sich befinde. </w:t>
      </w:r>
      <w:r>
        <w:rPr>
          <w:rStyle w:val="Satznummer"/>
        </w:rPr>
        <w:t>2</w:t>
      </w:r>
      <w:r>
        <w:t xml:space="preserve">Der gemäß </w:t>
      </w:r>
      <w:hyperlink w:anchor="b826" w:history="1">
        <w:r>
          <w:rPr>
            <w:color w:val="0A3A8C"/>
            <w:u w:val="single"/>
          </w:rPr>
          <w:t xml:space="preserve">§ 802e</w:t>
        </w:r>
      </w:hyperlink>
      <w:r>
        <w:t xml:space="preserve"> zuständige Gerichtsvollzieher lädt den Schuldner zur Abgabe der eidesstattlichen Versicherung. </w:t>
      </w:r>
      <w:r>
        <w:rPr>
          <w:rStyle w:val="Satznummer"/>
        </w:rPr>
        <w:t>3</w:t>
      </w:r>
      <w:r>
        <w:t xml:space="preserve">Die Vorschriften der </w:t>
      </w:r>
      <w:hyperlink w:anchor="b526" w:history="1">
        <w:r>
          <w:rPr>
            <w:color w:val="0A3A8C"/>
            <w:u w:val="single"/>
          </w:rPr>
          <w:t xml:space="preserve">§§ 478</w:t>
        </w:r>
      </w:hyperlink>
      <w:r>
        <w:t xml:space="preserve"> bis </w:t>
      </w:r>
      <w:hyperlink w:anchor="b528" w:history="1">
        <w:r>
          <w:rPr>
            <w:color w:val="0A3A8C"/>
            <w:u w:val="single"/>
          </w:rPr>
          <w:t xml:space="preserve">480</w:t>
        </w:r>
      </w:hyperlink>
      <w:r>
        <w:t xml:space="preserve">, </w:t>
      </w:r>
      <w:hyperlink w:anchor="b531" w:history="1">
        <w:r>
          <w:rPr>
            <w:color w:val="0A3A8C"/>
            <w:u w:val="single"/>
          </w:rPr>
          <w:t xml:space="preserve">483</w:t>
        </w:r>
      </w:hyperlink>
      <w:r>
        <w:t xml:space="preserve">, </w:t>
      </w:r>
      <w:hyperlink w:anchor="b827" w:history="1">
        <w:r>
          <w:rPr>
            <w:color w:val="0A3A8C"/>
            <w:u w:val="single"/>
          </w:rPr>
          <w:t xml:space="preserve">§ 802f</w:t>
        </w:r>
      </w:hyperlink>
      <w:r>
        <w:t xml:space="preserve"> Absatz 6, </w:t>
      </w:r>
      <w:hyperlink w:anchor="b828" w:history="1">
        <w:r>
          <w:rPr>
            <w:color w:val="0A3A8C"/>
            <w:u w:val="single"/>
          </w:rPr>
          <w:t xml:space="preserve">§§ 802g</w:t>
        </w:r>
      </w:hyperlink>
      <w:r>
        <w:t xml:space="preserve"> bis </w:t>
      </w:r>
      <w:hyperlink w:anchor="b830" w:history="1">
        <w:r>
          <w:rPr>
            <w:color w:val="0A3A8C"/>
            <w:u w:val="single"/>
          </w:rPr>
          <w:t xml:space="preserve">802i</w:t>
        </w:r>
      </w:hyperlink>
      <w:r>
        <w:t xml:space="preserve"> und </w:t>
      </w:r>
      <w:hyperlink w:anchor="b831" w:history="1">
        <w:r>
          <w:rPr>
            <w:color w:val="0A3A8C"/>
            <w:u w:val="single"/>
          </w:rPr>
          <w:t xml:space="preserve">802j</w:t>
        </w:r>
      </w:hyperlink>
      <w:r>
        <w:t xml:space="preserve"> Abs. 1 und 2 gelten entsprechend.</w:t>
      </w:r>
    </w:p>
    <w:p>
      <w:r>
        <w:t>(3) Das Gericht kann eine der Sachlage entsprechende Änderung der eidesstattlichen Versicherung beschließen.</w:t>
      </w:r>
    </w:p>
    <w:p>
      <w:r>
        <w:t>(4) (weggefallen)</w:t>
      </w:r>
    </w:p>
    <w:p>
      <w:pPr>
        <w:pStyle w:val="Heading3"/>
      </w:pPr>
      <w:bookmarkStart w:id="963" w:name="b962"/>
      <w:r>
        <w:t>§ 884 Leistung einer bestimmten Menge vertretbarer Sachen</w:t>
      </w:r>
      <w:r>
        <w:t xml:space="preserve"> </w:t>
      </w:r>
      <w:r>
        <w:rPr>
          <w:rStyle w:val="Suchmarke"/>
        </w:rPr>
        <w:t>#884#</w:t>
      </w:r>
      <w:bookmarkEnd w:id="963"/>
    </w:p>
    <w:p>
      <w:r>
        <w:t xml:space="preserve">Hat der Schuldner eine bestimmte Menge vertretbarer Sachen oder Wertpapiere zu leisten, so gilt die Vorschrift des </w:t>
      </w:r>
      <w:hyperlink w:anchor="b961" w:history="1">
        <w:r>
          <w:rPr>
            <w:color w:val="0A3A8C"/>
            <w:u w:val="single"/>
          </w:rPr>
          <w:t xml:space="preserve">§ 883</w:t>
        </w:r>
      </w:hyperlink>
      <w:r>
        <w:t xml:space="preserve"> Abs. 1 entsprechend.</w:t>
      </w:r>
    </w:p>
    <w:p>
      <w:pPr>
        <w:pStyle w:val="Heading3"/>
      </w:pPr>
      <w:bookmarkStart w:id="964" w:name="b963"/>
      <w:r>
        <w:t>§ 885 Herausgabe von Grundstücken oder Schiffen</w:t>
      </w:r>
      <w:r>
        <w:t xml:space="preserve"> </w:t>
      </w:r>
      <w:r>
        <w:rPr>
          <w:rStyle w:val="Suchmarke"/>
        </w:rPr>
        <w:t>#885#</w:t>
      </w:r>
      <w:bookmarkEnd w:id="964"/>
    </w:p>
    <w:p>
      <w:r>
        <w:t xml:space="preserve">(1) </w:t>
      </w:r>
      <w:r>
        <w:rPr>
          <w:rStyle w:val="Satznummer"/>
        </w:rPr>
        <w:t>1</w:t>
      </w:r>
      <w:r>
        <w:t xml:space="preserve">Hat der Schuldner eine unbewegliche Sache oder ein eingetragenes Schiff oder Schiffsbauwerk herauszugeben, zu überlassen oder zu räumen, so hat der Gerichtsvollzieher den Schuldner aus dem Besitz zu setzen und den Gläubiger in den Besitz einzuweisen. </w:t>
      </w:r>
      <w:r>
        <w:rPr>
          <w:rStyle w:val="Satznummer"/>
        </w:rPr>
        <w:t>2</w:t>
      </w:r>
      <w:r>
        <w:t>Der Gerichtsvollzieher hat den Schuldner aufzufordern, eine Anschrift zum Zweck von Zustellungen oder einen Zustellungsbevollmächtigten zu benennen.</w:t>
      </w:r>
    </w:p>
    <w:p>
      <w:r>
        <w:t>(2) Bewegliche Sachen, die nicht Gegenstand der Zwangsvollstreckung sind, werden von dem Gerichtsvollzieher weggeschafft und dem Schuldner oder, wenn dieser abwesend ist, einem Bevollmächtigten des Schuldners, einem erwachsenen Familienangehörigen, einer in der Familie beschäftigten Person oder einem erwachsenen ständigen Mitbewohner übergeben oder zur Verfügung gestellt.</w:t>
      </w:r>
    </w:p>
    <w:p>
      <w:r>
        <w:t xml:space="preserve">(3) </w:t>
      </w:r>
      <w:r>
        <w:rPr>
          <w:rStyle w:val="Satznummer"/>
        </w:rPr>
        <w:t>1</w:t>
      </w:r>
      <w:r>
        <w:t xml:space="preserve">Ist weder der Schuldner noch eine der bezeichneten Personen anwesend oder wird die Entgegennahme verweigert, hat der Gerichtsvollzieher die in Absatz 2 bezeichneten Sachen auf Kosten des Schuldners in die Pfandkammer zu schaffen oder anderweitig in Verwahrung zu bringen. </w:t>
      </w:r>
      <w:r>
        <w:rPr>
          <w:rStyle w:val="Satznummer"/>
        </w:rPr>
        <w:t>2</w:t>
      </w:r>
      <w:r>
        <w:t>Bewegliche Sachen, an deren Aufbewahrung offensichtlich kein Interesse besteht, sollen unverzüglich vernichtet werden.</w:t>
      </w:r>
    </w:p>
    <w:p>
      <w:r>
        <w:t xml:space="preserve">(4) </w:t>
      </w:r>
      <w:r>
        <w:rPr>
          <w:rStyle w:val="Satznummer"/>
        </w:rPr>
        <w:t>1</w:t>
      </w:r>
      <w:r>
        <w:t xml:space="preserve">Fordert der Schuldner die Sachen nicht binnen einer Frist von einem Monat nach der Räumung ab, veräußert der Gerichtsvollzieher die Sachen und hinterlegt den Erlös. </w:t>
      </w:r>
      <w:r>
        <w:rPr>
          <w:rStyle w:val="Satznummer"/>
        </w:rPr>
        <w:t>2</w:t>
      </w:r>
      <w:r>
        <w:t xml:space="preserve">Der Gerichtsvollzieher veräußert die Sachen und hinterlegt den Erlös auch dann, wenn der Schuldner die Sachen binnen einer Frist von einem Monat abfordert, ohne binnen einer Frist von zwei Monaten nach der Räumung die Kosten zu zahlen. </w:t>
      </w:r>
      <w:r>
        <w:rPr>
          <w:rStyle w:val="Satznummer"/>
        </w:rPr>
        <w:t>3</w:t>
      </w:r>
      <w:r>
        <w:t xml:space="preserve">Die </w:t>
      </w:r>
      <w:hyperlink w:anchor="b839" w:history="1">
        <w:r>
          <w:rPr>
            <w:color w:val="0A3A8C"/>
            <w:u w:val="single"/>
          </w:rPr>
          <w:t xml:space="preserve">§§ 806</w:t>
        </w:r>
      </w:hyperlink>
      <w:r>
        <w:t xml:space="preserve">, </w:t>
      </w:r>
      <w:hyperlink w:anchor="b855" w:history="1">
        <w:r>
          <w:rPr>
            <w:color w:val="0A3A8C"/>
            <w:u w:val="single"/>
          </w:rPr>
          <w:t xml:space="preserve">814</w:t>
        </w:r>
      </w:hyperlink>
      <w:r>
        <w:t xml:space="preserve"> und </w:t>
      </w:r>
      <w:hyperlink w:anchor="b858" w:history="1">
        <w:r>
          <w:rPr>
            <w:color w:val="0A3A8C"/>
            <w:u w:val="single"/>
          </w:rPr>
          <w:t xml:space="preserve">817</w:t>
        </w:r>
      </w:hyperlink>
      <w:r>
        <w:t xml:space="preserve"> sind entsprechend anzuwenden. </w:t>
      </w:r>
      <w:r>
        <w:rPr>
          <w:rStyle w:val="Satznummer"/>
        </w:rPr>
        <w:t>4</w:t>
      </w:r>
      <w:r>
        <w:t>Sachen, die nicht verwertet werden können, sollen vernichtet werden.</w:t>
      </w:r>
    </w:p>
    <w:p>
      <w:r>
        <w:t>(5) Unpfändbare Sachen und solche Sachen, bei denen ein Verwertungserlös nicht zu erwarten ist, sind auf Verlangen des Schuldners jederzeit ohne Weiteres herauszugeben.</w:t>
      </w:r>
    </w:p>
    <w:p>
      <w:pPr>
        <w:pStyle w:val="Heading3"/>
      </w:pPr>
      <w:bookmarkStart w:id="965" w:name="b964"/>
      <w:r>
        <w:t>§ 885a Beschränkter Vollstreckungsauftrag</w:t>
      </w:r>
      <w:r>
        <w:t xml:space="preserve"> </w:t>
      </w:r>
      <w:r>
        <w:rPr>
          <w:rStyle w:val="Suchmarke"/>
        </w:rPr>
        <w:t>#885a#</w:t>
      </w:r>
      <w:bookmarkEnd w:id="965"/>
    </w:p>
    <w:p>
      <w:r>
        <w:t xml:space="preserve">(1) Der Vollstreckungsauftrag kann auf die Maßnahmen nach </w:t>
      </w:r>
      <w:hyperlink w:anchor="b963" w:history="1">
        <w:r>
          <w:rPr>
            <w:color w:val="0A3A8C"/>
            <w:u w:val="single"/>
          </w:rPr>
          <w:t xml:space="preserve">§ 885</w:t>
        </w:r>
      </w:hyperlink>
      <w:r>
        <w:t xml:space="preserve"> Absatz 1 beschränkt werden.</w:t>
      </w:r>
    </w:p>
    <w:p>
      <w:r>
        <w:t xml:space="preserve">(2) </w:t>
      </w:r>
      <w:r>
        <w:rPr>
          <w:rStyle w:val="Satznummer"/>
        </w:rPr>
        <w:t>1</w:t>
      </w:r>
      <w:r>
        <w:t>Der Gerichtsvollzieher hat in dem Protokoll (</w:t>
      </w:r>
      <w:hyperlink w:anchor="b767" w:history="1">
        <w:r>
          <w:rPr>
            <w:color w:val="0A3A8C"/>
            <w:u w:val="single"/>
          </w:rPr>
          <w:t xml:space="preserve">§ 762</w:t>
        </w:r>
      </w:hyperlink>
      <w:r>
        <w:t xml:space="preserve">) die frei ersichtlichen beweglichen Sachen zu dokumentieren, die er bei der Vornahme der Vollstreckungshandlung vorfindet. </w:t>
      </w:r>
      <w:r>
        <w:rPr>
          <w:rStyle w:val="Satznummer"/>
        </w:rPr>
        <w:t>2</w:t>
      </w:r>
      <w:r>
        <w:t>Er kann bei der Dokumentation Bildaufnahmen in elektronischer Form herstellen.</w:t>
      </w:r>
    </w:p>
    <w:p>
      <w:r>
        <w:t xml:space="preserve">(3) </w:t>
      </w:r>
      <w:r>
        <w:rPr>
          <w:rStyle w:val="Satznummer"/>
        </w:rPr>
        <w:t>1</w:t>
      </w:r>
      <w:r>
        <w:t xml:space="preserve">Der Gläubiger kann bewegliche Sachen, die nicht Gegenstand der Zwangsvollstreckung sind, jederzeit wegschaffen und hat sie zu verwahren. </w:t>
      </w:r>
      <w:r>
        <w:rPr>
          <w:rStyle w:val="Satznummer"/>
        </w:rPr>
        <w:t>2</w:t>
      </w:r>
      <w:r>
        <w:t xml:space="preserve">Bewegliche Sachen, an deren Aufbewahrung offensichtlich kein Interesse besteht, kann er jederzeit vernichten. </w:t>
      </w:r>
      <w:r>
        <w:rPr>
          <w:rStyle w:val="Satznummer"/>
        </w:rPr>
        <w:t>3</w:t>
      </w:r>
      <w:r>
        <w:t>Der Gläubiger hat hinsichtlich der Maßnahmen nach den Sätzen 1 und 2 nur Vorsatz und grobe Fahrlässigkeit zu vertreten.</w:t>
      </w:r>
    </w:p>
    <w:p>
      <w:r>
        <w:t xml:space="preserve">(4) </w:t>
      </w:r>
      <w:r>
        <w:rPr>
          <w:rStyle w:val="Satznummer"/>
        </w:rPr>
        <w:t>1</w:t>
      </w:r>
      <w:r>
        <w:t xml:space="preserve">Fordert der Schuldner die Sachen beim Gläubiger nicht binnen einer Frist von einem Monat nach der Einweisung des Gläubigers in den Besitz ab, kann der Gläubiger die Sachen verwerten. </w:t>
      </w:r>
      <w:r>
        <w:rPr>
          <w:rStyle w:val="Satznummer"/>
        </w:rPr>
        <w:t>2</w:t>
      </w:r>
      <w:r>
        <w:t xml:space="preserve">Die §§ 372 bis 380, 382, 383 und 385 des Bürgerlichen Gesetzbuchs sind entsprechend anzuwenden. </w:t>
      </w:r>
      <w:r>
        <w:rPr>
          <w:rStyle w:val="Satznummer"/>
        </w:rPr>
        <w:t>3</w:t>
      </w:r>
      <w:r>
        <w:t xml:space="preserve">Eine Androhung der Versteigerung findet nicht statt. </w:t>
      </w:r>
      <w:r>
        <w:rPr>
          <w:rStyle w:val="Satznummer"/>
        </w:rPr>
        <w:t>4</w:t>
      </w:r>
      <w:r>
        <w:t>Sachen, die nicht verwertet werden können, können vernichtet werden.</w:t>
      </w:r>
    </w:p>
    <w:p>
      <w:r>
        <w:t>(5) Unpfändbare Sachen und solche Sachen, bei denen ein Verwertungserlös nicht zu erwarten ist, sind auf Verlangen des Schuldners jederzeit ohne Weiteres herauszugeben.</w:t>
      </w:r>
    </w:p>
    <w:p>
      <w:r>
        <w:t>(6) Mit der Mitteilung des Räumungstermins weist der Gerichtsvollzieher den Gläubiger und den Schuldner auf die Bestimmungen der Absätze 2 bis 5 hin.</w:t>
      </w:r>
    </w:p>
    <w:p>
      <w:r>
        <w:t>(7) Die Kosten nach den Absätzen 3 und 4 gelten als Kosten der Zwangsvollstreckung.</w:t>
      </w:r>
    </w:p>
    <w:p>
      <w:pPr>
        <w:pStyle w:val="Heading3"/>
      </w:pPr>
      <w:bookmarkStart w:id="966" w:name="b965"/>
      <w:r>
        <w:t>§ 886 Herausgabe bei Gewahrsam eines Dritten</w:t>
      </w:r>
      <w:r>
        <w:t xml:space="preserve"> </w:t>
      </w:r>
      <w:r>
        <w:rPr>
          <w:rStyle w:val="Suchmarke"/>
        </w:rPr>
        <w:t>#886#</w:t>
      </w:r>
      <w:bookmarkEnd w:id="966"/>
    </w:p>
    <w:p>
      <w:r>
        <w:t>Befindet sich eine herauszugebende Sache im Gewahrsam eines Dritten, so ist dem Gläubiger auf dessen Antrag der Anspruch des Schuldners auf Herausgabe der Sache nach den Vorschriften zu überweisen, welche die Pfändung und Überweisung einer Geldforderung betreffen.</w:t>
      </w:r>
    </w:p>
    <w:p>
      <w:pPr>
        <w:pStyle w:val="Heading3"/>
      </w:pPr>
      <w:bookmarkStart w:id="967" w:name="b966"/>
      <w:r>
        <w:t>§ 887 Vertretbare Handlungen</w:t>
      </w:r>
      <w:r>
        <w:t xml:space="preserve"> </w:t>
      </w:r>
      <w:r>
        <w:rPr>
          <w:rStyle w:val="Suchmarke"/>
        </w:rPr>
        <w:t>#887#</w:t>
      </w:r>
      <w:bookmarkEnd w:id="967"/>
    </w:p>
    <w:p>
      <w:r>
        <w:t>(1) Erfüllt der Schuldner die Verpflichtung nicht, eine Handlung vorzunehmen, deren Vornahme durch einen Dritten erfolgen kann, so ist der Gläubiger von dem Prozessgericht des ersten Rechtszuges auf Antrag zu ermächtigen, auf Kosten des Schuldners die Handlung vornehmen zu lassen.</w:t>
      </w:r>
    </w:p>
    <w:p>
      <w:r>
        <w:t>(2) Der Gläubiger kann zugleich beantragen, den Schuldner zur Vorauszahlung der Kosten zu verurteilen, die durch die Vornahme der Handlung entstehen werden, unbeschadet des Rechts auf eine Nachforderung, wenn die Vornahme der Handlung einen größeren Kostenaufwand verursacht.</w:t>
      </w:r>
    </w:p>
    <w:p>
      <w:r>
        <w:t>(3) Auf die Zwangsvollstreckung zur Erwirkung der Herausgabe oder Leistung von Sachen sind die vorstehenden Vorschriften nicht anzuwenden.</w:t>
      </w:r>
    </w:p>
    <w:p>
      <w:pPr>
        <w:pStyle w:val="Heading3"/>
      </w:pPr>
      <w:bookmarkStart w:id="968" w:name="b967"/>
      <w:r>
        <w:t>§ 888 Nicht vertretbare Handlungen</w:t>
      </w:r>
      <w:r>
        <w:t xml:space="preserve"> </w:t>
      </w:r>
      <w:r>
        <w:rPr>
          <w:rStyle w:val="Suchmarke"/>
        </w:rPr>
        <w:t>#888#</w:t>
      </w:r>
      <w:bookmarkEnd w:id="968"/>
    </w:p>
    <w:p>
      <w:r>
        <w:t xml:space="preserve">(1) </w:t>
      </w:r>
      <w:r>
        <w:rPr>
          <w:rStyle w:val="Satznummer"/>
        </w:rPr>
        <w:t>1</w:t>
      </w:r>
      <w:r>
        <w:t xml:space="preserve">Kann eine Handlung durch einen Dritten nicht vorgenommen werden, so ist, wenn sie ausschließlich von dem Willen des Schuldners abhängt, auf Antrag von dem Prozessgericht des ersten Rechtszuges zu erkennen, dass der Schuldner zur Vornahme der Handlung durch Zwangsgeld und für den Fall, dass dieses nicht beigetrieben werden kann, durch Zwangshaft oder durch Zwangshaft anzuhalten sei. </w:t>
      </w:r>
      <w:r>
        <w:rPr>
          <w:rStyle w:val="Satznummer"/>
        </w:rPr>
        <w:t>2</w:t>
      </w:r>
      <w:r>
        <w:t xml:space="preserve">Das einzelne Zwangsgeld darf den Betrag von 25 000 Euro nicht übersteigen. </w:t>
      </w:r>
      <w:r>
        <w:rPr>
          <w:rStyle w:val="Satznummer"/>
        </w:rPr>
        <w:t>3</w:t>
      </w:r>
      <w:r>
        <w:t>Für die Zwangshaft gelten die Vorschriften des Zweiten Abschnitts über die Haft entsprechend.</w:t>
      </w:r>
    </w:p>
    <w:p>
      <w:r>
        <w:t>(2) Eine Androhung der Zwangsmittel findet nicht statt.</w:t>
      </w:r>
    </w:p>
    <w:p>
      <w:r>
        <w:t>(3) Diese Vorschriften kommen im Falle der Verurteilung zur Leistung von Diensten aus einem Dienstvertrag nicht zur Anwendung.</w:t>
      </w:r>
    </w:p>
    <w:p>
      <w:pPr>
        <w:pStyle w:val="Heading3"/>
      </w:pPr>
      <w:bookmarkStart w:id="969" w:name="b968"/>
      <w:r>
        <w:t>§ 888a Keine Handlungsvollstreckung bei Entschädigungspflicht</w:t>
      </w:r>
      <w:r>
        <w:t xml:space="preserve"> </w:t>
      </w:r>
      <w:r>
        <w:rPr>
          <w:rStyle w:val="Suchmarke"/>
        </w:rPr>
        <w:t>#888a#</w:t>
      </w:r>
      <w:bookmarkEnd w:id="969"/>
    </w:p>
    <w:p>
      <w:r>
        <w:t xml:space="preserve">Ist im Falle des § 510b der Beklagte zur Zahlung einer Entschädigung verurteilt, so ist die Zwangsvollstreckung auf Grund der Vorschriften der </w:t>
      </w:r>
      <w:hyperlink w:anchor="b966" w:history="1">
        <w:r>
          <w:rPr>
            <w:color w:val="0A3A8C"/>
            <w:u w:val="single"/>
          </w:rPr>
          <w:t xml:space="preserve">§§ 887</w:t>
        </w:r>
      </w:hyperlink>
      <w:r>
        <w:t xml:space="preserve">, </w:t>
      </w:r>
      <w:hyperlink w:anchor="b967" w:history="1">
        <w:r>
          <w:rPr>
            <w:color w:val="0A3A8C"/>
            <w:u w:val="single"/>
          </w:rPr>
          <w:t xml:space="preserve">888</w:t>
        </w:r>
      </w:hyperlink>
      <w:r>
        <w:t xml:space="preserve"> ausgeschlossen.</w:t>
      </w:r>
    </w:p>
    <w:p>
      <w:pPr>
        <w:pStyle w:val="Heading3"/>
      </w:pPr>
      <w:bookmarkStart w:id="970" w:name="b969"/>
      <w:r>
        <w:t>§ 889 Eidesstattliche Versicherung nach bürgerlichem Recht</w:t>
      </w:r>
      <w:r>
        <w:t xml:space="preserve"> </w:t>
      </w:r>
      <w:r>
        <w:rPr>
          <w:rStyle w:val="Suchmarke"/>
        </w:rPr>
        <w:t>#889#</w:t>
      </w:r>
      <w:bookmarkEnd w:id="970"/>
    </w:p>
    <w:p>
      <w:r>
        <w:t xml:space="preserve">(1) </w:t>
      </w:r>
      <w:r>
        <w:rPr>
          <w:rStyle w:val="Satznummer"/>
        </w:rPr>
        <w:t>1</w:t>
      </w:r>
      <w:r>
        <w:t xml:space="preserve">Ist der Schuldner auf Grund der Vorschriften des bürgerlichen Rechts zur Abgabe einer eidesstattlichen Versicherung verurteilt, so wird die Versicherung vor dem Amtsgericht als Vollstreckungsgericht abgegeben, in dessen Bezirk der Schuldner im Inland seinen Wohnsitz oder in Ermangelung eines solchen seinen Aufenthaltsort hat, sonst vor dem Amtsgericht als Vollstreckungsgericht, in dessen Bezirk das Prozessgericht des ersten Rechtszuges seinen Sitz hat. </w:t>
      </w:r>
      <w:r>
        <w:rPr>
          <w:rStyle w:val="Satznummer"/>
        </w:rPr>
        <w:t>2</w:t>
      </w:r>
      <w:r>
        <w:t xml:space="preserve">Die Vorschriften der </w:t>
      </w:r>
      <w:hyperlink w:anchor="b526" w:history="1">
        <w:r>
          <w:rPr>
            <w:color w:val="0A3A8C"/>
            <w:u w:val="single"/>
          </w:rPr>
          <w:t xml:space="preserve">§§ 478</w:t>
        </w:r>
      </w:hyperlink>
      <w:r>
        <w:t xml:space="preserve"> bis </w:t>
      </w:r>
      <w:hyperlink w:anchor="b528" w:history="1">
        <w:r>
          <w:rPr>
            <w:color w:val="0A3A8C"/>
            <w:u w:val="single"/>
          </w:rPr>
          <w:t xml:space="preserve">480</w:t>
        </w:r>
      </w:hyperlink>
      <w:r>
        <w:t xml:space="preserve">, </w:t>
      </w:r>
      <w:hyperlink w:anchor="b531" w:history="1">
        <w:r>
          <w:rPr>
            <w:color w:val="0A3A8C"/>
            <w:u w:val="single"/>
          </w:rPr>
          <w:t xml:space="preserve">483</w:t>
        </w:r>
      </w:hyperlink>
      <w:r>
        <w:t xml:space="preserve"> gelten entsprechend.</w:t>
      </w:r>
    </w:p>
    <w:p>
      <w:r>
        <w:t xml:space="preserve">(2) Erscheint der Schuldner in dem zur Abgabe der eidesstattlichen Versicherung bestimmten Termin nicht oder verweigert er die Abgabe der eidesstattlichen Versicherung, so verfährt das Vollstreckungsgericht nach </w:t>
      </w:r>
      <w:hyperlink w:anchor="b967" w:history="1">
        <w:r>
          <w:rPr>
            <w:color w:val="0A3A8C"/>
            <w:u w:val="single"/>
          </w:rPr>
          <w:t xml:space="preserve">§ 888</w:t>
        </w:r>
      </w:hyperlink>
      <w:r>
        <w:t>.</w:t>
      </w:r>
    </w:p>
    <w:p>
      <w:pPr>
        <w:pStyle w:val="Heading3"/>
      </w:pPr>
      <w:bookmarkStart w:id="971" w:name="b970"/>
      <w:r>
        <w:t>§ 890 Erzwingung von Unterlassungen und Duldungen</w:t>
      </w:r>
      <w:r>
        <w:t xml:space="preserve"> </w:t>
      </w:r>
      <w:r>
        <w:rPr>
          <w:rStyle w:val="Suchmarke"/>
        </w:rPr>
        <w:t>#890#</w:t>
      </w:r>
      <w:bookmarkEnd w:id="971"/>
    </w:p>
    <w:p>
      <w:r>
        <w:t xml:space="preserve">(1) </w:t>
      </w:r>
      <w:r>
        <w:rPr>
          <w:rStyle w:val="Satznummer"/>
        </w:rPr>
        <w:t>1</w:t>
      </w:r>
      <w:r>
        <w:t xml:space="preserve">Handelt der Schuldner der Verpflichtung zuwider, eine Handlung zu unterlassen oder die Vornahme einer Handlung zu dulden, so ist er wegen einer jeden Zuwiderhandlung auf Antrag des Gläubigers von dem Prozessgericht des ersten Rechtszuges zu einem Ordnungsgeld und für den Fall, dass dieses nicht beigetrieben werden kann, zur Ordnungshaft oder zur Ordnungshaft bis zu sechs Monaten zu verurteilen. </w:t>
      </w:r>
      <w:r>
        <w:rPr>
          <w:rStyle w:val="Satznummer"/>
        </w:rPr>
        <w:t>2</w:t>
      </w:r>
      <w:r>
        <w:t>Das einzelne Ordnungsgeld darf den Betrag von 250.000 Euro, die Ordnungshaft insgesamt zwei Jahre nicht übersteigen.</w:t>
      </w:r>
    </w:p>
    <w:p>
      <w:r>
        <w:t>(2) Der Verurteilung muss eine entsprechende Androhung vorausgehen, die, wenn sie in dem die Verpflichtung aussprechenden Urteil nicht enthalten ist, auf Antrag von dem Prozessgericht des ersten Rechtszuges erlassen wird.</w:t>
      </w:r>
    </w:p>
    <w:p>
      <w:r>
        <w:t>(3) Auch kann der Schuldner auf Antrag des Gläubigers zur Bestellung einer Sicherheit für den durch fernere Zuwiderhandlungen entstehenden Schaden auf bestimmte Zeit verurteilt werden.</w:t>
      </w:r>
    </w:p>
    <w:p>
      <w:pPr>
        <w:pStyle w:val="Heading3"/>
      </w:pPr>
      <w:bookmarkStart w:id="972" w:name="b971"/>
      <w:r>
        <w:t>§ 891 Verfahren; Anhörung des Schuldners; Kostenentscheidung</w:t>
      </w:r>
      <w:r>
        <w:t xml:space="preserve"> </w:t>
      </w:r>
      <w:r>
        <w:rPr>
          <w:rStyle w:val="Suchmarke"/>
        </w:rPr>
        <w:t>#891#</w:t>
      </w:r>
      <w:bookmarkEnd w:id="972"/>
    </w:p>
    <w:p>
      <w:r>
        <w:rPr>
          <w:rStyle w:val="Satznummer"/>
        </w:rPr>
        <w:t>1</w:t>
      </w:r>
      <w:r>
        <w:t xml:space="preserve">Die nach den </w:t>
      </w:r>
      <w:hyperlink w:anchor="b966" w:history="1">
        <w:r>
          <w:rPr>
            <w:color w:val="0A3A8C"/>
            <w:u w:val="single"/>
          </w:rPr>
          <w:t xml:space="preserve">§§ 887</w:t>
        </w:r>
      </w:hyperlink>
      <w:r>
        <w:t xml:space="preserve"> bis </w:t>
      </w:r>
      <w:hyperlink w:anchor="b970" w:history="1">
        <w:r>
          <w:rPr>
            <w:color w:val="0A3A8C"/>
            <w:u w:val="single"/>
          </w:rPr>
          <w:t xml:space="preserve">890</w:t>
        </w:r>
      </w:hyperlink>
      <w:r>
        <w:t xml:space="preserve"> zu erlassenden Entscheidungen ergehen durch Beschluss. </w:t>
      </w:r>
      <w:r>
        <w:rPr>
          <w:rStyle w:val="Satznummer"/>
        </w:rPr>
        <w:t>2</w:t>
      </w:r>
      <w:r>
        <w:t xml:space="preserve">Vor der Entscheidung ist der Schuldner zu hören. </w:t>
      </w:r>
      <w:r>
        <w:rPr>
          <w:rStyle w:val="Satznummer"/>
        </w:rPr>
        <w:t>3</w:t>
      </w:r>
      <w:r>
        <w:t xml:space="preserve">Für die Kostenentscheidung gelten die </w:t>
      </w:r>
      <w:hyperlink w:anchor="b113" w:history="1">
        <w:r>
          <w:rPr>
            <w:color w:val="0A3A8C"/>
            <w:u w:val="single"/>
          </w:rPr>
          <w:t xml:space="preserve">§§ 91</w:t>
        </w:r>
      </w:hyperlink>
      <w:r>
        <w:t xml:space="preserve"> bis </w:t>
      </w:r>
      <w:hyperlink w:anchor="b116" w:history="1">
        <w:r>
          <w:rPr>
            <w:color w:val="0A3A8C"/>
            <w:u w:val="single"/>
          </w:rPr>
          <w:t xml:space="preserve">93</w:t>
        </w:r>
      </w:hyperlink>
      <w:r>
        <w:t xml:space="preserve">, </w:t>
      </w:r>
      <w:hyperlink w:anchor="b120" w:history="1">
        <w:r>
          <w:rPr>
            <w:color w:val="0A3A8C"/>
            <w:u w:val="single"/>
          </w:rPr>
          <w:t xml:space="preserve">95</w:t>
        </w:r>
      </w:hyperlink>
      <w:r>
        <w:t xml:space="preserve"> bis </w:t>
      </w:r>
      <w:hyperlink w:anchor="b125" w:history="1">
        <w:r>
          <w:rPr>
            <w:color w:val="0A3A8C"/>
            <w:u w:val="single"/>
          </w:rPr>
          <w:t xml:space="preserve">100</w:t>
        </w:r>
      </w:hyperlink>
      <w:r>
        <w:t xml:space="preserve">, </w:t>
      </w:r>
      <w:hyperlink w:anchor="b131" w:history="1">
        <w:r>
          <w:rPr>
            <w:color w:val="0A3A8C"/>
            <w:u w:val="single"/>
          </w:rPr>
          <w:t xml:space="preserve">106</w:t>
        </w:r>
      </w:hyperlink>
      <w:r>
        <w:t xml:space="preserve">, </w:t>
      </w:r>
      <w:hyperlink w:anchor="b132" w:history="1">
        <w:r>
          <w:rPr>
            <w:color w:val="0A3A8C"/>
            <w:u w:val="single"/>
          </w:rPr>
          <w:t xml:space="preserve">107</w:t>
        </w:r>
      </w:hyperlink>
      <w:r>
        <w:t xml:space="preserve"> entsprechend.</w:t>
      </w:r>
    </w:p>
    <w:p>
      <w:pPr>
        <w:pStyle w:val="Heading3"/>
      </w:pPr>
      <w:bookmarkStart w:id="973" w:name="b972"/>
      <w:r>
        <w:t>§ 892 Widerstand des Schuldners</w:t>
      </w:r>
      <w:r>
        <w:t xml:space="preserve"> </w:t>
      </w:r>
      <w:r>
        <w:rPr>
          <w:rStyle w:val="Suchmarke"/>
        </w:rPr>
        <w:t>#892#</w:t>
      </w:r>
      <w:bookmarkEnd w:id="973"/>
    </w:p>
    <w:p>
      <w:r>
        <w:t xml:space="preserve">Leistet der Schuldner Widerstand gegen die Vornahme einer Handlung, die er nach den Vorschriften der </w:t>
      </w:r>
      <w:hyperlink w:anchor="b966" w:history="1">
        <w:r>
          <w:rPr>
            <w:color w:val="0A3A8C"/>
            <w:u w:val="single"/>
          </w:rPr>
          <w:t xml:space="preserve">§§ 887</w:t>
        </w:r>
      </w:hyperlink>
      <w:r>
        <w:t xml:space="preserve">, </w:t>
      </w:r>
      <w:hyperlink w:anchor="b970" w:history="1">
        <w:r>
          <w:rPr>
            <w:color w:val="0A3A8C"/>
            <w:u w:val="single"/>
          </w:rPr>
          <w:t xml:space="preserve">890</w:t>
        </w:r>
      </w:hyperlink>
      <w:r>
        <w:t xml:space="preserve"> zu dulden hat, so kann der Gläubiger zur Beseitigung des Widerstandes einen Gerichtsvollzieher zuziehen, der nach den Vorschriften des </w:t>
      </w:r>
      <w:hyperlink w:anchor="b762" w:history="1">
        <w:r>
          <w:rPr>
            <w:color w:val="0A3A8C"/>
            <w:u w:val="single"/>
          </w:rPr>
          <w:t xml:space="preserve">§ 758</w:t>
        </w:r>
      </w:hyperlink>
      <w:r>
        <w:t xml:space="preserve"> Abs. 3 und des </w:t>
      </w:r>
      <w:hyperlink w:anchor="b764" w:history="1">
        <w:r>
          <w:rPr>
            <w:color w:val="0A3A8C"/>
            <w:u w:val="single"/>
          </w:rPr>
          <w:t xml:space="preserve">§ 759</w:t>
        </w:r>
      </w:hyperlink>
      <w:r>
        <w:t xml:space="preserve"> zu verfahren hat.</w:t>
      </w:r>
    </w:p>
    <w:p>
      <w:pPr>
        <w:pStyle w:val="Heading3"/>
      </w:pPr>
      <w:bookmarkStart w:id="974" w:name="b973"/>
      <w:r>
        <w:t>§ 893 Klage auf Leistung des Interesses</w:t>
      </w:r>
      <w:r>
        <w:t xml:space="preserve"> </w:t>
      </w:r>
      <w:r>
        <w:rPr>
          <w:rStyle w:val="Suchmarke"/>
        </w:rPr>
        <w:t>#893#</w:t>
      </w:r>
      <w:bookmarkEnd w:id="974"/>
    </w:p>
    <w:p>
      <w:r>
        <w:t>(1) Durch die Vorschriften dieses Abschnitts wird das Recht des Gläubigers nicht berührt, die Leistung des Interesses zu verlangen.</w:t>
      </w:r>
    </w:p>
    <w:p>
      <w:r>
        <w:t>(2) Den Anspruch auf Leistung des Interesses hat der Gläubiger im Wege der Klage bei dem Prozessgericht des ersten Rechtszuges geltend zu machen.</w:t>
      </w:r>
    </w:p>
    <w:p>
      <w:pPr>
        <w:pStyle w:val="Heading3"/>
      </w:pPr>
      <w:bookmarkStart w:id="975" w:name="b974"/>
      <w:r>
        <w:t>§ 894 Fiktion der Abgabe einer Willenserklärung</w:t>
      </w:r>
      <w:r>
        <w:t xml:space="preserve"> </w:t>
      </w:r>
      <w:r>
        <w:rPr>
          <w:rStyle w:val="Suchmarke"/>
        </w:rPr>
        <w:t>#894#</w:t>
      </w:r>
      <w:bookmarkEnd w:id="975"/>
    </w:p>
    <w:p>
      <w:r>
        <w:rPr>
          <w:rStyle w:val="Satznummer"/>
        </w:rPr>
        <w:t>1</w:t>
      </w:r>
      <w:r>
        <w:t xml:space="preserve">Ist der Schuldner zur Abgabe einer Willenserklärung verurteilt, so gilt die Erklärung als abgegeben, sobald das Urteil die Rechtskraft erlangt hat. </w:t>
      </w:r>
      <w:r>
        <w:rPr>
          <w:rStyle w:val="Satznummer"/>
        </w:rPr>
        <w:t>2</w:t>
      </w:r>
      <w:r>
        <w:t xml:space="preserve">Ist die Willenserklärung von einer Gegenleistung abhängig gemacht, so tritt diese Wirkung ein, sobald nach den Vorschriften der </w:t>
      </w:r>
      <w:hyperlink w:anchor="b725" w:history="1">
        <w:r>
          <w:rPr>
            <w:color w:val="0A3A8C"/>
            <w:u w:val="single"/>
          </w:rPr>
          <w:t xml:space="preserve">§§ 726</w:t>
        </w:r>
      </w:hyperlink>
      <w:r>
        <w:t xml:space="preserve">, </w:t>
      </w:r>
      <w:hyperlink w:anchor="b729" w:history="1">
        <w:r>
          <w:rPr>
            <w:color w:val="0A3A8C"/>
            <w:u w:val="single"/>
          </w:rPr>
          <w:t xml:space="preserve">730</w:t>
        </w:r>
      </w:hyperlink>
      <w:r>
        <w:t xml:space="preserve"> eine vollstreckbare Ausfertigung des rechtskräftigen Urteils erteilt ist.</w:t>
      </w:r>
    </w:p>
    <w:p>
      <w:pPr>
        <w:pStyle w:val="Heading3"/>
      </w:pPr>
      <w:bookmarkStart w:id="976" w:name="b975"/>
      <w:r>
        <w:t>§ 895 Willenserklärung zwecks Eintragung bei vorläufig vollstreckbarem Urteil</w:t>
      </w:r>
      <w:r>
        <w:t xml:space="preserve"> </w:t>
      </w:r>
      <w:r>
        <w:rPr>
          <w:rStyle w:val="Suchmarke"/>
        </w:rPr>
        <w:t>#895#</w:t>
      </w:r>
      <w:bookmarkEnd w:id="976"/>
    </w:p>
    <w:p>
      <w:r>
        <w:rPr>
          <w:rStyle w:val="Satznummer"/>
        </w:rPr>
        <w:t>1</w:t>
      </w:r>
      <w:r>
        <w:t xml:space="preserve">Ist durch ein vorläufig vollstreckbares Urteil der Schuldner zur Abgabe einer Willenserklärung verurteilt, auf Grund deren eine Eintragung in das Grundbuch, das Schiffsregister oder das Schiffsbauregister erfolgen soll, so gilt die Eintragung einer Vormerkung oder eines Widerspruchs als bewilligt. </w:t>
      </w:r>
      <w:r>
        <w:rPr>
          <w:rStyle w:val="Satznummer"/>
        </w:rPr>
        <w:t>2</w:t>
      </w:r>
      <w:r>
        <w:t>Die Vormerkung oder der Widerspruch erlischt, wenn das Urteil durch eine vollstreckbare Entscheidung aufgehoben wird.</w:t>
      </w:r>
    </w:p>
    <w:p>
      <w:pPr>
        <w:pStyle w:val="Heading3"/>
      </w:pPr>
      <w:bookmarkStart w:id="977" w:name="b976"/>
      <w:r>
        <w:t>§ 896 Erteilung von Urkunden an Gläubiger</w:t>
      </w:r>
      <w:r>
        <w:t xml:space="preserve"> </w:t>
      </w:r>
      <w:r>
        <w:rPr>
          <w:rStyle w:val="Suchmarke"/>
        </w:rPr>
        <w:t>#896#</w:t>
      </w:r>
      <w:bookmarkEnd w:id="977"/>
    </w:p>
    <w:p>
      <w:r>
        <w:t xml:space="preserve">Soll auf Grund eines Urteils, das eine Willenserklärung des Schuldners ersetzt, eine Eintragung in ein öffentliches Buch oder Register vorgenommen werden, so kann der Gläubiger an Stelle des Schuldners die Erteilung der im </w:t>
      </w:r>
      <w:hyperlink w:anchor="b799" w:history="1">
        <w:r>
          <w:rPr>
            <w:color w:val="0A3A8C"/>
            <w:u w:val="single"/>
          </w:rPr>
          <w:t xml:space="preserve">§ 792</w:t>
        </w:r>
      </w:hyperlink>
      <w:r>
        <w:t xml:space="preserve"> bezeichneten Urkunden verlangen, soweit er dieser Urkunden zur Herbeiführung der Eintragung bedarf.</w:t>
      </w:r>
    </w:p>
    <w:p>
      <w:pPr>
        <w:pStyle w:val="Heading3"/>
      </w:pPr>
      <w:bookmarkStart w:id="978" w:name="b977"/>
      <w:r>
        <w:t>§ 897 Übereignung; Verschaffung von Grundpfandrechten</w:t>
      </w:r>
      <w:r>
        <w:t xml:space="preserve"> </w:t>
      </w:r>
      <w:r>
        <w:rPr>
          <w:rStyle w:val="Suchmarke"/>
        </w:rPr>
        <w:t>#897#</w:t>
      </w:r>
      <w:bookmarkEnd w:id="978"/>
    </w:p>
    <w:p>
      <w:r>
        <w:t>(1) Ist der Schuldner zur Übertragung des Eigentums oder zur Bestellung eines Rechts an einer beweglichen Sache verurteilt, so gilt die Übergabe der Sache als erfolgt, wenn der Gerichtsvollzieher die Sache zum Zwecke der Ablieferung an den Gläubiger wegnimmt.</w:t>
      </w:r>
    </w:p>
    <w:p>
      <w:r>
        <w:t>(2) Das Gleiche gilt, wenn der Schuldner zur Bestellung einer Hypothek, Grundschuld oder Rentenschuld oder zur Abtretung oder Belastung einer Hypothekenforderung, Grundschuld oder Rentenschuld verurteilt ist, für die Übergabe des Hypotheken-, Grundschuld- oder Rentenschuldbriefs.</w:t>
      </w:r>
    </w:p>
    <w:p>
      <w:pPr>
        <w:pStyle w:val="Heading3"/>
      </w:pPr>
      <w:bookmarkStart w:id="979" w:name="b978"/>
      <w:r>
        <w:t>§ 898 Gutgläubiger Erwerb</w:t>
      </w:r>
      <w:r>
        <w:t xml:space="preserve"> </w:t>
      </w:r>
      <w:r>
        <w:rPr>
          <w:rStyle w:val="Suchmarke"/>
        </w:rPr>
        <w:t>#898#</w:t>
      </w:r>
      <w:bookmarkEnd w:id="979"/>
    </w:p>
    <w:p>
      <w:r>
        <w:t xml:space="preserve">Auf einen Erwerb, der sich nach den </w:t>
      </w:r>
      <w:hyperlink w:anchor="b974" w:history="1">
        <w:r>
          <w:rPr>
            <w:color w:val="0A3A8C"/>
            <w:u w:val="single"/>
          </w:rPr>
          <w:t xml:space="preserve">§§ 894</w:t>
        </w:r>
      </w:hyperlink>
      <w:r>
        <w:t xml:space="preserve">, </w:t>
      </w:r>
      <w:hyperlink w:anchor="b977" w:history="1">
        <w:r>
          <w:rPr>
            <w:color w:val="0A3A8C"/>
            <w:u w:val="single"/>
          </w:rPr>
          <w:t xml:space="preserve">897</w:t>
        </w:r>
      </w:hyperlink>
      <w:r>
        <w:t xml:space="preserve"> vollzieht, sind die Vorschriften des bürgerlichen Rechts zugunsten derjenigen, die Rechte von einem Nichtberechtigten herleiten, anzuwenden.</w:t>
      </w:r>
    </w:p>
    <w:p>
      <w:pPr>
        <w:pStyle w:val="Heading2"/>
      </w:pPr>
      <w:bookmarkStart w:id="980" w:name="b979"/>
      <w:r>
        <w:t>Abschnitt 4 Wirkungen des Pfändungsschutzkontos</w:t>
      </w:r>
      <w:bookmarkEnd w:id="980"/>
    </w:p>
    <w:p>
      <w:pPr>
        <w:pStyle w:val="Heading3"/>
      </w:pPr>
      <w:bookmarkStart w:id="981" w:name="b980"/>
      <w:r>
        <w:t>§ 899 Pfändungsfreier Betrag; Übertragung</w:t>
      </w:r>
      <w:r>
        <w:t xml:space="preserve"> </w:t>
      </w:r>
      <w:r>
        <w:rPr>
          <w:rStyle w:val="Suchmarke"/>
        </w:rPr>
        <w:t>#899#</w:t>
      </w:r>
      <w:bookmarkEnd w:id="981"/>
    </w:p>
    <w:p>
      <w:r>
        <w:t xml:space="preserve">(1) </w:t>
      </w:r>
      <w:r>
        <w:rPr>
          <w:rStyle w:val="Satznummer"/>
        </w:rPr>
        <w:t>1</w:t>
      </w:r>
      <w:r>
        <w:t xml:space="preserve">Wird Guthaben auf dem Pfändungsschutzkonto des Schuldners gepfändet, kann der Schuldner jeweils bis zum Ende des Kalendermonats aus dem Guthaben über einen Betrag verfügen, dessen Höhe sich nach Aufrundung des monatlichen Freibetrages nach </w:t>
      </w:r>
      <w:hyperlink w:anchor="b901" w:history="1">
        <w:r>
          <w:rPr>
            <w:color w:val="0A3A8C"/>
            <w:u w:val="single"/>
          </w:rPr>
          <w:t xml:space="preserve">§ 850c</w:t>
        </w:r>
      </w:hyperlink>
      <w:r>
        <w:t xml:space="preserve"> Absatz 1 in Verbindung mit Absatz 4 auf den nächsten vollen 10-Euro-Betrag ergibt; insoweit wird das Guthaben nicht von der Pfändung erfasst. </w:t>
      </w:r>
      <w:r>
        <w:rPr>
          <w:rStyle w:val="Satznummer"/>
        </w:rPr>
        <w:t>2</w:t>
      </w:r>
      <w:r>
        <w:t xml:space="preserve">Satz 1 gilt entsprechend, wenn Guthaben auf einem Zahlungskonto des Schuldners gepfändet ist, das vor Ablauf von einem Monat seit der Zustellung des Überweisungsbeschlusses an den Drittschuldner in ein Pfändungsschutzkonto umgewandelt wird. </w:t>
      </w:r>
      <w:r>
        <w:rPr>
          <w:rStyle w:val="Satznummer"/>
        </w:rPr>
        <w:t>3</w:t>
      </w:r>
      <w:hyperlink w:anchor="b981" w:history="1">
        <w:r>
          <w:rPr>
            <w:color w:val="0A3A8C"/>
            <w:u w:val="single"/>
          </w:rPr>
          <w:t xml:space="preserve">§ 900</w:t>
        </w:r>
      </w:hyperlink>
      <w:r>
        <w:t xml:space="preserve"> Absatz 2 bleibt unberührt.</w:t>
      </w:r>
    </w:p>
    <w:p>
      <w:r>
        <w:t xml:space="preserve">(2) </w:t>
      </w:r>
      <w:r>
        <w:rPr>
          <w:rStyle w:val="Satznummer"/>
        </w:rPr>
        <w:t>1</w:t>
      </w:r>
      <w:r>
        <w:t xml:space="preserve">Hat der Schuldner in dem jeweiligen Kalendermonat nicht über Guthaben in Höhe des gesamten nach Absatz 1 pfändungsfreien Betrages verfügt, wird dieses nicht verbrauchte Guthaben in den drei nachfolgenden Kalendermonaten zusätzlich zu dem nach Absatz 1 geschützten Guthaben nicht von der Pfändung erfasst. </w:t>
      </w:r>
      <w:r>
        <w:rPr>
          <w:rStyle w:val="Satznummer"/>
        </w:rPr>
        <w:t>2</w:t>
      </w:r>
      <w:r>
        <w:t>Verfügungen sind jeweils mit dem Guthaben zu verrechnen, das zuerst dem Pfändungsschutzkonto gutgeschrieben wurde.</w:t>
      </w:r>
    </w:p>
    <w:p>
      <w:r>
        <w:t xml:space="preserve">(3) </w:t>
      </w:r>
      <w:r>
        <w:rPr>
          <w:rStyle w:val="Satznummer"/>
        </w:rPr>
        <w:t>1</w:t>
      </w:r>
      <w:r>
        <w:t xml:space="preserve">Einwendungen gegen die Höhe eines pfändungsfreien Betrages hat der Schuldner dem Kreditinstitut spätestens bis zum Ablauf des sechsten auf die Berechnung des jeweiligen pfändungsfreien Betrages folgenden Kalendermonats mitzuteilen. </w:t>
      </w:r>
      <w:r>
        <w:rPr>
          <w:rStyle w:val="Satznummer"/>
        </w:rPr>
        <w:t>2</w:t>
      </w:r>
      <w:r>
        <w:t>Nach Ablauf dieser Frist kann der Schuldner nur Einwendungen geltend machen, deren verspätete Geltendmachung er nicht zu vertreten hat.</w:t>
      </w:r>
    </w:p>
    <w:p>
      <w:pPr>
        <w:pStyle w:val="Heading3"/>
      </w:pPr>
      <w:bookmarkStart w:id="982" w:name="b981"/>
      <w:r>
        <w:t>§ 900 Moratorium bei Überweisung an den Gläubiger</w:t>
      </w:r>
      <w:r>
        <w:t xml:space="preserve"> </w:t>
      </w:r>
      <w:r>
        <w:rPr>
          <w:rStyle w:val="Suchmarke"/>
        </w:rPr>
        <w:t>#900#</w:t>
      </w:r>
      <w:bookmarkEnd w:id="982"/>
    </w:p>
    <w:p>
      <w:r>
        <w:t xml:space="preserve">(1) </w:t>
      </w:r>
      <w:r>
        <w:rPr>
          <w:rStyle w:val="Satznummer"/>
        </w:rPr>
        <w:t>1</w:t>
      </w:r>
      <w:r>
        <w:t xml:space="preserve">Wird künftiges Guthaben auf einem Pfändungsschutzkonto gepfändet und dem Gläubiger überwiesen, darf der Drittschuldner erst nach Ablauf des Kalendermonats, der auf die jeweilige Gutschrift folgt, an den Gläubiger leisten oder den Betrag hinterlegen; eine Verlängerung des in </w:t>
      </w:r>
      <w:hyperlink w:anchor="b980" w:history="1">
        <w:r>
          <w:rPr>
            <w:color w:val="0A3A8C"/>
            <w:u w:val="single"/>
          </w:rPr>
          <w:t xml:space="preserve">§ 899</w:t>
        </w:r>
      </w:hyperlink>
      <w:r>
        <w:t xml:space="preserve"> Absatz 2 bezeichneten Zeitraums erfolgt dadurch nicht. </w:t>
      </w:r>
      <w:r>
        <w:rPr>
          <w:rStyle w:val="Satznummer"/>
        </w:rPr>
        <w:t>2</w:t>
      </w:r>
      <w:r>
        <w:t>Auf Antrag des Gläubigers kann das Vollstreckungsgericht eine von Satz 1 erster Halbsatz abweichende Anordnung treffen, wenn sonst unter Würdigung des Schutzbedürfnisses des Schuldners für den Gläubiger eine unzumutbare Härte entstünde.</w:t>
      </w:r>
    </w:p>
    <w:p>
      <w:r>
        <w:t xml:space="preserve">(2) Guthaben, aus dem bis zum Ablauf der Frist des Absatzes 1 nicht an den Gläubiger geleistet oder das bis zu diesem Zeitpunkt nicht hinterlegt werden darf, ist in dem auf die Gutschrift folgenden Kalendermonat Guthaben im Sinne des </w:t>
      </w:r>
      <w:hyperlink w:anchor="b980" w:history="1">
        <w:r>
          <w:rPr>
            <w:color w:val="0A3A8C"/>
            <w:u w:val="single"/>
          </w:rPr>
          <w:t xml:space="preserve">§ 899</w:t>
        </w:r>
      </w:hyperlink>
      <w:r>
        <w:t xml:space="preserve"> Absatz 1 Satz 1.</w:t>
      </w:r>
    </w:p>
    <w:p>
      <w:pPr>
        <w:pStyle w:val="Heading3"/>
      </w:pPr>
      <w:bookmarkStart w:id="983" w:name="b982"/>
      <w:r>
        <w:t>§ 901 Verbot der Aufrechnung und Verrechnung</w:t>
      </w:r>
      <w:r>
        <w:t xml:space="preserve"> </w:t>
      </w:r>
      <w:r>
        <w:rPr>
          <w:rStyle w:val="Suchmarke"/>
        </w:rPr>
        <w:t>#901#</w:t>
      </w:r>
      <w:bookmarkEnd w:id="983"/>
    </w:p>
    <w:p>
      <w:r>
        <w:t>(1) Verlangt eine natürliche Person von dem Kreditinstitut, dass ein von ihr dort geführtes Zahlungskonto, das einen negativen Saldo aufweist, als Pfändungsschutzkonto geführt wird, darf das Kreditinstitut ab dem Verlangen nicht mit seinen Forderungen gegen Forderungen des Kontoinhabers aufrechnen oder einen zugunsten des Kontoinhabers bestehenden Saldo mit einem zugunsten des Kreditinstituts bestehenden Saldo verrechnen, soweit die Gutschrift auf dem Zahlungskonto als Guthaben auf einem Pfändungsschutzkonto nicht von der Pfändung erfasst sein würde.</w:t>
      </w:r>
    </w:p>
    <w:p>
      <w:r>
        <w:t xml:space="preserve">(2) </w:t>
      </w:r>
      <w:r>
        <w:rPr>
          <w:rStyle w:val="Satznummer"/>
        </w:rPr>
        <w:t>1</w:t>
      </w:r>
      <w:r>
        <w:t xml:space="preserve">Das Verbot der Aufrechnung und Verrechnung nach Absatz 1 gilt für ein Zahlungskonto, auf das sich eine Pfändung erstreckt, bereits ab dem Zeitpunkt der Kenntnis des Kreditinstituts von der Pfändung. </w:t>
      </w:r>
      <w:r>
        <w:rPr>
          <w:rStyle w:val="Satznummer"/>
        </w:rPr>
        <w:t>2</w:t>
      </w:r>
      <w:r>
        <w:t xml:space="preserve">Das Verbot der Aufrechnung oder Verrechnung entfällt jedoch, wenn der Schuldner nicht gemäß </w:t>
      </w:r>
      <w:hyperlink w:anchor="b980" w:history="1">
        <w:r>
          <w:rPr>
            <w:color w:val="0A3A8C"/>
            <w:u w:val="single"/>
          </w:rPr>
          <w:t xml:space="preserve">§ 899</w:t>
        </w:r>
      </w:hyperlink>
      <w:r>
        <w:t xml:space="preserve"> Absatz 1 Satz 2 verlangt, dass das Zahlungskonto als Pfändungsschutzkonto geführt wird.</w:t>
      </w:r>
    </w:p>
    <w:p>
      <w:r>
        <w:t xml:space="preserve">(3) </w:t>
      </w:r>
      <w:r>
        <w:rPr>
          <w:rStyle w:val="Satznummer"/>
        </w:rPr>
        <w:t>1</w:t>
      </w:r>
      <w:r>
        <w:t xml:space="preserve">Gutschriften auf dem Zahlungskonto, die nach Absatz 1 oder 2 dem Verbot der Aufrechnung und Verrechnung unterliegen, sind als Guthaben auf das Pfändungsschutzkonto zu übertragen. </w:t>
      </w:r>
      <w:r>
        <w:rPr>
          <w:rStyle w:val="Satznummer"/>
        </w:rPr>
        <w:t>2</w:t>
      </w:r>
      <w:r>
        <w:t xml:space="preserve">Im Fall des Absatzes 2 erfolgt die Übertragung jedoch nur, wenn der Schuldner gemäß </w:t>
      </w:r>
      <w:hyperlink w:anchor="b980" w:history="1">
        <w:r>
          <w:rPr>
            <w:color w:val="0A3A8C"/>
            <w:u w:val="single"/>
          </w:rPr>
          <w:t xml:space="preserve">§ 899</w:t>
        </w:r>
      </w:hyperlink>
      <w:r>
        <w:t xml:space="preserve"> Absatz 1 Satz 2 verlangt, dass das Zahlungskonto als Pfändungsschutzkonto geführt wird.</w:t>
      </w:r>
    </w:p>
    <w:p>
      <w:pPr>
        <w:pStyle w:val="Heading3"/>
      </w:pPr>
      <w:bookmarkStart w:id="984" w:name="b983"/>
      <w:r>
        <w:t>§ 902 Erhöhungsbeträge</w:t>
      </w:r>
      <w:r>
        <w:t xml:space="preserve"> </w:t>
      </w:r>
      <w:r>
        <w:rPr>
          <w:rStyle w:val="Suchmarke"/>
        </w:rPr>
        <w:t>#902#</w:t>
      </w:r>
      <w:bookmarkEnd w:id="984"/>
    </w:p>
    <w:p>
      <w:r>
        <w:rPr>
          <w:rStyle w:val="Satznummer"/>
        </w:rPr>
        <w:t>1</w:t>
      </w:r>
      <w:r>
        <w:t xml:space="preserve">Neben dem pfändungsfreien Betrag nach </w:t>
      </w:r>
      <w:hyperlink w:anchor="b980" w:history="1">
        <w:r>
          <w:rPr>
            <w:color w:val="0A3A8C"/>
            <w:u w:val="single"/>
          </w:rPr>
          <w:t xml:space="preserve">§ 899</w:t>
        </w:r>
      </w:hyperlink>
      <w:r>
        <w:t xml:space="preserve"> Absatz 1 Satz 1 werden folgende Erhöhungsbeträge nicht von der Pfändung des Guthabens auf einem Pfändungsschutzkonto erfasst:</w:t>
      </w:r>
    </w:p>
    <w:p>
      <w:pPr>
        <w:tabs>
          <w:tab w:pos="567" w:val="left"/>
        </w:tabs>
        <w:ind w:left="567" w:hanging="567"/>
      </w:pPr>
      <w:r>
        <w:t>1.</w:t>
      </w:r>
      <w:r>
        <w:tab/>
      </w:r>
      <w:r>
        <w:t xml:space="preserve">die pfändungsfreien Beträge nach </w:t>
      </w:r>
      <w:hyperlink w:anchor="b901" w:history="1">
        <w:r>
          <w:rPr>
            <w:color w:val="0A3A8C"/>
            <w:u w:val="single"/>
          </w:rPr>
          <w:t xml:space="preserve">§ 850c</w:t>
        </w:r>
      </w:hyperlink>
      <w:r>
        <w:t xml:space="preserve"> Absatz 2 in Verbindung mit Absatz 4, wenn der Schuldner</w:t>
      </w:r>
    </w:p>
    <w:p>
      <w:pPr>
        <w:tabs>
          <w:tab w:pos="1134" w:val="left"/>
        </w:tabs>
        <w:ind w:left="1134" w:hanging="567"/>
      </w:pPr>
      <w:r>
        <w:t>a)</w:t>
      </w:r>
      <w:r>
        <w:tab/>
      </w:r>
      <w:r>
        <w:t>einer Person oder mehreren Personen auf Grund gesetzlicher Verpflichtung Unterhalt gewährt;</w:t>
      </w:r>
    </w:p>
    <w:p>
      <w:pPr>
        <w:tabs>
          <w:tab w:pos="1134" w:val="left"/>
        </w:tabs>
        <w:ind w:left="1134" w:hanging="567"/>
      </w:pPr>
      <w:r>
        <w:t>b)</w:t>
      </w:r>
      <w:r>
        <w:tab/>
      </w:r>
      <w:r>
        <w:t>Geldleistungen nach dem Zweiten oder Zwölften Buch Sozialgesetzbuch für Personen entgegennimmt, die mit ihm in einer Bedarfsgemeinschaft im Sinne des § 7 Absatz 3 des Zweiten Buches Sozialgesetzbuch oder in einer Gemeinschaft nach den §§ 19, 20, 27, 39 Satz 1 oder § 43 des Zwölften Buches Sozialgesetzbuch leben und denen er nicht auf Grund gesetzlicher Vorschriften zum Unterhalt verpflichtet ist;</w:t>
      </w:r>
    </w:p>
    <w:p>
      <w:pPr>
        <w:tabs>
          <w:tab w:pos="1134" w:val="left"/>
        </w:tabs>
        <w:ind w:left="1134" w:hanging="567"/>
      </w:pPr>
      <w:r>
        <w:t>c)</w:t>
      </w:r>
      <w:r>
        <w:tab/>
      </w:r>
      <w:r>
        <w:t>Geldleistungen nach dem Asylbewerberleistungsgesetz für Personen entgegennimmt, mit denen er in einem gemeinsamen Haushalt zusammenlebt und denen er nicht auf Grund gesetzlicher Vorschriften zum Unterhalt verpflichtet ist;</w:t>
      </w:r>
    </w:p>
    <w:p>
      <w:pPr>
        <w:tabs>
          <w:tab w:pos="567" w:val="left"/>
        </w:tabs>
        <w:ind w:left="567" w:hanging="567"/>
      </w:pPr>
      <w:r>
        <w:t>2.</w:t>
      </w:r>
      <w:r>
        <w:tab/>
      </w:r>
      <w:r>
        <w:t>Geldleistungen im Sinne des § 54 Absatz 2 oder Absatz 3 Nummer 3 des Ersten Buches Sozialgesetzbuch;</w:t>
      </w:r>
    </w:p>
    <w:p>
      <w:pPr>
        <w:tabs>
          <w:tab w:pos="567" w:val="left"/>
        </w:tabs>
        <w:ind w:left="567" w:hanging="567"/>
      </w:pPr>
      <w:r>
        <w:t>3.</w:t>
      </w:r>
      <w:r>
        <w:tab/>
      </w:r>
      <w:r>
        <w:t>Geldleistungen gemäß § 5 Absatz 1 des Gesetzes zur Errichtung einer Stiftung „Mutter und Kind – Schutz des ungeborenen Lebens“;</w:t>
      </w:r>
    </w:p>
    <w:p>
      <w:pPr>
        <w:tabs>
          <w:tab w:pos="567" w:val="left"/>
        </w:tabs>
        <w:ind w:left="567" w:hanging="567"/>
      </w:pPr>
      <w:r>
        <w:t>4.</w:t>
      </w:r>
      <w:r>
        <w:tab/>
      </w:r>
      <w:r>
        <w:t xml:space="preserve">Geldleistungen, die dem Schuldner selbst nach dem Zweiten oder Zwölften Buch Sozialgesetzbuch oder dem Asylbewerberleistungsgesetz gewährt werden, in dem Umfang, in dem diese den pfändungsfreien Betrag nach </w:t>
      </w:r>
      <w:hyperlink w:anchor="b980" w:history="1">
        <w:r>
          <w:rPr>
            <w:color w:val="0A3A8C"/>
            <w:u w:val="single"/>
          </w:rPr>
          <w:t xml:space="preserve">§ 899</w:t>
        </w:r>
      </w:hyperlink>
      <w:r>
        <w:t xml:space="preserve"> Absatz 1 Satz 1 übersteigen;</w:t>
      </w:r>
    </w:p>
    <w:p>
      <w:pPr>
        <w:tabs>
          <w:tab w:pos="567" w:val="left"/>
        </w:tabs>
        <w:ind w:left="567" w:hanging="567"/>
      </w:pPr>
      <w:r>
        <w:t>5.</w:t>
      </w:r>
      <w:r>
        <w:tab/>
      </w:r>
      <w:r>
        <w:t>das Kindergeld nach dem Einkommensteuergesetz und andere gesetzliche Geldleistungen für Kinder, es sei denn, dass wegen einer Unterhaltsforderung des Kindes, für das die Leistungen gewährt oder bei dem sie berücksichtigt werden, gepfändet wird;</w:t>
      </w:r>
    </w:p>
    <w:p>
      <w:pPr>
        <w:tabs>
          <w:tab w:pos="567" w:val="left"/>
        </w:tabs>
        <w:ind w:left="567" w:hanging="567"/>
      </w:pPr>
      <w:r>
        <w:t>6.</w:t>
      </w:r>
      <w:r>
        <w:tab/>
      </w:r>
      <w:r>
        <w:t>Geldleistungen, die dem Schuldner nach landesrechtlichen oder anderen als in den Nummern 1 bis 5 genannten bundesrechtlichen Rechtsvorschriften gewährt werden, in welchen die Unpfändbarkeit der Geldleistung festgelegt wird.</w:t>
      </w:r>
    </w:p>
    <w:p>
      <w:r>
        <w:rPr>
          <w:rStyle w:val="Satznummer"/>
        </w:rPr>
        <w:t>2</w:t>
      </w:r>
      <w:r>
        <w:t xml:space="preserve">Für die Erhöhungsbeträge nach Satz 1 gilt </w:t>
      </w:r>
      <w:hyperlink w:anchor="b980" w:history="1">
        <w:r>
          <w:rPr>
            <w:color w:val="0A3A8C"/>
            <w:u w:val="single"/>
          </w:rPr>
          <w:t xml:space="preserve">§ 899</w:t>
        </w:r>
      </w:hyperlink>
      <w:r>
        <w:t xml:space="preserve"> Absatz 2 entsprechend.</w:t>
      </w:r>
    </w:p>
    <w:p>
      <w:pPr>
        <w:pStyle w:val="Heading3"/>
      </w:pPr>
      <w:bookmarkStart w:id="985" w:name="b984"/>
      <w:r>
        <w:t>§ 903 Nachweise über Erhöhungsbeträge</w:t>
      </w:r>
      <w:r>
        <w:t xml:space="preserve"> </w:t>
      </w:r>
      <w:r>
        <w:rPr>
          <w:rStyle w:val="Suchmarke"/>
        </w:rPr>
        <w:t>#903#</w:t>
      </w:r>
      <w:bookmarkEnd w:id="985"/>
    </w:p>
    <w:p>
      <w:r>
        <w:t xml:space="preserve">(1) </w:t>
      </w:r>
      <w:r>
        <w:rPr>
          <w:rStyle w:val="Satznummer"/>
        </w:rPr>
        <w:t>1</w:t>
      </w:r>
      <w:r>
        <w:t xml:space="preserve">Das Kreditinstitut kann aus Guthaben, soweit es als Erhöhungsbetrag unpfändbar ist, mit befreiender Wirkung gegenüber dem Schuldner an den Gläubiger leisten, bis der Schuldner dem Kreditinstitut nachweist, dass es sich um Guthaben handelt, das nach </w:t>
      </w:r>
      <w:hyperlink w:anchor="b983" w:history="1">
        <w:r>
          <w:rPr>
            <w:color w:val="0A3A8C"/>
            <w:u w:val="single"/>
          </w:rPr>
          <w:t xml:space="preserve">§ 902</w:t>
        </w:r>
      </w:hyperlink>
      <w:r>
        <w:t xml:space="preserve"> nicht von der Pfändung erfasst wird. </w:t>
      </w:r>
      <w:r>
        <w:rPr>
          <w:rStyle w:val="Satznummer"/>
        </w:rPr>
        <w:t>2</w:t>
      </w:r>
      <w:r>
        <w:t>Der Nachweis ist zu führen durch Vorlage einer Bescheinigung</w:t>
      </w:r>
    </w:p>
    <w:p>
      <w:pPr>
        <w:tabs>
          <w:tab w:pos="567" w:val="left"/>
        </w:tabs>
        <w:ind w:left="567" w:hanging="567"/>
      </w:pPr>
      <w:r>
        <w:t>1.</w:t>
      </w:r>
      <w:r>
        <w:tab/>
      </w:r>
      <w:r>
        <w:t xml:space="preserve">der Familienkasse, des Sozialleistungsträgers oder einer mit der Gewährung von Geldleistungen im Sinne des </w:t>
      </w:r>
      <w:hyperlink w:anchor="b983" w:history="1">
        <w:r>
          <w:rPr>
            <w:color w:val="0A3A8C"/>
            <w:u w:val="single"/>
          </w:rPr>
          <w:t xml:space="preserve">§ 902</w:t>
        </w:r>
      </w:hyperlink>
      <w:r>
        <w:t xml:space="preserve"> Satz 1 befassten Einrichtung,</w:t>
      </w:r>
    </w:p>
    <w:p>
      <w:pPr>
        <w:tabs>
          <w:tab w:pos="567" w:val="left"/>
        </w:tabs>
        <w:ind w:left="567" w:hanging="567"/>
      </w:pPr>
      <w:r>
        <w:t>2.</w:t>
      </w:r>
      <w:r>
        <w:tab/>
      </w:r>
      <w:r>
        <w:t>des Arbeitgebers oder</w:t>
      </w:r>
    </w:p>
    <w:p>
      <w:pPr>
        <w:tabs>
          <w:tab w:pos="567" w:val="left"/>
        </w:tabs>
        <w:ind w:left="567" w:hanging="567"/>
      </w:pPr>
      <w:r>
        <w:t>3.</w:t>
      </w:r>
      <w:r>
        <w:tab/>
      </w:r>
      <w:r>
        <w:t>einer geeigneten Person oder Stelle im Sinne des § 305 Absatz 1 Nummer 1 der Insolvenzordnung.</w:t>
      </w:r>
    </w:p>
    <w:p>
      <w:r>
        <w:t xml:space="preserve">(2) </w:t>
      </w:r>
      <w:r>
        <w:rPr>
          <w:rStyle w:val="Satznummer"/>
        </w:rPr>
        <w:t>1</w:t>
      </w:r>
      <w:r>
        <w:t xml:space="preserve">Das Kreditinstitut hat Bescheinigungen nach Absatz 1 Satz 2 für die Dauer zu beachten, für die sie ausgestellt sind. </w:t>
      </w:r>
      <w:r>
        <w:rPr>
          <w:rStyle w:val="Satznummer"/>
        </w:rPr>
        <w:t>2</w:t>
      </w:r>
      <w:r>
        <w:t xml:space="preserve">Unbefristete Bescheinigungen hat das Kreditinstitut für die Dauer von zwei Jahren zu beachten. </w:t>
      </w:r>
      <w:r>
        <w:rPr>
          <w:rStyle w:val="Satznummer"/>
        </w:rPr>
        <w:t>3</w:t>
      </w:r>
      <w:r>
        <w:t xml:space="preserve">Nach Ablauf des in Satz 2 genannten Zeitraums kann das Kreditinstitut von dem Kontoinhaber, der eine Bescheinigung nach Absatz 1 Satz 2 vorgelegt hat, die Vorlage einer neuen Bescheinigung verlangen. </w:t>
      </w:r>
      <w:r>
        <w:rPr>
          <w:rStyle w:val="Satznummer"/>
        </w:rPr>
        <w:t>4</w:t>
      </w:r>
      <w:r>
        <w:t>Vor Ablauf des in Satz 2 genannten Zeitraums kann das Kreditinstitut eine neue Bescheinigung verlangen, wenn tatsächliche Anhaltspunkte bestehen, die die Annahme rechtfertigen, dass die Angaben in der Bescheinigung unrichtig sind oder nicht mehr zutreffen.</w:t>
      </w:r>
    </w:p>
    <w:p>
      <w:r>
        <w:t xml:space="preserve">(3) </w:t>
      </w:r>
      <w:r>
        <w:rPr>
          <w:rStyle w:val="Satznummer"/>
        </w:rPr>
        <w:t>1</w:t>
      </w:r>
      <w:r>
        <w:t xml:space="preserve">Jede der in Absatz 1 Satz 2 Nummer 1 genannten Stellen, die Leistungen im Sinne des § 902 Satz 1 Nummer 1 Buchstabe b und c sowie Nummer 2 bis 6 durch Überweisung auf ein Zahlungskonto des Schuldners erbringt, ist verpflichtet, auf Antrag des Schuldners eine Bescheinigung nach Absatz 1 Satz 2 über ihre Leistungen auszustellen. </w:t>
      </w:r>
      <w:r>
        <w:rPr>
          <w:rStyle w:val="Satznummer"/>
        </w:rPr>
        <w:t>2</w:t>
      </w:r>
      <w:r>
        <w:t>Die Bescheinigung muss folgende Angaben enthalten:</w:t>
      </w:r>
    </w:p>
    <w:p>
      <w:pPr>
        <w:tabs>
          <w:tab w:pos="567" w:val="left"/>
        </w:tabs>
        <w:ind w:left="567" w:hanging="567"/>
      </w:pPr>
      <w:r>
        <w:t>1.</w:t>
      </w:r>
      <w:r>
        <w:tab/>
      </w:r>
      <w:r>
        <w:t>die Höhe der Leistung,</w:t>
      </w:r>
    </w:p>
    <w:p>
      <w:pPr>
        <w:tabs>
          <w:tab w:pos="567" w:val="left"/>
        </w:tabs>
        <w:ind w:left="567" w:hanging="567"/>
      </w:pPr>
      <w:r>
        <w:t>2.</w:t>
      </w:r>
      <w:r>
        <w:tab/>
      </w:r>
      <w:r>
        <w:t>in welcher Höhe die Leistung zu welcher der in § 902 Satz 1 Nummer 1 Buchstabe b und c sowie Nummer 2 bis 6 genannten Leistungsarten gehört,</w:t>
      </w:r>
    </w:p>
    <w:p>
      <w:pPr>
        <w:tabs>
          <w:tab w:pos="567" w:val="left"/>
        </w:tabs>
        <w:ind w:left="567" w:hanging="567"/>
      </w:pPr>
      <w:r>
        <w:t>3.</w:t>
      </w:r>
      <w:r>
        <w:tab/>
      </w:r>
      <w:r>
        <w:t>für welchen Zeitraum die Leistung gewährt wird.</w:t>
      </w:r>
    </w:p>
    <w:p>
      <w:r>
        <w:rPr>
          <w:rStyle w:val="Satznummer"/>
        </w:rPr>
        <w:t>3</w:t>
      </w:r>
      <w:r>
        <w:t>Darüber hinaus ist die in Absatz 1 Satz 2 Nummer 1 genannte Stelle verpflichtet, soweit sie Kenntnis hiervon hat, Folgendes zu bescheinigen:</w:t>
      </w:r>
    </w:p>
    <w:p>
      <w:pPr>
        <w:tabs>
          <w:tab w:pos="567" w:val="left"/>
        </w:tabs>
        <w:ind w:left="567" w:hanging="567"/>
      </w:pPr>
      <w:r>
        <w:t>1.</w:t>
      </w:r>
      <w:r>
        <w:tab/>
      </w:r>
      <w:r>
        <w:t>die Anzahl der Personen, denen der Schuldner auf Grund gesetzlicher Verpflichtung Unterhalt gewährt,</w:t>
      </w:r>
    </w:p>
    <w:p>
      <w:pPr>
        <w:tabs>
          <w:tab w:pos="567" w:val="left"/>
        </w:tabs>
        <w:ind w:left="567" w:hanging="567"/>
      </w:pPr>
      <w:r>
        <w:t>2.</w:t>
      </w:r>
      <w:r>
        <w:tab/>
      </w:r>
      <w:r>
        <w:t>das Geburtsdatum der minderjährigen unterhaltsberechtigten Personen.</w:t>
      </w:r>
    </w:p>
    <w:p>
      <w:r>
        <w:t>(4) Das Kreditinstitut hat die Angaben in der Bescheinigung nach Absatz 1 Satz 2 ab dem zweiten auf die Vorlage der Bescheinigung folgenden Geschäftstag zu beachten.</w:t>
      </w:r>
    </w:p>
    <w:p>
      <w:pPr>
        <w:pStyle w:val="Heading3"/>
      </w:pPr>
      <w:bookmarkStart w:id="986" w:name="b985"/>
      <w:r>
        <w:t>§ 904 Nachzahlung von Leistungen</w:t>
      </w:r>
      <w:r>
        <w:t xml:space="preserve"> </w:t>
      </w:r>
      <w:r>
        <w:rPr>
          <w:rStyle w:val="Suchmarke"/>
        </w:rPr>
        <w:t>#904#</w:t>
      </w:r>
      <w:bookmarkEnd w:id="986"/>
    </w:p>
    <w:p>
      <w:r>
        <w:t>(1) Werden laufende Geldleistungen zu einem späteren Zeitpunkt als dem Monat, auf den sich die Leistungen beziehen, ausbezahlt, so werden sie von der Pfändung des Guthabens auf dem Pfändungsschutzkonto nicht erfasst, wenn es sich um Geldleistungen gemäß § 902 Satz 1 Nummer 1 Buchstabe b oder c oder Nummer 4 bis 6 handelt.</w:t>
      </w:r>
    </w:p>
    <w:p>
      <w:r>
        <w:t xml:space="preserve">(2) Laufende Geldleistungen nach dem Sozialgesetzbuch, die nicht in Absatz 1 genannt sind, sowie Arbeitseinkommen nach </w:t>
      </w:r>
      <w:hyperlink w:anchor="b898" w:history="1">
        <w:r>
          <w:rPr>
            <w:color w:val="0A3A8C"/>
            <w:u w:val="single"/>
          </w:rPr>
          <w:t xml:space="preserve">§ 850</w:t>
        </w:r>
      </w:hyperlink>
      <w:r>
        <w:t xml:space="preserve"> Absatz 2 und 3 werden von der Pfändung des Guthabens auf dem Pfändungsschutzkonto nicht erfasst, wenn der nachgezahlte Betrag 500 Euro nicht übersteigt.</w:t>
      </w:r>
    </w:p>
    <w:p>
      <w:r>
        <w:t xml:space="preserve">(3) </w:t>
      </w:r>
      <w:r>
        <w:rPr>
          <w:rStyle w:val="Satznummer"/>
        </w:rPr>
        <w:t>1</w:t>
      </w:r>
      <w:r>
        <w:t xml:space="preserve">Laufende Geldleistungen nach Absatz 2, bei denen der nachgezahlte Betrag 500 Euro übersteigt, werden von der Pfändung des Guthabens auf dem Pfändungsschutzkonto nicht erfasst, soweit der für den jeweiligen Monat nachgezahlte Betrag in dem Monat, auf den er sich bezieht, nicht zu einem pfändbaren Guthaben geführt hätte. </w:t>
      </w:r>
      <w:r>
        <w:rPr>
          <w:rStyle w:val="Satznummer"/>
        </w:rPr>
        <w:t>2</w:t>
      </w:r>
      <w:r>
        <w:t>Wird die Nachzahlung pauschal und für einen Bewilligungszeitraum gewährt, der länger als ein Monat ist, ist die Nachzahlungssumme zu gleichen Teilen auf die Zahl der betroffenen Monate aufzuteilen.</w:t>
      </w:r>
    </w:p>
    <w:p>
      <w:r>
        <w:t xml:space="preserve">(4) Für Nachzahlungen von Leistungen nach den Absätzen 1 und 2 gilt </w:t>
      </w:r>
      <w:hyperlink w:anchor="b984" w:history="1">
        <w:r>
          <w:rPr>
            <w:color w:val="0A3A8C"/>
            <w:u w:val="single"/>
          </w:rPr>
          <w:t xml:space="preserve">§ 903</w:t>
        </w:r>
      </w:hyperlink>
      <w:r>
        <w:t xml:space="preserve"> Absatz 1, 3 Satz 1 und Absatz 4 entsprechend.</w:t>
      </w:r>
    </w:p>
    <w:p>
      <w:r>
        <w:t xml:space="preserve">(5) </w:t>
      </w:r>
      <w:r>
        <w:rPr>
          <w:rStyle w:val="Satznummer"/>
        </w:rPr>
        <w:t>1</w:t>
      </w:r>
      <w:r>
        <w:t xml:space="preserve">Für die Festsetzung der Höhe des pfändungsfreien Betrages in den Fällen des Absatzes 3 ist das Vollstreckungsgericht zuständig. </w:t>
      </w:r>
      <w:r>
        <w:rPr>
          <w:rStyle w:val="Satznummer"/>
        </w:rPr>
        <w:t>2</w:t>
      </w:r>
      <w:r>
        <w:t xml:space="preserve">Entscheidungen nach Satz 1 ergehen auf Antrag des Schuldners durch Beschluss. </w:t>
      </w:r>
      <w:r>
        <w:rPr>
          <w:rStyle w:val="Satznummer"/>
        </w:rPr>
        <w:t>3</w:t>
      </w:r>
      <w:r>
        <w:t xml:space="preserve">Der Beschluss nach Satz 2 gilt als Bescheinigung im Sinne des </w:t>
      </w:r>
      <w:hyperlink w:anchor="b984" w:history="1">
        <w:r>
          <w:rPr>
            <w:color w:val="0A3A8C"/>
            <w:u w:val="single"/>
          </w:rPr>
          <w:t xml:space="preserve">§ 903</w:t>
        </w:r>
      </w:hyperlink>
      <w:r>
        <w:t xml:space="preserve"> Absatz 1 Satz 2.</w:t>
      </w:r>
    </w:p>
    <w:p>
      <w:pPr>
        <w:pStyle w:val="Heading3"/>
      </w:pPr>
      <w:bookmarkStart w:id="987" w:name="b986"/>
      <w:r>
        <w:t>§ 905 Festsetzung der Erhöhungsbeträge durch das Vollstreckungsgericht</w:t>
      </w:r>
      <w:r>
        <w:t xml:space="preserve"> </w:t>
      </w:r>
      <w:r>
        <w:rPr>
          <w:rStyle w:val="Suchmarke"/>
        </w:rPr>
        <w:t>#905#</w:t>
      </w:r>
      <w:bookmarkEnd w:id="987"/>
    </w:p>
    <w:p>
      <w:r>
        <w:rPr>
          <w:rStyle w:val="Satznummer"/>
        </w:rPr>
        <w:t>1</w:t>
      </w:r>
      <w:r>
        <w:t xml:space="preserve">Macht der Schuldner glaubhaft, dass er eine Bescheinigung im Sinne des </w:t>
      </w:r>
      <w:hyperlink w:anchor="b984" w:history="1">
        <w:r>
          <w:rPr>
            <w:color w:val="0A3A8C"/>
            <w:u w:val="single"/>
          </w:rPr>
          <w:t xml:space="preserve">§ 903</w:t>
        </w:r>
      </w:hyperlink>
      <w:r>
        <w:t xml:space="preserve"> Absatz 1 Satz 2, um deren Erteilung er</w:t>
      </w:r>
    </w:p>
    <w:p>
      <w:pPr>
        <w:tabs>
          <w:tab w:pos="567" w:val="left"/>
        </w:tabs>
        <w:ind w:left="567" w:hanging="567"/>
      </w:pPr>
      <w:r>
        <w:t>1.</w:t>
      </w:r>
      <w:r>
        <w:tab/>
      </w:r>
      <w:r>
        <w:t xml:space="preserve">zunächst bei einer in </w:t>
      </w:r>
      <w:hyperlink w:anchor="b984" w:history="1">
        <w:r>
          <w:rPr>
            <w:color w:val="0A3A8C"/>
            <w:u w:val="single"/>
          </w:rPr>
          <w:t xml:space="preserve">§ 903</w:t>
        </w:r>
      </w:hyperlink>
      <w:r>
        <w:t xml:space="preserve"> Absatz 1 Satz 2 Nummer 1 genannten Stelle, von der er eine Leistung bezieht, und nachfolgend</w:t>
      </w:r>
    </w:p>
    <w:p>
      <w:pPr>
        <w:tabs>
          <w:tab w:pos="567" w:val="left"/>
        </w:tabs>
        <w:ind w:left="567" w:hanging="567"/>
      </w:pPr>
      <w:r>
        <w:t>2.</w:t>
      </w:r>
      <w:r>
        <w:tab/>
      </w:r>
      <w:r>
        <w:t>bei einer weiteren Stelle, die zur Erteilung der Bescheinigung berechtigt ist,</w:t>
      </w:r>
    </w:p>
    <w:p>
      <w:r>
        <w:t xml:space="preserve">nachgesucht hat, nicht in zumutbarer Weise von diesen Stellen erlangen konnte, hat das Vollstreckungsgericht in dem Beschluss auf Antrag die Erhöhungsbeträge nach </w:t>
      </w:r>
      <w:hyperlink w:anchor="b983" w:history="1">
        <w:r>
          <w:rPr>
            <w:color w:val="0A3A8C"/>
            <w:u w:val="single"/>
          </w:rPr>
          <w:t xml:space="preserve">§ 902</w:t>
        </w:r>
      </w:hyperlink>
      <w:r>
        <w:t xml:space="preserve"> festzusetzen und die Angaben nach </w:t>
      </w:r>
      <w:hyperlink w:anchor="b984" w:history="1">
        <w:r>
          <w:rPr>
            <w:color w:val="0A3A8C"/>
            <w:u w:val="single"/>
          </w:rPr>
          <w:t xml:space="preserve">§ 903</w:t>
        </w:r>
      </w:hyperlink>
      <w:r>
        <w:t xml:space="preserve"> Absatz 3 Satz 2 zu bestimmen. </w:t>
      </w:r>
      <w:r>
        <w:rPr>
          <w:rStyle w:val="Satznummer"/>
        </w:rPr>
        <w:t>2</w:t>
      </w:r>
      <w:r>
        <w:t xml:space="preserve">Dabei hat das Vollstreckungsgericht den Schuldner auf die Möglichkeit der Stellung eines Antrags nach </w:t>
      </w:r>
      <w:hyperlink w:anchor="b988" w:history="1">
        <w:r>
          <w:rPr>
            <w:color w:val="0A3A8C"/>
            <w:u w:val="single"/>
          </w:rPr>
          <w:t xml:space="preserve">§ 907</w:t>
        </w:r>
      </w:hyperlink>
      <w:r>
        <w:t xml:space="preserve"> Absatz 1 Satz 1 hinzuweisen, wenn nach dem Vorbringen des Schuldners unter Beachtung der von ihm vorgelegten Unterlagen die Voraussetzungen dieser Vorschrift erfüllt sein könnten. </w:t>
      </w:r>
      <w:r>
        <w:rPr>
          <w:rStyle w:val="Satznummer"/>
        </w:rPr>
        <w:t>3</w:t>
      </w:r>
      <w:r>
        <w:t xml:space="preserve">Der Beschluss des Vollstreckungsgerichts nach Satz 1 gilt als Bescheinigung im Sinne des </w:t>
      </w:r>
      <w:hyperlink w:anchor="b984" w:history="1">
        <w:r>
          <w:rPr>
            <w:color w:val="0A3A8C"/>
            <w:u w:val="single"/>
          </w:rPr>
          <w:t xml:space="preserve">§ 903</w:t>
        </w:r>
      </w:hyperlink>
      <w:r>
        <w:t xml:space="preserve"> Absatz 1 Satz 2.</w:t>
      </w:r>
    </w:p>
    <w:p>
      <w:pPr>
        <w:pStyle w:val="Heading3"/>
      </w:pPr>
      <w:bookmarkStart w:id="988" w:name="b987"/>
      <w:r>
        <w:t>§ 906 Festsetzung eines abweichenden pfändungsfreien Betrages durch das Vollstreckungsgericht</w:t>
      </w:r>
      <w:r>
        <w:t xml:space="preserve"> </w:t>
      </w:r>
      <w:r>
        <w:rPr>
          <w:rStyle w:val="Suchmarke"/>
        </w:rPr>
        <w:t>#906#</w:t>
      </w:r>
      <w:bookmarkEnd w:id="988"/>
    </w:p>
    <w:p>
      <w:r>
        <w:t xml:space="preserve">(1) </w:t>
      </w:r>
      <w:r>
        <w:rPr>
          <w:rStyle w:val="Satznummer"/>
        </w:rPr>
        <w:t>1</w:t>
      </w:r>
      <w:r>
        <w:t xml:space="preserve">Wird Guthaben wegen einer der in </w:t>
      </w:r>
      <w:hyperlink w:anchor="b902" w:history="1">
        <w:r>
          <w:rPr>
            <w:color w:val="0A3A8C"/>
            <w:u w:val="single"/>
          </w:rPr>
          <w:t xml:space="preserve">§ 850d</w:t>
        </w:r>
      </w:hyperlink>
      <w:r>
        <w:t xml:space="preserve"> oder </w:t>
      </w:r>
      <w:hyperlink w:anchor="b904" w:history="1">
        <w:r>
          <w:rPr>
            <w:color w:val="0A3A8C"/>
            <w:u w:val="single"/>
          </w:rPr>
          <w:t xml:space="preserve">§ 850f</w:t>
        </w:r>
      </w:hyperlink>
      <w:r>
        <w:t xml:space="preserve"> Absatz 2 bezeichneten Forderungen gepfändet, tritt an die Stelle der nach </w:t>
      </w:r>
      <w:hyperlink w:anchor="b980" w:history="1">
        <w:r>
          <w:rPr>
            <w:color w:val="0A3A8C"/>
            <w:u w:val="single"/>
          </w:rPr>
          <w:t xml:space="preserve">§ 899</w:t>
        </w:r>
      </w:hyperlink>
      <w:r>
        <w:t xml:space="preserve"> Absatz 1 und </w:t>
      </w:r>
      <w:hyperlink w:anchor="b983" w:history="1">
        <w:r>
          <w:rPr>
            <w:color w:val="0A3A8C"/>
            <w:u w:val="single"/>
          </w:rPr>
          <w:t xml:space="preserve">§ 902</w:t>
        </w:r>
      </w:hyperlink>
      <w:r>
        <w:t xml:space="preserve"> Satz 1 pfändungsfreien Beträge der vom Vollstreckungsgericht im Pfändungsbeschluss belassene Betrag. </w:t>
      </w:r>
      <w:r>
        <w:rPr>
          <w:rStyle w:val="Satznummer"/>
        </w:rPr>
        <w:t>2</w:t>
      </w:r>
      <w:r>
        <w:t xml:space="preserve">In den Fällen des </w:t>
      </w:r>
      <w:hyperlink w:anchor="b902" w:history="1">
        <w:r>
          <w:rPr>
            <w:color w:val="0A3A8C"/>
            <w:u w:val="single"/>
          </w:rPr>
          <w:t xml:space="preserve">§ 850d</w:t>
        </w:r>
      </w:hyperlink>
      <w:r>
        <w:t xml:space="preserve"> Absatz 1 und 2 kann das Vollstreckungsgericht auf Antrag einen von Satz 1 abweichenden pfändungsfreien Betrag festlegen.</w:t>
      </w:r>
    </w:p>
    <w:p>
      <w:r>
        <w:t xml:space="preserve">(2) Das Vollstreckungsgericht setzt auf Antrag einen von </w:t>
      </w:r>
      <w:hyperlink w:anchor="b980" w:history="1">
        <w:r>
          <w:rPr>
            <w:color w:val="0A3A8C"/>
            <w:u w:val="single"/>
          </w:rPr>
          <w:t xml:space="preserve">§ 899</w:t>
        </w:r>
      </w:hyperlink>
      <w:r>
        <w:t xml:space="preserve"> Absatz 1 und </w:t>
      </w:r>
      <w:hyperlink w:anchor="b983" w:history="1">
        <w:r>
          <w:rPr>
            <w:color w:val="0A3A8C"/>
            <w:u w:val="single"/>
          </w:rPr>
          <w:t xml:space="preserve">§ 902</w:t>
        </w:r>
      </w:hyperlink>
      <w:r>
        <w:t xml:space="preserve"> Satz 1 abweichenden pfändungsfreien Betrag fest, wenn sich aus einer bundes- oder landesrechtlichen Vorschrift eine solche Abweichung ergibt.</w:t>
      </w:r>
    </w:p>
    <w:p>
      <w:r>
        <w:t>(3) In den Fällen des Absatzes 1 Satz 2 und des Absatzes 2</w:t>
      </w:r>
    </w:p>
    <w:p>
      <w:pPr>
        <w:tabs>
          <w:tab w:pos="567" w:val="left"/>
        </w:tabs>
        <w:ind w:left="567" w:hanging="567"/>
      </w:pPr>
      <w:r>
        <w:t>1.</w:t>
      </w:r>
      <w:r>
        <w:tab/>
      </w:r>
      <w:r>
        <w:t>ist der Betrag in der Regel zu beziffern,</w:t>
      </w:r>
    </w:p>
    <w:p>
      <w:pPr>
        <w:tabs>
          <w:tab w:pos="567" w:val="left"/>
        </w:tabs>
        <w:ind w:left="567" w:hanging="567"/>
      </w:pPr>
      <w:r>
        <w:t>2.</w:t>
      </w:r>
      <w:r>
        <w:tab/>
      </w:r>
      <w:r>
        <w:t xml:space="preserve">hat das Vollstreckungsgericht zu prüfen, ob eine der in </w:t>
      </w:r>
      <w:hyperlink w:anchor="b731" w:history="1">
        <w:r>
          <w:rPr>
            <w:color w:val="0A3A8C"/>
            <w:u w:val="single"/>
          </w:rPr>
          <w:t xml:space="preserve">§ 732</w:t>
        </w:r>
      </w:hyperlink>
      <w:r>
        <w:t xml:space="preserve"> Absatz 2 bezeichneten Anordnungen zu erlassen ist, und</w:t>
      </w:r>
    </w:p>
    <w:p>
      <w:pPr>
        <w:tabs>
          <w:tab w:pos="567" w:val="left"/>
        </w:tabs>
        <w:ind w:left="567" w:hanging="567"/>
      </w:pPr>
      <w:r>
        <w:t>3.</w:t>
      </w:r>
      <w:r>
        <w:tab/>
      </w:r>
      <w:r>
        <w:t xml:space="preserve">gilt </w:t>
      </w:r>
      <w:hyperlink w:anchor="b986" w:history="1">
        <w:r>
          <w:rPr>
            <w:color w:val="0A3A8C"/>
            <w:u w:val="single"/>
          </w:rPr>
          <w:t xml:space="preserve">§ 905</w:t>
        </w:r>
      </w:hyperlink>
      <w:r>
        <w:t xml:space="preserve"> Satz 2 entsprechend.</w:t>
      </w:r>
    </w:p>
    <w:p>
      <w:r>
        <w:t xml:space="preserve">(4) Für Beträge, die nach den Absätzen 1 oder 2 festgesetzt sind, gilt </w:t>
      </w:r>
      <w:hyperlink w:anchor="b980" w:history="1">
        <w:r>
          <w:rPr>
            <w:color w:val="0A3A8C"/>
            <w:u w:val="single"/>
          </w:rPr>
          <w:t xml:space="preserve">§ 899</w:t>
        </w:r>
      </w:hyperlink>
      <w:r>
        <w:t xml:space="preserve"> Absatz 2 entsprechend.</w:t>
      </w:r>
    </w:p>
    <w:p>
      <w:pPr>
        <w:pStyle w:val="Heading3"/>
      </w:pPr>
      <w:bookmarkStart w:id="989" w:name="b988"/>
      <w:r>
        <w:t>§ 907 Festsetzung der Unpfändbarkeit von Kontoguthaben auf dem Pfändungsschutzkonto</w:t>
      </w:r>
      <w:r>
        <w:t xml:space="preserve"> </w:t>
      </w:r>
      <w:r>
        <w:rPr>
          <w:rStyle w:val="Suchmarke"/>
        </w:rPr>
        <w:t>#907#</w:t>
      </w:r>
      <w:bookmarkEnd w:id="989"/>
    </w:p>
    <w:p>
      <w:r>
        <w:t xml:space="preserve">(1) </w:t>
      </w:r>
      <w:r>
        <w:rPr>
          <w:rStyle w:val="Satznummer"/>
        </w:rPr>
        <w:t>1</w:t>
      </w:r>
      <w:r>
        <w:t>Auf Antrag des Schuldners kann das Vollstreckungsgericht festsetzen, dass das Guthaben auf dem Pfändungsschutzkonto für die Dauer von bis zu zwölf Monaten der Pfändung nicht unterworfen ist, wenn der Schuldner</w:t>
      </w:r>
    </w:p>
    <w:p>
      <w:pPr>
        <w:tabs>
          <w:tab w:pos="567" w:val="left"/>
        </w:tabs>
        <w:ind w:left="567" w:hanging="567"/>
      </w:pPr>
      <w:r>
        <w:t>1.</w:t>
      </w:r>
      <w:r>
        <w:tab/>
      </w:r>
      <w:r>
        <w:t>nachweist, dass dem Konto in den letzten sechs Monaten vor Antragstellung ganz überwiegend nur unpfändbare Beträge gutgeschrieben worden sind, und</w:t>
      </w:r>
    </w:p>
    <w:p>
      <w:pPr>
        <w:tabs>
          <w:tab w:pos="567" w:val="left"/>
        </w:tabs>
        <w:ind w:left="567" w:hanging="567"/>
      </w:pPr>
      <w:r>
        <w:t>2.</w:t>
      </w:r>
      <w:r>
        <w:tab/>
      </w:r>
      <w:r>
        <w:t>glaubhaft macht, dass auch innerhalb der nächsten sechs Monate ganz überwiegend nur die Gutschrift unpfändbarer Beträge zu erwarten ist.</w:t>
      </w:r>
    </w:p>
    <w:p>
      <w:r>
        <w:rPr>
          <w:rStyle w:val="Satznummer"/>
        </w:rPr>
        <w:t>2</w:t>
      </w:r>
      <w:r>
        <w:t>Die Festsetzung ist abzulehnen, wenn ihr überwiegende Belange des Gläubigers entgegenstehen.</w:t>
      </w:r>
    </w:p>
    <w:p>
      <w:r>
        <w:t xml:space="preserve">(2) </w:t>
      </w:r>
      <w:r>
        <w:rPr>
          <w:rStyle w:val="Satznummer"/>
        </w:rPr>
        <w:t>1</w:t>
      </w:r>
      <w:r>
        <w:t xml:space="preserve">Auf Antrag jedes Gläubigers ist die Festsetzung der Unpfändbarkeit aufzuheben, wenn deren Voraussetzungen nicht mehr vorliegen oder die Festsetzung den überwiegenden Belangen des den Antrag stellenden Gläubigers entgegensteht. </w:t>
      </w:r>
      <w:r>
        <w:rPr>
          <w:rStyle w:val="Satznummer"/>
        </w:rPr>
        <w:t>2</w:t>
      </w:r>
      <w:r>
        <w:t>Der Schuldner hat die Gläubiger auf eine wesentliche Veränderung seiner Vermögensverhältnisse unverzüglich hinzuweisen.</w:t>
      </w:r>
    </w:p>
    <w:p>
      <w:pPr>
        <w:pStyle w:val="Heading3"/>
      </w:pPr>
      <w:bookmarkStart w:id="990" w:name="b989"/>
      <w:r>
        <w:t>§ 908 Aufgaben des Kreditinstituts</w:t>
      </w:r>
      <w:r>
        <w:t xml:space="preserve"> </w:t>
      </w:r>
      <w:r>
        <w:rPr>
          <w:rStyle w:val="Suchmarke"/>
        </w:rPr>
        <w:t>#908#</w:t>
      </w:r>
      <w:bookmarkEnd w:id="990"/>
    </w:p>
    <w:p>
      <w:r>
        <w:t>(1) Das Kreditinstitut ist dem Schuldner zur Leistung aus dem nicht von der Pfändung erfassten Guthaben im Rahmen des vertraglich Vereinbarten verpflichtet.</w:t>
      </w:r>
    </w:p>
    <w:p>
      <w:r>
        <w:t>(2) Das Kreditinstitut informiert den Schuldner in einer für diesen geeigneten und zumutbaren Weise über</w:t>
      </w:r>
    </w:p>
    <w:p>
      <w:pPr>
        <w:tabs>
          <w:tab w:pos="567" w:val="left"/>
        </w:tabs>
        <w:ind w:left="567" w:hanging="567"/>
      </w:pPr>
      <w:r>
        <w:t>1.</w:t>
      </w:r>
      <w:r>
        <w:tab/>
      </w:r>
      <w:r>
        <w:t>das im laufenden Kalendermonat noch verfügbare von der Pfändung nicht erfasste Guthaben und</w:t>
      </w:r>
    </w:p>
    <w:p>
      <w:pPr>
        <w:tabs>
          <w:tab w:pos="567" w:val="left"/>
        </w:tabs>
        <w:ind w:left="567" w:hanging="567"/>
      </w:pPr>
      <w:r>
        <w:t>2.</w:t>
      </w:r>
      <w:r>
        <w:tab/>
      </w:r>
      <w:r>
        <w:t>den Betrag, der mit Ablauf des laufenden Kalendermonats nicht mehr pfändungsfrei ist.</w:t>
      </w:r>
    </w:p>
    <w:p>
      <w:r>
        <w:t xml:space="preserve">(3) Das Kreditinstitut hat dem Kontoinhaber die Absicht, eine neue Bescheinigung nach </w:t>
      </w:r>
      <w:hyperlink w:anchor="b984" w:history="1">
        <w:r>
          <w:rPr>
            <w:color w:val="0A3A8C"/>
            <w:u w:val="single"/>
          </w:rPr>
          <w:t xml:space="preserve">§ 903</w:t>
        </w:r>
      </w:hyperlink>
      <w:r>
        <w:t xml:space="preserve"> Absatz 2 Satz 3 zu verlangen, mindestens zwei Monate vor dem Zeitpunkt, ab dem es die ihm vorliegende Bescheinigung nicht mehr berücksichtigen will, mitzuteilen.</w:t>
      </w:r>
    </w:p>
    <w:p>
      <w:pPr>
        <w:pStyle w:val="Heading3"/>
      </w:pPr>
      <w:bookmarkStart w:id="991" w:name="b990"/>
      <w:r>
        <w:t>§ 909 Datenweitergabe; Löschungspflicht</w:t>
      </w:r>
      <w:r>
        <w:t xml:space="preserve"> </w:t>
      </w:r>
      <w:r>
        <w:rPr>
          <w:rStyle w:val="Suchmarke"/>
        </w:rPr>
        <w:t>#909#</w:t>
      </w:r>
      <w:bookmarkEnd w:id="991"/>
    </w:p>
    <w:p>
      <w:r>
        <w:t xml:space="preserve">(1) </w:t>
      </w:r>
      <w:r>
        <w:rPr>
          <w:rStyle w:val="Satznummer"/>
        </w:rPr>
        <w:t>1</w:t>
      </w:r>
      <w:r>
        <w:t xml:space="preserve">Das Kreditinstitut darf zum Zwecke der Überprüfung der Richtigkeit der Versicherung nach § 850k Absatz 3 Satz 2 Auskunfteien mitteilen, dass es für den Kontoinhaber ein Pfändungsschutzkonto führt. </w:t>
      </w:r>
      <w:r>
        <w:rPr>
          <w:rStyle w:val="Satznummer"/>
        </w:rPr>
        <w:t>2</w:t>
      </w:r>
      <w:r>
        <w:t xml:space="preserve">Nur zu diesem Zweck dürfen die Auskunfteien diese Angabe verarbeiten und sie nur auf Anfrage anderer Kreditinstitute an diese übermitteln. </w:t>
      </w:r>
      <w:r>
        <w:rPr>
          <w:rStyle w:val="Satznummer"/>
        </w:rPr>
        <w:t>3</w:t>
      </w:r>
      <w:r>
        <w:t>Die Verarbeitung zu einem anderen Zweck ist auch mit Einwilligung des Kontoinhabers unzulässig.</w:t>
      </w:r>
    </w:p>
    <w:p>
      <w:r>
        <w:t xml:space="preserve">(2) </w:t>
      </w:r>
      <w:r>
        <w:rPr>
          <w:rStyle w:val="Satznummer"/>
        </w:rPr>
        <w:t>1</w:t>
      </w:r>
      <w:r>
        <w:t xml:space="preserve">Wird das Pfändungsschutzkonto für den Kontoinhaber nicht mehr geführt, hat das Kreditinstitut die Auskunfteien, die nach Absatz 1 Satz 1 eine Mitteilung erhalten haben, unverzüglich zu unterrichten. </w:t>
      </w:r>
      <w:r>
        <w:rPr>
          <w:rStyle w:val="Satznummer"/>
        </w:rPr>
        <w:t>2</w:t>
      </w:r>
      <w:r>
        <w:t>Die Auskunfteien haben nach Erhalt dieser Unterrichtung die Angabe über die Führung des Pfändungsschutzkontos unverzüglich zu löschen.</w:t>
      </w:r>
    </w:p>
    <w:p>
      <w:pPr>
        <w:pStyle w:val="Heading3"/>
      </w:pPr>
      <w:bookmarkStart w:id="992" w:name="b991"/>
      <w:r>
        <w:t>§ 910 Verwaltungsvollstreckung</w:t>
      </w:r>
      <w:r>
        <w:t xml:space="preserve"> </w:t>
      </w:r>
      <w:r>
        <w:rPr>
          <w:rStyle w:val="Suchmarke"/>
        </w:rPr>
        <w:t>#910#</w:t>
      </w:r>
      <w:bookmarkEnd w:id="992"/>
    </w:p>
    <w:p>
      <w:r>
        <w:rPr>
          <w:rStyle w:val="Satznummer"/>
        </w:rPr>
        <w:t>1</w:t>
      </w:r>
      <w:r>
        <w:t xml:space="preserve">Die </w:t>
      </w:r>
      <w:hyperlink w:anchor="b908" w:history="1">
        <w:r>
          <w:rPr>
            <w:color w:val="0A3A8C"/>
            <w:u w:val="single"/>
          </w:rPr>
          <w:t xml:space="preserve">§§ 850k</w:t>
        </w:r>
      </w:hyperlink>
      <w:r>
        <w:t xml:space="preserve"> und </w:t>
      </w:r>
      <w:hyperlink w:anchor="b909" w:history="1">
        <w:r>
          <w:rPr>
            <w:color w:val="0A3A8C"/>
            <w:u w:val="single"/>
          </w:rPr>
          <w:t xml:space="preserve">850l</w:t>
        </w:r>
      </w:hyperlink>
      <w:r>
        <w:t xml:space="preserve"> sowie die Regelungen dieses Abschnitts gelten auch bei einer Pfändung von Kontoguthaben wegen Forderungen, die im Wege der Verwaltungsvollstreckung nach Bundesrecht beigetrieben werden. </w:t>
      </w:r>
      <w:r>
        <w:rPr>
          <w:rStyle w:val="Satznummer"/>
        </w:rPr>
        <w:t>2</w:t>
      </w:r>
      <w:r>
        <w:t xml:space="preserve">Mit Ausnahme der Fälle des </w:t>
      </w:r>
      <w:hyperlink w:anchor="b908" w:history="1">
        <w:r>
          <w:rPr>
            <w:color w:val="0A3A8C"/>
            <w:u w:val="single"/>
          </w:rPr>
          <w:t xml:space="preserve">§ 850k</w:t>
        </w:r>
      </w:hyperlink>
      <w:r>
        <w:t xml:space="preserve"> Absatz 4 Satz 1, des </w:t>
      </w:r>
      <w:hyperlink w:anchor="b985" w:history="1">
        <w:r>
          <w:rPr>
            <w:color w:val="0A3A8C"/>
            <w:u w:val="single"/>
          </w:rPr>
          <w:t xml:space="preserve">§ 904</w:t>
        </w:r>
      </w:hyperlink>
      <w:r>
        <w:t xml:space="preserve"> Absatz 5 und des </w:t>
      </w:r>
      <w:hyperlink w:anchor="b988" w:history="1">
        <w:r>
          <w:rPr>
            <w:color w:val="0A3A8C"/>
            <w:u w:val="single"/>
          </w:rPr>
          <w:t xml:space="preserve">§ 907</w:t>
        </w:r>
      </w:hyperlink>
      <w:r>
        <w:t xml:space="preserve"> tritt die Vollstreckungsbehörde an die Stelle des Vollstreckungsgerichts.</w:t>
      </w:r>
    </w:p>
    <w:p>
      <w:pPr>
        <w:pStyle w:val="Heading3"/>
      </w:pPr>
      <w:bookmarkStart w:id="993" w:name="b992"/>
      <w:r>
        <w:t>§§ 911 bis 915h (weggefallen)</w:t>
      </w:r>
      <w:bookmarkEnd w:id="993"/>
    </w:p>
    <w:p>
      <w:pPr>
        <w:pStyle w:val="Heading2"/>
      </w:pPr>
      <w:bookmarkStart w:id="994" w:name="b993"/>
      <w:r>
        <w:t>Abschnitt 5 Arrest und einstweilige Verfügung</w:t>
      </w:r>
      <w:bookmarkEnd w:id="994"/>
    </w:p>
    <w:p>
      <w:pPr>
        <w:pStyle w:val="Heading3"/>
      </w:pPr>
      <w:bookmarkStart w:id="995" w:name="b994"/>
      <w:r>
        <w:t>§ 916 Arrestanspruch</w:t>
      </w:r>
      <w:r>
        <w:t xml:space="preserve"> </w:t>
      </w:r>
      <w:r>
        <w:rPr>
          <w:rStyle w:val="Suchmarke"/>
        </w:rPr>
        <w:t>#916#</w:t>
      </w:r>
      <w:bookmarkEnd w:id="995"/>
    </w:p>
    <w:p>
      <w:r>
        <w:t>(1) Der Arrest findet zur Sicherung der Zwangsvollstreckung in das bewegliche oder unbewegliche Vermögen wegen einer Geldforderung oder wegen eines Anspruchs statt, der in eine Geldforderung übergehen kann.</w:t>
      </w:r>
    </w:p>
    <w:p>
      <w:r>
        <w:t>(2) Die Zulässigkeit des Arrestes wird nicht dadurch ausgeschlossen, dass der Anspruch betagt oder bedingt ist, es sei denn, dass der bedingte Anspruch wegen der entfernten Möglichkeit des Eintritts der Bedingung einen gegenwärtigen Vermögenswert nicht hat.</w:t>
      </w:r>
    </w:p>
    <w:p>
      <w:pPr>
        <w:pStyle w:val="Heading3"/>
      </w:pPr>
      <w:bookmarkStart w:id="996" w:name="b995"/>
      <w:r>
        <w:t>§ 917 Arrestgrund bei dinglichem Arrest</w:t>
      </w:r>
      <w:r>
        <w:t xml:space="preserve"> </w:t>
      </w:r>
      <w:r>
        <w:rPr>
          <w:rStyle w:val="Suchmarke"/>
        </w:rPr>
        <w:t>#917#</w:t>
      </w:r>
      <w:bookmarkEnd w:id="996"/>
    </w:p>
    <w:p>
      <w:r>
        <w:t>(1) Der dingliche Arrest findet statt, wenn zu besorgen ist, dass ohne dessen Verhängung die Vollstreckung des Urteils vereitelt oder wesentlich erschwert werden würde.</w:t>
      </w:r>
    </w:p>
    <w:p>
      <w:r>
        <w:t xml:space="preserve">(2) </w:t>
      </w:r>
      <w:r>
        <w:rPr>
          <w:rStyle w:val="Satznummer"/>
        </w:rPr>
        <w:t>1</w:t>
      </w:r>
      <w:r>
        <w:t xml:space="preserve">Als ein zureichender Arrestgrund ist es anzusehen, wenn das Urteil im Ausland vollstreckt werden müsste und die Gegenseitigkeit nicht verbürgt ist. </w:t>
      </w:r>
      <w:r>
        <w:rPr>
          <w:rStyle w:val="Satznummer"/>
        </w:rPr>
        <w:t>2</w:t>
      </w:r>
      <w:r>
        <w:t>Eines Arrestgrundes bedarf es nicht, wenn der Arrest nur zur Sicherung der Zwangsvollstreckung in ein Schiff stattfindet.</w:t>
      </w:r>
    </w:p>
    <w:p>
      <w:pPr>
        <w:pStyle w:val="Heading3"/>
      </w:pPr>
      <w:bookmarkStart w:id="997" w:name="b996"/>
      <w:r>
        <w:t>§ 918 Arrestgrund bei persönlichem Arrest</w:t>
      </w:r>
      <w:r>
        <w:t xml:space="preserve"> </w:t>
      </w:r>
      <w:r>
        <w:rPr>
          <w:rStyle w:val="Suchmarke"/>
        </w:rPr>
        <w:t>#918#</w:t>
      </w:r>
      <w:bookmarkEnd w:id="997"/>
    </w:p>
    <w:p>
      <w:r>
        <w:t>Der persönliche Sicherheitsarrest findet nur statt, wenn er erforderlich ist, um die gefährdete Zwangsvollstreckung in das Vermögen des Schuldners zu sichern.</w:t>
      </w:r>
    </w:p>
    <w:p>
      <w:pPr>
        <w:pStyle w:val="Heading3"/>
      </w:pPr>
      <w:bookmarkStart w:id="998" w:name="b997"/>
      <w:r>
        <w:t>§ 919 Arrestgericht</w:t>
      </w:r>
      <w:r>
        <w:t xml:space="preserve"> </w:t>
      </w:r>
      <w:r>
        <w:rPr>
          <w:rStyle w:val="Suchmarke"/>
        </w:rPr>
        <w:t>#919#</w:t>
      </w:r>
      <w:bookmarkEnd w:id="998"/>
    </w:p>
    <w:p>
      <w:r>
        <w:t>Für die Anordnung des Arrestes ist sowohl das Gericht der Hauptsache als das Amtsgericht zuständig, in dessen Bezirk der mit Arrest zu belegende Gegenstand oder die in ihrer persönlichen Freiheit zu beschränkende Person sich befindet.</w:t>
      </w:r>
    </w:p>
    <w:p>
      <w:pPr>
        <w:pStyle w:val="Heading3"/>
      </w:pPr>
      <w:bookmarkStart w:id="999" w:name="b998"/>
      <w:r>
        <w:t>§ 920 Arrestgesuch</w:t>
      </w:r>
      <w:r>
        <w:t xml:space="preserve"> </w:t>
      </w:r>
      <w:r>
        <w:rPr>
          <w:rStyle w:val="Suchmarke"/>
        </w:rPr>
        <w:t>#920#</w:t>
      </w:r>
      <w:bookmarkEnd w:id="999"/>
    </w:p>
    <w:p>
      <w:r>
        <w:t>(1) Das Gesuch soll die Bezeichnung des Anspruchs unter Angabe des Geldbetrages oder des Geldwertes sowie die Bezeichnung des Arrestgrundes enthalten.</w:t>
      </w:r>
    </w:p>
    <w:p>
      <w:r>
        <w:t>(2) Der Anspruch und der Arrestgrund sind glaubhaft zu machen.</w:t>
      </w:r>
    </w:p>
    <w:p>
      <w:r>
        <w:t>(3) Das Gesuch kann vor der Geschäftsstelle zu Protokoll erklärt werden.</w:t>
      </w:r>
    </w:p>
    <w:p>
      <w:pPr>
        <w:pStyle w:val="Heading3"/>
      </w:pPr>
      <w:bookmarkStart w:id="1000" w:name="b999"/>
      <w:r>
        <w:t>§ 921 Entscheidung über das Arrestgesuch</w:t>
      </w:r>
      <w:r>
        <w:t xml:space="preserve"> </w:t>
      </w:r>
      <w:r>
        <w:rPr>
          <w:rStyle w:val="Suchmarke"/>
        </w:rPr>
        <w:t>#921#</w:t>
      </w:r>
      <w:bookmarkEnd w:id="1000"/>
    </w:p>
    <w:p>
      <w:r>
        <w:rPr>
          <w:rStyle w:val="Satznummer"/>
        </w:rPr>
        <w:t>1</w:t>
      </w:r>
      <w:r>
        <w:t xml:space="preserve">Das Gericht kann, auch wenn der Anspruch oder der Arrestgrund nicht glaubhaft gemacht ist, den Arrest anordnen, sofern wegen der dem Gegner drohenden Nachteile Sicherheit geleistet wird. </w:t>
      </w:r>
      <w:r>
        <w:rPr>
          <w:rStyle w:val="Satznummer"/>
        </w:rPr>
        <w:t>2</w:t>
      </w:r>
      <w:r>
        <w:t>Es kann die Anordnung des Arrestes von einer Sicherheitsleistung abhängig machen, selbst wenn der Anspruch und der Arrestgrund glaubhaft gemacht sind.</w:t>
      </w:r>
    </w:p>
    <w:p>
      <w:pPr>
        <w:pStyle w:val="Heading3"/>
      </w:pPr>
      <w:bookmarkStart w:id="1001" w:name="b1000"/>
      <w:r>
        <w:t>§ 922 Arresturteil und Arrestbeschluss</w:t>
      </w:r>
      <w:r>
        <w:t xml:space="preserve"> </w:t>
      </w:r>
      <w:r>
        <w:rPr>
          <w:rStyle w:val="Suchmarke"/>
        </w:rPr>
        <w:t>#922#</w:t>
      </w:r>
      <w:bookmarkEnd w:id="1001"/>
    </w:p>
    <w:p>
      <w:r>
        <w:t xml:space="preserve">(1) </w:t>
      </w:r>
      <w:r>
        <w:rPr>
          <w:rStyle w:val="Satznummer"/>
        </w:rPr>
        <w:t>1</w:t>
      </w:r>
      <w:r>
        <w:t xml:space="preserve">Die Entscheidung über das Gesuch ergeht im Falle einer mündlichen Verhandlung durch Endurteil, andernfalls durch Beschluss. </w:t>
      </w:r>
      <w:r>
        <w:rPr>
          <w:rStyle w:val="Satznummer"/>
        </w:rPr>
        <w:t>2</w:t>
      </w:r>
      <w:r>
        <w:t>Die Entscheidung, durch die der Arrest angeordnet wird, ist zu begründen, wenn sie im Ausland geltend gemacht werden soll.</w:t>
      </w:r>
    </w:p>
    <w:p>
      <w:r>
        <w:t>(2) Den Beschluss, durch den ein Arrest angeordnet wird, hat die Partei, die den Arrest erwirkt hat, zustellen zu lassen.</w:t>
      </w:r>
    </w:p>
    <w:p>
      <w:r>
        <w:t>(3) Der Beschluss, durch den das Arrestgesuch zurückgewiesen oder vorherige Sicherheitsleistung für erforderlich erklärt wird, ist dem Gegner nicht mitzuteilen.</w:t>
      </w:r>
    </w:p>
    <w:p>
      <w:pPr>
        <w:pStyle w:val="Heading3"/>
      </w:pPr>
      <w:bookmarkStart w:id="1002" w:name="b1001"/>
      <w:r>
        <w:t>§ 923 Abwendungsbefugnis</w:t>
      </w:r>
      <w:r>
        <w:t xml:space="preserve"> </w:t>
      </w:r>
      <w:r>
        <w:rPr>
          <w:rStyle w:val="Suchmarke"/>
        </w:rPr>
        <w:t>#923#</w:t>
      </w:r>
      <w:bookmarkEnd w:id="1002"/>
    </w:p>
    <w:p>
      <w:r>
        <w:t>In dem Arrestbefehl ist ein Geldbetrag festzustellen, durch dessen Hinterlegung die Vollziehung des Arrestes gehemmt und der Schuldner zu dem Antrag auf Aufhebung des vollzogenen Arrestes berechtigt wird.</w:t>
      </w:r>
    </w:p>
    <w:p>
      <w:pPr>
        <w:pStyle w:val="Heading3"/>
      </w:pPr>
      <w:bookmarkStart w:id="1003" w:name="b1002"/>
      <w:r>
        <w:t>§ 924 Widerspruch</w:t>
      </w:r>
      <w:r>
        <w:t xml:space="preserve"> </w:t>
      </w:r>
      <w:r>
        <w:rPr>
          <w:rStyle w:val="Suchmarke"/>
        </w:rPr>
        <w:t>#924#</w:t>
      </w:r>
      <w:bookmarkEnd w:id="1003"/>
    </w:p>
    <w:p>
      <w:r>
        <w:t>(1) Gegen den Beschluss, durch den ein Arrest angeordnet wird, findet Widerspruch statt.</w:t>
      </w:r>
    </w:p>
    <w:p>
      <w:r>
        <w:t xml:space="preserve">(2) </w:t>
      </w:r>
      <w:r>
        <w:rPr>
          <w:rStyle w:val="Satznummer"/>
        </w:rPr>
        <w:t>1</w:t>
      </w:r>
      <w:r>
        <w:t xml:space="preserve">Die widersprechende Partei hat in dem Widerspruch die Gründe darzulegen, die sie für die Aufhebung des Arrestes geltend machen will. </w:t>
      </w:r>
      <w:r>
        <w:rPr>
          <w:rStyle w:val="Satznummer"/>
        </w:rPr>
        <w:t>2</w:t>
      </w:r>
      <w:r>
        <w:t xml:space="preserve">Das Gericht hat Termin zur mündlichen Verhandlung von Amts wegen zu bestimmen. </w:t>
      </w:r>
      <w:r>
        <w:rPr>
          <w:rStyle w:val="Satznummer"/>
        </w:rPr>
        <w:t>3</w:t>
      </w:r>
      <w:r>
        <w:t>Ist das Arrestgericht ein Amtsgericht, so ist der Widerspruch unter Angabe der Gründe, die für die Aufhebung des Arrestes geltend gemacht werden sollen, schriftlich oder zum Protokoll der Geschäftsstelle zu erheben.</w:t>
      </w:r>
    </w:p>
    <w:p>
      <w:r>
        <w:t xml:space="preserve">(3) </w:t>
      </w:r>
      <w:r>
        <w:rPr>
          <w:rStyle w:val="Satznummer"/>
        </w:rPr>
        <w:t>1</w:t>
      </w:r>
      <w:r>
        <w:t xml:space="preserve">Durch Erhebung des Widerspruchs wird die Vollziehung des Arrestes nicht gehemmt. </w:t>
      </w:r>
      <w:r>
        <w:rPr>
          <w:rStyle w:val="Satznummer"/>
        </w:rPr>
        <w:t>2</w:t>
      </w:r>
      <w:r>
        <w:t xml:space="preserve">Das Gericht kann aber eine einstweilige Anordnung nach </w:t>
      </w:r>
      <w:hyperlink w:anchor="b705" w:history="1">
        <w:r>
          <w:rPr>
            <w:color w:val="0A3A8C"/>
            <w:u w:val="single"/>
          </w:rPr>
          <w:t xml:space="preserve">§ 707</w:t>
        </w:r>
      </w:hyperlink>
      <w:r>
        <w:t xml:space="preserve"> treffen; </w:t>
      </w:r>
      <w:hyperlink w:anchor="b705" w:history="1">
        <w:r>
          <w:rPr>
            <w:color w:val="0A3A8C"/>
            <w:u w:val="single"/>
          </w:rPr>
          <w:t xml:space="preserve">§ 707</w:t>
        </w:r>
      </w:hyperlink>
      <w:r>
        <w:t xml:space="preserve"> Abs. 1 Satz 2 ist nicht anzuwenden.</w:t>
      </w:r>
    </w:p>
    <w:p>
      <w:pPr>
        <w:pStyle w:val="Heading3"/>
      </w:pPr>
      <w:bookmarkStart w:id="1004" w:name="b1003"/>
      <w:r>
        <w:t>§ 925 Entscheidung nach Widerspruch</w:t>
      </w:r>
      <w:r>
        <w:t xml:space="preserve"> </w:t>
      </w:r>
      <w:r>
        <w:rPr>
          <w:rStyle w:val="Suchmarke"/>
        </w:rPr>
        <w:t>#925#</w:t>
      </w:r>
      <w:bookmarkEnd w:id="1004"/>
    </w:p>
    <w:p>
      <w:r>
        <w:t>(1) Wird Widerspruch erhoben, so ist über die Rechtmäßigkeit des Arrestes durch Endurteil zu entscheiden.</w:t>
      </w:r>
    </w:p>
    <w:p>
      <w:r>
        <w:t>(2) Das Gericht kann den Arrest ganz oder teilweise bestätigen, abändern oder aufheben, auch die Bestätigung, Abänderung oder Aufhebung von einer Sicherheitsleistung abhängig machen.</w:t>
      </w:r>
    </w:p>
    <w:p>
      <w:pPr>
        <w:pStyle w:val="Heading3"/>
      </w:pPr>
      <w:bookmarkStart w:id="1005" w:name="b1004"/>
      <w:r>
        <w:t>§ 926 Anordnung der Klageerhebung</w:t>
      </w:r>
      <w:r>
        <w:t xml:space="preserve"> </w:t>
      </w:r>
      <w:r>
        <w:rPr>
          <w:rStyle w:val="Suchmarke"/>
        </w:rPr>
        <w:t>#926#</w:t>
      </w:r>
      <w:bookmarkEnd w:id="1005"/>
    </w:p>
    <w:p>
      <w:r>
        <w:t>(1) Ist die Hauptsache nicht anhängig, so hat das Arrestgericht auf Antrag ohne mündliche Verhandlung anzuordnen, dass die Partei, die den Arrestbefehl erwirkt hat, binnen einer zu bestimmenden Frist Klage zu erheben habe.</w:t>
      </w:r>
    </w:p>
    <w:p>
      <w:r>
        <w:t>(2) Wird dieser Anordnung nicht Folge geleistet, so ist auf Antrag die Aufhebung des Arrestes durch Endurteil auszusprechen.</w:t>
      </w:r>
    </w:p>
    <w:p>
      <w:pPr>
        <w:pStyle w:val="Heading3"/>
      </w:pPr>
      <w:bookmarkStart w:id="1006" w:name="b1005"/>
      <w:r>
        <w:t>§ 927 Aufhebung wegen veränderter Umstände</w:t>
      </w:r>
      <w:r>
        <w:t xml:space="preserve"> </w:t>
      </w:r>
      <w:r>
        <w:rPr>
          <w:rStyle w:val="Suchmarke"/>
        </w:rPr>
        <w:t>#927#</w:t>
      </w:r>
      <w:bookmarkEnd w:id="1006"/>
    </w:p>
    <w:p>
      <w:r>
        <w:t>(1) Auch nach der Bestätigung des Arrestes kann wegen veränderter Umstände, insbesondere wegen Erledigung des Arrestgrundes oder auf Grund des Erbietens zur Sicherheitsleistung die Aufhebung des Arrestes beantragt werden.</w:t>
      </w:r>
    </w:p>
    <w:p>
      <w:r>
        <w:t>(2) Die Entscheidung ist durch Endurteil zu erlassen; sie ergeht durch das Gericht, das den Arrest angeordnet hat, und wenn die Hauptsache anhängig ist, durch das Gericht der Hauptsache.</w:t>
      </w:r>
    </w:p>
    <w:p>
      <w:pPr>
        <w:pStyle w:val="Heading3"/>
      </w:pPr>
      <w:bookmarkStart w:id="1007" w:name="b1006"/>
      <w:r>
        <w:t>§ 928 Vollziehung des Arrestes</w:t>
      </w:r>
      <w:r>
        <w:t xml:space="preserve"> </w:t>
      </w:r>
      <w:r>
        <w:rPr>
          <w:rStyle w:val="Suchmarke"/>
        </w:rPr>
        <w:t>#928#</w:t>
      </w:r>
      <w:bookmarkEnd w:id="1007"/>
    </w:p>
    <w:p>
      <w:r>
        <w:t>Auf die Vollziehung des Arrestes sind die Vorschriften über die Zwangsvollstreckung entsprechend anzuwenden, soweit nicht die nachfolgenden Paragraphen abweichende Vorschriften enthalten.</w:t>
      </w:r>
    </w:p>
    <w:p>
      <w:pPr>
        <w:pStyle w:val="Heading3"/>
      </w:pPr>
      <w:bookmarkStart w:id="1008" w:name="b1007"/>
      <w:r>
        <w:t>§ 929 Vollstreckungsklausel; Vollziehungsfrist</w:t>
      </w:r>
      <w:r>
        <w:t xml:space="preserve"> </w:t>
      </w:r>
      <w:r>
        <w:rPr>
          <w:rStyle w:val="Suchmarke"/>
        </w:rPr>
        <w:t>#929#</w:t>
      </w:r>
      <w:bookmarkEnd w:id="1008"/>
    </w:p>
    <w:p>
      <w:r>
        <w:t>(1) Arrestbefehle bedürfen der Vollstreckungsklausel nur, wenn die Vollziehung für einen anderen als den in dem Befehl bezeichneten Gläubiger oder gegen einen anderen als den in dem Befehl bezeichneten Schuldner erfolgen soll.</w:t>
      </w:r>
    </w:p>
    <w:p>
      <w:r>
        <w:t xml:space="preserve">(2) </w:t>
      </w:r>
      <w:r>
        <w:rPr>
          <w:rStyle w:val="Satznummer"/>
        </w:rPr>
        <w:t>1</w:t>
      </w:r>
      <w:r>
        <w:t xml:space="preserve">Die Vollziehung des Arrestbefehls ist unstatthaft, wenn seit dem Tag, an dem der Befehl verkündet oder der Partei, auf deren Gesuch er erging, zugestellt ist, ein Monat verstrichen ist. </w:t>
      </w:r>
      <w:r>
        <w:rPr>
          <w:rStyle w:val="Satznummer"/>
        </w:rPr>
        <w:t>2</w:t>
      </w:r>
      <w:r>
        <w:t>Kann ein ausländischer Sicherungstitel im Inland ohne vorherige Vollstreckbarerklärung vollzogen werden, so beträgt die Frist nach Satz 1 zwei Monate.</w:t>
      </w:r>
    </w:p>
    <w:p>
      <w:r>
        <w:t xml:space="preserve">(3) </w:t>
      </w:r>
      <w:r>
        <w:rPr>
          <w:rStyle w:val="Satznummer"/>
        </w:rPr>
        <w:t>1</w:t>
      </w:r>
      <w:r>
        <w:t xml:space="preserve">Die Vollziehung ist vor der Zustellung des Arrestbefehls an den Schuldner zulässig. </w:t>
      </w:r>
      <w:r>
        <w:rPr>
          <w:rStyle w:val="Satznummer"/>
        </w:rPr>
        <w:t>2</w:t>
      </w:r>
      <w:r>
        <w:t>Sie ist jedoch ohne Wirkung, wenn die Zustellung nicht innerhalb einer Woche nach der Vollziehung und vor Ablauf der für diese im vorhergehenden Absatz bestimmten Frist erfolgt.</w:t>
      </w:r>
    </w:p>
    <w:p>
      <w:pPr>
        <w:pStyle w:val="Heading3"/>
      </w:pPr>
      <w:bookmarkStart w:id="1009" w:name="b1008"/>
      <w:r>
        <w:t>§ 930 Vollziehung in bewegliches Vermögen und Forderungen</w:t>
      </w:r>
      <w:r>
        <w:t xml:space="preserve"> </w:t>
      </w:r>
      <w:r>
        <w:rPr>
          <w:rStyle w:val="Suchmarke"/>
        </w:rPr>
        <w:t>#930#</w:t>
      </w:r>
      <w:bookmarkEnd w:id="1009"/>
    </w:p>
    <w:p>
      <w:r>
        <w:t xml:space="preserve">(1) </w:t>
      </w:r>
      <w:r>
        <w:rPr>
          <w:rStyle w:val="Satznummer"/>
        </w:rPr>
        <w:t>1</w:t>
      </w:r>
      <w:r>
        <w:t xml:space="preserve">Die Vollziehung des Arrestes in bewegliches Vermögen wird durch Pfändung bewirkt. </w:t>
      </w:r>
      <w:r>
        <w:rPr>
          <w:rStyle w:val="Satznummer"/>
        </w:rPr>
        <w:t>2</w:t>
      </w:r>
      <w:r>
        <w:t xml:space="preserve">Die Pfändung erfolgt nach denselben Grundsätzen wie jede andere Pfändung und begründet ein Pfandrecht mit den im </w:t>
      </w:r>
      <w:hyperlink w:anchor="b837" w:history="1">
        <w:r>
          <w:rPr>
            <w:color w:val="0A3A8C"/>
            <w:u w:val="single"/>
          </w:rPr>
          <w:t xml:space="preserve">§ 804</w:t>
        </w:r>
      </w:hyperlink>
      <w:r>
        <w:t xml:space="preserve"> bestimmten Wirkungen. </w:t>
      </w:r>
      <w:r>
        <w:rPr>
          <w:rStyle w:val="Satznummer"/>
        </w:rPr>
        <w:t>3</w:t>
      </w:r>
      <w:r>
        <w:t>Für die Pfändung einer Forderung ist das Arrestgericht als Vollstreckungsgericht zuständig.</w:t>
      </w:r>
    </w:p>
    <w:p>
      <w:r>
        <w:t>(2) Gepfändetes Geld und ein im Verteilungsverfahren auf den Gläubiger fallender Betrag des Erlöses werden hinterlegt.</w:t>
      </w:r>
    </w:p>
    <w:p>
      <w:r>
        <w:t>(3) Das Vollstreckungsgericht kann auf Antrag anordnen, dass eine bewegliche körperliche Sache, wenn sie der Gefahr einer beträchtlichen Wertverringerung ausgesetzt ist oder wenn ihre Aufbewahrung unverhältnismäßige Kosten verursachen würde, versteigert und der Erlös hinterlegt werde.</w:t>
      </w:r>
    </w:p>
    <w:p>
      <w:r>
        <w:t>(4) Die Vollziehung des Arrestes in ein nicht eingetragenes Seeschiff ist unzulässig, wenn sich das Schiff auf der Reise befindet und nicht in einem Hafen liegt.</w:t>
      </w:r>
    </w:p>
    <w:p>
      <w:pPr>
        <w:pStyle w:val="Heading3"/>
      </w:pPr>
      <w:bookmarkStart w:id="1010" w:name="b1009"/>
      <w:r>
        <w:t>§ 931 Vollziehung in eingetragenes Schiff oder Schiffsbauwerk</w:t>
      </w:r>
      <w:r>
        <w:t xml:space="preserve"> </w:t>
      </w:r>
      <w:r>
        <w:rPr>
          <w:rStyle w:val="Suchmarke"/>
        </w:rPr>
        <w:t>#931#</w:t>
      </w:r>
      <w:bookmarkEnd w:id="1010"/>
    </w:p>
    <w:p>
      <w:r>
        <w:t>(1) Die Vollziehung des Arrestes in ein eingetragenes Schiff oder Schiffsbauwerk wird durch Pfändung nach den Vorschriften über die Pfändung beweglicher Sachen mit folgenden Abweichungen bewirkt.</w:t>
      </w:r>
    </w:p>
    <w:p>
      <w:r>
        <w:t>(2) Die Pfändung begründet ein Pfandrecht an dem gepfändeten Schiff oder Schiffsbauwerk; das Pfandrecht gewährt dem Gläubiger im Verhältnis zu anderen Rechten dieselben Rechte wie eine Schiffshypothek.</w:t>
      </w:r>
    </w:p>
    <w:p>
      <w:r>
        <w:t>(3) Die Pfändung wird auf Antrag des Gläubigers vom Arrestgericht als Vollstreckungsgericht angeordnet; das Gericht hat zugleich das Registergericht um die Eintragung einer Vormerkung zur Sicherung des Arrestpfandrechts in das Schiffsregister oder Schiffsbauregister zu ersuchen; die Vormerkung erlischt, wenn die Vollziehung des Arrestes unstatthaft wird.</w:t>
      </w:r>
    </w:p>
    <w:p>
      <w:r>
        <w:t>(4) Der Gerichtsvollzieher hat bei der Vornahme der Pfändung das Schiff oder Schiffsbauwerk in Bewachung und Verwahrung zu nehmen.</w:t>
      </w:r>
    </w:p>
    <w:p>
      <w:r>
        <w:t xml:space="preserve">(5) Ist zur Zeit der Arrestvollziehung die Zwangsversteigerung des Schiffes oder Schiffsbauwerks eingeleitet, so gilt die in diesem Verfahren erfolgte Beschlagnahme des Schiffes oder Schiffsbauwerks als erste Pfändung im Sinne des </w:t>
      </w:r>
      <w:hyperlink w:anchor="b868" w:history="1">
        <w:r>
          <w:rPr>
            <w:color w:val="0A3A8C"/>
            <w:u w:val="single"/>
          </w:rPr>
          <w:t xml:space="preserve">§ 826</w:t>
        </w:r>
      </w:hyperlink>
      <w:r>
        <w:t>; die Abschrift des Pfändungsprotokolls ist dem Vollstreckungsgericht einzureichen.</w:t>
      </w:r>
    </w:p>
    <w:p>
      <w:r>
        <w:t xml:space="preserve">(6) </w:t>
      </w:r>
      <w:r>
        <w:rPr>
          <w:rStyle w:val="Satznummer"/>
        </w:rPr>
        <w:t>1</w:t>
      </w:r>
      <w:r>
        <w:t xml:space="preserve">Das Arrestpfandrecht wird auf Antrag des Gläubigers in das Schiffsregister oder Schiffsbauregister eingetragen; der nach </w:t>
      </w:r>
      <w:hyperlink w:anchor="b1001" w:history="1">
        <w:r>
          <w:rPr>
            <w:color w:val="0A3A8C"/>
            <w:u w:val="single"/>
          </w:rPr>
          <w:t xml:space="preserve">§ 923</w:t>
        </w:r>
      </w:hyperlink>
      <w:r>
        <w:t xml:space="preserve"> festgestellte Geldbetrag ist als der Höchstbetrag zu bezeichnen, für den das Schiff oder Schiffsbauwerk haftet. </w:t>
      </w:r>
      <w:r>
        <w:rPr>
          <w:rStyle w:val="Satznummer"/>
        </w:rPr>
        <w:t>2</w:t>
      </w:r>
      <w:r>
        <w:t xml:space="preserve">Im Übrigen gelten der </w:t>
      </w:r>
      <w:hyperlink w:anchor="b931" w:history="1">
        <w:r>
          <w:rPr>
            <w:color w:val="0A3A8C"/>
            <w:u w:val="single"/>
          </w:rPr>
          <w:t xml:space="preserve">§ 867</w:t>
        </w:r>
      </w:hyperlink>
      <w:r>
        <w:t xml:space="preserve"> Abs. 1 und 2 und der </w:t>
      </w:r>
      <w:hyperlink w:anchor="b935" w:history="1">
        <w:r>
          <w:rPr>
            <w:color w:val="0A3A8C"/>
            <w:u w:val="single"/>
          </w:rPr>
          <w:t xml:space="preserve">§ 870a</w:t>
        </w:r>
      </w:hyperlink>
      <w:r>
        <w:t xml:space="preserve"> Abs. 3 entsprechend, soweit nicht vorstehend etwas anderes bestimmt ist.</w:t>
      </w:r>
    </w:p>
    <w:p>
      <w:r>
        <w:t>(7) Die Vollziehung des Arrestes in ein eingetragenes Seeschiff ist unzulässig, wenn sich das Schiff auf der Reise befindet und nicht in einem Hafen liegt.</w:t>
      </w:r>
    </w:p>
    <w:p>
      <w:pPr>
        <w:pStyle w:val="Heading3"/>
      </w:pPr>
      <w:bookmarkStart w:id="1011" w:name="b1010"/>
      <w:r>
        <w:t>§ 932 Arresthypothek</w:t>
      </w:r>
      <w:r>
        <w:t xml:space="preserve"> </w:t>
      </w:r>
      <w:r>
        <w:rPr>
          <w:rStyle w:val="Suchmarke"/>
        </w:rPr>
        <w:t>#932#</w:t>
      </w:r>
      <w:bookmarkEnd w:id="1011"/>
    </w:p>
    <w:p>
      <w:r>
        <w:t xml:space="preserve">(1) </w:t>
      </w:r>
      <w:r>
        <w:rPr>
          <w:rStyle w:val="Satznummer"/>
        </w:rPr>
        <w:t>1</w:t>
      </w:r>
      <w:r>
        <w:t xml:space="preserve">Die Vollziehung des Arrestes in ein Grundstück oder in eine Berechtigung, für welche die sich auf Grundstücke beziehenden Vorschriften gelten, erfolgt durch Eintragung einer Sicherungshypothek für die Forderung; der nach </w:t>
      </w:r>
      <w:hyperlink w:anchor="b1001" w:history="1">
        <w:r>
          <w:rPr>
            <w:color w:val="0A3A8C"/>
            <w:u w:val="single"/>
          </w:rPr>
          <w:t xml:space="preserve">§ 923</w:t>
        </w:r>
      </w:hyperlink>
      <w:r>
        <w:t xml:space="preserve"> festgestellte Geldbetrag ist als der Höchstbetrag zu bezeichnen, für den das Grundstück oder die Berechtigung haftet. </w:t>
      </w:r>
      <w:r>
        <w:rPr>
          <w:rStyle w:val="Satznummer"/>
        </w:rPr>
        <w:t>2</w:t>
      </w:r>
      <w:r>
        <w:t>Ein Anspruch nach § 1179a oder § 1179b des Bürgerlichen Gesetzbuchs steht dem Gläubiger oder im Grundbuch eingetragenen Gläubiger der Sicherungshypothek nicht zu.</w:t>
      </w:r>
    </w:p>
    <w:p>
      <w:r>
        <w:t xml:space="preserve">(2) Im Übrigen gelten die Vorschriften des </w:t>
      </w:r>
      <w:hyperlink w:anchor="b930" w:history="1">
        <w:r>
          <w:rPr>
            <w:color w:val="0A3A8C"/>
            <w:u w:val="single"/>
          </w:rPr>
          <w:t xml:space="preserve">§ 866</w:t>
        </w:r>
      </w:hyperlink>
      <w:r>
        <w:t xml:space="preserve"> Abs. 3 Satz 1, des </w:t>
      </w:r>
      <w:hyperlink w:anchor="b931" w:history="1">
        <w:r>
          <w:rPr>
            <w:color w:val="0A3A8C"/>
            <w:u w:val="single"/>
          </w:rPr>
          <w:t xml:space="preserve">§ 867</w:t>
        </w:r>
      </w:hyperlink>
      <w:r>
        <w:t xml:space="preserve"> Abs. 1 und 2 und des </w:t>
      </w:r>
      <w:hyperlink w:anchor="b932" w:history="1">
        <w:r>
          <w:rPr>
            <w:color w:val="0A3A8C"/>
            <w:u w:val="single"/>
          </w:rPr>
          <w:t xml:space="preserve">§ 868</w:t>
        </w:r>
      </w:hyperlink>
      <w:r>
        <w:t>.</w:t>
      </w:r>
    </w:p>
    <w:p>
      <w:r>
        <w:t xml:space="preserve">(3) Der Antrag auf Eintragung der Hypothek gilt im Sinne des </w:t>
      </w:r>
      <w:hyperlink w:anchor="b1007" w:history="1">
        <w:r>
          <w:rPr>
            <w:color w:val="0A3A8C"/>
            <w:u w:val="single"/>
          </w:rPr>
          <w:t xml:space="preserve">§ 929</w:t>
        </w:r>
      </w:hyperlink>
      <w:r>
        <w:t xml:space="preserve"> Abs. 2, 3 als Vollziehung des Arrestbefehls.</w:t>
      </w:r>
    </w:p>
    <w:p>
      <w:pPr>
        <w:pStyle w:val="Heading3"/>
      </w:pPr>
      <w:bookmarkStart w:id="1012" w:name="b1011"/>
      <w:r>
        <w:t>§ 933 Vollziehung des persönlichen Arrestes</w:t>
      </w:r>
      <w:r>
        <w:t xml:space="preserve"> </w:t>
      </w:r>
      <w:r>
        <w:rPr>
          <w:rStyle w:val="Suchmarke"/>
        </w:rPr>
        <w:t>#933#</w:t>
      </w:r>
      <w:bookmarkEnd w:id="1012"/>
    </w:p>
    <w:p>
      <w:r>
        <w:rPr>
          <w:rStyle w:val="Satznummer"/>
        </w:rPr>
        <w:t>1</w:t>
      </w:r>
      <w:r>
        <w:t xml:space="preserve">Die Vollziehung des persönlichen Sicherheitsarrestes richtet sich, wenn sie durch Haft erfolgt, nach den Vorschriften der </w:t>
      </w:r>
      <w:hyperlink w:anchor="b828" w:history="1">
        <w:r>
          <w:rPr>
            <w:color w:val="0A3A8C"/>
            <w:u w:val="single"/>
          </w:rPr>
          <w:t xml:space="preserve">§§ 802g</w:t>
        </w:r>
      </w:hyperlink>
      <w:r>
        <w:t xml:space="preserve">, </w:t>
      </w:r>
      <w:hyperlink w:anchor="b829" w:history="1">
        <w:r>
          <w:rPr>
            <w:color w:val="0A3A8C"/>
            <w:u w:val="single"/>
          </w:rPr>
          <w:t xml:space="preserve">802h</w:t>
        </w:r>
      </w:hyperlink>
      <w:r>
        <w:t xml:space="preserve"> und </w:t>
      </w:r>
      <w:hyperlink w:anchor="b831" w:history="1">
        <w:r>
          <w:rPr>
            <w:color w:val="0A3A8C"/>
            <w:u w:val="single"/>
          </w:rPr>
          <w:t xml:space="preserve">802j</w:t>
        </w:r>
      </w:hyperlink>
      <w:r>
        <w:t xml:space="preserve"> Abs. 1 und 2 und, wenn sie durch sonstige Beschränkung der persönlichen Freiheit erfolgt, nach den vom Arrestgericht zu treffenden besonderen Anordnungen, für welche die Beschränkungen der Haft maßgebend sind. </w:t>
      </w:r>
      <w:r>
        <w:rPr>
          <w:rStyle w:val="Satznummer"/>
        </w:rPr>
        <w:t>2</w:t>
      </w:r>
      <w:r>
        <w:t xml:space="preserve">In den Haftbefehl ist der nach </w:t>
      </w:r>
      <w:hyperlink w:anchor="b1001" w:history="1">
        <w:r>
          <w:rPr>
            <w:color w:val="0A3A8C"/>
            <w:u w:val="single"/>
          </w:rPr>
          <w:t xml:space="preserve">§ 923</w:t>
        </w:r>
      </w:hyperlink>
      <w:r>
        <w:t xml:space="preserve"> festgestellte Geldbetrag aufzunehmen.</w:t>
      </w:r>
    </w:p>
    <w:p>
      <w:pPr>
        <w:pStyle w:val="Heading3"/>
      </w:pPr>
      <w:bookmarkStart w:id="1013" w:name="b1012"/>
      <w:r>
        <w:t>§ 934 Aufhebung der Arrestvollziehung</w:t>
      </w:r>
      <w:r>
        <w:t xml:space="preserve"> </w:t>
      </w:r>
      <w:r>
        <w:rPr>
          <w:rStyle w:val="Suchmarke"/>
        </w:rPr>
        <w:t>#934#</w:t>
      </w:r>
      <w:bookmarkEnd w:id="1013"/>
    </w:p>
    <w:p>
      <w:r>
        <w:t>(1) Wird der in dem Arrestbefehl festgestellte Geldbetrag hinterlegt, so wird der vollzogene Arrest von dem Vollstreckungsgericht aufgehoben.</w:t>
      </w:r>
    </w:p>
    <w:p>
      <w:r>
        <w:t>(2) Das Vollstreckungsgericht kann die Aufhebung des Arrestes auch anordnen, wenn die Fortdauer besondere Aufwendungen erfordert und die Partei, auf deren Gesuch der Arrest verhängt wurde, den nötigen Geldbetrag nicht vorschießt.</w:t>
      </w:r>
    </w:p>
    <w:p>
      <w:r>
        <w:t>(3) Die in diesem Paragraphen erwähnten Entscheidungen ergehen durch Beschluss.</w:t>
      </w:r>
    </w:p>
    <w:p>
      <w:r>
        <w:t>(4) Gegen den Beschluss, durch den der Arrest aufgehoben wird, findet sofortige Beschwerde statt.</w:t>
      </w:r>
    </w:p>
    <w:p>
      <w:pPr>
        <w:pStyle w:val="Heading3"/>
      </w:pPr>
      <w:bookmarkStart w:id="1014" w:name="b1013"/>
      <w:r>
        <w:t>§ 935 Einstweilige Verfügung bezüglich Streitgegenstand</w:t>
      </w:r>
      <w:r>
        <w:t xml:space="preserve"> </w:t>
      </w:r>
      <w:r>
        <w:rPr>
          <w:rStyle w:val="Suchmarke"/>
        </w:rPr>
        <w:t>#935#</w:t>
      </w:r>
      <w:bookmarkEnd w:id="1014"/>
    </w:p>
    <w:p>
      <w:r>
        <w:t>Einstweilige Verfügungen in Bezug auf den Streitgegenstand sind zulässig, wenn zu besorgen ist, dass durch eine Veränderung des bestehenden Zustandes die Verwirklichung des Rechts einer Partei vereitelt oder wesentlich erschwert werden könnte.</w:t>
      </w:r>
    </w:p>
    <w:p>
      <w:pPr>
        <w:pStyle w:val="Heading3"/>
      </w:pPr>
      <w:bookmarkStart w:id="1015" w:name="b1014"/>
      <w:r>
        <w:t>§ 936 Anwendung der Arrestvorschriften</w:t>
      </w:r>
      <w:r>
        <w:t xml:space="preserve"> </w:t>
      </w:r>
      <w:r>
        <w:rPr>
          <w:rStyle w:val="Suchmarke"/>
        </w:rPr>
        <w:t>#936#</w:t>
      </w:r>
      <w:bookmarkEnd w:id="1015"/>
    </w:p>
    <w:p>
      <w:r>
        <w:t>Auf die Anordnung einstweiliger Verfügungen und das weitere Verfahren sind die Vorschriften über die Anordnung von Arresten und über das Arrestverfahren entsprechend anzuwenden, soweit nicht die nachfolgenden Paragraphen abweichende Vorschriften enthalten.</w:t>
      </w:r>
    </w:p>
    <w:p>
      <w:pPr>
        <w:pStyle w:val="Heading3"/>
      </w:pPr>
      <w:bookmarkStart w:id="1016" w:name="b1015"/>
      <w:r>
        <w:t>§ 937 Zuständiges Gericht</w:t>
      </w:r>
      <w:r>
        <w:t xml:space="preserve"> </w:t>
      </w:r>
      <w:r>
        <w:rPr>
          <w:rStyle w:val="Suchmarke"/>
        </w:rPr>
        <w:t>#937#</w:t>
      </w:r>
      <w:bookmarkEnd w:id="1016"/>
    </w:p>
    <w:p>
      <w:r>
        <w:t>(1) Für den Erlass einstweiliger Verfügungen ist das Gericht der Hauptsache zuständig.</w:t>
      </w:r>
    </w:p>
    <w:p>
      <w:r>
        <w:t>(2) Die Entscheidung kann in dringenden Fällen sowie dann, wenn der Antrag auf Erlass einer einstweiligen Verfügung zurückzuweisen ist, ohne mündliche Verhandlung ergehen.</w:t>
      </w:r>
    </w:p>
    <w:p>
      <w:pPr>
        <w:pStyle w:val="Heading3"/>
      </w:pPr>
      <w:bookmarkStart w:id="1017" w:name="b1016"/>
      <w:r>
        <w:t>§ 938 Inhalt der einstweiligen Verfügung</w:t>
      </w:r>
      <w:r>
        <w:t xml:space="preserve"> </w:t>
      </w:r>
      <w:r>
        <w:rPr>
          <w:rStyle w:val="Suchmarke"/>
        </w:rPr>
        <w:t>#938#</w:t>
      </w:r>
      <w:bookmarkEnd w:id="1017"/>
    </w:p>
    <w:p>
      <w:r>
        <w:t>(1) Das Gericht bestimmt nach freiem Ermessen, welche Anordnungen zur Erreichung des Zweckes erforderlich sind.</w:t>
      </w:r>
    </w:p>
    <w:p>
      <w:r>
        <w:t>(2) Die einstweilige Verfügung kann auch in einer Sequestration sowie darin bestehen, dass dem Gegner eine Handlung geboten oder verboten, insbesondere die Veräußerung, Belastung oder Verpfändung eines Grundstücks oder eines eingetragenen Schiffes oder Schiffsbauwerks untersagt wird.</w:t>
      </w:r>
    </w:p>
    <w:p>
      <w:pPr>
        <w:pStyle w:val="Heading3"/>
      </w:pPr>
      <w:bookmarkStart w:id="1018" w:name="b1017"/>
      <w:r>
        <w:t>§ 939 Aufhebung gegen Sicherheitsleistung</w:t>
      </w:r>
      <w:r>
        <w:t xml:space="preserve"> </w:t>
      </w:r>
      <w:r>
        <w:rPr>
          <w:rStyle w:val="Suchmarke"/>
        </w:rPr>
        <w:t>#939#</w:t>
      </w:r>
      <w:bookmarkEnd w:id="1018"/>
    </w:p>
    <w:p>
      <w:r>
        <w:t>Nur unter besonderen Umständen kann die Aufhebung einer einstweiligen Verfügung gegen Sicherheitsleistung gestattet werden.</w:t>
      </w:r>
    </w:p>
    <w:p>
      <w:pPr>
        <w:pStyle w:val="Heading3"/>
      </w:pPr>
      <w:bookmarkStart w:id="1019" w:name="b1018"/>
      <w:r>
        <w:t>§ 940 Einstweilige Verfügung zur Regelung eines einstweiligen Zustandes</w:t>
      </w:r>
      <w:r>
        <w:t xml:space="preserve"> </w:t>
      </w:r>
      <w:r>
        <w:rPr>
          <w:rStyle w:val="Suchmarke"/>
        </w:rPr>
        <w:t>#940#</w:t>
      </w:r>
      <w:bookmarkEnd w:id="1019"/>
    </w:p>
    <w:p>
      <w:r>
        <w:t>Einstweilige Verfügungen sind auch zum Zwecke der Regelung eines einstweiligen Zustandes in Bezug auf ein streitiges Rechtsverhältnis zulässig, sofern diese Regelung, insbesondere bei dauernden Rechtsverhältnissen zur Abwendung wesentlicher Nachteile oder zur Verhinderung drohender Gewalt oder aus anderen Gründen nötig erscheint.</w:t>
      </w:r>
    </w:p>
    <w:p>
      <w:pPr>
        <w:pStyle w:val="Heading3"/>
      </w:pPr>
      <w:bookmarkStart w:id="1020" w:name="b1019"/>
      <w:r>
        <w:t>§ 940a Räumung von Wohnraum</w:t>
      </w:r>
      <w:r>
        <w:t xml:space="preserve"> </w:t>
      </w:r>
      <w:r>
        <w:rPr>
          <w:rStyle w:val="Suchmarke"/>
        </w:rPr>
        <w:t>#940a#</w:t>
      </w:r>
      <w:bookmarkEnd w:id="1020"/>
    </w:p>
    <w:p>
      <w:r>
        <w:t>(1) Die Räumung von Wohnraum darf durch einstweilige Verfügung nur wegen verbotener Eigenmacht oder bei einer konkreten Gefahr für Leib oder Leben angeordnet werden.</w:t>
      </w:r>
    </w:p>
    <w:p>
      <w:r>
        <w:t>(2) Die Räumung von Wohnraum darf durch einstweilige Verfügung auch gegen einen Dritten angeordnet werden, der im Besitz der Mietsache ist, wenn gegen den Mieter ein vollstreckbarer Räumungstitel vorliegt und der Vermieter vom Besitzerwerb des Dritten erst nach dem Schluss der mündlichen Verhandlung Kenntnis erlangt hat.</w:t>
      </w:r>
    </w:p>
    <w:p>
      <w:r>
        <w:t>(3) Ist Räumungsklage wegen Zahlungsverzugs erhoben, darf die Räumung von Wohnraum durch einstweilige Verfügung auch angeordnet werden, wenn der Beklagte einer Sicherungsanordnung (</w:t>
      </w:r>
      <w:hyperlink w:anchor="b319" w:history="1">
        <w:r>
          <w:rPr>
            <w:color w:val="0A3A8C"/>
            <w:u w:val="single"/>
          </w:rPr>
          <w:t xml:space="preserve">§ 283a</w:t>
        </w:r>
      </w:hyperlink>
      <w:r>
        <w:t>) im Hauptsacheverfahren nicht Folge leistet.</w:t>
      </w:r>
    </w:p>
    <w:p>
      <w:r>
        <w:t>(4) In den Fällen der Absätze 2 und 3 hat das Gericht den Gegner vor Erlass einer Räumungsverfügung anzuhören.</w:t>
      </w:r>
    </w:p>
    <w:p>
      <w:pPr>
        <w:pStyle w:val="Heading3"/>
      </w:pPr>
      <w:bookmarkStart w:id="1021" w:name="b1020"/>
      <w:r>
        <w:t>§ 941 Ersuchen um Eintragungen im Grundbuch usw.</w:t>
      </w:r>
      <w:r>
        <w:t xml:space="preserve"> </w:t>
      </w:r>
      <w:r>
        <w:rPr>
          <w:rStyle w:val="Suchmarke"/>
        </w:rPr>
        <w:t>#941#</w:t>
      </w:r>
      <w:bookmarkEnd w:id="1021"/>
    </w:p>
    <w:p>
      <w:r>
        <w:t>Hat auf Grund der einstweiligen Verfügung eine Eintragung in das Grundbuch, das Schiffsregister oder das Schiffsbauregister zu erfolgen, so ist das Gericht befugt, das Grundbuchamt oder die Registerbehörde um die Eintragung zu ersuchen.</w:t>
      </w:r>
    </w:p>
    <w:p>
      <w:pPr>
        <w:pStyle w:val="Heading3"/>
      </w:pPr>
      <w:bookmarkStart w:id="1022" w:name="b1021"/>
      <w:r>
        <w:t>§ 942 Zuständigkeit des Amtsgerichts der belegenen Sache</w:t>
      </w:r>
      <w:r>
        <w:t xml:space="preserve"> </w:t>
      </w:r>
      <w:r>
        <w:rPr>
          <w:rStyle w:val="Suchmarke"/>
        </w:rPr>
        <w:t>#942#</w:t>
      </w:r>
      <w:bookmarkEnd w:id="1022"/>
    </w:p>
    <w:p>
      <w:r>
        <w:t>(1) In dringenden Fällen kann das Amtsgericht, in dessen Bezirk sich der Streitgegenstand befindet, eine einstweilige Verfügung erlassen unter Bestimmung einer Frist, innerhalb der die Ladung des Gegners zur mündlichen Verhandlung über die Rechtmäßigkeit der einstweiligen Verfügung bei dem Gericht der Hauptsache zu beantragen ist.</w:t>
      </w:r>
    </w:p>
    <w:p>
      <w:r>
        <w:t xml:space="preserve">(2) </w:t>
      </w:r>
      <w:r>
        <w:rPr>
          <w:rStyle w:val="Satznummer"/>
        </w:rPr>
        <w:t>1</w:t>
      </w:r>
      <w:r>
        <w:t xml:space="preserve">Die einstweilige Verfügung, auf Grund deren eine Vormerkung oder ein Widerspruch gegen die Richtigkeit des Grundbuchs, des Schiffsregisters oder des Schiffsbauregisters eingetragen werden soll, kann von dem Amtsgericht erlassen werden, in dessen Bezirk das Grundstück belegen ist oder der Heimathafen oder der Heimatort des Schiffes oder der Bauort des Schiffsbauwerks sich befindet, auch wenn der Fall nicht für dringlich erachtet wird; liegt der Heimathafen des Schiffes nicht im Inland, so kann die einstweilige Verfügung vom Amtsgericht in Hamburg erlassen werden. </w:t>
      </w:r>
      <w:r>
        <w:rPr>
          <w:rStyle w:val="Satznummer"/>
        </w:rPr>
        <w:t>2</w:t>
      </w:r>
      <w:r>
        <w:t>Die Bestimmung der im Absatz 1 bezeichneten Frist hat nur auf Antrag des Gegners zu erfolgen.</w:t>
      </w:r>
    </w:p>
    <w:p>
      <w:r>
        <w:t>(3) Nach fruchtlosem Ablauf der Frist hat das Amtsgericht auf Antrag die erlassene Verfügung aufzuheben.</w:t>
      </w:r>
    </w:p>
    <w:p>
      <w:r>
        <w:t>(4) Die in diesem Paragraphen erwähnten Entscheidungen des Amtsgerichts ergehen durch Beschluss.</w:t>
      </w:r>
    </w:p>
    <w:p>
      <w:pPr>
        <w:pStyle w:val="Heading3"/>
      </w:pPr>
      <w:bookmarkStart w:id="1023" w:name="b1022"/>
      <w:r>
        <w:t>§ 943 Gericht der Hauptsache</w:t>
      </w:r>
      <w:r>
        <w:t xml:space="preserve"> </w:t>
      </w:r>
      <w:r>
        <w:rPr>
          <w:rStyle w:val="Suchmarke"/>
        </w:rPr>
        <w:t>#943#</w:t>
      </w:r>
      <w:bookmarkEnd w:id="1023"/>
    </w:p>
    <w:p>
      <w:r>
        <w:t>(1) Als Gericht der Hauptsache im Sinne der Vorschriften dieses Abschnitts ist das Gericht des ersten Rechtszuges und, wenn die Hauptsache in der Berufungsinstanz anhängig ist, das Berufungsgericht anzusehen.</w:t>
      </w:r>
    </w:p>
    <w:p>
      <w:r>
        <w:t xml:space="preserve">(2) Das Gericht der Hauptsache ist für die nach </w:t>
      </w:r>
      <w:hyperlink w:anchor="b135" w:history="1">
        <w:r>
          <w:rPr>
            <w:color w:val="0A3A8C"/>
            <w:u w:val="single"/>
          </w:rPr>
          <w:t xml:space="preserve">§ 109</w:t>
        </w:r>
      </w:hyperlink>
      <w:r>
        <w:t xml:space="preserve"> zu treffenden Anordnungen ausschließlich zuständig, wenn die Hauptsache anhängig ist oder anhängig gewesen ist.</w:t>
      </w:r>
    </w:p>
    <w:p>
      <w:pPr>
        <w:pStyle w:val="Heading3"/>
      </w:pPr>
      <w:bookmarkStart w:id="1024" w:name="b1023"/>
      <w:r>
        <w:t>§ 944 Entscheidung des Vorsitzenden bei Dringlichkeit</w:t>
      </w:r>
      <w:r>
        <w:t xml:space="preserve"> </w:t>
      </w:r>
      <w:r>
        <w:rPr>
          <w:rStyle w:val="Suchmarke"/>
        </w:rPr>
        <w:t>#944#</w:t>
      </w:r>
      <w:bookmarkEnd w:id="1024"/>
    </w:p>
    <w:p>
      <w:r>
        <w:t>In dringenden Fällen kann der Vorsitzende über die in diesem Abschnitt erwähnten Gesuche, sofern deren Erledigung eine mündliche Verhandlung nicht erfordert, anstatt des Gerichts entscheiden.</w:t>
      </w:r>
    </w:p>
    <w:p>
      <w:pPr>
        <w:pStyle w:val="Heading3"/>
      </w:pPr>
      <w:bookmarkStart w:id="1025" w:name="b1024"/>
      <w:r>
        <w:t>§ 945 Schadensersatzpflicht</w:t>
      </w:r>
      <w:r>
        <w:t xml:space="preserve"> </w:t>
      </w:r>
      <w:r>
        <w:rPr>
          <w:rStyle w:val="Suchmarke"/>
        </w:rPr>
        <w:t>#945#</w:t>
      </w:r>
      <w:bookmarkEnd w:id="1025"/>
    </w:p>
    <w:p>
      <w:r>
        <w:t xml:space="preserve">Erweist sich die Anordnung eines Arrestes oder einer einstweiligen Verfügung als von Anfang an ungerechtfertigt oder wird die angeordnete Maßregel auf Grund des </w:t>
      </w:r>
      <w:hyperlink w:anchor="b1004" w:history="1">
        <w:r>
          <w:rPr>
            <w:color w:val="0A3A8C"/>
            <w:u w:val="single"/>
          </w:rPr>
          <w:t xml:space="preserve">§ 926</w:t>
        </w:r>
      </w:hyperlink>
      <w:r>
        <w:t xml:space="preserve"> Abs. 2 oder des </w:t>
      </w:r>
      <w:hyperlink w:anchor="b1021" w:history="1">
        <w:r>
          <w:rPr>
            <w:color w:val="0A3A8C"/>
            <w:u w:val="single"/>
          </w:rPr>
          <w:t xml:space="preserve">§ 942</w:t>
        </w:r>
      </w:hyperlink>
      <w:r>
        <w:t xml:space="preserve"> Abs. 3 aufgehoben, so ist die Partei, welche die Anordnung erwirkt hat, verpflichtet, dem Gegner den Schaden zu ersetzen, der ihm aus der Vollziehung der angeordneten Maßregel oder dadurch entsteht, dass er Sicherheit leistet, um die Vollziehung abzuwenden oder die Aufhebung der Maßregel zu erwirken.</w:t>
      </w:r>
    </w:p>
    <w:p>
      <w:pPr>
        <w:pStyle w:val="Heading3"/>
      </w:pPr>
      <w:bookmarkStart w:id="1026" w:name="b1025"/>
      <w:r>
        <w:t>§ 945a Einreichung von Schutzschriften</w:t>
      </w:r>
      <w:r>
        <w:t xml:space="preserve"> </w:t>
      </w:r>
      <w:r>
        <w:rPr>
          <w:rStyle w:val="Suchmarke"/>
        </w:rPr>
        <w:t>#945a#</w:t>
      </w:r>
      <w:bookmarkEnd w:id="1026"/>
    </w:p>
    <w:p>
      <w:r>
        <w:t xml:space="preserve">(1) </w:t>
      </w:r>
      <w:r>
        <w:rPr>
          <w:rStyle w:val="Satznummer"/>
        </w:rPr>
        <w:t>1</w:t>
      </w:r>
      <w:r>
        <w:t xml:space="preserve">Die Landesjustizverwaltung Hessen führt für die Länder ein zentrales, länderübergreifendes elektronisches Register für Schutzschriften (Schutzschriftenregister). </w:t>
      </w:r>
      <w:r>
        <w:rPr>
          <w:rStyle w:val="Satznummer"/>
        </w:rPr>
        <w:t>2</w:t>
      </w:r>
      <w:r>
        <w:t>Schutzschriften sind vorbeugende Verteidigungsschriftsätze gegen erwartete Anträge auf Arrest oder einstweilige Verfügung.</w:t>
      </w:r>
    </w:p>
    <w:p>
      <w:r>
        <w:t xml:space="preserve">(2) </w:t>
      </w:r>
      <w:r>
        <w:rPr>
          <w:rStyle w:val="Satznummer"/>
        </w:rPr>
        <w:t>1</w:t>
      </w:r>
      <w:r>
        <w:t xml:space="preserve">Eine Schutzschrift gilt als bei allen ordentlichen Gerichten der Länder eingereicht, sobald sie in das Schutzschriftenregister eingestellt ist. </w:t>
      </w:r>
      <w:r>
        <w:rPr>
          <w:rStyle w:val="Satznummer"/>
        </w:rPr>
        <w:t>2</w:t>
      </w:r>
      <w:r>
        <w:t>Schutzschriften sind sechs Monate nach ihrer Einstellung zu löschen.</w:t>
      </w:r>
    </w:p>
    <w:p>
      <w:r>
        <w:t xml:space="preserve">(3) </w:t>
      </w:r>
      <w:r>
        <w:rPr>
          <w:rStyle w:val="Satznummer"/>
        </w:rPr>
        <w:t>1</w:t>
      </w:r>
      <w:r>
        <w:t xml:space="preserve">Die Gerichte erhalten Zugriff auf das Register über ein automatisiertes Abrufverfahren. </w:t>
      </w:r>
      <w:r>
        <w:rPr>
          <w:rStyle w:val="Satznummer"/>
        </w:rPr>
        <w:t>2</w:t>
      </w:r>
      <w:r>
        <w:t xml:space="preserve">Die Verwendung der Daten ist auf das für die Erfüllung der gesetzlichen Aufgaben Erforderliche zu beschränken. </w:t>
      </w:r>
      <w:r>
        <w:rPr>
          <w:rStyle w:val="Satznummer"/>
        </w:rPr>
        <w:t>3</w:t>
      </w:r>
      <w:r>
        <w:t>Abrufvorgänge sind zu protokollieren.</w:t>
      </w:r>
    </w:p>
    <w:p>
      <w:pPr>
        <w:pStyle w:val="Heading3"/>
      </w:pPr>
      <w:bookmarkStart w:id="1027" w:name="b1026"/>
      <w:r>
        <w:t>§ 945b Verordnungsermächtigung</w:t>
      </w:r>
      <w:r>
        <w:t xml:space="preserve"> </w:t>
      </w:r>
      <w:r>
        <w:rPr>
          <w:rStyle w:val="Suchmarke"/>
        </w:rPr>
        <w:t>#945b#</w:t>
      </w:r>
      <w:bookmarkEnd w:id="1027"/>
    </w:p>
    <w:p>
      <w:r>
        <w:t>Das Bundesministerium der Justiz und für Verbraucherschutz hat durch Rechtsverordnung mit Zustimmung des Bundesrates die näheren Bestimmungen über die Einrichtung und Führung des Registers, über die Einreichung von Schutzschriften zum Register, über den Abruf von Schutzschriften aus dem Register sowie über die Einzelheiten der Datenübermittlung und -speicherung sowie der Datensicherheit und der Barrierefreiheit zu treffen.</w:t>
      </w:r>
    </w:p>
    <w:p>
      <w:pPr>
        <w:pStyle w:val="Heading2"/>
      </w:pPr>
      <w:bookmarkStart w:id="1028" w:name="b1027"/>
      <w:r>
        <w:t>Abschnitt 6 Grenzüberschreitende vorläufige Kontenpfändung</w:t>
      </w:r>
      <w:bookmarkEnd w:id="1028"/>
    </w:p>
    <w:p>
      <w:pPr>
        <w:pStyle w:val="Heading3"/>
      </w:pPr>
      <w:bookmarkStart w:id="1029" w:name="b1028"/>
      <w:r>
        <w:t>Titel 1 Erlass des Beschlusses zur vorläufigen Kontenpfändung</w:t>
      </w:r>
      <w:bookmarkEnd w:id="1029"/>
    </w:p>
    <w:p>
      <w:pPr>
        <w:pStyle w:val="Heading4"/>
      </w:pPr>
      <w:bookmarkStart w:id="1030" w:name="b1029"/>
      <w:r>
        <w:t>§ 946 Zuständigkeit</w:t>
      </w:r>
      <w:r>
        <w:t xml:space="preserve"> </w:t>
      </w:r>
      <w:r>
        <w:rPr>
          <w:rStyle w:val="Suchmarke"/>
        </w:rPr>
        <w:t>#946#</w:t>
      </w:r>
      <w:bookmarkEnd w:id="1030"/>
    </w:p>
    <w:p>
      <w:r>
        <w:t xml:space="preserve">(1) </w:t>
      </w:r>
      <w:r>
        <w:rPr>
          <w:rStyle w:val="Satznummer"/>
        </w:rPr>
        <w:t>1</w:t>
      </w:r>
      <w:r>
        <w:t xml:space="preserve">Für den Erlass des Beschlusses zur vorläufigen Kontenpfändung nach der Verordnung (EU) Nr. 655/2014 des Europäischen Parlaments und des Rates vom 15. Mai 2014 zur Einführung eines Verfahrens für einen Europäischen Beschluss zur vorläufigen Kontenpfändung im Hinblick auf die Erleichterung der grenzüberschreitenden Eintreibung von Forderungen in Zivil- und Handelssachen (ABl. L 189 vom 27.6.2014, S. 59) ist das Gericht der Hauptsache zuständig. </w:t>
      </w:r>
      <w:r>
        <w:rPr>
          <w:rStyle w:val="Satznummer"/>
        </w:rPr>
        <w:t>2</w:t>
      </w:r>
      <w:r>
        <w:t xml:space="preserve">Die </w:t>
      </w:r>
      <w:hyperlink w:anchor="b1022" w:history="1">
        <w:r>
          <w:rPr>
            <w:color w:val="0A3A8C"/>
            <w:u w:val="single"/>
          </w:rPr>
          <w:t xml:space="preserve">§§ 943</w:t>
        </w:r>
      </w:hyperlink>
      <w:r>
        <w:t xml:space="preserve"> und </w:t>
      </w:r>
      <w:hyperlink w:anchor="b1023" w:history="1">
        <w:r>
          <w:rPr>
            <w:color w:val="0A3A8C"/>
            <w:u w:val="single"/>
          </w:rPr>
          <w:t xml:space="preserve">944</w:t>
        </w:r>
      </w:hyperlink>
      <w:r>
        <w:t xml:space="preserve"> gelten entsprechend.</w:t>
      </w:r>
    </w:p>
    <w:p>
      <w:r>
        <w:t>(2) Hat der Gläubiger bereits eine öffentliche Urkunde (Artikel 4 Nummer 10 der Verordnung (EU) Nr. 655/2014) erwirkt, in der der Schuldner verpflichtet wird, die Forderung zu erfüllen, ist das Gericht zuständig, in dessen Bezirk die Urkunde errichtet worden ist.</w:t>
      </w:r>
    </w:p>
    <w:p>
      <w:pPr>
        <w:pStyle w:val="Heading4"/>
      </w:pPr>
      <w:bookmarkStart w:id="1031" w:name="b1030"/>
      <w:r>
        <w:t>§ 947 Verfahren</w:t>
      </w:r>
      <w:r>
        <w:t xml:space="preserve"> </w:t>
      </w:r>
      <w:r>
        <w:rPr>
          <w:rStyle w:val="Suchmarke"/>
        </w:rPr>
        <w:t>#947#</w:t>
      </w:r>
      <w:bookmarkEnd w:id="1031"/>
    </w:p>
    <w:p>
      <w:r>
        <w:t xml:space="preserve">(1) </w:t>
      </w:r>
      <w:r>
        <w:rPr>
          <w:rStyle w:val="Satznummer"/>
        </w:rPr>
        <w:t>1</w:t>
      </w:r>
      <w:r>
        <w:t xml:space="preserve">Der Gläubiger kann sich in dem Verfahren auf Erlass des Beschlusses zur vorläufigen Kontenpfändung aller Beweismittel sowie der Versicherung an Eides statt bedienen. </w:t>
      </w:r>
      <w:r>
        <w:rPr>
          <w:rStyle w:val="Satznummer"/>
        </w:rPr>
        <w:t>2</w:t>
      </w:r>
      <w:r>
        <w:t>Nur eine Beweisaufnahme, die sofort erfolgen kann, ist statthaft.</w:t>
      </w:r>
    </w:p>
    <w:p>
      <w:r>
        <w:t xml:space="preserve">(2) </w:t>
      </w:r>
      <w:r>
        <w:rPr>
          <w:rStyle w:val="Satznummer"/>
        </w:rPr>
        <w:t>1</w:t>
      </w:r>
      <w:r>
        <w:t xml:space="preserve">Das Gericht darf die ihm nach Artikel 14 Absatz 6 der Verordnung (EU) Nr. 655/2014 übermittelten Kontoinformationen für die Zwecke des jeweiligen Verfahrens auf Erlass eines Beschlusses zur vorläufigen Kontenpfändung speichern, übermitteln und nutzen. </w:t>
      </w:r>
      <w:r>
        <w:rPr>
          <w:rStyle w:val="Satznummer"/>
        </w:rPr>
        <w:t>2</w:t>
      </w:r>
      <w:r>
        <w:t xml:space="preserve">Soweit übermittelte Kontoinformationen für den Erlass des Beschlusses zur vorläufigen Kontenpfändung nicht erforderlich sind, sind sie unverzüglich zu löschen oder ist deren Verarbeitung einzuschränken. </w:t>
      </w:r>
      <w:r>
        <w:rPr>
          <w:rStyle w:val="Satznummer"/>
        </w:rPr>
        <w:t>3</w:t>
      </w:r>
      <w:r>
        <w:t xml:space="preserve">Die Löschung ist zu protokollieren. </w:t>
      </w:r>
      <w:r>
        <w:rPr>
          <w:rStyle w:val="Satznummer"/>
        </w:rPr>
        <w:t>4</w:t>
      </w:r>
      <w:hyperlink w:anchor="b825" w:history="1">
        <w:r>
          <w:rPr>
            <w:color w:val="0A3A8C"/>
            <w:u w:val="single"/>
          </w:rPr>
          <w:t xml:space="preserve">§ 802d</w:t>
        </w:r>
      </w:hyperlink>
      <w:r>
        <w:t xml:space="preserve"> Absatz 1 Satz 3 gilt entsprechend.</w:t>
      </w:r>
    </w:p>
    <w:p>
      <w:pPr>
        <w:pStyle w:val="Heading4"/>
      </w:pPr>
      <w:bookmarkStart w:id="1032" w:name="b1031"/>
      <w:r>
        <w:t>§ 948 Ersuchen um Einholung von Kontoinformationen</w:t>
      </w:r>
      <w:r>
        <w:t xml:space="preserve"> </w:t>
      </w:r>
      <w:r>
        <w:rPr>
          <w:rStyle w:val="Suchmarke"/>
        </w:rPr>
        <w:t>#948#</w:t>
      </w:r>
      <w:bookmarkEnd w:id="1032"/>
    </w:p>
    <w:p>
      <w:r>
        <w:t>(1) Zuständige Auskunftsbehörde gemäß Artikel 14 der Verordnung (EU) Nr. 655/2014 für die Einholung von Kontoinformationen ist das Bundesamt für Justiz.</w:t>
      </w:r>
    </w:p>
    <w:p>
      <w:r>
        <w:t>(2) Zum Zweck der Einholung von Kontoinformationen nach Artikel 14 der Verordnung (EU) Nr. 655/2014 darf das Bundesamt für Justiz das Bundeszentralamt für Steuern ersuchen, bei den Kreditinstituten die in § 93b Absatz 1 der Abgabenordnung bezeichneten Daten abzurufen (§ 93 Absatz 8 der Abgabenordnung).</w:t>
      </w:r>
    </w:p>
    <w:p>
      <w:r>
        <w:t xml:space="preserve">(3) </w:t>
      </w:r>
      <w:r>
        <w:rPr>
          <w:rStyle w:val="Satznummer"/>
        </w:rPr>
        <w:t>1</w:t>
      </w:r>
      <w:r>
        <w:t xml:space="preserve">Das Bundesamt für Justiz protokolliert die eingehenden Ersuchen um Einholung von Kontoinformationen gemäß Artikel 14 der Verordnung (EU) Nr. 655/2014. </w:t>
      </w:r>
      <w:r>
        <w:rPr>
          <w:rStyle w:val="Satznummer"/>
        </w:rPr>
        <w:t>2</w:t>
      </w:r>
      <w:r>
        <w:t xml:space="preserve">Zu protokollieren sind ebenfalls die Bezeichnung der ersuchenden Stelle eines anderen Mitgliedstaates der Europäischen Union, der Abruf der in § 93b Absatz 1 der Abgabenordnung bezeichneten Daten und der Zeitpunkt des Eingangs dieser Daten sowie die Weiterleitung der eingegangenen Daten an die ersuchende Stelle. </w:t>
      </w:r>
      <w:r>
        <w:rPr>
          <w:rStyle w:val="Satznummer"/>
        </w:rPr>
        <w:t>3</w:t>
      </w:r>
      <w:r>
        <w:t>Das Bundesamt für Justiz löscht den Inhalt der eingeholten Kontoinformationen unverzüglich nach deren Übermittlung an die ersuchende Stelle; die Löschung ist zu protokollieren.</w:t>
      </w:r>
    </w:p>
    <w:p>
      <w:pPr>
        <w:pStyle w:val="Heading4"/>
      </w:pPr>
      <w:bookmarkStart w:id="1033" w:name="b1032"/>
      <w:r>
        <w:t>§ 949 Nicht rechtzeitige Einleitung des Hauptsacheverfahrens</w:t>
      </w:r>
      <w:r>
        <w:t xml:space="preserve"> </w:t>
      </w:r>
      <w:r>
        <w:rPr>
          <w:rStyle w:val="Suchmarke"/>
        </w:rPr>
        <w:t>#949#</w:t>
      </w:r>
      <w:bookmarkEnd w:id="1033"/>
    </w:p>
    <w:p>
      <w:r>
        <w:t>(1) Ein im Inland erlassener Beschluss zur vorläufigen Kontenpfändung wird nach Artikel 10 Absatz 2 Unterabsatz 1 der Verordnung (EU) Nr. 655/2014 durch Beschluss widerrufen.</w:t>
      </w:r>
    </w:p>
    <w:p>
      <w:r>
        <w:t xml:space="preserve">(2) </w:t>
      </w:r>
      <w:r>
        <w:rPr>
          <w:rStyle w:val="Satznummer"/>
        </w:rPr>
        <w:t>1</w:t>
      </w:r>
      <w:r>
        <w:t xml:space="preserve">Zuständige Stelle, an die gemäß Artikel 10 Absatz 2 Unterabsatz 3 der Verordnung (EU) Nr. 655/2014 das Widerrufsformblatt zu übermitteln ist, ist das Amtsgericht, in dessen Bezirk das Vollstreckungsverfahren stattfinden soll oder stattgefunden hat. </w:t>
      </w:r>
      <w:r>
        <w:rPr>
          <w:rStyle w:val="Satznummer"/>
        </w:rPr>
        <w:t>2</w:t>
      </w:r>
      <w:r>
        <w:t>Ist ein in einem anderen Mitgliedstaat der Europäischen Union erlassener Beschluss zur vorläufigen Kontenpfändung im Inland zu vollziehen, hat das Amtsgericht nach Satz 1 den Beschluss, durch den das Gericht den Beschluss zur vorläufigen Kontenpfändung widerrufen hat, der Bank im Sinne des Artikels 4 Nummer 2 der Verordnung (EU) Nr. 655/2014 zuzustellen.</w:t>
      </w:r>
    </w:p>
    <w:p>
      <w:pPr>
        <w:pStyle w:val="Heading3"/>
      </w:pPr>
      <w:bookmarkStart w:id="1034" w:name="b1033"/>
      <w:r>
        <w:t>Titel 2 Vollziehung des Beschlusses zur vorläufigen Kontenpfändung</w:t>
      </w:r>
      <w:bookmarkEnd w:id="1034"/>
    </w:p>
    <w:p>
      <w:pPr>
        <w:pStyle w:val="Heading4"/>
      </w:pPr>
      <w:bookmarkStart w:id="1035" w:name="b1034"/>
      <w:r>
        <w:t>§ 950 Anwendbare Vorschriften</w:t>
      </w:r>
      <w:r>
        <w:t xml:space="preserve"> </w:t>
      </w:r>
      <w:r>
        <w:rPr>
          <w:rStyle w:val="Suchmarke"/>
        </w:rPr>
        <w:t>#950#</w:t>
      </w:r>
      <w:bookmarkEnd w:id="1035"/>
    </w:p>
    <w:p>
      <w:r>
        <w:t xml:space="preserve">Auf die Vollziehung des Beschlusses zur vorläufigen Kontenpfändung sind die Vorschriften des Achten Buchs über die Zwangsvollstreckung sowie </w:t>
      </w:r>
      <w:hyperlink w:anchor="b1008" w:history="1">
        <w:r>
          <w:rPr>
            <w:color w:val="0A3A8C"/>
            <w:u w:val="single"/>
          </w:rPr>
          <w:t xml:space="preserve">§ 930</w:t>
        </w:r>
      </w:hyperlink>
      <w:r>
        <w:t xml:space="preserve"> Absatz 1 Satz 2 entsprechend anzuwenden, soweit die Verordnung (EU) Nr. 655/2014 und die </w:t>
      </w:r>
      <w:hyperlink w:anchor="b1035" w:history="1">
        <w:r>
          <w:rPr>
            <w:color w:val="0A3A8C"/>
            <w:u w:val="single"/>
          </w:rPr>
          <w:t xml:space="preserve">§§ 951</w:t>
        </w:r>
      </w:hyperlink>
      <w:r>
        <w:t xml:space="preserve"> bis </w:t>
      </w:r>
      <w:hyperlink w:anchor="b1042" w:history="1">
        <w:r>
          <w:rPr>
            <w:color w:val="0A3A8C"/>
            <w:u w:val="single"/>
          </w:rPr>
          <w:t xml:space="preserve">957</w:t>
        </w:r>
      </w:hyperlink>
      <w:r>
        <w:t xml:space="preserve"> keine abweichenden Vorschriften enthalten.</w:t>
      </w:r>
    </w:p>
    <w:p>
      <w:pPr>
        <w:pStyle w:val="Heading4"/>
      </w:pPr>
      <w:bookmarkStart w:id="1036" w:name="b1035"/>
      <w:r>
        <w:t>§ 951 Vollziehung von im Inland erlassenen Beschlüssen</w:t>
      </w:r>
      <w:r>
        <w:t xml:space="preserve"> </w:t>
      </w:r>
      <w:r>
        <w:rPr>
          <w:rStyle w:val="Suchmarke"/>
        </w:rPr>
        <w:t>#951#</w:t>
      </w:r>
      <w:bookmarkEnd w:id="1036"/>
    </w:p>
    <w:p>
      <w:r>
        <w:t xml:space="preserve">(1) </w:t>
      </w:r>
      <w:r>
        <w:rPr>
          <w:rStyle w:val="Satznummer"/>
        </w:rPr>
        <w:t>1</w:t>
      </w:r>
      <w:r>
        <w:t xml:space="preserve">Ist ein im Inland erlassener Beschluss zur vorläufigen Kontenpfändung im Inland zu vollziehen, hat der Gläubiger, der seinen Wohnsitz in einem anderen Mitgliedstaat der Europäischen Union hat, den Beschluss der Bank zustellen zu lassen. </w:t>
      </w:r>
      <w:r>
        <w:rPr>
          <w:rStyle w:val="Satznummer"/>
        </w:rPr>
        <w:t>2</w:t>
      </w:r>
      <w:r>
        <w:t>Ist der Beschluss in einem anderen Mitgliedstaat der Europäischen Union zu vollziehen, hat der Gläubiger die Zustellung gemäß Artikel 23 Absatz 3 Unterabsatz 1 der Verordnung (EU) Nr. 655/2014 an die Bank zu veranlassen.</w:t>
      </w:r>
    </w:p>
    <w:p>
      <w:r>
        <w:t xml:space="preserve">(2) </w:t>
      </w:r>
      <w:r>
        <w:rPr>
          <w:rStyle w:val="Satznummer"/>
        </w:rPr>
        <w:t>1</w:t>
      </w:r>
      <w:r>
        <w:t>Das Gericht, das den Beschluss erlassen hat, lässt dem Schuldner den Beschluss nach Artikel 28 der Verordnung (EU) Nr. 655/2014 zustellen; diese Zustellung gilt als Zustellung auf Betreiben des Gläubigers (</w:t>
      </w:r>
      <w:hyperlink w:anchor="b233" w:history="1">
        <w:r>
          <w:rPr>
            <w:color w:val="0A3A8C"/>
            <w:u w:val="single"/>
          </w:rPr>
          <w:t xml:space="preserve">§ 191</w:t>
        </w:r>
      </w:hyperlink>
      <w:r>
        <w:t xml:space="preserve">). </w:t>
      </w:r>
      <w:r>
        <w:rPr>
          <w:rStyle w:val="Satznummer"/>
        </w:rPr>
        <w:t>2</w:t>
      </w:r>
      <w:r>
        <w:t>Eine Übersetzung oder Transliteration, die nach Artikel 28 Absatz 5 in Verbindung mit Artikel 49 Absatz 1 der Verordnung (EU) Nr. 655/2014 erforderlich ist, hat der Gläubiger bereitzustellen.</w:t>
      </w:r>
    </w:p>
    <w:p>
      <w:pPr>
        <w:pStyle w:val="Heading4"/>
      </w:pPr>
      <w:bookmarkStart w:id="1037" w:name="b1036"/>
      <w:r>
        <w:t>§ 952 Vollziehung von in einem anderen Mitgliedstaat erlassenen Beschlüssen</w:t>
      </w:r>
      <w:r>
        <w:t xml:space="preserve"> </w:t>
      </w:r>
      <w:r>
        <w:rPr>
          <w:rStyle w:val="Suchmarke"/>
        </w:rPr>
        <w:t>#952#</w:t>
      </w:r>
      <w:bookmarkEnd w:id="1037"/>
    </w:p>
    <w:p>
      <w:r>
        <w:t>(1) Zuständige Stelle ist</w:t>
      </w:r>
    </w:p>
    <w:p>
      <w:pPr>
        <w:tabs>
          <w:tab w:pos="567" w:val="left"/>
        </w:tabs>
        <w:ind w:left="567" w:hanging="567"/>
      </w:pPr>
      <w:r>
        <w:t>1.</w:t>
      </w:r>
      <w:r>
        <w:tab/>
      </w:r>
      <w:r>
        <w:t>in den in Artikel 23 Absatz 3, 5 und 6, Artikel 25 Absatz 3 und Artikel 27 Absatz 2 der Verordnung (EU) Nr. 655/2014 bezeichneten Fällen das Amtsgericht, in dessen Bezirk das Vollstreckungsverfahren stattfinden soll oder stattgefunden hat,</w:t>
      </w:r>
    </w:p>
    <w:p>
      <w:pPr>
        <w:tabs>
          <w:tab w:pos="567" w:val="left"/>
        </w:tabs>
        <w:ind w:left="567" w:hanging="567"/>
      </w:pPr>
      <w:r>
        <w:t>2.</w:t>
      </w:r>
      <w:r>
        <w:tab/>
      </w:r>
      <w:r>
        <w:t>in den in Artikel 28 Absatz 3 der Verordnung (EU) Nr. 655/2014 bezeichneten Fällen das Amtsgericht, in dessen Bezirk der Schuldner seinen Wohnsitz hat.</w:t>
      </w:r>
    </w:p>
    <w:p>
      <w:r>
        <w:t>(2) Das nach Absatz 1 Nummer 1 zuständige Amtsgericht hat</w:t>
      </w:r>
    </w:p>
    <w:p>
      <w:pPr>
        <w:tabs>
          <w:tab w:pos="567" w:val="left"/>
        </w:tabs>
        <w:ind w:left="567" w:hanging="567"/>
      </w:pPr>
      <w:r>
        <w:t>1.</w:t>
      </w:r>
      <w:r>
        <w:tab/>
      </w:r>
      <w:r>
        <w:t>in den in Artikel 23 Absatz 3 der Verordnung (EU) Nr. 655/2014 bezeichneten Fällen der Bank den Beschluss zur vorläufigen Kontenpfändung zuzustellen,</w:t>
      </w:r>
    </w:p>
    <w:p>
      <w:pPr>
        <w:tabs>
          <w:tab w:pos="567" w:val="left"/>
        </w:tabs>
        <w:ind w:left="567" w:hanging="567"/>
      </w:pPr>
      <w:r>
        <w:t>2.</w:t>
      </w:r>
      <w:r>
        <w:tab/>
      </w:r>
      <w:r>
        <w:t>in den in Artikel 27 Absatz 2 der Verordnung (EU) Nr. 655/2014 bezeichneten Fällen der Bank die Freigabeerklärung des Gläubigers zuzustellen.</w:t>
      </w:r>
    </w:p>
    <w:p>
      <w:pPr>
        <w:pStyle w:val="Heading3"/>
      </w:pPr>
      <w:bookmarkStart w:id="1038" w:name="b1037"/>
      <w:r>
        <w:t>Titel 3 Rechtsbehelfe</w:t>
      </w:r>
      <w:bookmarkEnd w:id="1038"/>
    </w:p>
    <w:p>
      <w:pPr>
        <w:pStyle w:val="Heading4"/>
      </w:pPr>
      <w:bookmarkStart w:id="1039" w:name="b1038"/>
      <w:r>
        <w:t>§ 953 Rechtsbehelfe des Gläubigers</w:t>
      </w:r>
      <w:r>
        <w:t xml:space="preserve"> </w:t>
      </w:r>
      <w:r>
        <w:rPr>
          <w:rStyle w:val="Suchmarke"/>
        </w:rPr>
        <w:t>#953#</w:t>
      </w:r>
      <w:bookmarkEnd w:id="1039"/>
    </w:p>
    <w:p>
      <w:r>
        <w:t>(1) Gegen die Ablehnung des Antrags auf Erlass eines Beschlusses zur vorläufigen Kontenpfändung und gegen den Widerruf des Beschlusses zur vorläufigen Kontenpfändung (</w:t>
      </w:r>
      <w:hyperlink w:anchor="b1032" w:history="1">
        <w:r>
          <w:rPr>
            <w:color w:val="0A3A8C"/>
            <w:u w:val="single"/>
          </w:rPr>
          <w:t xml:space="preserve">§ 949</w:t>
        </w:r>
      </w:hyperlink>
      <w:r>
        <w:t xml:space="preserve"> Absatz 1), soweit sie durch das Gericht des ersten Rechtszuges erfolgt sind, findet die sofortige Beschwerde statt.</w:t>
      </w:r>
    </w:p>
    <w:p>
      <w:r>
        <w:t xml:space="preserve">(2) </w:t>
      </w:r>
      <w:r>
        <w:rPr>
          <w:rStyle w:val="Satznummer"/>
        </w:rPr>
        <w:t>1</w:t>
      </w:r>
      <w:r>
        <w:t xml:space="preserve">Die in Artikel 21 Absatz 2 Satz 1 der Verordnung (EU) Nr. 655/2014 bezeichnete Frist von 30 Tagen für die Einlegung des Rechtsbehelfs beginnt mit der Zustellung der Entscheidung an den Gläubiger. </w:t>
      </w:r>
      <w:r>
        <w:rPr>
          <w:rStyle w:val="Satznummer"/>
        </w:rPr>
        <w:t>2</w:t>
      </w:r>
      <w:r>
        <w:t xml:space="preserve">Dies gilt auch in den Fällen des </w:t>
      </w:r>
      <w:hyperlink w:anchor="b368" w:history="1">
        <w:r>
          <w:rPr>
            <w:color w:val="0A3A8C"/>
            <w:u w:val="single"/>
          </w:rPr>
          <w:t xml:space="preserve">§ 321a</w:t>
        </w:r>
      </w:hyperlink>
      <w:r>
        <w:t xml:space="preserve"> Absatz 2 für die Ablehnung des Antrags auf Erlass des Beschlusses durch das Berufungsgericht.</w:t>
      </w:r>
    </w:p>
    <w:p>
      <w:r>
        <w:t>(3) Die sofortige Beschwerde gegen den Widerruf des Beschlusses zur vorläufigen Kontenpfändung ist innerhalb einer Notfrist von einem Monat ab Zustellung einzulegen.</w:t>
      </w:r>
    </w:p>
    <w:p>
      <w:pPr>
        <w:pStyle w:val="Heading4"/>
      </w:pPr>
      <w:bookmarkStart w:id="1040" w:name="b1039"/>
      <w:r>
        <w:t>§ 954 Rechtsbehelfe nach den Artikeln 33 bis 35 der Verordnung (EU) Nr. 655/2014</w:t>
      </w:r>
      <w:r>
        <w:t xml:space="preserve"> </w:t>
      </w:r>
      <w:r>
        <w:rPr>
          <w:rStyle w:val="Suchmarke"/>
        </w:rPr>
        <w:t>#954#</w:t>
      </w:r>
      <w:bookmarkEnd w:id="1040"/>
    </w:p>
    <w:p>
      <w:r>
        <w:t xml:space="preserve">(1) </w:t>
      </w:r>
      <w:r>
        <w:rPr>
          <w:rStyle w:val="Satznummer"/>
        </w:rPr>
        <w:t>1</w:t>
      </w:r>
      <w:r>
        <w:t xml:space="preserve">Über den Rechtsbehelf des Schuldners gegen einen im Inland erlassenen Beschluss zur vorläufigen Kontenpfändung nach Artikel 33 Absatz 1 der Verordnung (EU) Nr. 655/2014 (Widerspruch) entscheidet das Gericht, das den Beschluss erlassen hat. </w:t>
      </w:r>
      <w:r>
        <w:rPr>
          <w:rStyle w:val="Satznummer"/>
        </w:rPr>
        <w:t>2</w:t>
      </w:r>
      <w:r>
        <w:t xml:space="preserve">Die Entscheidung ergeht durch Beschluss. </w:t>
      </w:r>
      <w:r>
        <w:rPr>
          <w:rStyle w:val="Satznummer"/>
        </w:rPr>
        <w:t>3</w:t>
      </w:r>
      <w:r>
        <w:t>Die Sätze 1 und 2 gelten entsprechend für den Widerspruch des Schuldners gemäß Artikel 33 Absatz 2 der Verordnung (EU) Nr. 655/2014 gegen die Entscheidung nach Artikel 12 der Verordnung (EU) Nr. 655/2014.</w:t>
      </w:r>
    </w:p>
    <w:p>
      <w:r>
        <w:t xml:space="preserve">(2) </w:t>
      </w:r>
      <w:r>
        <w:rPr>
          <w:rStyle w:val="Satznummer"/>
        </w:rPr>
        <w:t>1</w:t>
      </w:r>
      <w:r>
        <w:t>Über den Rechtsbehelf des Schuldners wegen Einwendungen gegen die Vollziehung eines Beschlusses zur vorläufigen Kontenpfändung im Inland nach Artikel 34 der Verordnung (EU) Nr. 655/2014 entscheidet das Vollstreckungsgericht (</w:t>
      </w:r>
      <w:hyperlink w:anchor="b769" w:history="1">
        <w:r>
          <w:rPr>
            <w:color w:val="0A3A8C"/>
            <w:u w:val="single"/>
          </w:rPr>
          <w:t xml:space="preserve">§ 764</w:t>
        </w:r>
      </w:hyperlink>
      <w:r>
        <w:t xml:space="preserve"> Absatz 2). </w:t>
      </w:r>
      <w:r>
        <w:rPr>
          <w:rStyle w:val="Satznummer"/>
        </w:rPr>
        <w:t>2</w:t>
      </w:r>
      <w:r>
        <w:t xml:space="preserve">Für den Antrag nach Artikel 34 Absatz 1 Buchstabe a der Verordnung (EU) Nr. 655/2014 gelten </w:t>
      </w:r>
      <w:hyperlink w:anchor="b987" w:history="1">
        <w:r>
          <w:rPr>
            <w:color w:val="0A3A8C"/>
            <w:u w:val="single"/>
          </w:rPr>
          <w:t xml:space="preserve">§ 906</w:t>
        </w:r>
      </w:hyperlink>
      <w:r>
        <w:t xml:space="preserve"> Absatz 1 Satz 2, Absatz 2 und </w:t>
      </w:r>
      <w:hyperlink w:anchor="b988" w:history="1">
        <w:r>
          <w:rPr>
            <w:color w:val="0A3A8C"/>
            <w:u w:val="single"/>
          </w:rPr>
          <w:t xml:space="preserve">§ 907</w:t>
        </w:r>
      </w:hyperlink>
      <w:r>
        <w:t xml:space="preserve"> entsprechend.</w:t>
      </w:r>
    </w:p>
    <w:p>
      <w:r>
        <w:t xml:space="preserve">(3) </w:t>
      </w:r>
      <w:r>
        <w:rPr>
          <w:rStyle w:val="Satznummer"/>
        </w:rPr>
        <w:t>1</w:t>
      </w:r>
      <w:r>
        <w:t xml:space="preserve">Über Rechtsbehelfe, die nach Artikel 35 Absatz 3 und 4 der Verordnung (EU) Nr. 655/2014 im Vollstreckungsmitgliedstaat eingelegt werden, entscheidet ebenfalls das Vollstreckungsgericht. </w:t>
      </w:r>
      <w:r>
        <w:rPr>
          <w:rStyle w:val="Satznummer"/>
        </w:rPr>
        <w:t>2</w:t>
      </w:r>
      <w:r>
        <w:t>Sofern nach Artikel 35 der Verordnung (EU) Nr. 655/2014 das Gericht zuständig ist, das den Beschluss zur vorläufigen Kontenpfändung erlassen hat, ergeht die Entscheidung durch Beschluss.</w:t>
      </w:r>
    </w:p>
    <w:p>
      <w:r>
        <w:t xml:space="preserve">(4) </w:t>
      </w:r>
      <w:r>
        <w:rPr>
          <w:rStyle w:val="Satznummer"/>
        </w:rPr>
        <w:t>1</w:t>
      </w:r>
      <w:r>
        <w:t xml:space="preserve">Zuständige Stelle ist in den Fällen des Artikels 36 Absatz 5 Unterabsatz 2 der Verordnung (EU) Nr. 655/2014 das Amtsgericht, in dessen Bezirk das Vollstreckungsverfahren stattfinden soll oder stattgefunden hat. </w:t>
      </w:r>
      <w:r>
        <w:rPr>
          <w:rStyle w:val="Satznummer"/>
        </w:rPr>
        <w:t>2</w:t>
      </w:r>
      <w:r>
        <w:t>Dieses hat den Beschluss der Bank zuzustellen.</w:t>
      </w:r>
    </w:p>
    <w:p>
      <w:pPr>
        <w:pStyle w:val="Heading4"/>
      </w:pPr>
      <w:bookmarkStart w:id="1041" w:name="b1040"/>
      <w:r>
        <w:t>§ 955 Sicherheitsleistung nach Artikel 38 der Verordnung (EU) Nr. 655/2014</w:t>
      </w:r>
      <w:r>
        <w:t xml:space="preserve"> </w:t>
      </w:r>
      <w:r>
        <w:rPr>
          <w:rStyle w:val="Suchmarke"/>
        </w:rPr>
        <w:t>#955#</w:t>
      </w:r>
      <w:bookmarkEnd w:id="1041"/>
    </w:p>
    <w:p>
      <w:r>
        <w:rPr>
          <w:rStyle w:val="Satznummer"/>
        </w:rPr>
        <w:t>1</w:t>
      </w:r>
      <w:r>
        <w:t xml:space="preserve">Für die Entscheidung über Anträge des Schuldners auf Beendigung der Vollstreckung wegen erbrachter Sicherheitsleistung nach Artikel 38 Absatz 1 Buchstabe b der Verordnung (EU) Nr. 655/2014 ist das Vollstreckungsgericht zuständig. </w:t>
      </w:r>
      <w:r>
        <w:rPr>
          <w:rStyle w:val="Satznummer"/>
        </w:rPr>
        <w:t>2</w:t>
      </w:r>
      <w:r>
        <w:t>Die Entscheidung nach Artikel 38 Absatz 1 der Verordnung (EU) Nr. 655/2014 ergeht durch Beschluss.</w:t>
      </w:r>
    </w:p>
    <w:p>
      <w:pPr>
        <w:pStyle w:val="Heading4"/>
      </w:pPr>
      <w:bookmarkStart w:id="1042" w:name="b1041"/>
      <w:r>
        <w:t>§ 956 Rechtsmittel gegen die Entscheidungen nach § 954 Absatz 1 bis 3 und § 955</w:t>
      </w:r>
      <w:r>
        <w:t xml:space="preserve"> </w:t>
      </w:r>
      <w:r>
        <w:rPr>
          <w:rStyle w:val="Suchmarke"/>
        </w:rPr>
        <w:t>#956#</w:t>
      </w:r>
      <w:bookmarkEnd w:id="1042"/>
    </w:p>
    <w:p>
      <w:r>
        <w:t xml:space="preserve">(1) </w:t>
      </w:r>
      <w:r>
        <w:rPr>
          <w:rStyle w:val="Satznummer"/>
        </w:rPr>
        <w:t>1</w:t>
      </w:r>
      <w:r>
        <w:t xml:space="preserve">Gegen die Entscheidungen des Vollstreckungsgerichts nach </w:t>
      </w:r>
      <w:hyperlink w:anchor="b1039" w:history="1">
        <w:r>
          <w:rPr>
            <w:color w:val="0A3A8C"/>
            <w:u w:val="single"/>
          </w:rPr>
          <w:t xml:space="preserve">§ 954</w:t>
        </w:r>
      </w:hyperlink>
      <w:r>
        <w:t xml:space="preserve"> Absatz 2 und 3 Satz 1 sowie nach </w:t>
      </w:r>
      <w:hyperlink w:anchor="b1040" w:history="1">
        <w:r>
          <w:rPr>
            <w:color w:val="0A3A8C"/>
            <w:u w:val="single"/>
          </w:rPr>
          <w:t xml:space="preserve">§ 955</w:t>
        </w:r>
      </w:hyperlink>
      <w:r>
        <w:t xml:space="preserve"> Satz 1 findet die sofortige Beschwerde statt. </w:t>
      </w:r>
      <w:r>
        <w:rPr>
          <w:rStyle w:val="Satznummer"/>
        </w:rPr>
        <w:t>2</w:t>
      </w:r>
      <w:r>
        <w:t xml:space="preserve">Dies gilt auch für Entscheidungen des Gerichts des ersten Rechtszugs in den Fällen des </w:t>
      </w:r>
      <w:hyperlink w:anchor="b1039" w:history="1">
        <w:r>
          <w:rPr>
            <w:color w:val="0A3A8C"/>
            <w:u w:val="single"/>
          </w:rPr>
          <w:t xml:space="preserve">§ 954</w:t>
        </w:r>
      </w:hyperlink>
      <w:r>
        <w:t xml:space="preserve"> Absatz 1 und 3 Satz 2 sowie des </w:t>
      </w:r>
      <w:hyperlink w:anchor="b1040" w:history="1">
        <w:r>
          <w:rPr>
            <w:color w:val="0A3A8C"/>
            <w:u w:val="single"/>
          </w:rPr>
          <w:t xml:space="preserve">§ 955</w:t>
        </w:r>
      </w:hyperlink>
      <w:r>
        <w:t xml:space="preserve"> Satz 2.</w:t>
      </w:r>
    </w:p>
    <w:p>
      <w:r>
        <w:t>(2) Die sofortige Beschwerde ist innerhalb einer Notfrist von einem Monat ab Zustellung der Entscheidung einzulegen.</w:t>
      </w:r>
    </w:p>
    <w:p>
      <w:pPr>
        <w:pStyle w:val="Heading4"/>
      </w:pPr>
      <w:bookmarkStart w:id="1043" w:name="b1042"/>
      <w:r>
        <w:t>§ 957 Ausschluss der Rechtsbeschwerde</w:t>
      </w:r>
      <w:r>
        <w:t xml:space="preserve"> </w:t>
      </w:r>
      <w:r>
        <w:rPr>
          <w:rStyle w:val="Suchmarke"/>
        </w:rPr>
        <w:t>#957#</w:t>
      </w:r>
      <w:bookmarkEnd w:id="1043"/>
    </w:p>
    <w:p>
      <w:r>
        <w:t>In Verfahren zur grenzüberschreitenden vorläufigen Kontenpfändung nach der Verordnung (EU) Nr. 655/2014 findet die Rechtsbeschwerde nicht statt.</w:t>
      </w:r>
    </w:p>
    <w:p>
      <w:pPr>
        <w:pStyle w:val="Heading3"/>
      </w:pPr>
      <w:bookmarkStart w:id="1044" w:name="b1043"/>
      <w:r>
        <w:t>Titel 4 Schadensersatz; Verordnungsermächtigung</w:t>
      </w:r>
      <w:bookmarkEnd w:id="1044"/>
    </w:p>
    <w:p>
      <w:pPr>
        <w:pStyle w:val="Heading4"/>
      </w:pPr>
      <w:bookmarkStart w:id="1045" w:name="b1044"/>
      <w:r>
        <w:t>§ 958 Schadensersatz</w:t>
      </w:r>
      <w:r>
        <w:t xml:space="preserve"> </w:t>
      </w:r>
      <w:r>
        <w:rPr>
          <w:rStyle w:val="Suchmarke"/>
        </w:rPr>
        <w:t>#958#</w:t>
      </w:r>
      <w:bookmarkEnd w:id="1045"/>
    </w:p>
    <w:p>
      <w:r>
        <w:rPr>
          <w:rStyle w:val="Satznummer"/>
        </w:rPr>
        <w:t>1</w:t>
      </w:r>
      <w:r>
        <w:t xml:space="preserve">Erweist sich die Anordnung eines Beschlusses zur vorläufigen Kontenpfändung, der im Inland vollzogen worden ist, als von Anfang an ungerechtfertigt, so ist der Gläubiger verpflichtet, dem Schuldner den Schaden zu ersetzen, der ihm aus der Vollziehung des Beschlusses oder dadurch entsteht, dass er Sicherheit leistet, um die Freigabe der vorläufig gepfändeten Gelder oder die Beendigung der Vollstreckung zu erwirken. </w:t>
      </w:r>
      <w:r>
        <w:rPr>
          <w:rStyle w:val="Satznummer"/>
        </w:rPr>
        <w:t>2</w:t>
      </w:r>
      <w:r>
        <w:t>Im Übrigen richtet sich die Haftung des Gläubigers gegenüber dem Schuldner nach Artikel 13 Absatz 1 und 2 der Verordnung (EU) Nr. 655/2014.</w:t>
      </w:r>
    </w:p>
    <w:p>
      <w:pPr>
        <w:pStyle w:val="Heading4"/>
      </w:pPr>
      <w:bookmarkStart w:id="1046" w:name="b1045"/>
      <w:r>
        <w:t>§ 959 Verordnungsermächtigung</w:t>
      </w:r>
      <w:r>
        <w:t xml:space="preserve"> </w:t>
      </w:r>
      <w:r>
        <w:rPr>
          <w:rStyle w:val="Suchmarke"/>
        </w:rPr>
        <w:t>#959#</w:t>
      </w:r>
      <w:bookmarkEnd w:id="1046"/>
    </w:p>
    <w:p>
      <w:r>
        <w:t>(1) Die Landesregierungen können die Aufgaben nach Artikel 10 Absatz 2, Artikel 23 Absatz 3, 5 und 6, Artikel 25 Absatz 3, Artikel 27 Absatz 2, Artikel 28 Absatz 3 sowie Artikel 36 Absatz 5 Unterabsatz 2 und 3 der Verordnung (EU) Nr. 655/2014 einem Amtsgericht für die Bezirke mehrerer Amtsgerichte durch Rechtsverordnung zuweisen.</w:t>
      </w:r>
    </w:p>
    <w:p>
      <w:r>
        <w:t>(2) Die Landesregierungen können die Ermächtigung nach Absatz 1 durch Rechtsverordnung einer obersten Landesbehörde übertragen.</w:t>
      </w:r>
    </w:p>
    <w:p>
      <w:pPr>
        <w:pStyle w:val="Heading1"/>
      </w:pPr>
      <w:bookmarkStart w:id="1047" w:name="b1046"/>
      <w:r>
        <w:t>Buch 9 (weggefallen)</w:t>
      </w:r>
      <w:bookmarkEnd w:id="1047"/>
    </w:p>
    <w:p>
      <w:pPr>
        <w:pStyle w:val="Heading2"/>
      </w:pPr>
      <w:bookmarkStart w:id="1048" w:name="b1047"/>
      <w:r>
        <w:t>§§ 960 bis 1024 (weggefallen)</w:t>
      </w:r>
      <w:bookmarkEnd w:id="1048"/>
    </w:p>
    <w:p>
      <w:pPr>
        <w:pStyle w:val="Heading1"/>
      </w:pPr>
      <w:bookmarkStart w:id="1049" w:name="b1048"/>
      <w:r>
        <w:t>Buch 10 Schiedsrichterliches Verfahren</w:t>
      </w:r>
      <w:bookmarkEnd w:id="1049"/>
    </w:p>
    <w:p>
      <w:pPr>
        <w:pStyle w:val="Heading2"/>
      </w:pPr>
      <w:bookmarkStart w:id="1050" w:name="b1049"/>
      <w:r>
        <w:t>Abschnitt 1 Allgemeine Vorschriften</w:t>
      </w:r>
      <w:bookmarkEnd w:id="1050"/>
    </w:p>
    <w:p>
      <w:pPr>
        <w:pStyle w:val="Heading3"/>
      </w:pPr>
      <w:bookmarkStart w:id="1051" w:name="b1050"/>
      <w:r>
        <w:t>§ 1025 Anwendungsbereich</w:t>
      </w:r>
      <w:r>
        <w:t xml:space="preserve"> </w:t>
      </w:r>
      <w:r>
        <w:rPr>
          <w:rStyle w:val="Suchmarke"/>
        </w:rPr>
        <w:t>#1025#</w:t>
      </w:r>
      <w:bookmarkEnd w:id="1051"/>
    </w:p>
    <w:p>
      <w:r>
        <w:t>(1) Die Vorschriften dieses Buches sind anzuwenden, wenn der Ort des schiedsrichterlichen Verfahrens im Sinne des § 1043 Abs. 1 in Deutschland liegt.</w:t>
      </w:r>
    </w:p>
    <w:p>
      <w:r>
        <w:t xml:space="preserve">(2) Die Bestimmungen der </w:t>
      </w:r>
      <w:hyperlink w:anchor="b1058" w:history="1">
        <w:r>
          <w:rPr>
            <w:color w:val="0A3A8C"/>
            <w:u w:val="single"/>
          </w:rPr>
          <w:t xml:space="preserve">§§ 1032</w:t>
        </w:r>
      </w:hyperlink>
      <w:r>
        <w:t xml:space="preserve">, </w:t>
      </w:r>
      <w:hyperlink w:anchor="b1059" w:history="1">
        <w:r>
          <w:rPr>
            <w:color w:val="0A3A8C"/>
            <w:u w:val="single"/>
          </w:rPr>
          <w:t xml:space="preserve">1033</w:t>
        </w:r>
      </w:hyperlink>
      <w:r>
        <w:t xml:space="preserve"> und </w:t>
      </w:r>
      <w:hyperlink w:anchor="b1079" w:history="1">
        <w:r>
          <w:rPr>
            <w:color w:val="0A3A8C"/>
            <w:u w:val="single"/>
          </w:rPr>
          <w:t xml:space="preserve">1050</w:t>
        </w:r>
      </w:hyperlink>
      <w:r>
        <w:t xml:space="preserve"> sind auch dann anzuwenden, wenn der Ort des schiedsrichterlichen Verfahrens im Ausland liegt oder noch nicht bestimmt ist.</w:t>
      </w:r>
    </w:p>
    <w:p>
      <w:r>
        <w:t xml:space="preserve">(3) Solange der Ort des schiedsrichterlichen Verfahrens noch nicht bestimmt ist, sind die deutschen Gerichte für die Ausübung der in den </w:t>
      </w:r>
      <w:hyperlink w:anchor="b1061" w:history="1">
        <w:r>
          <w:rPr>
            <w:color w:val="0A3A8C"/>
            <w:u w:val="single"/>
          </w:rPr>
          <w:t xml:space="preserve">§§ 1034</w:t>
        </w:r>
      </w:hyperlink>
      <w:r>
        <w:t xml:space="preserve">, </w:t>
      </w:r>
      <w:hyperlink w:anchor="b1062" w:history="1">
        <w:r>
          <w:rPr>
            <w:color w:val="0A3A8C"/>
            <w:u w:val="single"/>
          </w:rPr>
          <w:t xml:space="preserve">1035</w:t>
        </w:r>
      </w:hyperlink>
      <w:r>
        <w:t xml:space="preserve">, </w:t>
      </w:r>
      <w:hyperlink w:anchor="b1064" w:history="1">
        <w:r>
          <w:rPr>
            <w:color w:val="0A3A8C"/>
            <w:u w:val="single"/>
          </w:rPr>
          <w:t xml:space="preserve">1037</w:t>
        </w:r>
      </w:hyperlink>
      <w:r>
        <w:t xml:space="preserve"> und </w:t>
      </w:r>
      <w:hyperlink w:anchor="b1065" w:history="1">
        <w:r>
          <w:rPr>
            <w:color w:val="0A3A8C"/>
            <w:u w:val="single"/>
          </w:rPr>
          <w:t xml:space="preserve">1038</w:t>
        </w:r>
      </w:hyperlink>
      <w:r>
        <w:t xml:space="preserve"> bezeichneten gerichtlichen Aufgaben zuständig, wenn der Beklagte oder der Kläger seinen Sitz oder seinen gewöhnlichen Aufenthalt in Deutschland hat.</w:t>
      </w:r>
    </w:p>
    <w:p>
      <w:r>
        <w:t xml:space="preserve">(4) Für die Anerkennung und Vollstreckung ausländischer Schiedssprüche gelten die </w:t>
      </w:r>
      <w:hyperlink w:anchor="b1093" w:history="1">
        <w:r>
          <w:rPr>
            <w:color w:val="0A3A8C"/>
            <w:u w:val="single"/>
          </w:rPr>
          <w:t xml:space="preserve">§§ 1061</w:t>
        </w:r>
      </w:hyperlink>
      <w:r>
        <w:t xml:space="preserve"> bis </w:t>
      </w:r>
      <w:hyperlink w:anchor="b1098" w:history="1">
        <w:r>
          <w:rPr>
            <w:color w:val="0A3A8C"/>
            <w:u w:val="single"/>
          </w:rPr>
          <w:t xml:space="preserve">1065</w:t>
        </w:r>
      </w:hyperlink>
      <w:r>
        <w:t>.</w:t>
      </w:r>
    </w:p>
    <w:p>
      <w:pPr>
        <w:pStyle w:val="Heading3"/>
      </w:pPr>
      <w:bookmarkStart w:id="1052" w:name="b1051"/>
      <w:r>
        <w:t>§ 1026 Umfang gerichtlicher Tätigkeit</w:t>
      </w:r>
      <w:r>
        <w:t xml:space="preserve"> </w:t>
      </w:r>
      <w:r>
        <w:rPr>
          <w:rStyle w:val="Suchmarke"/>
        </w:rPr>
        <w:t>#1026#</w:t>
      </w:r>
      <w:bookmarkEnd w:id="1052"/>
    </w:p>
    <w:p>
      <w:r>
        <w:t xml:space="preserve">Ein Gericht darf in den in den </w:t>
      </w:r>
      <w:hyperlink w:anchor="b1050" w:history="1">
        <w:r>
          <w:rPr>
            <w:color w:val="0A3A8C"/>
            <w:u w:val="single"/>
          </w:rPr>
          <w:t xml:space="preserve">§§ 1025</w:t>
        </w:r>
      </w:hyperlink>
      <w:r>
        <w:t xml:space="preserve"> bis </w:t>
      </w:r>
      <w:hyperlink w:anchor="b1093" w:history="1">
        <w:r>
          <w:rPr>
            <w:color w:val="0A3A8C"/>
            <w:u w:val="single"/>
          </w:rPr>
          <w:t xml:space="preserve">1061</w:t>
        </w:r>
      </w:hyperlink>
      <w:r>
        <w:t xml:space="preserve"> geregelten Angelegenheiten nur tätig werden, soweit dieses Buch es vorsieht.</w:t>
      </w:r>
    </w:p>
    <w:p>
      <w:pPr>
        <w:pStyle w:val="Heading3"/>
      </w:pPr>
      <w:bookmarkStart w:id="1053" w:name="b1052"/>
      <w:r>
        <w:t>§ 1027 Verlust des Rügerechts</w:t>
      </w:r>
      <w:r>
        <w:t xml:space="preserve"> </w:t>
      </w:r>
      <w:r>
        <w:rPr>
          <w:rStyle w:val="Suchmarke"/>
        </w:rPr>
        <w:t>#1027#</w:t>
      </w:r>
      <w:bookmarkEnd w:id="1053"/>
    </w:p>
    <w:p>
      <w:r>
        <w:rPr>
          <w:rStyle w:val="Satznummer"/>
        </w:rPr>
        <w:t>1</w:t>
      </w:r>
      <w:r>
        <w:t xml:space="preserve">Ist einer Bestimmung dieses Buches, von der die Parteien abweichen können, oder einem vereinbarten Erfordernis des schiedsrichterlichen Verfahrens nicht entsprochen worden, so kann eine Partei, die den Mangel nicht unverzüglich oder innerhalb einer dafür vorgesehenen Frist rügt, diesen später nicht mehr geltend machen. </w:t>
      </w:r>
      <w:r>
        <w:rPr>
          <w:rStyle w:val="Satznummer"/>
        </w:rPr>
        <w:t>2</w:t>
      </w:r>
      <w:r>
        <w:t>Dies gilt nicht, wenn der Partei der Mangel nicht bekannt war.</w:t>
      </w:r>
    </w:p>
    <w:p>
      <w:pPr>
        <w:pStyle w:val="Heading3"/>
      </w:pPr>
      <w:bookmarkStart w:id="1054" w:name="b1053"/>
      <w:r>
        <w:t>§ 1028 Empfang schriftlicher Mitteilungen bei unbekanntem Aufenthalt</w:t>
      </w:r>
      <w:r>
        <w:t xml:space="preserve"> </w:t>
      </w:r>
      <w:r>
        <w:rPr>
          <w:rStyle w:val="Suchmarke"/>
        </w:rPr>
        <w:t>#1028#</w:t>
      </w:r>
      <w:bookmarkEnd w:id="1054"/>
    </w:p>
    <w:p>
      <w:r>
        <w:t>(1) Ist der Aufenthalt einer Partei oder einer zur Entgegennahme berechtigten Person unbekannt, gelten, sofern die Parteien nichts anderes vereinbart haben, schriftliche Mitteilungen an dem Tag als empfangen, an dem sie bei ordnungsgemäßer Übermittlung durch Einschreiben gegen Rückschein oder auf eine andere Weise, welche den Zugang an der letztbekannten Postanschrift oder Niederlassung oder dem letztbekannten gewöhnlichen Aufenthalt des Adressaten belegt, dort hätten empfangen werden können.</w:t>
      </w:r>
    </w:p>
    <w:p>
      <w:r>
        <w:t>(2) Absatz 1 ist auf Mitteilungen in gerichtlichen Verfahren nicht anzuwenden.</w:t>
      </w:r>
    </w:p>
    <w:p>
      <w:pPr>
        <w:pStyle w:val="Heading2"/>
      </w:pPr>
      <w:bookmarkStart w:id="1055" w:name="b1054"/>
      <w:r>
        <w:t>Abschnitt 2 Schiedsvereinbarung</w:t>
      </w:r>
      <w:bookmarkEnd w:id="1055"/>
    </w:p>
    <w:p>
      <w:pPr>
        <w:pStyle w:val="Heading3"/>
      </w:pPr>
      <w:bookmarkStart w:id="1056" w:name="b1055"/>
      <w:r>
        <w:t>§ 1029 Begriffsbestimmung</w:t>
      </w:r>
      <w:r>
        <w:t xml:space="preserve"> </w:t>
      </w:r>
      <w:r>
        <w:rPr>
          <w:rStyle w:val="Suchmarke"/>
        </w:rPr>
        <w:t>#1029#</w:t>
      </w:r>
      <w:bookmarkEnd w:id="1056"/>
    </w:p>
    <w:p>
      <w:r>
        <w:t>(1) Schiedsvereinbarung ist eine Vereinbarung der Parteien, alle oder einzelne Streitigkeiten, die zwischen ihnen in Bezug auf ein bestimmtes Rechtsverhältnis vertraglicher oder nichtvertraglicher Art entstanden sind oder künftig entstehen, der Entscheidung durch ein Schiedsgericht zu unterwerfen.</w:t>
      </w:r>
    </w:p>
    <w:p>
      <w:r>
        <w:t>(2) Eine Schiedsvereinbarung kann in Form einer selbständigen Vereinbarung (Schiedsabrede) oder in Form einer Klausel in einem Vertrag (Schiedsklausel) geschlossen werden.</w:t>
      </w:r>
    </w:p>
    <w:p>
      <w:pPr>
        <w:pStyle w:val="Heading3"/>
      </w:pPr>
      <w:bookmarkStart w:id="1057" w:name="b1056"/>
      <w:r>
        <w:t>§ 1030 Schiedsfähigkeit</w:t>
      </w:r>
      <w:r>
        <w:t xml:space="preserve"> </w:t>
      </w:r>
      <w:r>
        <w:rPr>
          <w:rStyle w:val="Suchmarke"/>
        </w:rPr>
        <w:t>#1030#</w:t>
      </w:r>
      <w:bookmarkEnd w:id="1057"/>
    </w:p>
    <w:p>
      <w:r>
        <w:t xml:space="preserve">(1) </w:t>
      </w:r>
      <w:r>
        <w:rPr>
          <w:rStyle w:val="Satznummer"/>
        </w:rPr>
        <w:t>1</w:t>
      </w:r>
      <w:r>
        <w:t xml:space="preserve">Jeder vermögensrechtliche Anspruch kann Gegenstand einer Schiedsvereinbarung sein. </w:t>
      </w:r>
      <w:r>
        <w:rPr>
          <w:rStyle w:val="Satznummer"/>
        </w:rPr>
        <w:t>2</w:t>
      </w:r>
      <w:r>
        <w:t>Eine Schiedsvereinbarung über nichtvermögensrechtliche Ansprüche hat insoweit rechtliche Wirkung, als die Parteien berechtigt sind, über den Gegenstand des Streites einen Vergleich zu schließen.</w:t>
      </w:r>
    </w:p>
    <w:p>
      <w:r>
        <w:t xml:space="preserve">(2) </w:t>
      </w:r>
      <w:r>
        <w:rPr>
          <w:rStyle w:val="Satznummer"/>
        </w:rPr>
        <w:t>1</w:t>
      </w:r>
      <w:r>
        <w:t xml:space="preserve">Eine Schiedsvereinbarung über Rechtsstreitigkeiten, die den Bestand eines Mietverhältnisses über Wohnraum im Inland betreffen, ist unwirksam. </w:t>
      </w:r>
      <w:r>
        <w:rPr>
          <w:rStyle w:val="Satznummer"/>
        </w:rPr>
        <w:t>2</w:t>
      </w:r>
      <w:r>
        <w:t>Dies gilt nicht, soweit es sich um Wohnraum der in § 549 Abs. 2 Nr. 1 bis 3 des Bürgerlichen Gesetzbuchs bestimmten Art handelt.</w:t>
      </w:r>
    </w:p>
    <w:p>
      <w:r>
        <w:t>(3) Gesetzliche Vorschriften außerhalb dieses Buches, nach denen Streitigkeiten einem schiedsrichterlichen Verfahren nicht oder nur unter bestimmten Voraussetzungen unterworfen werden dürfen, bleiben unberührt.</w:t>
      </w:r>
    </w:p>
    <w:p>
      <w:pPr>
        <w:pStyle w:val="Heading3"/>
      </w:pPr>
      <w:bookmarkStart w:id="1058" w:name="b1057"/>
      <w:r>
        <w:t>§ 1031 Form der Schiedsvereinbarung</w:t>
      </w:r>
      <w:r>
        <w:t xml:space="preserve"> </w:t>
      </w:r>
      <w:r>
        <w:rPr>
          <w:rStyle w:val="Suchmarke"/>
        </w:rPr>
        <w:t>#1031#</w:t>
      </w:r>
      <w:bookmarkEnd w:id="1058"/>
    </w:p>
    <w:p>
      <w:r>
        <w:t>(1) Die Schiedsvereinbarung muss entweder in einem von den Parteien unterzeichneten Dokument oder in zwischen ihnen gewechselten Schreiben, Fernkopien, Telegrammen oder anderen Formen der Nachrichtenübermittlung, die einen Nachweis der Vereinbarung sicherstellen, enthalten sein.</w:t>
      </w:r>
    </w:p>
    <w:p>
      <w:r>
        <w:t>(2) Die Form des Absatzes 1 gilt auch dann als erfüllt, wenn die Schiedsvereinbarung in einem von der einen Partei der anderen Partei oder von einem Dritten beiden Parteien übermittelten Dokument enthalten ist und der Inhalt des Dokuments im Falle eines nicht rechtzeitig erfolgten Widerspruchs nach der Verkehrssitte als Vertragsinhalt angesehen wird.</w:t>
      </w:r>
    </w:p>
    <w:p>
      <w:r>
        <w:t>(3) Nimmt ein den Formerfordernissen des Absatzes 1 oder 2 entsprechender Vertrag auf ein Dokument Bezug, das eine Schiedsklausel enthält, so begründet dies eine Schiedsvereinbarung, wenn die Bezugnahme dergestalt ist, dass sie diese Klausel zu einem Bestandteil des Vertrages macht.</w:t>
      </w:r>
    </w:p>
    <w:p>
      <w:r>
        <w:t>(4) (weggefallen)</w:t>
      </w:r>
    </w:p>
    <w:p>
      <w:r>
        <w:t xml:space="preserve">(5) </w:t>
      </w:r>
      <w:r>
        <w:rPr>
          <w:rStyle w:val="Satznummer"/>
        </w:rPr>
        <w:t>1</w:t>
      </w:r>
      <w:r>
        <w:t xml:space="preserve">Schiedsvereinbarungen, an denen ein Verbraucher beteiligt ist, müssen in einer von den Parteien eigenhändig unterzeichneten Urkunde enthalten sein. </w:t>
      </w:r>
      <w:r>
        <w:rPr>
          <w:rStyle w:val="Satznummer"/>
        </w:rPr>
        <w:t>2</w:t>
      </w:r>
      <w:r>
        <w:t xml:space="preserve">Die schriftliche Form nach Satz 1 kann durch die elektronische Form nach § 126a des Bürgerlichen Gesetzbuchs ersetzt werden. </w:t>
      </w:r>
      <w:r>
        <w:rPr>
          <w:rStyle w:val="Satznummer"/>
        </w:rPr>
        <w:t>3</w:t>
      </w:r>
      <w:r>
        <w:t>Andere Vereinbarungen als solche, die sich auf das schiedsrichterliche Verfahren beziehen, darf die Urkunde oder das elektronische Dokument nicht enthalten; dies gilt nicht bei notarieller Beurkundung.</w:t>
      </w:r>
    </w:p>
    <w:p>
      <w:r>
        <w:t>(6) Der Mangel der Form wird durch die Einlassung auf die schiedsgerichtliche Verhandlung zur Hauptsache geheilt.</w:t>
      </w:r>
    </w:p>
    <w:p>
      <w:pPr>
        <w:pStyle w:val="Heading3"/>
      </w:pPr>
      <w:bookmarkStart w:id="1059" w:name="b1058"/>
      <w:r>
        <w:t>§ 1032 Schiedsvereinbarung und Klage vor Gericht</w:t>
      </w:r>
      <w:r>
        <w:t xml:space="preserve"> </w:t>
      </w:r>
      <w:r>
        <w:rPr>
          <w:rStyle w:val="Suchmarke"/>
        </w:rPr>
        <w:t>#1032#</w:t>
      </w:r>
      <w:bookmarkEnd w:id="1059"/>
    </w:p>
    <w:p>
      <w:r>
        <w:t>(1) Wird vor einem Gericht Klage in einer Angelegenheit erhoben, die Gegenstand einer Schiedsvereinbarung ist, so hat das Gericht die Klage als unzulässig abzuweisen, sofern der Beklagte dies vor Beginn der mündlichen Verhandlung zur Hauptsache rügt, es sei denn, das Gericht stellt fest, dass die Schiedsvereinbarung nichtig, unwirksam oder undurchführbar ist.</w:t>
      </w:r>
    </w:p>
    <w:p>
      <w:r>
        <w:t>(2) Bei Gericht kann bis zur Bildung des Schiedsgerichts Antrag auf Feststellung der Zulässigkeit oder Unzulässigkeit eines schiedsrichterlichen Verfahrens gestellt werden.</w:t>
      </w:r>
    </w:p>
    <w:p>
      <w:r>
        <w:t>(3) Ist ein Verfahren im Sinne des Absatzes 1 oder 2 anhängig, kann ein schiedsrichterliches Verfahren gleichwohl eingeleitet oder fortgesetzt werden und ein Schiedsspruch ergehen.</w:t>
      </w:r>
    </w:p>
    <w:p>
      <w:pPr>
        <w:pStyle w:val="Heading3"/>
      </w:pPr>
      <w:bookmarkStart w:id="1060" w:name="b1059"/>
      <w:r>
        <w:t>§ 1033 Schiedsvereinbarung und einstweilige gerichtliche Maßnahmen</w:t>
      </w:r>
      <w:r>
        <w:t xml:space="preserve"> </w:t>
      </w:r>
      <w:r>
        <w:rPr>
          <w:rStyle w:val="Suchmarke"/>
        </w:rPr>
        <w:t>#1033#</w:t>
      </w:r>
      <w:bookmarkEnd w:id="1060"/>
    </w:p>
    <w:p>
      <w:r>
        <w:t>Eine Schiedsvereinbarung schließt nicht aus, dass ein Gericht vor oder nach Beginn des schiedsrichterlichen Verfahrens auf Antrag einer Partei eine vorläufige oder sichernde Maßnahme in Bezug auf den Streitgegenstand des schiedsrichterlichen Verfahrens anordnet.</w:t>
      </w:r>
    </w:p>
    <w:p>
      <w:pPr>
        <w:pStyle w:val="Heading2"/>
      </w:pPr>
      <w:bookmarkStart w:id="1061" w:name="b1060"/>
      <w:r>
        <w:t>Abschnitt 3 Bildung des Schiedsgerichts</w:t>
      </w:r>
      <w:bookmarkEnd w:id="1061"/>
    </w:p>
    <w:p>
      <w:pPr>
        <w:pStyle w:val="Heading3"/>
      </w:pPr>
      <w:bookmarkStart w:id="1062" w:name="b1061"/>
      <w:r>
        <w:t>§ 1034 Zusammensetzung des Schiedsgerichts</w:t>
      </w:r>
      <w:r>
        <w:t xml:space="preserve"> </w:t>
      </w:r>
      <w:r>
        <w:rPr>
          <w:rStyle w:val="Suchmarke"/>
        </w:rPr>
        <w:t>#1034#</w:t>
      </w:r>
      <w:bookmarkEnd w:id="1062"/>
    </w:p>
    <w:p>
      <w:r>
        <w:t xml:space="preserve">(1) </w:t>
      </w:r>
      <w:r>
        <w:rPr>
          <w:rStyle w:val="Satznummer"/>
        </w:rPr>
        <w:t>1</w:t>
      </w:r>
      <w:r>
        <w:t xml:space="preserve">Die Parteien können die Anzahl der Schiedsrichter vereinbaren. </w:t>
      </w:r>
      <w:r>
        <w:rPr>
          <w:rStyle w:val="Satznummer"/>
        </w:rPr>
        <w:t>2</w:t>
      </w:r>
      <w:r>
        <w:t>Fehlt eine solche Vereinbarung, so ist die Zahl der Schiedsrichter drei.</w:t>
      </w:r>
    </w:p>
    <w:p>
      <w:r>
        <w:t xml:space="preserve">(2) </w:t>
      </w:r>
      <w:r>
        <w:rPr>
          <w:rStyle w:val="Satznummer"/>
        </w:rPr>
        <w:t>1</w:t>
      </w:r>
      <w:r>
        <w:t xml:space="preserve">Gibt die Schiedsvereinbarung einer Partei bei der Zusammensetzung des Schiedsgerichts ein Übergewicht, das die andere Partei benachteiligt, so kann diese Partei bei Gericht beantragen, den oder die Schiedsrichter abweichend von der erfolgten Ernennung oder der vereinbarten Ernennungsregelung zu bestellen. </w:t>
      </w:r>
      <w:r>
        <w:rPr>
          <w:rStyle w:val="Satznummer"/>
        </w:rPr>
        <w:t>2</w:t>
      </w:r>
      <w:r>
        <w:t xml:space="preserve">Der Antrag ist spätestens bis zum Ablauf von zwei Wochen, nachdem der Partei die Zusammensetzung des Schiedsgerichts bekannt geworden ist, zu stellen. </w:t>
      </w:r>
      <w:r>
        <w:rPr>
          <w:rStyle w:val="Satznummer"/>
        </w:rPr>
        <w:t>3</w:t>
      </w:r>
      <w:hyperlink w:anchor="b1058" w:history="1">
        <w:r>
          <w:rPr>
            <w:color w:val="0A3A8C"/>
            <w:u w:val="single"/>
          </w:rPr>
          <w:t xml:space="preserve">§ 1032</w:t>
        </w:r>
      </w:hyperlink>
      <w:r>
        <w:t xml:space="preserve"> Abs. 3 gilt entsprechend.</w:t>
      </w:r>
    </w:p>
    <w:p>
      <w:pPr>
        <w:pStyle w:val="Heading3"/>
      </w:pPr>
      <w:bookmarkStart w:id="1063" w:name="b1062"/>
      <w:r>
        <w:t>§ 1035 Bestellung der Schiedsrichter</w:t>
      </w:r>
      <w:r>
        <w:t xml:space="preserve"> </w:t>
      </w:r>
      <w:r>
        <w:rPr>
          <w:rStyle w:val="Suchmarke"/>
        </w:rPr>
        <w:t>#1035#</w:t>
      </w:r>
      <w:bookmarkEnd w:id="1063"/>
    </w:p>
    <w:p>
      <w:r>
        <w:t>(1) Die Parteien können das Verfahren zur Bestellung des Schiedsrichters oder der Schiedsrichter vereinbaren.</w:t>
      </w:r>
    </w:p>
    <w:p>
      <w:r>
        <w:t>(2) Sofern die Parteien nichts anderes vereinbart haben, ist eine Partei an die durch sie erfolgte Bestellung eines Schiedsrichters gebunden, sobald die andere Partei die Mitteilung über die Bestellung empfangen hat.</w:t>
      </w:r>
    </w:p>
    <w:p>
      <w:r>
        <w:t xml:space="preserve">(3) </w:t>
      </w:r>
      <w:r>
        <w:rPr>
          <w:rStyle w:val="Satznummer"/>
        </w:rPr>
        <w:t>1</w:t>
      </w:r>
      <w:r>
        <w:t xml:space="preserve">Fehlt eine Vereinbarung der Parteien über die Bestellung der Schiedsrichter, wird ein Einzelschiedsrichter, wenn die Parteien sich über seine Bestellung nicht einigen können, auf Antrag einer Partei durch das Gericht bestellt. </w:t>
      </w:r>
      <w:r>
        <w:rPr>
          <w:rStyle w:val="Satznummer"/>
        </w:rPr>
        <w:t>2</w:t>
      </w:r>
      <w:r>
        <w:t xml:space="preserve">In schiedsrichterlichen Verfahren mit drei Schiedsrichtern bestellt jede Partei einen Schiedsrichter; diese beiden Schiedsrichter bestellen den dritten Schiedsrichter, der als Vorsitzender des Schiedsgerichts tätig wird. </w:t>
      </w:r>
      <w:r>
        <w:rPr>
          <w:rStyle w:val="Satznummer"/>
        </w:rPr>
        <w:t>3</w:t>
      </w:r>
      <w:r>
        <w:t>Hat eine Partei den Schiedsrichter nicht innerhalb eines Monats nach Empfang einer entsprechenden Aufforderung durch die andere Partei bestellt oder können sich die beiden Schiedsrichter nicht binnen eines Monats nach ihrer Bestellung über den dritten Schiedsrichter einigen, so ist der Schiedsrichter auf Antrag einer Partei durch das Gericht zu bestellen.</w:t>
      </w:r>
    </w:p>
    <w:p>
      <w:r>
        <w:t>(4) Haben die Parteien ein Verfahren für die Bestellung vereinbart und handelt eine Partei nicht entsprechend diesem Verfahren oder können die Parteien oder die beiden Schiedsrichter eine Einigung entsprechend diesem Verfahren nicht erzielen oder erfüllt ein Dritter eine ihm nach diesem Verfahren übertragene Aufgabe nicht, so kann jede Partei bei Gericht die Anordnung der erforderlichen Maßnahmen beantragen, sofern das vereinbarte Bestellungsverfahren zur Sicherung der Bestellung nichts anderes vorsieht.</w:t>
      </w:r>
    </w:p>
    <w:p>
      <w:r>
        <w:t xml:space="preserve">(5) </w:t>
      </w:r>
      <w:r>
        <w:rPr>
          <w:rStyle w:val="Satznummer"/>
        </w:rPr>
        <w:t>1</w:t>
      </w:r>
      <w:r>
        <w:t xml:space="preserve">Das Gericht hat bei der Bestellung eines Schiedsrichters alle nach der Parteivereinbarung für den Schiedsrichter vorgeschriebenen Voraussetzungen zu berücksichtigen und allen Gesichtspunkten Rechnung zu tragen, die die Bestellung eines unabhängigen und unparteiischen Schiedsrichters sicherstellen. </w:t>
      </w:r>
      <w:r>
        <w:rPr>
          <w:rStyle w:val="Satznummer"/>
        </w:rPr>
        <w:t>2</w:t>
      </w:r>
      <w:r>
        <w:t>Bei der Bestellung eines Einzelschiedsrichters oder eines dritten Schiedsrichters hat das Gericht auch die Zweckmäßigkeit der Bestellung eines Schiedsrichters mit einer anderen Staatsangehörigkeit als derjenigen der Parteien in Erwägung zu ziehen.</w:t>
      </w:r>
    </w:p>
    <w:p>
      <w:pPr>
        <w:pStyle w:val="Heading3"/>
      </w:pPr>
      <w:bookmarkStart w:id="1064" w:name="b1063"/>
      <w:r>
        <w:t>§ 1036 Ablehnung eines Schiedsrichters</w:t>
      </w:r>
      <w:r>
        <w:t xml:space="preserve"> </w:t>
      </w:r>
      <w:r>
        <w:rPr>
          <w:rStyle w:val="Suchmarke"/>
        </w:rPr>
        <w:t>#1036#</w:t>
      </w:r>
      <w:bookmarkEnd w:id="1064"/>
    </w:p>
    <w:p>
      <w:r>
        <w:t xml:space="preserve">(1) </w:t>
      </w:r>
      <w:r>
        <w:rPr>
          <w:rStyle w:val="Satznummer"/>
        </w:rPr>
        <w:t>1</w:t>
      </w:r>
      <w:r>
        <w:t xml:space="preserve">Eine Person, der ein Schiedsrichteramt angetragen wird, hat alle Umstände offen zu legen, die Zweifel an ihrer Unparteilichkeit oder Unabhängigkeit wecken können. </w:t>
      </w:r>
      <w:r>
        <w:rPr>
          <w:rStyle w:val="Satznummer"/>
        </w:rPr>
        <w:t>2</w:t>
      </w:r>
      <w:r>
        <w:t>Ein Schiedsrichter ist auch nach seiner Bestellung bis zum Ende des schiedsrichterlichen Verfahrens verpflichtet, solche Umstände den Parteien unverzüglich offen zu legen, wenn er sie ihnen nicht schon vorher mitgeteilt hat.</w:t>
      </w:r>
    </w:p>
    <w:p>
      <w:r>
        <w:t xml:space="preserve">(2) </w:t>
      </w:r>
      <w:r>
        <w:rPr>
          <w:rStyle w:val="Satznummer"/>
        </w:rPr>
        <w:t>1</w:t>
      </w:r>
      <w:r>
        <w:t xml:space="preserve">Ein Schiedsrichter kann nur abgelehnt werden, wenn Umstände vorliegen, die berechtigte Zweifel an seiner Unparteilichkeit oder Unabhängigkeit aufkommen lassen, oder wenn er die zwischen den Parteien vereinbarten Voraussetzungen nicht erfüllt. </w:t>
      </w:r>
      <w:r>
        <w:rPr>
          <w:rStyle w:val="Satznummer"/>
        </w:rPr>
        <w:t>2</w:t>
      </w:r>
      <w:r>
        <w:t>Eine Partei kann einen Schiedsrichter, den sie bestellt oder an dessen Bestellung sie mitgewirkt hat, nur aus Gründen ablehnen, die ihr erst nach der Bestellung bekannt geworden sind.</w:t>
      </w:r>
    </w:p>
    <w:p>
      <w:pPr>
        <w:pStyle w:val="Heading3"/>
      </w:pPr>
      <w:bookmarkStart w:id="1065" w:name="b1064"/>
      <w:r>
        <w:t>§ 1037 Ablehnungsverfahren</w:t>
      </w:r>
      <w:r>
        <w:t xml:space="preserve"> </w:t>
      </w:r>
      <w:r>
        <w:rPr>
          <w:rStyle w:val="Suchmarke"/>
        </w:rPr>
        <w:t>#1037#</w:t>
      </w:r>
      <w:bookmarkEnd w:id="1065"/>
    </w:p>
    <w:p>
      <w:r>
        <w:t>(1) Die Parteien können vorbehaltlich des Absatzes 3 ein Verfahren für die Ablehnung eines Schiedsrichters vereinbaren.</w:t>
      </w:r>
    </w:p>
    <w:p>
      <w:r>
        <w:t xml:space="preserve">(2) </w:t>
      </w:r>
      <w:r>
        <w:rPr>
          <w:rStyle w:val="Satznummer"/>
        </w:rPr>
        <w:t>1</w:t>
      </w:r>
      <w:r>
        <w:t xml:space="preserve">Fehlt eine solche Vereinbarung, so hat die Partei, die einen Schiedsrichter ablehnen will, innerhalb von zwei Wochen, nachdem ihr die Zusammensetzung des Schiedsgerichts oder ein Umstand im Sinne des </w:t>
      </w:r>
      <w:hyperlink w:anchor="b1063" w:history="1">
        <w:r>
          <w:rPr>
            <w:color w:val="0A3A8C"/>
            <w:u w:val="single"/>
          </w:rPr>
          <w:t xml:space="preserve">§ 1036</w:t>
        </w:r>
      </w:hyperlink>
      <w:r>
        <w:t xml:space="preserve"> Abs. 2 bekannt geworden ist, dem Schiedsgericht schriftlich die Ablehnungsgründe darzulegen. </w:t>
      </w:r>
      <w:r>
        <w:rPr>
          <w:rStyle w:val="Satznummer"/>
        </w:rPr>
        <w:t>2</w:t>
      </w:r>
      <w:r>
        <w:t>Tritt der abgelehnte Schiedsrichter von seinem Amt nicht zurück oder stimmt die andere Partei der Ablehnung nicht zu, so entscheidet das Schiedsgericht über die Ablehnung.</w:t>
      </w:r>
    </w:p>
    <w:p>
      <w:r>
        <w:t xml:space="preserve">(3) </w:t>
      </w:r>
      <w:r>
        <w:rPr>
          <w:rStyle w:val="Satznummer"/>
        </w:rPr>
        <w:t>1</w:t>
      </w:r>
      <w:r>
        <w:t xml:space="preserve">Bleibt die Ablehnung nach dem von den Parteien vereinbarten Verfahren oder nach dem in Absatz 2 vorgesehenen Verfahren erfolglos, so kann die ablehnende Partei innerhalb eines Monats, nachdem sie von der Entscheidung, mit der die Ablehnung verweigert wurde, Kenntnis erlangt hat, bei Gericht eine Entscheidung über die Ablehnung beantragen; die Parteien können eine andere Frist vereinbaren. </w:t>
      </w:r>
      <w:r>
        <w:rPr>
          <w:rStyle w:val="Satznummer"/>
        </w:rPr>
        <w:t>2</w:t>
      </w:r>
      <w:r>
        <w:t>Während ein solcher Antrag anhängig ist, kann das Schiedsgericht einschließlich des abgelehnten Schiedsrichters das schiedsrichterliche Verfahren fortsetzen und einen Schiedsspruch erlassen.</w:t>
      </w:r>
    </w:p>
    <w:p>
      <w:pPr>
        <w:pStyle w:val="Heading3"/>
      </w:pPr>
      <w:bookmarkStart w:id="1066" w:name="b1065"/>
      <w:r>
        <w:t>§ 1038 Untätigkeit oder Unmöglichkeit der Aufgabenerfüllung</w:t>
      </w:r>
      <w:r>
        <w:t xml:space="preserve"> </w:t>
      </w:r>
      <w:r>
        <w:rPr>
          <w:rStyle w:val="Suchmarke"/>
        </w:rPr>
        <w:t>#1038#</w:t>
      </w:r>
      <w:bookmarkEnd w:id="1066"/>
    </w:p>
    <w:p>
      <w:r>
        <w:t xml:space="preserve">(1) </w:t>
      </w:r>
      <w:r>
        <w:rPr>
          <w:rStyle w:val="Satznummer"/>
        </w:rPr>
        <w:t>1</w:t>
      </w:r>
      <w:r>
        <w:t xml:space="preserve">Ist ein Schiedsrichter rechtlich oder tatsächlich außerstande, seine Aufgaben zu erfüllen, oder kommt er aus anderen Gründen seinen Aufgaben in angemessener Frist nicht nach, so endet sein Amt, wenn er zurücktritt oder wenn die Parteien die Beendigung seines Amtes vereinbaren. </w:t>
      </w:r>
      <w:r>
        <w:rPr>
          <w:rStyle w:val="Satznummer"/>
        </w:rPr>
        <w:t>2</w:t>
      </w:r>
      <w:r>
        <w:t>Tritt der Schiedsrichter von seinem Amt nicht zurück oder können sich die Parteien über dessen Beendigung nicht einigen, kann jede Partei bei Gericht eine Entscheidung über die Beendigung des Amtes beantragen.</w:t>
      </w:r>
    </w:p>
    <w:p>
      <w:r>
        <w:t xml:space="preserve">(2) Tritt ein Schiedsrichter in den Fällen des Absatzes 1 oder des </w:t>
      </w:r>
      <w:hyperlink w:anchor="b1064" w:history="1">
        <w:r>
          <w:rPr>
            <w:color w:val="0A3A8C"/>
            <w:u w:val="single"/>
          </w:rPr>
          <w:t xml:space="preserve">§ 1037</w:t>
        </w:r>
      </w:hyperlink>
      <w:r>
        <w:t xml:space="preserve"> Abs. 2 zurück oder stimmt eine Partei der Beendigung des Schiedsrichteramtes zu, so bedeutet dies nicht die Anerkennung der in Absatz 1 oder </w:t>
      </w:r>
      <w:hyperlink w:anchor="b1063" w:history="1">
        <w:r>
          <w:rPr>
            <w:color w:val="0A3A8C"/>
            <w:u w:val="single"/>
          </w:rPr>
          <w:t xml:space="preserve">§ 1036</w:t>
        </w:r>
      </w:hyperlink>
      <w:r>
        <w:t xml:space="preserve"> Abs. 2 genannten Rücktrittsgründe.</w:t>
      </w:r>
    </w:p>
    <w:p>
      <w:pPr>
        <w:pStyle w:val="Heading3"/>
      </w:pPr>
      <w:bookmarkStart w:id="1067" w:name="b1066"/>
      <w:r>
        <w:t>§ 1039 Bestellung eines Ersatzschiedsrichters</w:t>
      </w:r>
      <w:r>
        <w:t xml:space="preserve"> </w:t>
      </w:r>
      <w:r>
        <w:rPr>
          <w:rStyle w:val="Suchmarke"/>
        </w:rPr>
        <w:t>#1039#</w:t>
      </w:r>
      <w:bookmarkEnd w:id="1067"/>
    </w:p>
    <w:p>
      <w:r>
        <w:t xml:space="preserve">(1) </w:t>
      </w:r>
      <w:r>
        <w:rPr>
          <w:rStyle w:val="Satznummer"/>
        </w:rPr>
        <w:t>1</w:t>
      </w:r>
      <w:r>
        <w:t xml:space="preserve">Endet das Amt eines Schiedsrichters nach den </w:t>
      </w:r>
      <w:hyperlink w:anchor="b1064" w:history="1">
        <w:r>
          <w:rPr>
            <w:color w:val="0A3A8C"/>
            <w:u w:val="single"/>
          </w:rPr>
          <w:t xml:space="preserve">§§ 1037</w:t>
        </w:r>
      </w:hyperlink>
      <w:r>
        <w:t xml:space="preserve">, </w:t>
      </w:r>
      <w:hyperlink w:anchor="b1065" w:history="1">
        <w:r>
          <w:rPr>
            <w:color w:val="0A3A8C"/>
            <w:u w:val="single"/>
          </w:rPr>
          <w:t xml:space="preserve">1038</w:t>
        </w:r>
      </w:hyperlink>
      <w:r>
        <w:t xml:space="preserve"> oder wegen seines Rücktritts vom Amt aus einem anderen Grund oder wegen der Aufhebung seines Amtes durch Vereinbarung der Parteien, so ist ein Ersatzschiedsrichter zu bestellen. </w:t>
      </w:r>
      <w:r>
        <w:rPr>
          <w:rStyle w:val="Satznummer"/>
        </w:rPr>
        <w:t>2</w:t>
      </w:r>
      <w:r>
        <w:t>Die Bestellung erfolgt nach den Regeln, die auf die Bestellung des zu ersetzenden Schiedsrichters anzuwenden waren.</w:t>
      </w:r>
    </w:p>
    <w:p>
      <w:r>
        <w:t>(2) Die Parteien können eine abweichende Vereinbarung treffen.</w:t>
      </w:r>
    </w:p>
    <w:p>
      <w:pPr>
        <w:pStyle w:val="Heading2"/>
      </w:pPr>
      <w:bookmarkStart w:id="1068" w:name="b1067"/>
      <w:r>
        <w:t>Abschnitt 4 Zuständigkeit des Schiedsgerichts</w:t>
      </w:r>
      <w:bookmarkEnd w:id="1068"/>
    </w:p>
    <w:p>
      <w:pPr>
        <w:pStyle w:val="Heading3"/>
      </w:pPr>
      <w:bookmarkStart w:id="1069" w:name="b1068"/>
      <w:r>
        <w:t>§ 1040 Befugnis des Schiedsgerichts zur Entscheidung über die eigene Zuständigkeit</w:t>
      </w:r>
      <w:r>
        <w:t xml:space="preserve"> </w:t>
      </w:r>
      <w:r>
        <w:rPr>
          <w:rStyle w:val="Suchmarke"/>
        </w:rPr>
        <w:t>#1040#</w:t>
      </w:r>
      <w:bookmarkEnd w:id="1069"/>
    </w:p>
    <w:p>
      <w:r>
        <w:t xml:space="preserve">(1) </w:t>
      </w:r>
      <w:r>
        <w:rPr>
          <w:rStyle w:val="Satznummer"/>
        </w:rPr>
        <w:t>1</w:t>
      </w:r>
      <w:r>
        <w:t xml:space="preserve">Das Schiedsgericht kann über die eigene Zuständigkeit und im Zusammenhang hiermit über das Bestehen oder die Gültigkeit der Schiedsvereinbarung entscheiden. </w:t>
      </w:r>
      <w:r>
        <w:rPr>
          <w:rStyle w:val="Satznummer"/>
        </w:rPr>
        <w:t>2</w:t>
      </w:r>
      <w:r>
        <w:t>Hierbei ist eine Schiedsklausel als eine von den übrigen Vertragsbestimmungen unabhängige Vereinbarung zu behandeln.</w:t>
      </w:r>
    </w:p>
    <w:p>
      <w:r>
        <w:t xml:space="preserve">(2) </w:t>
      </w:r>
      <w:r>
        <w:rPr>
          <w:rStyle w:val="Satznummer"/>
        </w:rPr>
        <w:t>1</w:t>
      </w:r>
      <w:r>
        <w:t xml:space="preserve">Die Rüge der Unzuständigkeit des Schiedsgerichts ist spätestens mit der Klagebeantwortung vorzubringen. </w:t>
      </w:r>
      <w:r>
        <w:rPr>
          <w:rStyle w:val="Satznummer"/>
        </w:rPr>
        <w:t>2</w:t>
      </w:r>
      <w:r>
        <w:t xml:space="preserve">Von der Erhebung einer solchen Rüge ist eine Partei nicht dadurch ausgeschlossen, dass sie einen Schiedsrichter bestellt oder an der Bestellung eines Schiedsrichters mitgewirkt hat. </w:t>
      </w:r>
      <w:r>
        <w:rPr>
          <w:rStyle w:val="Satznummer"/>
        </w:rPr>
        <w:t>3</w:t>
      </w:r>
      <w:r>
        <w:t xml:space="preserve">Die Rüge, das Schiedsgericht überschreite seine Befugnisse, ist zu erheben, sobald die Angelegenheit, von der dies behauptet wird, im schiedsrichterlichen Verfahren zur Erörterung kommt. </w:t>
      </w:r>
      <w:r>
        <w:rPr>
          <w:rStyle w:val="Satznummer"/>
        </w:rPr>
        <w:t>4</w:t>
      </w:r>
      <w:r>
        <w:t>Das Schiedsgericht kann in beiden Fällen eine spätere Rüge zulassen, wenn die Partei die Verspätung genügend entschuldigt.</w:t>
      </w:r>
    </w:p>
    <w:p>
      <w:r>
        <w:t xml:space="preserve">(3) </w:t>
      </w:r>
      <w:r>
        <w:rPr>
          <w:rStyle w:val="Satznummer"/>
        </w:rPr>
        <w:t>1</w:t>
      </w:r>
      <w:r>
        <w:t xml:space="preserve">Hält das Schiedsgericht sich für zuständig, so entscheidet es über eine Rüge nach Absatz 2 in der Regel durch Zwischenentscheid. </w:t>
      </w:r>
      <w:r>
        <w:rPr>
          <w:rStyle w:val="Satznummer"/>
        </w:rPr>
        <w:t>2</w:t>
      </w:r>
      <w:r>
        <w:t xml:space="preserve">In diesem Fall kann jede Partei innerhalb eines Monats nach schriftlicher Mitteilung des Entscheids eine gerichtliche Entscheidung beantragen. </w:t>
      </w:r>
      <w:r>
        <w:rPr>
          <w:rStyle w:val="Satznummer"/>
        </w:rPr>
        <w:t>3</w:t>
      </w:r>
      <w:r>
        <w:t>Während ein solcher Antrag anhängig ist, kann das Schiedsgericht das schiedsrichterliche Verfahren fortsetzen und einen Schiedsspruch erlassen.</w:t>
      </w:r>
    </w:p>
    <w:p>
      <w:pPr>
        <w:pStyle w:val="Heading3"/>
      </w:pPr>
      <w:bookmarkStart w:id="1070" w:name="b1069"/>
      <w:r>
        <w:t>§ 1041 Maßnahmen des einstweiligen Rechtsschutzes</w:t>
      </w:r>
      <w:r>
        <w:t xml:space="preserve"> </w:t>
      </w:r>
      <w:r>
        <w:rPr>
          <w:rStyle w:val="Suchmarke"/>
        </w:rPr>
        <w:t>#1041#</w:t>
      </w:r>
      <w:bookmarkEnd w:id="1070"/>
    </w:p>
    <w:p>
      <w:r>
        <w:t xml:space="preserve">(1) </w:t>
      </w:r>
      <w:r>
        <w:rPr>
          <w:rStyle w:val="Satznummer"/>
        </w:rPr>
        <w:t>1</w:t>
      </w:r>
      <w:r>
        <w:t xml:space="preserve">Haben die Parteien nichts anderes vereinbart, so kann das Schiedsgericht auf Antrag einer Partei vorläufige oder sichernde Maßnahmen anordnen, die es in Bezug auf den Streitgegenstand für erforderlich hält. </w:t>
      </w:r>
      <w:r>
        <w:rPr>
          <w:rStyle w:val="Satznummer"/>
        </w:rPr>
        <w:t>2</w:t>
      </w:r>
      <w:r>
        <w:t>Das Schiedsgericht kann von jeder Partei im Zusammenhang mit einer solchen Maßnahme angemessene Sicherheit verlangen.</w:t>
      </w:r>
    </w:p>
    <w:p>
      <w:r>
        <w:t xml:space="preserve">(2) </w:t>
      </w:r>
      <w:r>
        <w:rPr>
          <w:rStyle w:val="Satznummer"/>
        </w:rPr>
        <w:t>1</w:t>
      </w:r>
      <w:r>
        <w:t xml:space="preserve">Das Gericht kann auf Antrag einer Partei die Vollziehung einer Maßnahme nach Absatz 1 zulassen, sofern nicht schon eine entsprechende Maßnahme des einstweiligen Rechtsschutzes bei einem Gericht beantragt worden ist. </w:t>
      </w:r>
      <w:r>
        <w:rPr>
          <w:rStyle w:val="Satznummer"/>
        </w:rPr>
        <w:t>2</w:t>
      </w:r>
      <w:r>
        <w:t>Es kann die Anordnung abweichend fassen, wenn dies zur Vollziehung der Maßnahme notwendig ist.</w:t>
      </w:r>
    </w:p>
    <w:p>
      <w:r>
        <w:t>(3) Auf Antrag kann das Gericht den Beschluss nach Absatz 2 aufheben oder ändern.</w:t>
      </w:r>
    </w:p>
    <w:p>
      <w:r>
        <w:t xml:space="preserve">(4) </w:t>
      </w:r>
      <w:r>
        <w:rPr>
          <w:rStyle w:val="Satznummer"/>
        </w:rPr>
        <w:t>1</w:t>
      </w:r>
      <w:r>
        <w:t xml:space="preserve">Erweist sich die Anordnung einer Maßnahme nach Absatz 1 als von Anfang an ungerechtfertigt, so ist die Partei, welche ihre Vollziehung erwirkt hat, verpflichtet, dem Gegner den Schaden zu ersetzen, der ihm aus der Vollziehung der Maßnahme oder dadurch entsteht, dass er Sicherheit leistet, um die Vollziehung abzuwenden. </w:t>
      </w:r>
      <w:r>
        <w:rPr>
          <w:rStyle w:val="Satznummer"/>
        </w:rPr>
        <w:t>2</w:t>
      </w:r>
      <w:r>
        <w:t>Der Anspruch kann im anhängigen schiedsrichterlichen Verfahren geltend gemacht werden.</w:t>
      </w:r>
    </w:p>
    <w:p>
      <w:pPr>
        <w:pStyle w:val="Heading2"/>
      </w:pPr>
      <w:bookmarkStart w:id="1071" w:name="b1070"/>
      <w:r>
        <w:t>Abschnitt 5 Durchführung des schiedsrichterlichen Verfahrens</w:t>
      </w:r>
      <w:bookmarkEnd w:id="1071"/>
    </w:p>
    <w:p>
      <w:pPr>
        <w:pStyle w:val="Heading3"/>
      </w:pPr>
      <w:bookmarkStart w:id="1072" w:name="b1071"/>
      <w:r>
        <w:t>§ 1042 Allgemeine Verfahrensregeln</w:t>
      </w:r>
      <w:r>
        <w:t xml:space="preserve"> </w:t>
      </w:r>
      <w:r>
        <w:rPr>
          <w:rStyle w:val="Suchmarke"/>
        </w:rPr>
        <w:t>#1042#</w:t>
      </w:r>
      <w:bookmarkEnd w:id="1072"/>
    </w:p>
    <w:p>
      <w:r>
        <w:t xml:space="preserve">(1) </w:t>
      </w:r>
      <w:r>
        <w:rPr>
          <w:rStyle w:val="Satznummer"/>
        </w:rPr>
        <w:t>1</w:t>
      </w:r>
      <w:r>
        <w:t xml:space="preserve">Die Parteien sind gleich zu behandeln. </w:t>
      </w:r>
      <w:r>
        <w:rPr>
          <w:rStyle w:val="Satznummer"/>
        </w:rPr>
        <w:t>2</w:t>
      </w:r>
      <w:r>
        <w:t>Jeder Partei ist rechtliches Gehör zu gewähren.</w:t>
      </w:r>
    </w:p>
    <w:p>
      <w:r>
        <w:t>(2) Rechtsanwälte dürfen als Bevollmächtigte nicht ausgeschlossen werden.</w:t>
      </w:r>
    </w:p>
    <w:p>
      <w:r>
        <w:t>(3) Im Übrigen können die Parteien vorbehaltlich der zwingenden Vorschriften dieses Buches das Verfahren selbst oder durch Bezugnahme auf eine schiedsrichterliche Verfahrensordnung regeln.</w:t>
      </w:r>
    </w:p>
    <w:p>
      <w:r>
        <w:t xml:space="preserve">(4) </w:t>
      </w:r>
      <w:r>
        <w:rPr>
          <w:rStyle w:val="Satznummer"/>
        </w:rPr>
        <w:t>1</w:t>
      </w:r>
      <w:r>
        <w:t xml:space="preserve">Soweit eine Vereinbarung der Parteien nicht vorliegt und dieses Buch keine Regelung enthält, werden die Verfahrensregeln vom Schiedsgericht nach freiem Ermessen bestimmt. </w:t>
      </w:r>
      <w:r>
        <w:rPr>
          <w:rStyle w:val="Satznummer"/>
        </w:rPr>
        <w:t>2</w:t>
      </w:r>
      <w:r>
        <w:t>Das Schiedsgericht ist berechtigt, über die Zulässigkeit einer Beweiserhebung zu entscheiden, diese durchzuführen und das Ergebnis frei zu würdigen.</w:t>
      </w:r>
    </w:p>
    <w:p>
      <w:pPr>
        <w:pStyle w:val="Heading3"/>
      </w:pPr>
      <w:bookmarkStart w:id="1073" w:name="b1072"/>
      <w:r>
        <w:t>§ 1043 Ort des schiedsrichterlichen Verfahrens</w:t>
      </w:r>
      <w:r>
        <w:t xml:space="preserve"> </w:t>
      </w:r>
      <w:r>
        <w:rPr>
          <w:rStyle w:val="Suchmarke"/>
        </w:rPr>
        <w:t>#1043#</w:t>
      </w:r>
      <w:bookmarkEnd w:id="1073"/>
    </w:p>
    <w:p>
      <w:r>
        <w:t xml:space="preserve">(1) </w:t>
      </w:r>
      <w:r>
        <w:rPr>
          <w:rStyle w:val="Satznummer"/>
        </w:rPr>
        <w:t>1</w:t>
      </w:r>
      <w:r>
        <w:t xml:space="preserve">Die Parteien können eine Vereinbarung über den Ort des schiedsrichterlichen Verfahrens treffen. </w:t>
      </w:r>
      <w:r>
        <w:rPr>
          <w:rStyle w:val="Satznummer"/>
        </w:rPr>
        <w:t>2</w:t>
      </w:r>
      <w:r>
        <w:t xml:space="preserve">Fehlt eine solche Vereinbarung, so wird der Ort des schiedsrichterlichen Verfahrens vom Schiedsgericht bestimmt. </w:t>
      </w:r>
      <w:r>
        <w:rPr>
          <w:rStyle w:val="Satznummer"/>
        </w:rPr>
        <w:t>3</w:t>
      </w:r>
      <w:r>
        <w:t>Dabei sind die Umstände des Falles einschließlich der Eignung des Ortes für die Parteien zu berücksichtigen.</w:t>
      </w:r>
    </w:p>
    <w:p>
      <w:r>
        <w:t>(2) Haben die Parteien nichts anderes vereinbart, so kann das Schiedsgericht ungeachtet des Absatzes 1 an jedem ihm geeignet erscheinenden Ort zu einer mündlichen Verhandlung, zur Vernehmung von Zeugen, Sachverständigen oder der Parteien, zur Beratung zwischen seinen Mitgliedern, zur Besichtigung von Sachen oder zur Einsichtnahme in Dokumente zusammentreten.</w:t>
      </w:r>
    </w:p>
    <w:p>
      <w:pPr>
        <w:pStyle w:val="Heading3"/>
      </w:pPr>
      <w:bookmarkStart w:id="1074" w:name="b1073"/>
      <w:r>
        <w:t>§ 1044 Beginn des schiedsrichterlichen Verfahrens</w:t>
      </w:r>
      <w:r>
        <w:t xml:space="preserve"> </w:t>
      </w:r>
      <w:r>
        <w:rPr>
          <w:rStyle w:val="Suchmarke"/>
        </w:rPr>
        <w:t>#1044#</w:t>
      </w:r>
      <w:bookmarkEnd w:id="1074"/>
    </w:p>
    <w:p>
      <w:r>
        <w:rPr>
          <w:rStyle w:val="Satznummer"/>
        </w:rPr>
        <w:t>1</w:t>
      </w:r>
      <w:r>
        <w:t xml:space="preserve">Haben die Parteien nichts anderes vereinbart, so beginnt das schiedsrichterliche Verfahren über eine bestimmte Streitigkeit mit dem Tag, an dem der Beklagte den Antrag, die Streitigkeit einem Schiedsgericht vorzulegen, empfangen hat. </w:t>
      </w:r>
      <w:r>
        <w:rPr>
          <w:rStyle w:val="Satznummer"/>
        </w:rPr>
        <w:t>2</w:t>
      </w:r>
      <w:r>
        <w:t>Der Antrag muss die Bezeichnung der Parteien, die Angabe des Streitgegenstandes und einen Hinweis auf die Schiedsvereinbarung enthalten.</w:t>
      </w:r>
    </w:p>
    <w:p>
      <w:pPr>
        <w:pStyle w:val="Heading3"/>
      </w:pPr>
      <w:bookmarkStart w:id="1075" w:name="b1074"/>
      <w:r>
        <w:t>§ 1045 Verfahrenssprache</w:t>
      </w:r>
      <w:r>
        <w:t xml:space="preserve"> </w:t>
      </w:r>
      <w:r>
        <w:rPr>
          <w:rStyle w:val="Suchmarke"/>
        </w:rPr>
        <w:t>#1045#</w:t>
      </w:r>
      <w:bookmarkEnd w:id="1075"/>
    </w:p>
    <w:p>
      <w:r>
        <w:t xml:space="preserve">(1) </w:t>
      </w:r>
      <w:r>
        <w:rPr>
          <w:rStyle w:val="Satznummer"/>
        </w:rPr>
        <w:t>1</w:t>
      </w:r>
      <w:r>
        <w:t xml:space="preserve">Die Parteien können die Sprache oder die Sprachen, die im schiedsrichterlichen Verfahren zu verwenden sind, vereinbaren. </w:t>
      </w:r>
      <w:r>
        <w:rPr>
          <w:rStyle w:val="Satznummer"/>
        </w:rPr>
        <w:t>2</w:t>
      </w:r>
      <w:r>
        <w:t xml:space="preserve">Fehlt eine solche Vereinbarung, so bestimmt hierüber das Schiedsgericht. </w:t>
      </w:r>
      <w:r>
        <w:rPr>
          <w:rStyle w:val="Satznummer"/>
        </w:rPr>
        <w:t>3</w:t>
      </w:r>
      <w:r>
        <w:t>Die Vereinbarung der Parteien oder die Bestimmung des Schiedsgerichts ist, sofern darin nichts anderes vorgesehen wird, für schriftliche Erklärungen einer Partei, mündliche Verhandlungen, Schiedssprüche, sonstige Entscheidungen und andere Mitteilungen des Schiedsgerichts maßgebend.</w:t>
      </w:r>
    </w:p>
    <w:p>
      <w:r>
        <w:t>(2) Das Schiedsgericht kann anordnen, dass schriftliche Beweismittel mit einer Übersetzung in die Sprache oder die Sprachen versehen sein müssen, die zwischen den Parteien vereinbart oder vom Schiedsgericht bestimmt worden sind.</w:t>
      </w:r>
    </w:p>
    <w:p>
      <w:pPr>
        <w:pStyle w:val="Heading3"/>
      </w:pPr>
      <w:bookmarkStart w:id="1076" w:name="b1075"/>
      <w:r>
        <w:t>§ 1046 Klage und Klagebeantwortung</w:t>
      </w:r>
      <w:r>
        <w:t xml:space="preserve"> </w:t>
      </w:r>
      <w:r>
        <w:rPr>
          <w:rStyle w:val="Suchmarke"/>
        </w:rPr>
        <w:t>#1046#</w:t>
      </w:r>
      <w:bookmarkEnd w:id="1076"/>
    </w:p>
    <w:p>
      <w:r>
        <w:t xml:space="preserve">(1) </w:t>
      </w:r>
      <w:r>
        <w:rPr>
          <w:rStyle w:val="Satznummer"/>
        </w:rPr>
        <w:t>1</w:t>
      </w:r>
      <w:r>
        <w:t xml:space="preserve">Innerhalb der von den Parteien vereinbarten oder vom Schiedsgericht bestimmten Frist hat der Kläger seinen Anspruch und die Tatsachen, auf die sich dieser Anspruch stützt, darzulegen und der Beklagte hierzu Stellung zu nehmen. </w:t>
      </w:r>
      <w:r>
        <w:rPr>
          <w:rStyle w:val="Satznummer"/>
        </w:rPr>
        <w:t>2</w:t>
      </w:r>
      <w:r>
        <w:t>Die Parteien können dabei alle ihnen erheblich erscheinenden Dokumente vorlegen oder andere Beweismittel bezeichnen, derer sie sich bedienen wollen.</w:t>
      </w:r>
    </w:p>
    <w:p>
      <w:r>
        <w:t>(2) Haben die Parteien nichts anderes vereinbart, so kann jede Partei im Laufe des schiedsrichterlichen Verfahrens ihre Klage oder ihre Angriffs- und Verteidigungsmittel ändern oder ergänzen, es sei denn, das Schiedsgericht lässt dies wegen Verspätung, die nicht genügend entschuldigt wird, nicht zu.</w:t>
      </w:r>
    </w:p>
    <w:p>
      <w:r>
        <w:t>(3) Die Absätze 1 und 2 gelten für die Widerklage entsprechend.</w:t>
      </w:r>
    </w:p>
    <w:p>
      <w:pPr>
        <w:pStyle w:val="Heading3"/>
      </w:pPr>
      <w:bookmarkStart w:id="1077" w:name="b1076"/>
      <w:r>
        <w:t>§ 1047 Mündliche Verhandlung und schriftliches Verfahren</w:t>
      </w:r>
      <w:r>
        <w:t xml:space="preserve"> </w:t>
      </w:r>
      <w:r>
        <w:rPr>
          <w:rStyle w:val="Suchmarke"/>
        </w:rPr>
        <w:t>#1047#</w:t>
      </w:r>
      <w:bookmarkEnd w:id="1077"/>
    </w:p>
    <w:p>
      <w:r>
        <w:t xml:space="preserve">(1) </w:t>
      </w:r>
      <w:r>
        <w:rPr>
          <w:rStyle w:val="Satznummer"/>
        </w:rPr>
        <w:t>1</w:t>
      </w:r>
      <w:r>
        <w:t xml:space="preserve">Vorbehaltlich einer Vereinbarung der Parteien entscheidet das Schiedsgericht, ob mündlich verhandelt werden soll oder ob das Verfahren auf der Grundlage von Dokumenten und anderen Unterlagen durchzuführen ist. </w:t>
      </w:r>
      <w:r>
        <w:rPr>
          <w:rStyle w:val="Satznummer"/>
        </w:rPr>
        <w:t>2</w:t>
      </w:r>
      <w:r>
        <w:t>Haben die Parteien die mündliche Verhandlung nicht ausgeschlossen, hat das Schiedsgericht eine solche Verhandlung in einem geeigneten Abschnitt des Verfahrens durchzuführen, wenn eine Partei es beantragt.</w:t>
      </w:r>
    </w:p>
    <w:p>
      <w:r>
        <w:t>(2) Die Parteien sind von jeder Verhandlung und jedem Zusammentreffen des Schiedsgerichts zu Zwecken der Beweisaufnahme rechtzeitig in Kenntnis zu setzen.</w:t>
      </w:r>
    </w:p>
    <w:p>
      <w:r>
        <w:t>(3) Alle Schriftsätze, Dokumente und sonstigen Mitteilungen, die dem Schiedsgericht von einer Partei vorgelegt werden, sind der anderen Partei, Gutachten und andere schriftliche Beweismittel, auf die sich das Schiedsgericht bei seiner Entscheidung stützen kann, sind beiden Parteien zur Kenntnis zu bringen.</w:t>
      </w:r>
    </w:p>
    <w:p>
      <w:pPr>
        <w:pStyle w:val="Heading3"/>
      </w:pPr>
      <w:bookmarkStart w:id="1078" w:name="b1077"/>
      <w:r>
        <w:t>§ 1048 Säumnis einer Partei</w:t>
      </w:r>
      <w:r>
        <w:t xml:space="preserve"> </w:t>
      </w:r>
      <w:r>
        <w:rPr>
          <w:rStyle w:val="Suchmarke"/>
        </w:rPr>
        <w:t>#1048#</w:t>
      </w:r>
      <w:bookmarkEnd w:id="1078"/>
    </w:p>
    <w:p>
      <w:r>
        <w:t xml:space="preserve">(1) Versäumt es der Kläger, seine Klage nach </w:t>
      </w:r>
      <w:hyperlink w:anchor="b1075" w:history="1">
        <w:r>
          <w:rPr>
            <w:color w:val="0A3A8C"/>
            <w:u w:val="single"/>
          </w:rPr>
          <w:t xml:space="preserve">§ 1046</w:t>
        </w:r>
      </w:hyperlink>
      <w:r>
        <w:t xml:space="preserve"> Abs. 1 einzureichen, so beendet das Schiedsgericht das Verfahren.</w:t>
      </w:r>
    </w:p>
    <w:p>
      <w:r>
        <w:t xml:space="preserve">(2) Versäumt es der Beklagte, die Klage nach </w:t>
      </w:r>
      <w:hyperlink w:anchor="b1075" w:history="1">
        <w:r>
          <w:rPr>
            <w:color w:val="0A3A8C"/>
            <w:u w:val="single"/>
          </w:rPr>
          <w:t xml:space="preserve">§ 1046</w:t>
        </w:r>
      </w:hyperlink>
      <w:r>
        <w:t xml:space="preserve"> Abs. 1 zu beantworten, so setzt das Schiedsgericht das Verfahren fort, ohne die Säumnis als solche als Zugeständnis der Behauptungen des Klägers zu behandeln.</w:t>
      </w:r>
    </w:p>
    <w:p>
      <w:r>
        <w:t>(3) Versäumt es eine Partei, zu einer mündlichen Verhandlung zu erscheinen oder innerhalb einer festgelegten Frist ein Dokument zum Beweis vorzulegen, so kann das Schiedsgericht das Verfahren fortsetzen und den Schiedsspruch nach den vorliegenden Erkenntnissen erlassen.</w:t>
      </w:r>
    </w:p>
    <w:p>
      <w:r>
        <w:t xml:space="preserve">(4) </w:t>
      </w:r>
      <w:r>
        <w:rPr>
          <w:rStyle w:val="Satznummer"/>
        </w:rPr>
        <w:t>1</w:t>
      </w:r>
      <w:r>
        <w:t xml:space="preserve">Wird die Säumnis nach Überzeugung des Schiedsgerichts genügend entschuldigt, bleibt sie außer Betracht. </w:t>
      </w:r>
      <w:r>
        <w:rPr>
          <w:rStyle w:val="Satznummer"/>
        </w:rPr>
        <w:t>2</w:t>
      </w:r>
      <w:r>
        <w:t>Im Übrigen können die Parteien über die Folgen der Säumnis etwas anderes vereinbaren.</w:t>
      </w:r>
    </w:p>
    <w:p>
      <w:pPr>
        <w:pStyle w:val="Heading3"/>
      </w:pPr>
      <w:bookmarkStart w:id="1079" w:name="b1078"/>
      <w:r>
        <w:t>§ 1049 Vom Schiedsgericht bestellter Sachverständiger</w:t>
      </w:r>
      <w:r>
        <w:t xml:space="preserve"> </w:t>
      </w:r>
      <w:r>
        <w:rPr>
          <w:rStyle w:val="Suchmarke"/>
        </w:rPr>
        <w:t>#1049#</w:t>
      </w:r>
      <w:bookmarkEnd w:id="1079"/>
    </w:p>
    <w:p>
      <w:r>
        <w:t xml:space="preserve">(1) </w:t>
      </w:r>
      <w:r>
        <w:rPr>
          <w:rStyle w:val="Satznummer"/>
        </w:rPr>
        <w:t>1</w:t>
      </w:r>
      <w:r>
        <w:t xml:space="preserve">Haben die Parteien nichts anderes vereinbart, so kann das Schiedsgericht einen oder mehrere Sachverständige zur Erstattung eines Gutachtens über bestimmte vom Schiedsgericht festzulegende Fragen bestellen. </w:t>
      </w:r>
      <w:r>
        <w:rPr>
          <w:rStyle w:val="Satznummer"/>
        </w:rPr>
        <w:t>2</w:t>
      </w:r>
      <w:r>
        <w:t>Es kann ferner eine Partei auffordern, dem Sachverständigen jede sachdienliche Auskunft zu erteilen oder alle für das Verfahren erheblichen Dokumente oder Sachen zur Besichtigung vorzulegen oder zugänglich zu machen.</w:t>
      </w:r>
    </w:p>
    <w:p>
      <w:r>
        <w:t xml:space="preserve">(2) </w:t>
      </w:r>
      <w:r>
        <w:rPr>
          <w:rStyle w:val="Satznummer"/>
        </w:rPr>
        <w:t>1</w:t>
      </w:r>
      <w:r>
        <w:t xml:space="preserve">Haben die Parteien nichts anderes vereinbart, so hat der Sachverständige, wenn eine Partei dies beantragt oder das Schiedsgericht es für erforderlich hält, nach Erstattung seines schriftlichen oder mündlichen Gutachtens an einer mündlichen Verhandlung teilzunehmen. </w:t>
      </w:r>
      <w:r>
        <w:rPr>
          <w:rStyle w:val="Satznummer"/>
        </w:rPr>
        <w:t>2</w:t>
      </w:r>
      <w:r>
        <w:t>Bei der Verhandlung können die Parteien dem Sachverständigen Fragen stellen und eigene Sachverständige zu den streitigen Fragen aussagen lassen.</w:t>
      </w:r>
    </w:p>
    <w:p>
      <w:r>
        <w:t xml:space="preserve">(3) Auf den vom Schiedsgericht bestellten Sachverständigen sind die </w:t>
      </w:r>
      <w:hyperlink w:anchor="b1063" w:history="1">
        <w:r>
          <w:rPr>
            <w:color w:val="0A3A8C"/>
            <w:u w:val="single"/>
          </w:rPr>
          <w:t xml:space="preserve">§§ 1036</w:t>
        </w:r>
      </w:hyperlink>
      <w:r>
        <w:t xml:space="preserve">, </w:t>
      </w:r>
      <w:hyperlink w:anchor="b1064" w:history="1">
        <w:r>
          <w:rPr>
            <w:color w:val="0A3A8C"/>
            <w:u w:val="single"/>
          </w:rPr>
          <w:t xml:space="preserve">1037</w:t>
        </w:r>
      </w:hyperlink>
      <w:r>
        <w:t xml:space="preserve"> Abs. 1 und 2 entsprechend anzuwenden.</w:t>
      </w:r>
    </w:p>
    <w:p>
      <w:pPr>
        <w:pStyle w:val="Heading3"/>
      </w:pPr>
      <w:bookmarkStart w:id="1080" w:name="b1079"/>
      <w:r>
        <w:t>§ 1050 Gerichtliche Unterstützung bei der Beweisaufnahme und sonstige richterliche Handlungen</w:t>
      </w:r>
      <w:r>
        <w:t xml:space="preserve"> </w:t>
      </w:r>
      <w:r>
        <w:rPr>
          <w:rStyle w:val="Suchmarke"/>
        </w:rPr>
        <w:t>#1050#</w:t>
      </w:r>
      <w:bookmarkEnd w:id="1080"/>
    </w:p>
    <w:p>
      <w:r>
        <w:rPr>
          <w:rStyle w:val="Satznummer"/>
        </w:rPr>
        <w:t>1</w:t>
      </w:r>
      <w:r>
        <w:t xml:space="preserve">Das Schiedsgericht oder eine Partei mit Zustimmung des Schiedsgerichts kann bei Gericht Unterstützung bei der Beweisaufnahme oder die Vornahme sonstiger richterlicher Handlungen, zu denen das Schiedsgericht nicht befugt ist, beantragen. </w:t>
      </w:r>
      <w:r>
        <w:rPr>
          <w:rStyle w:val="Satznummer"/>
        </w:rPr>
        <w:t>2</w:t>
      </w:r>
      <w:r>
        <w:t xml:space="preserve">Das Gericht erledigt den Antrag, sofern es ihn nicht für unzulässig hält, nach seinen für die Beweisaufnahme oder die sonstige richterliche Handlung geltenden Verfahrensvorschriften. </w:t>
      </w:r>
      <w:r>
        <w:rPr>
          <w:rStyle w:val="Satznummer"/>
        </w:rPr>
        <w:t>3</w:t>
      </w:r>
      <w:r>
        <w:t>Die Schiedsrichter sind berechtigt, an einer gerichtlichen Beweisaufnahme teilzunehmen und Fragen zu stellen.</w:t>
      </w:r>
    </w:p>
    <w:p>
      <w:pPr>
        <w:pStyle w:val="Heading2"/>
      </w:pPr>
      <w:bookmarkStart w:id="1081" w:name="b1080"/>
      <w:r>
        <w:t>Abschnitt 6 Schiedsspruch und Beendigung des Verfahrens</w:t>
      </w:r>
      <w:bookmarkEnd w:id="1081"/>
    </w:p>
    <w:p>
      <w:pPr>
        <w:pStyle w:val="Heading3"/>
      </w:pPr>
      <w:bookmarkStart w:id="1082" w:name="b1081"/>
      <w:r>
        <w:t>§ 1051 Anwendbares Recht</w:t>
      </w:r>
      <w:r>
        <w:t xml:space="preserve"> </w:t>
      </w:r>
      <w:r>
        <w:rPr>
          <w:rStyle w:val="Suchmarke"/>
        </w:rPr>
        <w:t>#1051#</w:t>
      </w:r>
      <w:bookmarkEnd w:id="1082"/>
    </w:p>
    <w:p>
      <w:r>
        <w:t xml:space="preserve">(1) </w:t>
      </w:r>
      <w:r>
        <w:rPr>
          <w:rStyle w:val="Satznummer"/>
        </w:rPr>
        <w:t>1</w:t>
      </w:r>
      <w:r>
        <w:t xml:space="preserve">Das Schiedsgericht hat die Streitigkeit in Übereinstimmung mit den Rechtsvorschriften zu entscheiden, die von den Parteien als auf den Inhalt des Rechtsstreits anwendbar bezeichnet worden sind. </w:t>
      </w:r>
      <w:r>
        <w:rPr>
          <w:rStyle w:val="Satznummer"/>
        </w:rPr>
        <w:t>2</w:t>
      </w:r>
      <w:r>
        <w:t>Die Bezeichnung des Rechts oder der Rechtsordnung eines bestimmten Staates ist, sofern die Parteien nicht ausdrücklich etwas anderes vereinbart haben, als unmittelbare Verweisung auf die Sachvorschriften dieses Staates und nicht auf sein Kollisionsrecht zu verstehen.</w:t>
      </w:r>
    </w:p>
    <w:p>
      <w:r>
        <w:t>(2) Haben die Parteien die anzuwendenden Rechtsvorschriften nicht bestimmt, so hat das Schiedsgericht das Recht des Staates anzuwenden, mit dem der Gegenstand des Verfahrens die engsten Verbindungen aufweist.</w:t>
      </w:r>
    </w:p>
    <w:p>
      <w:r>
        <w:t xml:space="preserve">(3) </w:t>
      </w:r>
      <w:r>
        <w:rPr>
          <w:rStyle w:val="Satznummer"/>
        </w:rPr>
        <w:t>1</w:t>
      </w:r>
      <w:r>
        <w:t xml:space="preserve">Das Schiedsgericht hat nur dann nach Billigkeit zu entscheiden, wenn die Parteien es ausdrücklich dazu ermächtigt haben. </w:t>
      </w:r>
      <w:r>
        <w:rPr>
          <w:rStyle w:val="Satznummer"/>
        </w:rPr>
        <w:t>2</w:t>
      </w:r>
      <w:r>
        <w:t>Die Ermächtigung kann bis zur Entscheidung des Schiedsgerichts erteilt werden.</w:t>
      </w:r>
    </w:p>
    <w:p>
      <w:r>
        <w:t>(4) In allen Fällen hat das Schiedsgericht in Übereinstimmung mit den Bestimmungen des Vertrages zu entscheiden und dabei bestehende Handelsbräuche zu berücksichtigen.</w:t>
      </w:r>
    </w:p>
    <w:p>
      <w:pPr>
        <w:pStyle w:val="Heading3"/>
      </w:pPr>
      <w:bookmarkStart w:id="1083" w:name="b1082"/>
      <w:r>
        <w:t>§ 1052 Entscheidung durch ein Schiedsrichterkollegium</w:t>
      </w:r>
      <w:r>
        <w:t xml:space="preserve"> </w:t>
      </w:r>
      <w:r>
        <w:rPr>
          <w:rStyle w:val="Suchmarke"/>
        </w:rPr>
        <w:t>#1052#</w:t>
      </w:r>
      <w:bookmarkEnd w:id="1083"/>
    </w:p>
    <w:p>
      <w:r>
        <w:t>(1) Haben die Parteien nichts anderes vereinbart, so ist in schiedsrichterlichen Verfahren mit mehr als einem Schiedsrichter jede Entscheidung des Schiedsgerichts mit Mehrheit der Stimmen aller Mitglieder zu treffen.</w:t>
      </w:r>
    </w:p>
    <w:p>
      <w:r>
        <w:t xml:space="preserve">(2) </w:t>
      </w:r>
      <w:r>
        <w:rPr>
          <w:rStyle w:val="Satznummer"/>
        </w:rPr>
        <w:t>1</w:t>
      </w:r>
      <w:r>
        <w:t xml:space="preserve">Verweigert ein Schiedsrichter die Teilnahme an einer Abstimmung, können die übrigen Schiedsrichter ohne ihn entscheiden, sofern die Parteien nichts anderes vereinbart haben. </w:t>
      </w:r>
      <w:r>
        <w:rPr>
          <w:rStyle w:val="Satznummer"/>
        </w:rPr>
        <w:t>2</w:t>
      </w:r>
      <w:r>
        <w:t xml:space="preserve">Die Absicht, ohne den verweigernden Schiedsrichter über den Schiedsspruch abzustimmen, ist den Parteien vorher mitzuteilen. </w:t>
      </w:r>
      <w:r>
        <w:rPr>
          <w:rStyle w:val="Satznummer"/>
        </w:rPr>
        <w:t>3</w:t>
      </w:r>
      <w:r>
        <w:t>Bei anderen Entscheidungen sind die Parteien von der Abstimmungsverweigerung nachträglich in Kenntnis zu setzen.</w:t>
      </w:r>
    </w:p>
    <w:p>
      <w:r>
        <w:t>(3) Über einzelne Verfahrensfragen kann der vorsitzende Schiedsrichter allein entscheiden, wenn die Parteien oder die anderen Mitglieder des Schiedsgerichts ihn dazu ermächtigt haben.</w:t>
      </w:r>
    </w:p>
    <w:p>
      <w:pPr>
        <w:pStyle w:val="Heading3"/>
      </w:pPr>
      <w:bookmarkStart w:id="1084" w:name="b1083"/>
      <w:r>
        <w:t>§ 1053 Vergleich</w:t>
      </w:r>
      <w:r>
        <w:t xml:space="preserve"> </w:t>
      </w:r>
      <w:r>
        <w:rPr>
          <w:rStyle w:val="Suchmarke"/>
        </w:rPr>
        <w:t>#1053#</w:t>
      </w:r>
      <w:bookmarkEnd w:id="1084"/>
    </w:p>
    <w:p>
      <w:r>
        <w:t xml:space="preserve">(1) </w:t>
      </w:r>
      <w:r>
        <w:rPr>
          <w:rStyle w:val="Satznummer"/>
        </w:rPr>
        <w:t>1</w:t>
      </w:r>
      <w:r>
        <w:t xml:space="preserve">Vergleichen sich die Parteien während des schiedsrichterlichen Verfahrens über die Streitigkeit, so beendet das Schiedsgericht das Verfahren. </w:t>
      </w:r>
      <w:r>
        <w:rPr>
          <w:rStyle w:val="Satznummer"/>
        </w:rPr>
        <w:t>2</w:t>
      </w:r>
      <w:r>
        <w:t>Auf Antrag der Parteien hält es den Vergleich in der Form eines Schiedsspruchs mit vereinbartem Wortlaut fest, sofern der Inhalt des Vergleichs nicht gegen die öffentliche Ordnung (ordre public) verstößt.</w:t>
      </w:r>
    </w:p>
    <w:p>
      <w:r>
        <w:t xml:space="preserve">(2) </w:t>
      </w:r>
      <w:r>
        <w:rPr>
          <w:rStyle w:val="Satznummer"/>
        </w:rPr>
        <w:t>1</w:t>
      </w:r>
      <w:r>
        <w:t xml:space="preserve">Ein Schiedsspruch mit vereinbartem Wortlaut ist gemäß </w:t>
      </w:r>
      <w:hyperlink w:anchor="b1084" w:history="1">
        <w:r>
          <w:rPr>
            <w:color w:val="0A3A8C"/>
            <w:u w:val="single"/>
          </w:rPr>
          <w:t xml:space="preserve">§ 1054</w:t>
        </w:r>
      </w:hyperlink>
      <w:r>
        <w:t xml:space="preserve"> zu erlassen und muss angeben, dass es sich um einen Schiedsspruch handelt. </w:t>
      </w:r>
      <w:r>
        <w:rPr>
          <w:rStyle w:val="Satznummer"/>
        </w:rPr>
        <w:t>2</w:t>
      </w:r>
      <w:r>
        <w:t>Ein solcher Schiedsspruch hat dieselbe Wirkung wie jeder andere Schiedsspruch zur Sache.</w:t>
      </w:r>
    </w:p>
    <w:p>
      <w:r>
        <w:t>(3) Soweit die Wirksamkeit von Erklärungen eine notarielle Beurkundung erfordert, wird diese bei einem Schiedsspruch mit vereinbartem Wortlaut durch die Aufnahme der Erklärungen der Parteien in den Schiedsspruch ersetzt.</w:t>
      </w:r>
    </w:p>
    <w:p>
      <w:r>
        <w:t xml:space="preserve">(4) </w:t>
      </w:r>
      <w:r>
        <w:rPr>
          <w:rStyle w:val="Satznummer"/>
        </w:rPr>
        <w:t>1</w:t>
      </w:r>
      <w:r>
        <w:t xml:space="preserve">Mit Zustimmung der Parteien kann ein Schiedsspruch mit vereinbartem Wortlaut auch von einem Notar, der seinen Amtssitz im Bezirk des nach </w:t>
      </w:r>
      <w:hyperlink w:anchor="b1095" w:history="1">
        <w:r>
          <w:rPr>
            <w:color w:val="0A3A8C"/>
            <w:u w:val="single"/>
          </w:rPr>
          <w:t xml:space="preserve">§ 1062</w:t>
        </w:r>
      </w:hyperlink>
      <w:r>
        <w:t xml:space="preserve"> Abs. 1, 2 für die Vollstreckbarerklärung zuständigen Gerichts hat, für vollstreckbar erklärt werden. </w:t>
      </w:r>
      <w:r>
        <w:rPr>
          <w:rStyle w:val="Satznummer"/>
        </w:rPr>
        <w:t>2</w:t>
      </w:r>
      <w:r>
        <w:t>Der Notar lehnt die Vollstreckbarerklärung ab, wenn die Voraussetzungen des Absatzes 1 Satz 2 nicht vorliegen.</w:t>
      </w:r>
    </w:p>
    <w:p>
      <w:pPr>
        <w:pStyle w:val="Heading3"/>
      </w:pPr>
      <w:bookmarkStart w:id="1085" w:name="b1084"/>
      <w:r>
        <w:t>§ 1054 Form und Inhalt des Schiedsspruchs</w:t>
      </w:r>
      <w:r>
        <w:t xml:space="preserve"> </w:t>
      </w:r>
      <w:r>
        <w:rPr>
          <w:rStyle w:val="Suchmarke"/>
        </w:rPr>
        <w:t>#1054#</w:t>
      </w:r>
      <w:bookmarkEnd w:id="1085"/>
    </w:p>
    <w:p>
      <w:r>
        <w:t xml:space="preserve">(1) </w:t>
      </w:r>
      <w:r>
        <w:rPr>
          <w:rStyle w:val="Satznummer"/>
        </w:rPr>
        <w:t>1</w:t>
      </w:r>
      <w:r>
        <w:t xml:space="preserve">Der Schiedsspruch ist schriftlich zu erlassen und durch den Schiedsrichter oder die Schiedsrichter zu unterschreiben. </w:t>
      </w:r>
      <w:r>
        <w:rPr>
          <w:rStyle w:val="Satznummer"/>
        </w:rPr>
        <w:t>2</w:t>
      </w:r>
      <w:r>
        <w:t>In schiedsrichterlichen Verfahren mit mehr als einem Schiedsrichter genügen die Unterschriften der Mehrheit aller Mitglieder des Schiedsgerichts, sofern der Grund für eine fehlende Unterschrift angegeben wird.</w:t>
      </w:r>
    </w:p>
    <w:p>
      <w:r>
        <w:t xml:space="preserve">(2) Der Schiedsspruch ist zu begründen, es sei denn, die Parteien haben vereinbart, dass keine Begründung gegeben werden muss, oder es handelt sich um einen Schiedsspruch mit vereinbartem Wortlaut im Sinne des </w:t>
      </w:r>
      <w:hyperlink w:anchor="b1083" w:history="1">
        <w:r>
          <w:rPr>
            <w:color w:val="0A3A8C"/>
            <w:u w:val="single"/>
          </w:rPr>
          <w:t xml:space="preserve">§ 1053</w:t>
        </w:r>
      </w:hyperlink>
      <w:r>
        <w:t>.</w:t>
      </w:r>
    </w:p>
    <w:p>
      <w:r>
        <w:t xml:space="preserve">(3) </w:t>
      </w:r>
      <w:r>
        <w:rPr>
          <w:rStyle w:val="Satznummer"/>
        </w:rPr>
        <w:t>1</w:t>
      </w:r>
      <w:r>
        <w:t xml:space="preserve">Im Schiedsspruch sind der Tag, an dem er erlassen wurde, und der nach </w:t>
      </w:r>
      <w:hyperlink w:anchor="b1072" w:history="1">
        <w:r>
          <w:rPr>
            <w:color w:val="0A3A8C"/>
            <w:u w:val="single"/>
          </w:rPr>
          <w:t xml:space="preserve">§ 1043</w:t>
        </w:r>
      </w:hyperlink>
      <w:r>
        <w:t xml:space="preserve"> Abs. 1 bestimmte Ort des schiedsrichterlichen Verfahrens anzugeben. </w:t>
      </w:r>
      <w:r>
        <w:rPr>
          <w:rStyle w:val="Satznummer"/>
        </w:rPr>
        <w:t>2</w:t>
      </w:r>
      <w:r>
        <w:t>Der Schiedsspruch gilt als an diesem Tag und diesem Ort erlassen.</w:t>
      </w:r>
    </w:p>
    <w:p>
      <w:r>
        <w:t>(4) Jeder Partei ist ein von den Schiedsrichtern unterschriebener Schiedsspruch zu übermitteln.</w:t>
      </w:r>
    </w:p>
    <w:p>
      <w:pPr>
        <w:pStyle w:val="Heading3"/>
      </w:pPr>
      <w:bookmarkStart w:id="1086" w:name="b1085"/>
      <w:r>
        <w:t>§ 1055 Wirkungen des Schiedsspruchs</w:t>
      </w:r>
      <w:r>
        <w:t xml:space="preserve"> </w:t>
      </w:r>
      <w:r>
        <w:rPr>
          <w:rStyle w:val="Suchmarke"/>
        </w:rPr>
        <w:t>#1055#</w:t>
      </w:r>
      <w:bookmarkEnd w:id="1086"/>
    </w:p>
    <w:p>
      <w:r>
        <w:t>Der Schiedsspruch hat unter den Parteien die Wirkungen eines rechtskräftigen gerichtlichen Urteils.</w:t>
      </w:r>
    </w:p>
    <w:p>
      <w:pPr>
        <w:pStyle w:val="Heading3"/>
      </w:pPr>
      <w:bookmarkStart w:id="1087" w:name="b1086"/>
      <w:r>
        <w:t>§ 1056 Beendigung des schiedsrichterlichen Verfahrens</w:t>
      </w:r>
      <w:r>
        <w:t xml:space="preserve"> </w:t>
      </w:r>
      <w:r>
        <w:rPr>
          <w:rStyle w:val="Suchmarke"/>
        </w:rPr>
        <w:t>#1056#</w:t>
      </w:r>
      <w:bookmarkEnd w:id="1087"/>
    </w:p>
    <w:p>
      <w:r>
        <w:t>(1) Das schiedsrichterliche Verfahren wird mit dem endgültigen Schiedsspruch oder mit einem Beschluss des Schiedsgerichts nach Absatz 2 beendet.</w:t>
      </w:r>
    </w:p>
    <w:p>
      <w:r>
        <w:t>(2) Das Schiedsgericht stellt durch Beschluss die Beendigung des schiedsrichterlichen Verfahrens fest, wenn</w:t>
      </w:r>
    </w:p>
    <w:p>
      <w:pPr>
        <w:tabs>
          <w:tab w:pos="567" w:val="left"/>
        </w:tabs>
        <w:ind w:left="567" w:hanging="567"/>
      </w:pPr>
      <w:r>
        <w:t>1.</w:t>
      </w:r>
      <w:r>
        <w:tab/>
      </w:r>
      <w:r>
        <w:t>der Kläger</w:t>
      </w:r>
    </w:p>
    <w:p>
      <w:pPr>
        <w:tabs>
          <w:tab w:pos="1134" w:val="left"/>
        </w:tabs>
        <w:ind w:left="1134" w:hanging="567"/>
      </w:pPr>
      <w:r>
        <w:t>a)</w:t>
      </w:r>
      <w:r>
        <w:tab/>
      </w:r>
      <w:r>
        <w:t xml:space="preserve">es versäumt, seine Klage nach </w:t>
      </w:r>
      <w:hyperlink w:anchor="b1075" w:history="1">
        <w:r>
          <w:rPr>
            <w:color w:val="0A3A8C"/>
            <w:u w:val="single"/>
          </w:rPr>
          <w:t xml:space="preserve">§ 1046</w:t>
        </w:r>
      </w:hyperlink>
      <w:r>
        <w:t xml:space="preserve"> Abs. 1 einzureichen und kein Fall des </w:t>
      </w:r>
      <w:hyperlink w:anchor="b1077" w:history="1">
        <w:r>
          <w:rPr>
            <w:color w:val="0A3A8C"/>
            <w:u w:val="single"/>
          </w:rPr>
          <w:t xml:space="preserve">§ 1048</w:t>
        </w:r>
      </w:hyperlink>
      <w:r>
        <w:t xml:space="preserve"> Abs. 4 vorliegt, oder</w:t>
      </w:r>
    </w:p>
    <w:p>
      <w:pPr>
        <w:tabs>
          <w:tab w:pos="1134" w:val="left"/>
        </w:tabs>
        <w:ind w:left="1134" w:hanging="567"/>
      </w:pPr>
      <w:r>
        <w:t>b)</w:t>
      </w:r>
      <w:r>
        <w:tab/>
      </w:r>
      <w:r>
        <w:t>seine Klage zurücknimmt, es sei denn, dass der Beklagte dem widerspricht und das Schiedsgericht ein berechtigtes Interesse des Beklagten an der endgültigen Beilegung der Streitigkeit anerkennt; oder</w:t>
      </w:r>
    </w:p>
    <w:p>
      <w:pPr>
        <w:tabs>
          <w:tab w:pos="567" w:val="left"/>
        </w:tabs>
        <w:ind w:left="567" w:hanging="567"/>
      </w:pPr>
      <w:r>
        <w:t>2.</w:t>
      </w:r>
      <w:r>
        <w:tab/>
      </w:r>
      <w:r>
        <w:t>die Parteien die Beendigung des Verfahrens vereinbaren; oder</w:t>
      </w:r>
    </w:p>
    <w:p>
      <w:pPr>
        <w:tabs>
          <w:tab w:pos="567" w:val="left"/>
        </w:tabs>
        <w:ind w:left="567" w:hanging="567"/>
      </w:pPr>
      <w:r>
        <w:t>3.</w:t>
      </w:r>
      <w:r>
        <w:tab/>
      </w:r>
      <w:r>
        <w:t>die Parteien das schiedsrichterliche Verfahren trotz Aufforderung des Schiedsgerichts nicht weiter betreiben oder die Fortsetzung des Verfahrens aus einem anderen Grund unmöglich geworden ist.</w:t>
      </w:r>
    </w:p>
    <w:p>
      <w:r>
        <w:t xml:space="preserve">(3) Vorbehaltlich des </w:t>
      </w:r>
      <w:hyperlink w:anchor="b1087" w:history="1">
        <w:r>
          <w:rPr>
            <w:color w:val="0A3A8C"/>
            <w:u w:val="single"/>
          </w:rPr>
          <w:t xml:space="preserve">§ 1057</w:t>
        </w:r>
      </w:hyperlink>
      <w:r>
        <w:t xml:space="preserve"> Abs. 2 und der </w:t>
      </w:r>
      <w:hyperlink w:anchor="b1088" w:history="1">
        <w:r>
          <w:rPr>
            <w:color w:val="0A3A8C"/>
            <w:u w:val="single"/>
          </w:rPr>
          <w:t xml:space="preserve">§§ 1058</w:t>
        </w:r>
      </w:hyperlink>
      <w:r>
        <w:t xml:space="preserve">, </w:t>
      </w:r>
      <w:hyperlink w:anchor="b1090" w:history="1">
        <w:r>
          <w:rPr>
            <w:color w:val="0A3A8C"/>
            <w:u w:val="single"/>
          </w:rPr>
          <w:t xml:space="preserve">1059</w:t>
        </w:r>
      </w:hyperlink>
      <w:r>
        <w:t xml:space="preserve"> Abs. 4 endet das Amt des Schiedsgerichts mit der Beendigung des schiedsrichterlichen Verfahrens.</w:t>
      </w:r>
    </w:p>
    <w:p>
      <w:pPr>
        <w:pStyle w:val="Heading3"/>
      </w:pPr>
      <w:bookmarkStart w:id="1088" w:name="b1087"/>
      <w:r>
        <w:t>§ 1057 Entscheidung über die Kosten</w:t>
      </w:r>
      <w:r>
        <w:t xml:space="preserve"> </w:t>
      </w:r>
      <w:r>
        <w:rPr>
          <w:rStyle w:val="Suchmarke"/>
        </w:rPr>
        <w:t>#1057#</w:t>
      </w:r>
      <w:bookmarkEnd w:id="1088"/>
    </w:p>
    <w:p>
      <w:r>
        <w:t xml:space="preserve">(1) </w:t>
      </w:r>
      <w:r>
        <w:rPr>
          <w:rStyle w:val="Satznummer"/>
        </w:rPr>
        <w:t>1</w:t>
      </w:r>
      <w:r>
        <w:t xml:space="preserve">Sofern die Parteien nichts anderes vereinbart haben, hat das Schiedsgericht in einem Schiedsspruch darüber zu entscheiden, zu welchem Anteil die Parteien die Kosten des schiedsrichterlichen Verfahrens einschließlich der den Parteien erwachsenen und zur zweckentsprechenden Rechtsverfolgung notwendigen Kosten zu tragen haben. </w:t>
      </w:r>
      <w:r>
        <w:rPr>
          <w:rStyle w:val="Satznummer"/>
        </w:rPr>
        <w:t>2</w:t>
      </w:r>
      <w:r>
        <w:t>Hierbei entscheidet das Schiedsgericht nach pflichtgemäßem Ermessen unter Berücksichtigung der Umstände des Einzelfalles, insbesondere des Ausgangs des Verfahrens.</w:t>
      </w:r>
    </w:p>
    <w:p>
      <w:r>
        <w:t xml:space="preserve">(2) </w:t>
      </w:r>
      <w:r>
        <w:rPr>
          <w:rStyle w:val="Satznummer"/>
        </w:rPr>
        <w:t>1</w:t>
      </w:r>
      <w:r>
        <w:t xml:space="preserve">Soweit die Kosten des schiedsrichterlichen Verfahrens feststehen, hat das Schiedsgericht auch darüber zu entscheiden, in welcher Höhe die Parteien diese zu tragen haben. </w:t>
      </w:r>
      <w:r>
        <w:rPr>
          <w:rStyle w:val="Satznummer"/>
        </w:rPr>
        <w:t>2</w:t>
      </w:r>
      <w:r>
        <w:t>Ist die Festsetzung der Kosten unterblieben oder erst nach Beendigung des schiedsrichterlichen Verfahrens möglich, wird hierüber in einem gesonderten Schiedsspruch entschieden.</w:t>
      </w:r>
    </w:p>
    <w:p>
      <w:pPr>
        <w:pStyle w:val="Heading3"/>
      </w:pPr>
      <w:bookmarkStart w:id="1089" w:name="b1088"/>
      <w:r>
        <w:t>§ 1058 Berichtigung, Auslegung und Ergänzung des Schiedsspruchs</w:t>
      </w:r>
      <w:r>
        <w:t xml:space="preserve"> </w:t>
      </w:r>
      <w:r>
        <w:rPr>
          <w:rStyle w:val="Suchmarke"/>
        </w:rPr>
        <w:t>#1058#</w:t>
      </w:r>
      <w:bookmarkEnd w:id="1089"/>
    </w:p>
    <w:p>
      <w:r>
        <w:t>(1) Jede Partei kann beim Schiedsgericht beantragen,</w:t>
      </w:r>
    </w:p>
    <w:p>
      <w:pPr>
        <w:tabs>
          <w:tab w:pos="567" w:val="left"/>
        </w:tabs>
        <w:ind w:left="567" w:hanging="567"/>
      </w:pPr>
      <w:r>
        <w:t>1.</w:t>
      </w:r>
      <w:r>
        <w:tab/>
      </w:r>
      <w:r>
        <w:t>Rechen-, Schreib- und Druckfehler oder Fehler ähnlicher Art im Schiedsspruch zu berichtigen;</w:t>
      </w:r>
    </w:p>
    <w:p>
      <w:pPr>
        <w:tabs>
          <w:tab w:pos="567" w:val="left"/>
        </w:tabs>
        <w:ind w:left="567" w:hanging="567"/>
      </w:pPr>
      <w:r>
        <w:t>2.</w:t>
      </w:r>
      <w:r>
        <w:tab/>
      </w:r>
      <w:r>
        <w:t>bestimmte Teile des Schiedsspruchs auszulegen;</w:t>
      </w:r>
    </w:p>
    <w:p>
      <w:pPr>
        <w:tabs>
          <w:tab w:pos="567" w:val="left"/>
        </w:tabs>
        <w:ind w:left="567" w:hanging="567"/>
      </w:pPr>
      <w:r>
        <w:t>3.</w:t>
      </w:r>
      <w:r>
        <w:tab/>
      </w:r>
      <w:r>
        <w:t>einen ergänzenden Schiedsspruch über solche Ansprüche zu erlassen, die im schiedsrichterlichen Verfahren zwar geltend gemacht, im Schiedsspruch aber nicht behandelt worden sind.</w:t>
      </w:r>
    </w:p>
    <w:p>
      <w:r>
        <w:t>(2) Sofern die Parteien keine andere Frist vereinbart haben, ist der Antrag innerhalb eines Monats nach Empfang des Schiedsspruchs zu stellen.</w:t>
      </w:r>
    </w:p>
    <w:p>
      <w:r>
        <w:t>(3) Das Schiedsgericht soll über die Berichtigung oder Auslegung des Schiedsspruchs innerhalb eines Monats und über die Ergänzung des Schiedsspruchs innerhalb von zwei Monaten entscheiden.</w:t>
      </w:r>
    </w:p>
    <w:p>
      <w:r>
        <w:t>(4) Eine Berichtigung des Schiedsspruchs kann das Schiedsgericht auch ohne Antrag vornehmen.</w:t>
      </w:r>
    </w:p>
    <w:p>
      <w:r>
        <w:t xml:space="preserve">(5) </w:t>
      </w:r>
      <w:hyperlink w:anchor="b1084" w:history="1">
        <w:r>
          <w:rPr>
            <w:color w:val="0A3A8C"/>
            <w:u w:val="single"/>
          </w:rPr>
          <w:t xml:space="preserve">§ 1054</w:t>
        </w:r>
      </w:hyperlink>
      <w:r>
        <w:t xml:space="preserve"> ist auf die Berichtigung, Auslegung oder Ergänzung des Schiedsspruchs anzuwenden.</w:t>
      </w:r>
    </w:p>
    <w:p>
      <w:pPr>
        <w:pStyle w:val="Heading2"/>
      </w:pPr>
      <w:bookmarkStart w:id="1090" w:name="b1089"/>
      <w:r>
        <w:t>Abschnitt 7 Rechtsbehelf gegen den Schiedsspruch</w:t>
      </w:r>
      <w:bookmarkEnd w:id="1090"/>
    </w:p>
    <w:p>
      <w:pPr>
        <w:pStyle w:val="Heading3"/>
      </w:pPr>
      <w:bookmarkStart w:id="1091" w:name="b1090"/>
      <w:r>
        <w:t>§ 1059 Aufhebungsantrag</w:t>
      </w:r>
      <w:r>
        <w:t xml:space="preserve"> </w:t>
      </w:r>
      <w:r>
        <w:rPr>
          <w:rStyle w:val="Suchmarke"/>
        </w:rPr>
        <w:t>#1059#</w:t>
      </w:r>
      <w:bookmarkEnd w:id="1091"/>
    </w:p>
    <w:p>
      <w:r>
        <w:t>(1) Gegen einen Schiedsspruch kann nur der Antrag auf gerichtliche Aufhebung nach den Absätzen 2 und 3 gestellt werden.</w:t>
      </w:r>
    </w:p>
    <w:p>
      <w:r>
        <w:t>(2) Ein Schiedsspruch kann nur aufgehoben werden,</w:t>
      </w:r>
    </w:p>
    <w:p>
      <w:pPr>
        <w:tabs>
          <w:tab w:pos="567" w:val="left"/>
        </w:tabs>
        <w:ind w:left="567" w:hanging="567"/>
      </w:pPr>
      <w:r>
        <w:t>1.</w:t>
      </w:r>
      <w:r>
        <w:tab/>
      </w:r>
      <w:r>
        <w:t>wenn der Antragsteller begründet geltend macht, dass</w:t>
      </w:r>
    </w:p>
    <w:p>
      <w:pPr>
        <w:tabs>
          <w:tab w:pos="1134" w:val="left"/>
        </w:tabs>
        <w:ind w:left="1134" w:hanging="567"/>
      </w:pPr>
      <w:r>
        <w:t>a)</w:t>
      </w:r>
      <w:r>
        <w:tab/>
      </w:r>
      <w:r>
        <w:t xml:space="preserve">eine der Parteien, die eine Schiedsvereinbarung nach den </w:t>
      </w:r>
      <w:hyperlink w:anchor="b1055" w:history="1">
        <w:r>
          <w:rPr>
            <w:color w:val="0A3A8C"/>
            <w:u w:val="single"/>
          </w:rPr>
          <w:t xml:space="preserve">§§ 1029</w:t>
        </w:r>
      </w:hyperlink>
      <w:r>
        <w:t xml:space="preserve">, </w:t>
      </w:r>
      <w:hyperlink w:anchor="b1057" w:history="1">
        <w:r>
          <w:rPr>
            <w:color w:val="0A3A8C"/>
            <w:u w:val="single"/>
          </w:rPr>
          <w:t xml:space="preserve">1031</w:t>
        </w:r>
      </w:hyperlink>
      <w:r>
        <w:t xml:space="preserve"> geschlossen haben, nach dem Recht, das für sie persönlich maßgebend ist, hierzu nicht fähig war, oder dass die Schiedsvereinbarung nach dem Recht, dem die Parteien sie unterstellt haben oder, falls die Parteien hierüber nichts bestimmt haben, nach deutschem Recht ungültig ist oder</w:t>
      </w:r>
    </w:p>
    <w:p>
      <w:pPr>
        <w:tabs>
          <w:tab w:pos="1134" w:val="left"/>
        </w:tabs>
        <w:ind w:left="1134" w:hanging="567"/>
      </w:pPr>
      <w:r>
        <w:t>b)</w:t>
      </w:r>
      <w:r>
        <w:tab/>
      </w:r>
      <w:r>
        <w:t>er von der Bestellung eines Schiedsrichters oder von dem schiedsrichterlichen Verfahren nicht gehörig in Kenntnis gesetzt worden ist oder dass er aus einem anderen Grund seine Angriffs- oder Verteidigungsmittel nicht hat geltend machen können oder</w:t>
      </w:r>
    </w:p>
    <w:p>
      <w:pPr>
        <w:tabs>
          <w:tab w:pos="1134" w:val="left"/>
        </w:tabs>
        <w:ind w:left="1134" w:hanging="567"/>
      </w:pPr>
      <w:r>
        <w:t>c)</w:t>
      </w:r>
      <w:r>
        <w:tab/>
      </w:r>
      <w:r>
        <w:t>der Schiedsspruch eine Streitigkeit betrifft, die in der Schiedsabrede nicht erwähnt ist oder nicht unter die Bestimmungen der Schiedsklausel fällt, oder dass er Entscheidungen enthält, welche die Grenzen der Schiedsvereinbarung überschreiten; kann jedoch der Teil des Schiedsspruchs, der sich auf Streitpunkte bezieht, die dem schiedsrichterlichen Verfahren unterworfen waren, von dem Teil, der Streitpunkte betrifft, die ihm nicht unterworfen waren, getrennt werden, so kann nur der letztgenannte Teil des Schiedsspruchs aufgehoben werden; oder</w:t>
      </w:r>
    </w:p>
    <w:p>
      <w:pPr>
        <w:tabs>
          <w:tab w:pos="1134" w:val="left"/>
        </w:tabs>
        <w:ind w:left="1134" w:hanging="567"/>
      </w:pPr>
      <w:r>
        <w:t>d)</w:t>
      </w:r>
      <w:r>
        <w:tab/>
      </w:r>
      <w:r>
        <w:t>die Bildung des Schiedsgerichts oder das schiedsrichterliche Verfahren einer Bestimmung dieses Buches oder einer zulässigen Vereinbarung der Parteien nicht entsprochen hat und anzunehmen ist, dass sich dies auf den Schiedsspruch ausgewirkt hat; oder</w:t>
      </w:r>
    </w:p>
    <w:p>
      <w:pPr>
        <w:tabs>
          <w:tab w:pos="567" w:val="left"/>
        </w:tabs>
        <w:ind w:left="567" w:hanging="567"/>
      </w:pPr>
      <w:r>
        <w:t>2.</w:t>
      </w:r>
      <w:r>
        <w:tab/>
      </w:r>
      <w:r>
        <w:t>wenn das Gericht feststellt, dass</w:t>
      </w:r>
    </w:p>
    <w:p>
      <w:pPr>
        <w:tabs>
          <w:tab w:pos="1134" w:val="left"/>
        </w:tabs>
        <w:ind w:left="1134" w:hanging="567"/>
      </w:pPr>
      <w:r>
        <w:t>a)</w:t>
      </w:r>
      <w:r>
        <w:tab/>
      </w:r>
      <w:r>
        <w:t>der Gegenstand des Streites nach deutschem Recht nicht schiedsfähig ist oder</w:t>
      </w:r>
    </w:p>
    <w:p>
      <w:pPr>
        <w:tabs>
          <w:tab w:pos="1134" w:val="left"/>
        </w:tabs>
        <w:ind w:left="1134" w:hanging="567"/>
      </w:pPr>
      <w:r>
        <w:t>b)</w:t>
      </w:r>
      <w:r>
        <w:tab/>
      </w:r>
      <w:r>
        <w:t>die Anerkennung oder Vollstreckung des Schiedsspruchs zu einem Ergebnis führt, das der öffentlichen Ordnung (ordre public) widerspricht.</w:t>
      </w:r>
    </w:p>
    <w:p>
      <w:r>
        <w:t xml:space="preserve">(3) </w:t>
      </w:r>
      <w:r>
        <w:rPr>
          <w:rStyle w:val="Satznummer"/>
        </w:rPr>
        <w:t>1</w:t>
      </w:r>
      <w:r>
        <w:t xml:space="preserve">Sofern die Parteien nichts anderes vereinbaren, muss der Aufhebungsantrag innerhalb einer Frist von drei Monaten bei Gericht eingereicht werden. </w:t>
      </w:r>
      <w:r>
        <w:rPr>
          <w:rStyle w:val="Satznummer"/>
        </w:rPr>
        <w:t>2</w:t>
      </w:r>
      <w:r>
        <w:t xml:space="preserve">Die Frist beginnt mit dem Tag, an dem der Antragsteller den Schiedsspruch empfangen hat. </w:t>
      </w:r>
      <w:r>
        <w:rPr>
          <w:rStyle w:val="Satznummer"/>
        </w:rPr>
        <w:t>3</w:t>
      </w:r>
      <w:r>
        <w:t xml:space="preserve">Ist ein Antrag nach </w:t>
      </w:r>
      <w:hyperlink w:anchor="b1088" w:history="1">
        <w:r>
          <w:rPr>
            <w:color w:val="0A3A8C"/>
            <w:u w:val="single"/>
          </w:rPr>
          <w:t xml:space="preserve">§ 1058</w:t>
        </w:r>
      </w:hyperlink>
      <w:r>
        <w:t xml:space="preserve"> gestellt worden, verlängert sich die Frist um höchstens einen Monat nach Empfang der Entscheidung über diesen Antrag. </w:t>
      </w:r>
      <w:r>
        <w:rPr>
          <w:rStyle w:val="Satznummer"/>
        </w:rPr>
        <w:t>4</w:t>
      </w:r>
      <w:r>
        <w:t>Der Antrag auf Aufhebung des Schiedsspruchs kann nicht mehr gestellt werden, wenn der Schiedsspruch von einem deutschen Gericht für vollstreckbar erklärt worden ist.</w:t>
      </w:r>
    </w:p>
    <w:p>
      <w:r>
        <w:t>(4) Ist die Aufhebung beantragt worden, so kann das Gericht in geeigneten Fällen auf Antrag einer Partei unter Aufhebung des Schiedsspruchs die Sache an das Schiedsgericht zurückverweisen.</w:t>
      </w:r>
    </w:p>
    <w:p>
      <w:r>
        <w:t>(5) Die Aufhebung des Schiedsspruchs hat im Zweifel zur Folge, dass wegen des Streitgegenstandes die Schiedsvereinbarung wiederauflebt.</w:t>
      </w:r>
    </w:p>
    <w:p>
      <w:pPr>
        <w:pStyle w:val="Heading2"/>
      </w:pPr>
      <w:bookmarkStart w:id="1092" w:name="b1091"/>
      <w:r>
        <w:t>Abschnitt 8 Voraussetzungen der Anerkennung und Vollstreckung von Schiedssprüchen</w:t>
      </w:r>
      <w:bookmarkEnd w:id="1092"/>
    </w:p>
    <w:p>
      <w:pPr>
        <w:pStyle w:val="Heading3"/>
      </w:pPr>
      <w:bookmarkStart w:id="1093" w:name="b1092"/>
      <w:r>
        <w:t>§ 1060 Inländische Schiedssprüche</w:t>
      </w:r>
      <w:r>
        <w:t xml:space="preserve"> </w:t>
      </w:r>
      <w:r>
        <w:rPr>
          <w:rStyle w:val="Suchmarke"/>
        </w:rPr>
        <w:t>#1060#</w:t>
      </w:r>
      <w:bookmarkEnd w:id="1093"/>
    </w:p>
    <w:p>
      <w:r>
        <w:t>(1) Die Zwangsvollstreckung findet statt, wenn der Schiedsspruch für vollstreckbar erklärt ist.</w:t>
      </w:r>
    </w:p>
    <w:p>
      <w:r>
        <w:t xml:space="preserve">(2) </w:t>
      </w:r>
      <w:r>
        <w:rPr>
          <w:rStyle w:val="Satznummer"/>
        </w:rPr>
        <w:t>1</w:t>
      </w:r>
      <w:r>
        <w:t xml:space="preserve">Der Antrag auf Vollstreckbarerklärung ist unter Aufhebung des Schiedsspruchs abzulehnen, wenn einer der in </w:t>
      </w:r>
      <w:hyperlink w:anchor="b1090" w:history="1">
        <w:r>
          <w:rPr>
            <w:color w:val="0A3A8C"/>
            <w:u w:val="single"/>
          </w:rPr>
          <w:t xml:space="preserve">§ 1059</w:t>
        </w:r>
      </w:hyperlink>
      <w:r>
        <w:t xml:space="preserve"> Abs. 2 bezeichneten Aufhebungsgründe vorliegt. </w:t>
      </w:r>
      <w:r>
        <w:rPr>
          <w:rStyle w:val="Satznummer"/>
        </w:rPr>
        <w:t>2</w:t>
      </w:r>
      <w:r>
        <w:t xml:space="preserve">Aufhebungsgründe sind nicht zu berücksichtigen, soweit im Zeitpunkt der Zustellung des Antrags auf Vollstreckbarerklärung ein auf sie gestützter Aufhebungsantrag rechtskräftig abgewiesen ist. </w:t>
      </w:r>
      <w:r>
        <w:rPr>
          <w:rStyle w:val="Satznummer"/>
        </w:rPr>
        <w:t>3</w:t>
      </w:r>
      <w:r>
        <w:t xml:space="preserve">Aufhebungsgründe nach </w:t>
      </w:r>
      <w:hyperlink w:anchor="b1090" w:history="1">
        <w:r>
          <w:rPr>
            <w:color w:val="0A3A8C"/>
            <w:u w:val="single"/>
          </w:rPr>
          <w:t xml:space="preserve">§ 1059</w:t>
        </w:r>
      </w:hyperlink>
      <w:r>
        <w:t xml:space="preserve"> Abs. 2 Nr. 1 sind auch dann nicht zu berücksichtigen, wenn die in </w:t>
      </w:r>
      <w:hyperlink w:anchor="b1090" w:history="1">
        <w:r>
          <w:rPr>
            <w:color w:val="0A3A8C"/>
            <w:u w:val="single"/>
          </w:rPr>
          <w:t xml:space="preserve">§ 1059</w:t>
        </w:r>
      </w:hyperlink>
      <w:r>
        <w:t xml:space="preserve"> Abs. 3 bestimmten Fristen abgelaufen sind, ohne dass der Antragsgegner einen Antrag auf Aufhebung des Schiedsspruchs gestellt hat.</w:t>
      </w:r>
    </w:p>
    <w:p>
      <w:pPr>
        <w:pStyle w:val="Heading3"/>
      </w:pPr>
      <w:bookmarkStart w:id="1094" w:name="b1093"/>
      <w:r>
        <w:t>§ 1061 Ausländische Schiedssprüche</w:t>
      </w:r>
      <w:r>
        <w:t xml:space="preserve"> </w:t>
      </w:r>
      <w:r>
        <w:rPr>
          <w:rStyle w:val="Suchmarke"/>
        </w:rPr>
        <w:t>#1061#</w:t>
      </w:r>
      <w:bookmarkEnd w:id="1094"/>
    </w:p>
    <w:p>
      <w:r>
        <w:t xml:space="preserve">(1) </w:t>
      </w:r>
      <w:r>
        <w:rPr>
          <w:rStyle w:val="Satznummer"/>
        </w:rPr>
        <w:t>1</w:t>
      </w:r>
      <w:r>
        <w:t xml:space="preserve">Die Anerkennung und Vollstreckung ausländischer Schiedssprüche richtet sich nach dem Übereinkommen vom 10. Juni 1958 über die Anerkennung und Vollstreckung ausländischer Schiedssprüche (BGBl. 1961 II S. 121). </w:t>
      </w:r>
      <w:r>
        <w:rPr>
          <w:rStyle w:val="Satznummer"/>
        </w:rPr>
        <w:t>2</w:t>
      </w:r>
      <w:r>
        <w:t>Die Vorschriften in anderen Staatsverträgen über die Anerkennung und Vollstreckung von Schiedssprüchen bleiben unberührt.</w:t>
      </w:r>
    </w:p>
    <w:p>
      <w:r>
        <w:t>(2) Ist die Vollstreckbarerklärung abzulehnen, stellt das Gericht fest, dass der Schiedsspruch im Inland nicht anzuerkennen ist.</w:t>
      </w:r>
    </w:p>
    <w:p>
      <w:r>
        <w:t>(3) Wird der Schiedsspruch, nachdem er für vollstreckbar erklärt worden ist, im Ausland aufgehoben, so kann die Aufhebung der Vollstreckbarerklärung beantragt werden.</w:t>
      </w:r>
    </w:p>
    <w:p>
      <w:pPr>
        <w:pStyle w:val="Heading2"/>
      </w:pPr>
      <w:bookmarkStart w:id="1095" w:name="b1094"/>
      <w:r>
        <w:t>Abschnitt 9 Gerichtliches Verfahren</w:t>
      </w:r>
      <w:bookmarkEnd w:id="1095"/>
    </w:p>
    <w:p>
      <w:pPr>
        <w:pStyle w:val="Heading3"/>
      </w:pPr>
      <w:bookmarkStart w:id="1096" w:name="b1095"/>
      <w:r>
        <w:t>§ 1062 Zuständigkeit</w:t>
      </w:r>
      <w:r>
        <w:t xml:space="preserve"> </w:t>
      </w:r>
      <w:r>
        <w:rPr>
          <w:rStyle w:val="Suchmarke"/>
        </w:rPr>
        <w:t>#1062#</w:t>
      </w:r>
      <w:bookmarkEnd w:id="1096"/>
    </w:p>
    <w:p>
      <w:r>
        <w:t>(1) Das Oberlandesgericht, das in der Schiedsvereinbarung bezeichnet ist oder, wenn eine solche Bezeichnung fehlt, in dessen Bezirk der Ort des schiedsrichterlichen Verfahrens liegt, ist zuständig für Entscheidungen über Anträge betreffend</w:t>
      </w:r>
    </w:p>
    <w:p>
      <w:pPr>
        <w:tabs>
          <w:tab w:pos="567" w:val="left"/>
        </w:tabs>
        <w:ind w:left="567" w:hanging="567"/>
      </w:pPr>
      <w:r>
        <w:t>1.</w:t>
      </w:r>
      <w:r>
        <w:tab/>
      </w:r>
      <w:r>
        <w:t>die Bestellung eines Schiedsrichters (</w:t>
      </w:r>
      <w:hyperlink w:anchor="b1061" w:history="1">
        <w:r>
          <w:rPr>
            <w:color w:val="0A3A8C"/>
            <w:u w:val="single"/>
          </w:rPr>
          <w:t xml:space="preserve">§§ 1034</w:t>
        </w:r>
      </w:hyperlink>
      <w:r>
        <w:t xml:space="preserve">, </w:t>
      </w:r>
      <w:hyperlink w:anchor="b1062" w:history="1">
        <w:r>
          <w:rPr>
            <w:color w:val="0A3A8C"/>
            <w:u w:val="single"/>
          </w:rPr>
          <w:t xml:space="preserve">1035</w:t>
        </w:r>
      </w:hyperlink>
      <w:r>
        <w:t>), die Ablehnung eines Schiedsrichters (</w:t>
      </w:r>
      <w:hyperlink w:anchor="b1064" w:history="1">
        <w:r>
          <w:rPr>
            <w:color w:val="0A3A8C"/>
            <w:u w:val="single"/>
          </w:rPr>
          <w:t xml:space="preserve">§ 1037</w:t>
        </w:r>
      </w:hyperlink>
      <w:r>
        <w:t>) oder die Beendigung des Schiedsrichteramtes (</w:t>
      </w:r>
      <w:hyperlink w:anchor="b1065" w:history="1">
        <w:r>
          <w:rPr>
            <w:color w:val="0A3A8C"/>
            <w:u w:val="single"/>
          </w:rPr>
          <w:t xml:space="preserve">§ 1038</w:t>
        </w:r>
      </w:hyperlink>
      <w:r>
        <w:t>);</w:t>
      </w:r>
    </w:p>
    <w:p>
      <w:pPr>
        <w:tabs>
          <w:tab w:pos="567" w:val="left"/>
        </w:tabs>
        <w:ind w:left="567" w:hanging="567"/>
      </w:pPr>
      <w:r>
        <w:t>2.</w:t>
      </w:r>
      <w:r>
        <w:tab/>
      </w:r>
      <w:r>
        <w:t>die Feststellung der Zulässigkeit oder Unzulässigkeit eines schiedsrichterlichen Verfahrens (</w:t>
      </w:r>
      <w:hyperlink w:anchor="b1058" w:history="1">
        <w:r>
          <w:rPr>
            <w:color w:val="0A3A8C"/>
            <w:u w:val="single"/>
          </w:rPr>
          <w:t xml:space="preserve">§ 1032</w:t>
        </w:r>
      </w:hyperlink>
      <w:r>
        <w:t>) oder die Entscheidung eines Schiedsgerichts, in der dieses seine Zuständigkeit in einem Zwischenentscheid bejaht hat (</w:t>
      </w:r>
      <w:hyperlink w:anchor="b1068" w:history="1">
        <w:r>
          <w:rPr>
            <w:color w:val="0A3A8C"/>
            <w:u w:val="single"/>
          </w:rPr>
          <w:t xml:space="preserve">§ 1040</w:t>
        </w:r>
      </w:hyperlink>
      <w:r>
        <w:t>);</w:t>
      </w:r>
    </w:p>
    <w:p>
      <w:pPr>
        <w:tabs>
          <w:tab w:pos="567" w:val="left"/>
        </w:tabs>
        <w:ind w:left="567" w:hanging="567"/>
      </w:pPr>
      <w:r>
        <w:t>3.</w:t>
      </w:r>
      <w:r>
        <w:tab/>
      </w:r>
      <w:r>
        <w:t>die Vollziehung, Aufhebung oder Änderung der Anordnung vorläufiger oder sichernder Maßnahmen des Schiedsgerichts (</w:t>
      </w:r>
      <w:hyperlink w:anchor="b1069" w:history="1">
        <w:r>
          <w:rPr>
            <w:color w:val="0A3A8C"/>
            <w:u w:val="single"/>
          </w:rPr>
          <w:t xml:space="preserve">§ 1041</w:t>
        </w:r>
      </w:hyperlink>
      <w:r>
        <w:t>);</w:t>
      </w:r>
    </w:p>
    <w:p>
      <w:pPr>
        <w:tabs>
          <w:tab w:pos="567" w:val="left"/>
        </w:tabs>
        <w:ind w:left="567" w:hanging="567"/>
      </w:pPr>
      <w:r>
        <w:t>4.</w:t>
      </w:r>
      <w:r>
        <w:tab/>
      </w:r>
      <w:r>
        <w:t>die Aufhebung (</w:t>
      </w:r>
      <w:hyperlink w:anchor="b1090" w:history="1">
        <w:r>
          <w:rPr>
            <w:color w:val="0A3A8C"/>
            <w:u w:val="single"/>
          </w:rPr>
          <w:t xml:space="preserve">§ 1059</w:t>
        </w:r>
      </w:hyperlink>
      <w:r>
        <w:t>) oder die Vollstreckbarerklärung des Schiedsspruchs (</w:t>
      </w:r>
      <w:hyperlink w:anchor="b1092" w:history="1">
        <w:r>
          <w:rPr>
            <w:color w:val="0A3A8C"/>
            <w:u w:val="single"/>
          </w:rPr>
          <w:t xml:space="preserve">§§ 1060</w:t>
        </w:r>
      </w:hyperlink>
      <w:r>
        <w:t xml:space="preserve"> ff.) oder die Aufhebung der Vollstreckbarerklärung (</w:t>
      </w:r>
      <w:hyperlink w:anchor="b1093" w:history="1">
        <w:r>
          <w:rPr>
            <w:color w:val="0A3A8C"/>
            <w:u w:val="single"/>
          </w:rPr>
          <w:t xml:space="preserve">§ 1061</w:t>
        </w:r>
      </w:hyperlink>
      <w:r>
        <w:t>).</w:t>
      </w:r>
    </w:p>
    <w:p>
      <w:r>
        <w:t>(2) Besteht in den Fällen des Absatzes 1 Nr. 2 erste Alternative, Nr. 3 oder Nr. 4 kein deutscher Schiedsort, so ist für die Entscheidungen das Oberlandesgericht zuständig, in dessen Bezirk der Antragsgegner seinen Sitz oder gewöhnlichen Aufenthalt hat oder sich Vermögen des Antragsgegners oder der mit der Schiedsklage in Anspruch genommene oder von der Maßnahme betroffene Gegenstand befindet, hilfsweise das Kammergericht.</w:t>
      </w:r>
    </w:p>
    <w:p>
      <w:r>
        <w:t xml:space="preserve">(3) In den Fällen des </w:t>
      </w:r>
      <w:hyperlink w:anchor="b1050" w:history="1">
        <w:r>
          <w:rPr>
            <w:color w:val="0A3A8C"/>
            <w:u w:val="single"/>
          </w:rPr>
          <w:t xml:space="preserve">§ 1025</w:t>
        </w:r>
      </w:hyperlink>
      <w:r>
        <w:t xml:space="preserve"> Abs. 3 ist für die Entscheidung das Oberlandesgericht zuständig, in dessen Bezirk der Kläger oder der Beklagte seinen Sitz oder seinen gewöhnlichen Aufenthalt hat.</w:t>
      </w:r>
    </w:p>
    <w:p>
      <w:r>
        <w:t>(4) Für die Unterstützung bei der Beweisaufnahme und sonstige richterliche Handlungen (</w:t>
      </w:r>
      <w:hyperlink w:anchor="b1079" w:history="1">
        <w:r>
          <w:rPr>
            <w:color w:val="0A3A8C"/>
            <w:u w:val="single"/>
          </w:rPr>
          <w:t xml:space="preserve">§ 1050</w:t>
        </w:r>
      </w:hyperlink>
      <w:r>
        <w:t>) ist das Amtsgericht zuständig, in dessen Bezirk die richterliche Handlung vorzunehmen ist.</w:t>
      </w:r>
    </w:p>
    <w:p>
      <w:r>
        <w:t xml:space="preserve">(5) </w:t>
      </w:r>
      <w:r>
        <w:rPr>
          <w:rStyle w:val="Satznummer"/>
        </w:rPr>
        <w:t>1</w:t>
      </w:r>
      <w:r>
        <w:t xml:space="preserve">Sind in einem Land mehrere Oberlandesgerichte errichtet, so kann die Zuständigkeit von der Landesregierung durch Rechtsverordnung einem Oberlandesgericht oder dem obersten Landesgericht übertragen werden; die Landesregierung kann die Ermächtigung durch Rechtsverordnung auf die Landesjustizverwaltung übertragen. </w:t>
      </w:r>
      <w:r>
        <w:rPr>
          <w:rStyle w:val="Satznummer"/>
        </w:rPr>
        <w:t>2</w:t>
      </w:r>
      <w:r>
        <w:t>Mehrere Länder können die Zuständigkeit eines Oberlandesgerichts über die Ländergrenzen hinaus vereinbaren.</w:t>
      </w:r>
    </w:p>
    <w:p>
      <w:pPr>
        <w:pStyle w:val="Heading3"/>
      </w:pPr>
      <w:bookmarkStart w:id="1097" w:name="b1096"/>
      <w:r>
        <w:t>§ 1063 Allgemeine Vorschriften</w:t>
      </w:r>
      <w:r>
        <w:t xml:space="preserve"> </w:t>
      </w:r>
      <w:r>
        <w:rPr>
          <w:rStyle w:val="Suchmarke"/>
        </w:rPr>
        <w:t>#1063#</w:t>
      </w:r>
      <w:bookmarkEnd w:id="1097"/>
    </w:p>
    <w:p>
      <w:r>
        <w:t xml:space="preserve">(1) </w:t>
      </w:r>
      <w:r>
        <w:rPr>
          <w:rStyle w:val="Satznummer"/>
        </w:rPr>
        <w:t>1</w:t>
      </w:r>
      <w:r>
        <w:t xml:space="preserve">Das Gericht entscheidet durch Beschluss. </w:t>
      </w:r>
      <w:r>
        <w:rPr>
          <w:rStyle w:val="Satznummer"/>
        </w:rPr>
        <w:t>2</w:t>
      </w:r>
      <w:r>
        <w:t>Vor der Entscheidung ist der Gegner zu hören.</w:t>
      </w:r>
    </w:p>
    <w:p>
      <w:r>
        <w:t>(2) Das Gericht hat die mündliche Verhandlung anzuordnen, wenn die Aufhebung des Schiedsspruchs beantragt wird oder wenn bei einem Antrag auf Anerkennung oder Vollstreckbarerklärung des Schiedsspruchs Aufhebungsgründe nach § 1059 Abs. 2 in Betracht kommen.</w:t>
      </w:r>
    </w:p>
    <w:p>
      <w:r>
        <w:t xml:space="preserve">(3) </w:t>
      </w:r>
      <w:r>
        <w:rPr>
          <w:rStyle w:val="Satznummer"/>
        </w:rPr>
        <w:t>1</w:t>
      </w:r>
      <w:r>
        <w:t xml:space="preserve">Der Vorsitzende des Zivilsenats kann ohne vorherige Anhörung des Gegners anordnen, dass der Antragsteller bis zur Entscheidung über den Antrag die Zwangsvollstreckung aus dem Schiedsspruch betreiben oder die vorläufige oder sichernde Maßnahme des Schiedsgerichts nach </w:t>
      </w:r>
      <w:hyperlink w:anchor="b1069" w:history="1">
        <w:r>
          <w:rPr>
            <w:color w:val="0A3A8C"/>
            <w:u w:val="single"/>
          </w:rPr>
          <w:t xml:space="preserve">§ 1041</w:t>
        </w:r>
      </w:hyperlink>
      <w:r>
        <w:t xml:space="preserve"> vollziehen darf. </w:t>
      </w:r>
      <w:r>
        <w:rPr>
          <w:rStyle w:val="Satznummer"/>
        </w:rPr>
        <w:t>2</w:t>
      </w:r>
      <w:r>
        <w:t xml:space="preserve">Die Zwangsvollstreckung aus dem Schiedsspruch darf nicht über Maßnahmen zur Sicherung hinausgehen. </w:t>
      </w:r>
      <w:r>
        <w:rPr>
          <w:rStyle w:val="Satznummer"/>
        </w:rPr>
        <w:t>3</w:t>
      </w:r>
      <w:r>
        <w:t>Der Antragsgegner ist befugt, die Zwangsvollstreckung durch Leistung einer Sicherheit in Höhe des Betrages, wegen dessen der Antragsteller vollstrecken kann, abzuwenden.</w:t>
      </w:r>
    </w:p>
    <w:p>
      <w:r>
        <w:t>(4) Solange eine mündliche Verhandlung nicht angeordnet ist, können zu Protokoll der Geschäftsstelle Anträge gestellt und Erklärungen abgegeben werden.</w:t>
      </w:r>
    </w:p>
    <w:p>
      <w:pPr>
        <w:pStyle w:val="Heading3"/>
      </w:pPr>
      <w:bookmarkStart w:id="1098" w:name="b1097"/>
      <w:r>
        <w:t>§ 1064 Besonderheiten bei der Vollstreckbarerklärung von Schiedssprüchen</w:t>
      </w:r>
      <w:r>
        <w:t xml:space="preserve"> </w:t>
      </w:r>
      <w:r>
        <w:rPr>
          <w:rStyle w:val="Suchmarke"/>
        </w:rPr>
        <w:t>#1064#</w:t>
      </w:r>
      <w:bookmarkEnd w:id="1098"/>
    </w:p>
    <w:p>
      <w:r>
        <w:t xml:space="preserve">(1) </w:t>
      </w:r>
      <w:r>
        <w:rPr>
          <w:rStyle w:val="Satznummer"/>
        </w:rPr>
        <w:t>1</w:t>
      </w:r>
      <w:r>
        <w:t xml:space="preserve">Mit dem Antrag auf Vollstreckbarerklärung eines Schiedsspruchs ist der Schiedsspruch oder eine beglaubigte Abschrift des Schiedsspruchs vorzulegen. </w:t>
      </w:r>
      <w:r>
        <w:rPr>
          <w:rStyle w:val="Satznummer"/>
        </w:rPr>
        <w:t>2</w:t>
      </w:r>
      <w:r>
        <w:t>Die Beglaubigung kann auch von dem für das gerichtliche Verfahren bevollmächtigten Rechtsanwalt vorgenommen werden.</w:t>
      </w:r>
    </w:p>
    <w:p>
      <w:r>
        <w:t>(2) Der Beschluss, durch den ein Schiedsspruch für vollstreckbar erklärt wird, ist für vorläufig vollstreckbar zu erklären.</w:t>
      </w:r>
    </w:p>
    <w:p>
      <w:r>
        <w:t>(3) Auf ausländische Schiedssprüche sind die Absätze 1 und 2 anzuwenden, soweit Staatsverträge nicht ein anderes bestimmen.</w:t>
      </w:r>
    </w:p>
    <w:p>
      <w:pPr>
        <w:pStyle w:val="Heading3"/>
      </w:pPr>
      <w:bookmarkStart w:id="1099" w:name="b1098"/>
      <w:r>
        <w:t>§ 1065 Rechtsmittel</w:t>
      </w:r>
      <w:r>
        <w:t xml:space="preserve"> </w:t>
      </w:r>
      <w:r>
        <w:rPr>
          <w:rStyle w:val="Suchmarke"/>
        </w:rPr>
        <w:t>#1065#</w:t>
      </w:r>
      <w:bookmarkEnd w:id="1099"/>
    </w:p>
    <w:p>
      <w:r>
        <w:t xml:space="preserve">(1) </w:t>
      </w:r>
      <w:r>
        <w:rPr>
          <w:rStyle w:val="Satznummer"/>
        </w:rPr>
        <w:t>1</w:t>
      </w:r>
      <w:r>
        <w:t xml:space="preserve">Gegen die in </w:t>
      </w:r>
      <w:hyperlink w:anchor="b1095" w:history="1">
        <w:r>
          <w:rPr>
            <w:color w:val="0A3A8C"/>
            <w:u w:val="single"/>
          </w:rPr>
          <w:t xml:space="preserve">§ 1062</w:t>
        </w:r>
      </w:hyperlink>
      <w:r>
        <w:t xml:space="preserve"> Abs. 1 Nr. 2 und 4 genannten Entscheidungen findet die Rechtsbeschwerde statt. </w:t>
      </w:r>
      <w:r>
        <w:rPr>
          <w:rStyle w:val="Satznummer"/>
        </w:rPr>
        <w:t>2</w:t>
      </w:r>
      <w:r>
        <w:t xml:space="preserve">Im Übrigen sind die Entscheidungen in den in </w:t>
      </w:r>
      <w:hyperlink w:anchor="b1095" w:history="1">
        <w:r>
          <w:rPr>
            <w:color w:val="0A3A8C"/>
            <w:u w:val="single"/>
          </w:rPr>
          <w:t xml:space="preserve">§ 1062</w:t>
        </w:r>
      </w:hyperlink>
      <w:r>
        <w:t xml:space="preserve"> Abs. 1 bezeichneten Verfahren unanfechtbar.</w:t>
      </w:r>
    </w:p>
    <w:p>
      <w:r>
        <w:t xml:space="preserve">(2) </w:t>
      </w:r>
      <w:r>
        <w:rPr>
          <w:rStyle w:val="Satznummer"/>
        </w:rPr>
        <w:t>1</w:t>
      </w:r>
      <w:r>
        <w:t xml:space="preserve">Die Rechtsbeschwerde kann auch darauf gestützt werden, dass die Entscheidung auf einer Verletzung eines Staatsvertrages beruht. </w:t>
      </w:r>
      <w:r>
        <w:rPr>
          <w:rStyle w:val="Satznummer"/>
        </w:rPr>
        <w:t>2</w:t>
      </w:r>
      <w:r>
        <w:t xml:space="preserve">Die </w:t>
      </w:r>
      <w:hyperlink w:anchor="b705" w:history="1">
        <w:r>
          <w:rPr>
            <w:color w:val="0A3A8C"/>
            <w:u w:val="single"/>
          </w:rPr>
          <w:t xml:space="preserve">§§ 707</w:t>
        </w:r>
      </w:hyperlink>
      <w:r>
        <w:t xml:space="preserve">, </w:t>
      </w:r>
      <w:hyperlink w:anchor="b715" w:history="1">
        <w:r>
          <w:rPr>
            <w:color w:val="0A3A8C"/>
            <w:u w:val="single"/>
          </w:rPr>
          <w:t xml:space="preserve">717</w:t>
        </w:r>
      </w:hyperlink>
      <w:r>
        <w:t xml:space="preserve"> sind entsprechend anzuwenden.</w:t>
      </w:r>
    </w:p>
    <w:p>
      <w:pPr>
        <w:pStyle w:val="Heading2"/>
      </w:pPr>
      <w:bookmarkStart w:id="1100" w:name="b1099"/>
      <w:r>
        <w:t>Abschnitt 10 Außervertragliche Schiedsgerichte</w:t>
      </w:r>
      <w:bookmarkEnd w:id="1100"/>
    </w:p>
    <w:p>
      <w:pPr>
        <w:pStyle w:val="Heading3"/>
      </w:pPr>
      <w:bookmarkStart w:id="1101" w:name="b1100"/>
      <w:r>
        <w:t>§ 1066 Entsprechende Anwendung der Vorschriften des Buches 10</w:t>
      </w:r>
      <w:r>
        <w:t xml:space="preserve"> </w:t>
      </w:r>
      <w:r>
        <w:rPr>
          <w:rStyle w:val="Suchmarke"/>
        </w:rPr>
        <w:t>#1066#</w:t>
      </w:r>
      <w:bookmarkEnd w:id="1101"/>
    </w:p>
    <w:p>
      <w:r>
        <w:t>Für Schiedsgerichte, die in gesetzlich statthafter Weise durch letztwillige oder andere nicht auf Vereinbarung beruhende Verfügungen angeordnet werden, gelten die Vorschriften dieses Buches entsprechend.</w:t>
      </w:r>
    </w:p>
    <w:p>
      <w:pPr>
        <w:pStyle w:val="Heading1"/>
      </w:pPr>
      <w:bookmarkStart w:id="1102" w:name="b1101"/>
      <w:r>
        <w:t>Buch 11 Justizielle Zusammenarbeit in der Europäischen Union</w:t>
      </w:r>
      <w:bookmarkEnd w:id="1102"/>
    </w:p>
    <w:p>
      <w:pPr>
        <w:pStyle w:val="Heading2"/>
      </w:pPr>
      <w:bookmarkStart w:id="1103" w:name="b1102"/>
      <w:r>
        <w:t>Abschnitt 1 Zustellung nach der Verordnung (EU) 2020/1784</w:t>
      </w:r>
      <w:bookmarkEnd w:id="1103"/>
    </w:p>
    <w:p>
      <w:pPr>
        <w:pStyle w:val="Heading3"/>
      </w:pPr>
      <w:bookmarkStart w:id="1104" w:name="b1103"/>
      <w:r>
        <w:t>§ 1067 Zustellung durch Auslandsvertretungen</w:t>
      </w:r>
      <w:r>
        <w:t xml:space="preserve"> </w:t>
      </w:r>
      <w:r>
        <w:rPr>
          <w:rStyle w:val="Suchmarke"/>
        </w:rPr>
        <w:t>#1067#</w:t>
      </w:r>
      <w:bookmarkEnd w:id="1104"/>
    </w:p>
    <w:p>
      <w:r>
        <w:t xml:space="preserve">(1) </w:t>
      </w:r>
      <w:r>
        <w:rPr>
          <w:rStyle w:val="Satznummer"/>
        </w:rPr>
        <w:t>1</w:t>
      </w:r>
      <w:r>
        <w:t xml:space="preserve">Eine Zustellung nach Artikel 17 der Verordnung (EU) 2020/1784 durch die zuständige deutsche Auslandsvertretung soll nur im begründeten Ausnahmefall erfolgen. </w:t>
      </w:r>
      <w:r>
        <w:rPr>
          <w:rStyle w:val="Satznummer"/>
        </w:rPr>
        <w:t>2</w:t>
      </w:r>
      <w:r>
        <w:t>Eine Zustellung nach Satz 1 an einen Adressaten, der nicht deutscher Staatsangehöriger ist, ist nur zulässig, sofern der Mitgliedstaat, in dem die Zustellung erfolgen soll, dies nicht durch eine Erklärung nach Artikel 33 Absatz 1 Satz 1 der Verordnung (EU) 2020/1784 ausgeschlossen hat.</w:t>
      </w:r>
    </w:p>
    <w:p>
      <w:r>
        <w:t>(2) Eine Zustellung nach Artikel 17 der Verordnung (EU) 2020/1784, die in der Bundesrepublik Deutschland bewirkt werden soll, ist nur zulässig, wenn der Adressat des zuzustellenden Schriftstücks Staatsangehöriger des Übermittlungsstaats ist.</w:t>
      </w:r>
    </w:p>
    <w:p>
      <w:pPr>
        <w:pStyle w:val="Heading3"/>
      </w:pPr>
      <w:bookmarkStart w:id="1105" w:name="b1104"/>
      <w:r>
        <w:t>§ 1068 Elektronische Zustellung</w:t>
      </w:r>
      <w:r>
        <w:t xml:space="preserve"> </w:t>
      </w:r>
      <w:r>
        <w:rPr>
          <w:rStyle w:val="Suchmarke"/>
        </w:rPr>
        <w:t>#1068#</w:t>
      </w:r>
      <w:bookmarkEnd w:id="1105"/>
    </w:p>
    <w:p>
      <w:r>
        <w:t>An Adressaten in der Bundesrepublik Deutschland dürfen gerichtliche elektronische Schriftstücke nur nach Artikel 19 Absatz 1 Buchstabe a der Verordnung (EU) 2020/1784 elektronisch zugestellt werden.</w:t>
      </w:r>
    </w:p>
    <w:p>
      <w:pPr>
        <w:pStyle w:val="Heading3"/>
      </w:pPr>
      <w:bookmarkStart w:id="1106" w:name="b1105"/>
      <w:r>
        <w:t>§ 1069 Zuständigkeiten nach der Verordnung (EU) 2020/1784; Verordnungsermächtigungen</w:t>
      </w:r>
      <w:r>
        <w:t xml:space="preserve"> </w:t>
      </w:r>
      <w:r>
        <w:rPr>
          <w:rStyle w:val="Suchmarke"/>
        </w:rPr>
        <w:t>#1069#</w:t>
      </w:r>
      <w:bookmarkEnd w:id="1106"/>
    </w:p>
    <w:p>
      <w:r>
        <w:t>(1) Für Zustellungen im Ausland sind als deutsche Übermittlungsstelle im Sinne von Artikel 3 Absatz 1 der Verordnung (EU) 2020/1784 zuständig:</w:t>
      </w:r>
    </w:p>
    <w:p>
      <w:pPr>
        <w:tabs>
          <w:tab w:pos="567" w:val="left"/>
        </w:tabs>
        <w:ind w:left="567" w:hanging="567"/>
      </w:pPr>
      <w:r>
        <w:t>1.</w:t>
      </w:r>
      <w:r>
        <w:tab/>
      </w:r>
      <w:r>
        <w:t>für gerichtliche Schriftstücke das die Zustellung betreibende Gericht und</w:t>
      </w:r>
    </w:p>
    <w:p>
      <w:pPr>
        <w:tabs>
          <w:tab w:pos="567" w:val="left"/>
        </w:tabs>
        <w:ind w:left="567" w:hanging="567"/>
      </w:pPr>
      <w:r>
        <w:t>2.</w:t>
      </w:r>
      <w:r>
        <w:tab/>
      </w:r>
      <w:r>
        <w:t>für außergerichtliche Schriftstücke dasjenige Amtsgericht, in dessen Bezirk die Person, welche die Zustellung betreibt, ihren Wohnsitz oder gewöhnlichen Aufenthalt hat; bei notariellen Urkunden auch dasjenige Amtsgericht, in dessen Bezirk der beurkundende Notar seinen Amtssitz hat; bei juristischen Personen tritt an die Stelle des Wohnsitzes oder des gewöhnlichen Aufenthalts der Sitz; die Landesregierungen können die Aufgaben der Übermittlungsstelle einem Amtsgericht für die Bezirke mehrerer Amtsgerichte durch Rechtsverordnung zuweisen.</w:t>
      </w:r>
    </w:p>
    <w:p>
      <w:r>
        <w:t xml:space="preserve">(2) </w:t>
      </w:r>
      <w:r>
        <w:rPr>
          <w:rStyle w:val="Satznummer"/>
        </w:rPr>
        <w:t>1</w:t>
      </w:r>
      <w:r>
        <w:t xml:space="preserve">Für Zustellungen in der Bundesrepublik Deutschland ist als deutsche Empfangsstelle im Sinne von Artikel 3 Absatz 2 der Verordnung (EU) 2020/1784 die Geschäftsstelle desjenigen Amtsgerichts zuständig, in dessen Bezirk das Schriftstück zugestellt werden soll. </w:t>
      </w:r>
      <w:r>
        <w:rPr>
          <w:rStyle w:val="Satznummer"/>
        </w:rPr>
        <w:t>2</w:t>
      </w:r>
      <w:r>
        <w:t>Die Landesregierungen können die Aufgaben der Empfangsstelle einem Amtsgericht für die Bezirke mehrerer Amtsgerichte durch Rechtsverordnung zuweisen.</w:t>
      </w:r>
    </w:p>
    <w:p>
      <w:r>
        <w:t xml:space="preserve">(3) </w:t>
      </w:r>
      <w:r>
        <w:rPr>
          <w:rStyle w:val="Satznummer"/>
        </w:rPr>
        <w:t>1</w:t>
      </w:r>
      <w:r>
        <w:t xml:space="preserve">Die Landesregierungen bestimmen durch Rechtsverordnung die Stelle, die in dem jeweiligen Land als deutsche Zentralstelle nach Artikel 4 der Verordnung (EU) 2020/1784 zuständig ist. </w:t>
      </w:r>
      <w:r>
        <w:rPr>
          <w:rStyle w:val="Satznummer"/>
        </w:rPr>
        <w:t>2</w:t>
      </w:r>
      <w:r>
        <w:t>Die Aufgaben der Zentralstelle können in jedem Land nur einer Stelle zugewiesen werden.</w:t>
      </w:r>
    </w:p>
    <w:p>
      <w:r>
        <w:t xml:space="preserve">(4) </w:t>
      </w:r>
      <w:r>
        <w:rPr>
          <w:rStyle w:val="Satznummer"/>
        </w:rPr>
        <w:t>1</w:t>
      </w:r>
      <w:r>
        <w:t xml:space="preserve">Zentralstelle des Bundes nach Artikel 4 der Verordnung (EU) 2020/1784 ist das Bundesamt für Justiz. </w:t>
      </w:r>
      <w:r>
        <w:rPr>
          <w:rStyle w:val="Satznummer"/>
        </w:rPr>
        <w:t>2</w:t>
      </w:r>
      <w:r>
        <w:t>Es unterstützt bei Bedarf die zuständigen Behörden der Länder.</w:t>
      </w:r>
    </w:p>
    <w:p>
      <w:r>
        <w:t>(5) Die Landesregierungen können die Befugnis zum Erlass einer Rechtsverordnung nach Absatz 1 Nr. 2, Absatz 2 Satz 2 und Absatz 3 Satz 1 einer obersten Landesbehörde übertragen.</w:t>
      </w:r>
    </w:p>
    <w:p>
      <w:pPr>
        <w:pStyle w:val="Heading3"/>
      </w:pPr>
      <w:bookmarkStart w:id="1107" w:name="b1106"/>
      <w:r>
        <w:t>§ 1070 Sprache eingehender Anträge, Bescheinigungen und Mitteilungen</w:t>
      </w:r>
      <w:r>
        <w:t xml:space="preserve"> </w:t>
      </w:r>
      <w:r>
        <w:rPr>
          <w:rStyle w:val="Suchmarke"/>
        </w:rPr>
        <w:t>#1070#</w:t>
      </w:r>
      <w:bookmarkEnd w:id="1107"/>
    </w:p>
    <w:p>
      <w:r>
        <w:t>Aus dem Ausland eingehende Zustellungsanträge, Bescheinigungen über die Zustellung sowie sonstige Mitteilungen nach der Verordnung (EU) 2020/1784 müssen in deutscher oder in englischer Sprache abgefasst oder von einer Übersetzung in die deutsche oder englische Sprache begleitet sein.</w:t>
      </w:r>
    </w:p>
    <w:p>
      <w:pPr>
        <w:pStyle w:val="Heading3"/>
      </w:pPr>
      <w:bookmarkStart w:id="1108" w:name="b1107"/>
      <w:r>
        <w:t>§ 1071 Zustellung nach dem Abkommen zwischen der Europäischen Gemeinschaft und dem Königreich Dänemark vom 19. Oktober 2005 über die Zustellung gerichtlicher und außergerichtlicher Schriftstücke in Zivil- oder Handelssachen</w:t>
      </w:r>
      <w:r>
        <w:t xml:space="preserve"> </w:t>
      </w:r>
      <w:r>
        <w:rPr>
          <w:rStyle w:val="Suchmarke"/>
        </w:rPr>
        <w:t>#1071#</w:t>
      </w:r>
      <w:bookmarkEnd w:id="1108"/>
    </w:p>
    <w:p>
      <w:r>
        <w:t xml:space="preserve">Wenn die Verordnung (EU) 2020/1784 im Verhältnis zu Dänemark auf Grund des Artikels 2 Absatz 1 des Abkommens zwischen der Europäischen Gemeinschaft und dem Königreich Dänemark vom 19. Oktober 2005 über die Zustellung gerichtlicher und außergerichtlicher Schriftstücke in Zivil- oder Handelssachen anwendbar ist, gelten die Vorschriften der </w:t>
      </w:r>
      <w:hyperlink w:anchor="b1103" w:history="1">
        <w:r>
          <w:rPr>
            <w:color w:val="0A3A8C"/>
            <w:u w:val="single"/>
          </w:rPr>
          <w:t xml:space="preserve">§§ 1067</w:t>
        </w:r>
      </w:hyperlink>
      <w:r>
        <w:t xml:space="preserve"> bis </w:t>
      </w:r>
      <w:hyperlink w:anchor="b1106" w:history="1">
        <w:r>
          <w:rPr>
            <w:color w:val="0A3A8C"/>
            <w:u w:val="single"/>
          </w:rPr>
          <w:t xml:space="preserve">1070</w:t>
        </w:r>
      </w:hyperlink>
      <w:r>
        <w:t xml:space="preserve"> entsprechend.</w:t>
      </w:r>
    </w:p>
    <w:p>
      <w:pPr>
        <w:pStyle w:val="Heading2"/>
      </w:pPr>
      <w:bookmarkStart w:id="1109" w:name="b1108"/>
      <w:r>
        <w:t>Abschnitt 2 Beweisaufnahme nach der Verordnung (EU) 2020/1783</w:t>
      </w:r>
      <w:bookmarkEnd w:id="1109"/>
    </w:p>
    <w:p>
      <w:pPr>
        <w:pStyle w:val="Heading3"/>
      </w:pPr>
      <w:bookmarkStart w:id="1110" w:name="b1109"/>
      <w:r>
        <w:t>§ 1072 Beweisaufnahme in den Mitgliedstaaten der Europäischen Union</w:t>
      </w:r>
      <w:r>
        <w:t xml:space="preserve"> </w:t>
      </w:r>
      <w:r>
        <w:rPr>
          <w:rStyle w:val="Suchmarke"/>
        </w:rPr>
        <w:t>#1072#</w:t>
      </w:r>
      <w:bookmarkEnd w:id="1110"/>
    </w:p>
    <w:p>
      <w:r>
        <w:t>Soll die Beweisaufnahme nach der Verordnung (EU) 2020/1783 erfolgen, so kann das deutsche Gericht</w:t>
      </w:r>
    </w:p>
    <w:p>
      <w:pPr>
        <w:tabs>
          <w:tab w:pos="567" w:val="left"/>
        </w:tabs>
        <w:ind w:left="567" w:hanging="567"/>
      </w:pPr>
      <w:r>
        <w:t>1.</w:t>
      </w:r>
      <w:r>
        <w:tab/>
      </w:r>
      <w:r>
        <w:t>nach den Artikeln 12 bis 18 der Verordnung (EU) 2020/1783 das zuständige Gericht eines anderen Mitgliedstaats um Aufnahme des Beweises ersuchen,</w:t>
      </w:r>
    </w:p>
    <w:p>
      <w:pPr>
        <w:tabs>
          <w:tab w:pos="567" w:val="left"/>
        </w:tabs>
        <w:ind w:left="567" w:hanging="567"/>
      </w:pPr>
      <w:r>
        <w:t>2.</w:t>
      </w:r>
      <w:r>
        <w:tab/>
      </w:r>
      <w:r>
        <w:t>unter den Voraussetzungen der Artikel 19 und 20 der Verordnung (EU) 2020/1783 eine unmittelbare Beweisaufnahme in einem anderen Mitgliedstaat beantragen oder</w:t>
      </w:r>
    </w:p>
    <w:p>
      <w:pPr>
        <w:tabs>
          <w:tab w:pos="567" w:val="left"/>
        </w:tabs>
        <w:ind w:left="567" w:hanging="567"/>
      </w:pPr>
      <w:r>
        <w:t>3.</w:t>
      </w:r>
      <w:r>
        <w:tab/>
      </w:r>
      <w:r>
        <w:t>unter den Voraussetzungen des Artikels 21 der Verordnung (EU) 2020/1783 und nur in einem begründeten Ausnahmefall einen deutschen Konsularbeamten um Vernehmung eines deutschen Staatsangehörigen in einem anderen Mitgliedstaat ersuchen.</w:t>
      </w:r>
    </w:p>
    <w:p>
      <w:pPr>
        <w:pStyle w:val="Heading3"/>
      </w:pPr>
      <w:bookmarkStart w:id="1111" w:name="b1110"/>
      <w:r>
        <w:t>§ 1073 Teilnahmerechte</w:t>
      </w:r>
      <w:r>
        <w:t xml:space="preserve"> </w:t>
      </w:r>
      <w:r>
        <w:rPr>
          <w:rStyle w:val="Suchmarke"/>
        </w:rPr>
        <w:t>#1073#</w:t>
      </w:r>
      <w:bookmarkEnd w:id="1111"/>
    </w:p>
    <w:p>
      <w:r>
        <w:t xml:space="preserve">(1) </w:t>
      </w:r>
      <w:r>
        <w:rPr>
          <w:rStyle w:val="Satznummer"/>
        </w:rPr>
        <w:t>1</w:t>
      </w:r>
      <w:r>
        <w:t xml:space="preserve">Das ersuchende deutsche Gericht oder ein von diesem beauftragtes Mitglied darf im Geltungsbereich der Verordnung (EU) 2020/1783 bei der Erledigung des Ersuchens auf Beweisaufnahme durch das ersuchte ausländische Gericht oder durch den deutschen Konsularbeamten anwesend und beteiligt sein. </w:t>
      </w:r>
      <w:r>
        <w:rPr>
          <w:rStyle w:val="Satznummer"/>
        </w:rPr>
        <w:t>2</w:t>
      </w:r>
      <w:r>
        <w:t>Parteien, deren Vertreter sowie Sachverständige können sich hierbei in dem Umfang beteiligen, in dem sie in dem betreffenden Verfahren an einer inländischen Beweisaufnahme beteiligt werden dürfen.</w:t>
      </w:r>
    </w:p>
    <w:p>
      <w:r>
        <w:t>(2) Eine unmittelbare Beweisaufnahme im Ausland nach Artikel 19 Absatz 3 der Verordnung (EU) 2020/1783 dürfen Mitglieder des Gerichts sowie von diesem beauftragte Sachverständige durchführen.</w:t>
      </w:r>
    </w:p>
    <w:p>
      <w:pPr>
        <w:pStyle w:val="Heading3"/>
      </w:pPr>
      <w:bookmarkStart w:id="1112" w:name="b1111"/>
      <w:r>
        <w:t>§ 1074 Zuständigkeiten nach der Verordnung (EU) 2020/1783; Verordnungsermächtigung</w:t>
      </w:r>
      <w:r>
        <w:t xml:space="preserve"> </w:t>
      </w:r>
      <w:r>
        <w:rPr>
          <w:rStyle w:val="Suchmarke"/>
        </w:rPr>
        <w:t>#1074#</w:t>
      </w:r>
      <w:bookmarkEnd w:id="1112"/>
    </w:p>
    <w:p>
      <w:r>
        <w:t>(1) Für Beweisaufnahmen in der Bundesrepublik Deutschland ist als ersuchtes Gericht im Sinne von Artikel 3 Absatz 1 der Verordnung (EU) 2020/1783 dasjenige Amtsgericht zuständig, in dessen Bezirk die Verfahrenshandlung durchgeführt werden soll.</w:t>
      </w:r>
    </w:p>
    <w:p>
      <w:r>
        <w:t>(2) Die Landesregierungen können die Aufgaben des ersuchten Gerichts einem Amtsgericht für die Bezirke mehrerer Amtsgerichte durch Rechtsverordnung zuweisen.</w:t>
      </w:r>
    </w:p>
    <w:p>
      <w:r>
        <w:t xml:space="preserve">(3) </w:t>
      </w:r>
      <w:r>
        <w:rPr>
          <w:rStyle w:val="Satznummer"/>
        </w:rPr>
        <w:t>1</w:t>
      </w:r>
      <w:r>
        <w:t>Die Landesregierungen bestimmen durch Rechtsverordnung die Stelle, die in dem jeweiligen Land</w:t>
      </w:r>
    </w:p>
    <w:p>
      <w:pPr>
        <w:tabs>
          <w:tab w:pos="567" w:val="left"/>
        </w:tabs>
        <w:ind w:left="567" w:hanging="567"/>
      </w:pPr>
      <w:r>
        <w:t>1.</w:t>
      </w:r>
      <w:r>
        <w:tab/>
      </w:r>
      <w:r>
        <w:t>als deutsche Zentralstelle nach Artikel 4 der Verordnung (EU) 2020/1783 zuständig ist,</w:t>
      </w:r>
    </w:p>
    <w:p>
      <w:pPr>
        <w:tabs>
          <w:tab w:pos="567" w:val="left"/>
        </w:tabs>
        <w:ind w:left="567" w:hanging="567"/>
      </w:pPr>
      <w:r>
        <w:t>2.</w:t>
      </w:r>
      <w:r>
        <w:tab/>
      </w:r>
      <w:r>
        <w:t>als zuständige Stelle über Ersuchen um unmittelbare Beweisaufnahme nach Artikel 19 Absatz 1 der Verordnung (EU) 2020/1783 entscheidet.</w:t>
      </w:r>
    </w:p>
    <w:p>
      <w:r>
        <w:rPr>
          <w:rStyle w:val="Satznummer"/>
        </w:rPr>
        <w:t>2</w:t>
      </w:r>
      <w:r>
        <w:t>Die Aufgaben nach den Nummern 1 und 2 können in jedem Land nur jeweils einer Stelle zugewiesen werden.</w:t>
      </w:r>
    </w:p>
    <w:p>
      <w:r>
        <w:t xml:space="preserve">(4) </w:t>
      </w:r>
      <w:r>
        <w:rPr>
          <w:rStyle w:val="Satznummer"/>
        </w:rPr>
        <w:t>1</w:t>
      </w:r>
      <w:r>
        <w:t xml:space="preserve">Zentralstelle des Bundes nach Artikel 4 der Verordnung (EU) 2020/1783 ist das Bundesamt für Justiz. </w:t>
      </w:r>
      <w:r>
        <w:rPr>
          <w:rStyle w:val="Satznummer"/>
        </w:rPr>
        <w:t>2</w:t>
      </w:r>
      <w:r>
        <w:t>Es unterstützt bei Bedarf die zuständigen Behörden der Länder.</w:t>
      </w:r>
    </w:p>
    <w:p>
      <w:r>
        <w:t>(5) Die Landesregierungen können die Befugnis zum Erlass einer Rechtsverordnung nach den Absätzen 2 und 3 Satz 1 einer obersten Landesbehörde übertragen.</w:t>
      </w:r>
    </w:p>
    <w:p>
      <w:pPr>
        <w:pStyle w:val="Heading3"/>
      </w:pPr>
      <w:bookmarkStart w:id="1113" w:name="b1112"/>
      <w:r>
        <w:t>§ 1075 Sprache eingehender Ersuchen</w:t>
      </w:r>
      <w:r>
        <w:t xml:space="preserve"> </w:t>
      </w:r>
      <w:r>
        <w:rPr>
          <w:rStyle w:val="Suchmarke"/>
        </w:rPr>
        <w:t>#1075#</w:t>
      </w:r>
      <w:bookmarkEnd w:id="1113"/>
    </w:p>
    <w:p>
      <w:r>
        <w:t>Aus dem Ausland eingehende Ersuchen auf Beweisaufnahme sowie Mitteilungen nach der Verordnung (EU) 2020/1783 müssen in deutscher Sprache abgefasst oder von einer Übersetzung in die deutsche Sprache begleitet sein.</w:t>
      </w:r>
    </w:p>
    <w:p>
      <w:pPr>
        <w:pStyle w:val="Heading2"/>
      </w:pPr>
      <w:bookmarkStart w:id="1114" w:name="b1113"/>
      <w:r>
        <w:t>Abschnitt 3 Prozesskostenhilfe nach der Richtlinie 2003/8/EG</w:t>
      </w:r>
      <w:bookmarkEnd w:id="1114"/>
    </w:p>
    <w:p>
      <w:pPr>
        <w:pStyle w:val="Heading3"/>
      </w:pPr>
      <w:bookmarkStart w:id="1115" w:name="b1114"/>
      <w:r>
        <w:t>§ 1076 Anwendbare Vorschriften</w:t>
      </w:r>
      <w:r>
        <w:t xml:space="preserve"> </w:t>
      </w:r>
      <w:r>
        <w:rPr>
          <w:rStyle w:val="Suchmarke"/>
        </w:rPr>
        <w:t>#1076#</w:t>
      </w:r>
      <w:bookmarkEnd w:id="1115"/>
    </w:p>
    <w:p>
      <w:r>
        <w:t xml:space="preserve">Für die grenzüberschreitende Prozesskostenhilfe innerhalb der Europäischen Union nach der Richtlinie 2003/8/EG des Rates vom 27. Januar 2003 zur Verbesserung des Zugangs zum Recht bei Streitsachen mit grenzüberschreitendem Bezug durch Festlegung gemeinsamer Mindestvorschriften für die Prozesskostenhilfe in derartigen Streitsachen (ABl. EG Nr. L 26 S. 41, ABl. EU Nr. L 32 S. 15) gelten die </w:t>
      </w:r>
      <w:hyperlink w:anchor="b141" w:history="1">
        <w:r>
          <w:rPr>
            <w:color w:val="0A3A8C"/>
            <w:u w:val="single"/>
          </w:rPr>
          <w:t xml:space="preserve">§§ 114</w:t>
        </w:r>
      </w:hyperlink>
      <w:r>
        <w:t xml:space="preserve"> bis 127a, soweit nachfolgend nichts Abweichendes bestimmt ist.</w:t>
      </w:r>
    </w:p>
    <w:p>
      <w:pPr>
        <w:pStyle w:val="Heading3"/>
      </w:pPr>
      <w:bookmarkStart w:id="1116" w:name="b1115"/>
      <w:r>
        <w:t>§ 1077 Ausgehende Ersuchen</w:t>
      </w:r>
      <w:r>
        <w:t xml:space="preserve"> </w:t>
      </w:r>
      <w:r>
        <w:rPr>
          <w:rStyle w:val="Suchmarke"/>
        </w:rPr>
        <w:t>#1077#</w:t>
      </w:r>
      <w:bookmarkEnd w:id="1116"/>
    </w:p>
    <w:p>
      <w:r>
        <w:t xml:space="preserve">(1) </w:t>
      </w:r>
      <w:r>
        <w:rPr>
          <w:rStyle w:val="Satznummer"/>
        </w:rPr>
        <w:t>1</w:t>
      </w:r>
      <w:r>
        <w:t xml:space="preserve">Für die Entgegennahme und Übermittlung von Anträgen natürlicher Personen auf grenzüberschreitende Prozesskostenhilfe ist das Amtsgericht zuständig, in dessen Bezirk der Antragsteller seinen Wohnsitz oder gewöhnlichen Aufenthalt hat (Übermittlungsstelle). </w:t>
      </w:r>
      <w:r>
        <w:rPr>
          <w:rStyle w:val="Satznummer"/>
        </w:rPr>
        <w:t>2</w:t>
      </w:r>
      <w:r>
        <w:t xml:space="preserve">Die Landesregierungen können die Aufgaben der Übermittlungsstelle einem Amtsgericht für die Bezirke mehrerer Amtsgerichte durch Rechtsverordnung zuweisen. </w:t>
      </w:r>
      <w:r>
        <w:rPr>
          <w:rStyle w:val="Satznummer"/>
        </w:rPr>
        <w:t>3</w:t>
      </w:r>
      <w:r>
        <w:t xml:space="preserve">Sie können die Ermächtigung durch Rechtsverordnung auf die Landesjustizverwaltungen übertragen. </w:t>
      </w:r>
      <w:r>
        <w:rPr>
          <w:rStyle w:val="Satznummer"/>
        </w:rPr>
        <w:t>4</w:t>
      </w:r>
      <w:r>
        <w:t>§ 21 Satz 1 des Auslandsunterhaltsgesetzes bleibt unberührt.</w:t>
      </w:r>
    </w:p>
    <w:p>
      <w:r>
        <w:t xml:space="preserve">(2) </w:t>
      </w:r>
      <w:r>
        <w:rPr>
          <w:rStyle w:val="Satznummer"/>
        </w:rPr>
        <w:t>1</w:t>
      </w:r>
      <w:r>
        <w:t xml:space="preserve">Das Bundesministerium der Justiz und für Verbraucherschutz wird ermächtigt, durch Rechtsverordnung mit Zustimmung des Bundesrates die in Artikel 16 Abs. 1 der Richtlinie 2003/8/EG vorgesehenen Standardformulare für Anträge auf grenzüberschreitende Prozesskostenhilfe und für deren Übermittlung einzuführen. </w:t>
      </w:r>
      <w:r>
        <w:rPr>
          <w:rStyle w:val="Satznummer"/>
        </w:rPr>
        <w:t>2</w:t>
      </w:r>
      <w:r>
        <w:t>Soweit Standardformulare für Anträge auf grenzüberschreitende Prozesskostenhilfe und für deren Übermittlung eingeführt sind, müssen sich der Antragsteller und die Übermittlungsstelle ihrer bedienen.</w:t>
      </w:r>
    </w:p>
    <w:p>
      <w:r>
        <w:t xml:space="preserve">(3) </w:t>
      </w:r>
      <w:r>
        <w:rPr>
          <w:rStyle w:val="Satznummer"/>
        </w:rPr>
        <w:t>1</w:t>
      </w:r>
      <w:r>
        <w:t xml:space="preserve">Die Übermittlungsstelle kann die Übermittlung durch Beschluss vollständig oder teilweise ablehnen, wenn der Antrag offensichtlich unbegründet ist oder offensichtlich nicht in den Anwendungsbereich der Richtlinie 2003/8/EG fällt. </w:t>
      </w:r>
      <w:r>
        <w:rPr>
          <w:rStyle w:val="Satznummer"/>
        </w:rPr>
        <w:t>2</w:t>
      </w:r>
      <w:r>
        <w:t xml:space="preserve">Sie kann von Amts wegen Übersetzungen von dem Antrag beigefügten fremdsprachigen Anlagen fertigen, soweit dies zur Vorbereitung einer Entscheidung nach Satz 1 erforderlich ist. </w:t>
      </w:r>
      <w:r>
        <w:rPr>
          <w:rStyle w:val="Satznummer"/>
        </w:rPr>
        <w:t>3</w:t>
      </w:r>
      <w:r>
        <w:t xml:space="preserve">Gegen die ablehnende Entscheidung findet die sofortige Beschwerde nach Maßgabe des </w:t>
      </w:r>
      <w:hyperlink w:anchor="b155" w:history="1">
        <w:r>
          <w:rPr>
            <w:color w:val="0A3A8C"/>
            <w:u w:val="single"/>
          </w:rPr>
          <w:t xml:space="preserve">§ 127</w:t>
        </w:r>
      </w:hyperlink>
      <w:r>
        <w:t xml:space="preserve"> Abs. 2 Satz 2 und 3 statt.</w:t>
      </w:r>
    </w:p>
    <w:p>
      <w:r>
        <w:t xml:space="preserve">(4) </w:t>
      </w:r>
      <w:r>
        <w:rPr>
          <w:rStyle w:val="Satznummer"/>
        </w:rPr>
        <w:t>1</w:t>
      </w:r>
      <w:r>
        <w:t>Die Übermittlungsstelle fertigt von Amts wegen Übersetzungen der Eintragungen im Standardformular für Anträge auf Prozesskostenhilfe sowie der beizufügenden Anlagen</w:t>
      </w:r>
    </w:p>
    <w:p>
      <w:pPr>
        <w:tabs>
          <w:tab w:pos="567" w:val="left"/>
        </w:tabs>
        <w:ind w:left="567" w:hanging="567"/>
      </w:pPr>
      <w:r>
        <w:t>a)</w:t>
      </w:r>
      <w:r>
        <w:tab/>
      </w:r>
      <w:r>
        <w:t>in eine der Amtssprachen des Mitgliedstaats der zuständigen Empfangsstelle, die zugleich einer der Amtssprachen der Europäischen Union entspricht, oder</w:t>
      </w:r>
    </w:p>
    <w:p>
      <w:pPr>
        <w:tabs>
          <w:tab w:pos="567" w:val="left"/>
        </w:tabs>
        <w:ind w:left="567" w:hanging="567"/>
      </w:pPr>
      <w:r>
        <w:t>b)</w:t>
      </w:r>
      <w:r>
        <w:tab/>
      </w:r>
      <w:r>
        <w:t>in eine andere von diesem Mitgliedstaat zugelassene Sprache.</w:t>
      </w:r>
    </w:p>
    <w:p>
      <w:r>
        <w:rPr>
          <w:rStyle w:val="Satznummer"/>
        </w:rPr>
        <w:t>2</w:t>
      </w:r>
      <w:r>
        <w:t>Die Übermittlungsstelle prüft die Vollständigkeit des Antrags und wirkt darauf hin, dass Anlagen, die nach ihrer Kenntnis zur Entscheidung über den Antrag erforderlich sind, beigefügt werden.</w:t>
      </w:r>
    </w:p>
    <w:p>
      <w:r>
        <w:t xml:space="preserve">(5) </w:t>
      </w:r>
      <w:r>
        <w:rPr>
          <w:rStyle w:val="Satznummer"/>
        </w:rPr>
        <w:t>1</w:t>
      </w:r>
      <w:r>
        <w:t xml:space="preserve">Die Übermittlungsstelle übersendet den Antrag und die beizufügenden Anlagen ohne Legalisation oder gleichwertige Förmlichkeiten an die zuständige Empfangsstelle des Mitgliedstaats des Gerichtsstands oder des Vollstreckungsmitgliedstaats. </w:t>
      </w:r>
      <w:r>
        <w:rPr>
          <w:rStyle w:val="Satznummer"/>
        </w:rPr>
        <w:t>2</w:t>
      </w:r>
      <w:r>
        <w:t>Die Übermittlung erfolgt innerhalb von 14 Tagen nach Vorliegen der gemäß Absatz 4 zu fertigenden Übersetzungen.</w:t>
      </w:r>
    </w:p>
    <w:p>
      <w:r>
        <w:t xml:space="preserve">(6) </w:t>
      </w:r>
      <w:r>
        <w:rPr>
          <w:rStyle w:val="Satznummer"/>
        </w:rPr>
        <w:t>1</w:t>
      </w:r>
      <w:r>
        <w:t xml:space="preserve">Hat die zuständige Stelle des anderen Mitgliedstaats das Ersuchen um Prozesskostenhilfe auf Grund der persönlichen und wirtschaftlichen Verhältnisse des Antragstellers abgelehnt oder eine Ablehnung angekündigt, so stellt die Übermittlungsstelle auf Antrag eine Bescheinigung der Bedürftigkeit aus, wenn der Antragsteller in einem entsprechenden deutschen Verfahren nach </w:t>
      </w:r>
      <w:hyperlink w:anchor="b142" w:history="1">
        <w:r>
          <w:rPr>
            <w:color w:val="0A3A8C"/>
            <w:u w:val="single"/>
          </w:rPr>
          <w:t xml:space="preserve">§ 115</w:t>
        </w:r>
      </w:hyperlink>
      <w:r>
        <w:t xml:space="preserve"> Abs. 1 und 2 als bedürftig anzusehen wäre. </w:t>
      </w:r>
      <w:r>
        <w:rPr>
          <w:rStyle w:val="Satznummer"/>
        </w:rPr>
        <w:t>2</w:t>
      </w:r>
      <w:r>
        <w:t xml:space="preserve">Absatz 4 Satz 1 gilt für die Übersetzung der Bescheinigung entsprechend. </w:t>
      </w:r>
      <w:r>
        <w:rPr>
          <w:rStyle w:val="Satznummer"/>
        </w:rPr>
        <w:t>3</w:t>
      </w:r>
      <w:r>
        <w:t>Die Übermittlungsstelle übersendet der Empfangsstelle des anderen Mitgliedstaats die Bescheinigung der Bedürftigkeit zwecks Ergänzung des ursprünglichen Ersuchens um grenzüberschreitende Prozesskostenhilfe.</w:t>
      </w:r>
    </w:p>
    <w:p>
      <w:pPr>
        <w:pStyle w:val="Heading3"/>
      </w:pPr>
      <w:bookmarkStart w:id="1117" w:name="b1116"/>
      <w:r>
        <w:t>§ 1078 Eingehende Ersuchen</w:t>
      </w:r>
      <w:r>
        <w:t xml:space="preserve"> </w:t>
      </w:r>
      <w:r>
        <w:rPr>
          <w:rStyle w:val="Suchmarke"/>
        </w:rPr>
        <w:t>#1078#</w:t>
      </w:r>
      <w:bookmarkEnd w:id="1117"/>
    </w:p>
    <w:p>
      <w:r>
        <w:t xml:space="preserve">(1) </w:t>
      </w:r>
      <w:r>
        <w:rPr>
          <w:rStyle w:val="Satznummer"/>
        </w:rPr>
        <w:t>1</w:t>
      </w:r>
      <w:r>
        <w:t xml:space="preserve">Für eingehende Ersuchen um grenzüberschreitende Prozesskostenhilfe ist das Prozessgericht oder das Vollstreckungsgericht zuständig. </w:t>
      </w:r>
      <w:r>
        <w:rPr>
          <w:rStyle w:val="Satznummer"/>
        </w:rPr>
        <w:t>2</w:t>
      </w:r>
      <w:r>
        <w:t xml:space="preserve">Die Anträge müssen in deutscher Sprache ausgefüllt und die Anlagen von einer Übersetzung in die deutsche Sprache begleitet sein. </w:t>
      </w:r>
      <w:r>
        <w:rPr>
          <w:rStyle w:val="Satznummer"/>
        </w:rPr>
        <w:t>3</w:t>
      </w:r>
      <w:r>
        <w:t>Eine Legalisation oder gleichwertige Förmlichkeiten dürfen nicht verlangt werden.</w:t>
      </w:r>
    </w:p>
    <w:p>
      <w:r>
        <w:t xml:space="preserve">(2) </w:t>
      </w:r>
      <w:r>
        <w:rPr>
          <w:rStyle w:val="Satznummer"/>
        </w:rPr>
        <w:t>1</w:t>
      </w:r>
      <w:r>
        <w:t xml:space="preserve">Das Gericht entscheidet über das Ersuchen nach Maßgabe der </w:t>
      </w:r>
      <w:hyperlink w:anchor="b141" w:history="1">
        <w:r>
          <w:rPr>
            <w:color w:val="0A3A8C"/>
            <w:u w:val="single"/>
          </w:rPr>
          <w:t xml:space="preserve">§§ 114</w:t>
        </w:r>
      </w:hyperlink>
      <w:r>
        <w:t xml:space="preserve"> bis </w:t>
      </w:r>
      <w:hyperlink w:anchor="b143" w:history="1">
        <w:r>
          <w:rPr>
            <w:color w:val="0A3A8C"/>
            <w:u w:val="single"/>
          </w:rPr>
          <w:t xml:space="preserve">116</w:t>
        </w:r>
      </w:hyperlink>
      <w:r>
        <w:t xml:space="preserve">. </w:t>
      </w:r>
      <w:r>
        <w:rPr>
          <w:rStyle w:val="Satznummer"/>
        </w:rPr>
        <w:t>2</w:t>
      </w:r>
      <w:r>
        <w:t>Es übersendet der übermittelnden Stelle eine Abschrift seiner Entscheidung.</w:t>
      </w:r>
    </w:p>
    <w:p>
      <w:r>
        <w:t>(3) Der Antragsteller erhält auch dann grenzüberschreitende Prozesskostenhilfe, wenn er nachweist, dass er wegen unterschiedlich hoher Lebenshaltungskosten im Mitgliedstaat seines Wohnsitzes oder gewöhnlichen Aufenthalts einerseits und im Geltungsbereich dieses Gesetzes andererseits die Kosten der Prozessführung nicht, nur zum Teil oder nur in Raten aufbringen kann.</w:t>
      </w:r>
    </w:p>
    <w:p>
      <w:r>
        <w:t xml:space="preserve">(4) </w:t>
      </w:r>
      <w:r>
        <w:rPr>
          <w:rStyle w:val="Satznummer"/>
        </w:rPr>
        <w:t>1</w:t>
      </w:r>
      <w:r>
        <w:t xml:space="preserve">Wurde grenzüberschreitende Prozesskostenhilfe bewilligt, so gilt für jeden weiteren Rechtszug, der von dem Antragsteller oder dem Gegner eingeleitet wird, ein neuerliches Ersuchen um grenzüberschreitende Prozesskostenhilfe als gestellt. </w:t>
      </w:r>
      <w:r>
        <w:rPr>
          <w:rStyle w:val="Satznummer"/>
        </w:rPr>
        <w:t>2</w:t>
      </w:r>
      <w:r>
        <w:t>Das Gericht hat dahin zu wirken, dass der Antragsteller die Voraussetzungen für die Bewilligung der grenzüberschreitenden Prozesskostenhilfe für den jeweiligen Rechtszug darlegt.</w:t>
      </w:r>
    </w:p>
    <w:p>
      <w:pPr>
        <w:pStyle w:val="Heading2"/>
      </w:pPr>
      <w:bookmarkStart w:id="1118" w:name="b1117"/>
      <w:r>
        <w:t>Abschnitt 4 Europäische Vollstreckungstitel nach der Verordnung (EG) Nr. 805/2004</w:t>
      </w:r>
      <w:bookmarkEnd w:id="1118"/>
    </w:p>
    <w:p>
      <w:pPr>
        <w:pStyle w:val="Heading3"/>
      </w:pPr>
      <w:bookmarkStart w:id="1119" w:name="b1118"/>
      <w:r>
        <w:t>Titel 1 Bestätigung inländischer Titel als Europäische Vollstreckungstitel</w:t>
      </w:r>
      <w:bookmarkEnd w:id="1119"/>
    </w:p>
    <w:p>
      <w:pPr>
        <w:pStyle w:val="Heading4"/>
      </w:pPr>
      <w:bookmarkStart w:id="1120" w:name="b1119"/>
      <w:r>
        <w:t>§ 1079 Zuständigkeit</w:t>
      </w:r>
      <w:r>
        <w:t xml:space="preserve"> </w:t>
      </w:r>
      <w:r>
        <w:rPr>
          <w:rStyle w:val="Suchmarke"/>
        </w:rPr>
        <w:t>#1079#</w:t>
      </w:r>
      <w:bookmarkEnd w:id="1120"/>
    </w:p>
    <w:p>
      <w:r>
        <w:t>Für die Ausstellung der Bestätigungen nach</w:t>
      </w:r>
    </w:p>
    <w:p>
      <w:pPr>
        <w:tabs>
          <w:tab w:pos="567" w:val="left"/>
        </w:tabs>
        <w:ind w:left="567" w:hanging="567"/>
      </w:pPr>
      <w:r>
        <w:t>1.</w:t>
      </w:r>
      <w:r>
        <w:tab/>
      </w:r>
      <w:r>
        <w:t>Artikel 9 Abs. 1, Artikel 24 Abs. 1, Artikel 25 Abs. 1 und</w:t>
      </w:r>
    </w:p>
    <w:p>
      <w:pPr>
        <w:tabs>
          <w:tab w:pos="567" w:val="left"/>
        </w:tabs>
        <w:ind w:left="567" w:hanging="567"/>
      </w:pPr>
      <w:r>
        <w:t>2.</w:t>
      </w:r>
      <w:r>
        <w:tab/>
      </w:r>
      <w:r>
        <w:t>Artikel 6 Abs. 2 und 3</w:t>
      </w:r>
    </w:p>
    <w:p>
      <w:r>
        <w:t>der Verordnung (EG) Nr. 805/2004 sind die Gerichte, Behörden oder Notare zuständig, denen die Erteilung einer vollstreckbaren Ausfertigung des Titels obliegt.</w:t>
      </w:r>
    </w:p>
    <w:p>
      <w:pPr>
        <w:pStyle w:val="Heading4"/>
      </w:pPr>
      <w:bookmarkStart w:id="1121" w:name="b1120"/>
      <w:r>
        <w:t>§ 1080 Entscheidung</w:t>
      </w:r>
      <w:r>
        <w:t xml:space="preserve"> </w:t>
      </w:r>
      <w:r>
        <w:rPr>
          <w:rStyle w:val="Suchmarke"/>
        </w:rPr>
        <w:t>#1080#</w:t>
      </w:r>
      <w:bookmarkEnd w:id="1121"/>
    </w:p>
    <w:p>
      <w:r>
        <w:t xml:space="preserve">(1) </w:t>
      </w:r>
      <w:r>
        <w:rPr>
          <w:rStyle w:val="Satznummer"/>
        </w:rPr>
        <w:t>1</w:t>
      </w:r>
      <w:r>
        <w:t xml:space="preserve">Bestätigungen nach Artikel 9 Abs. 1, Artikel 24 Abs. 1, Artikel 25 Abs. 1 und Artikel 6 Abs. 3 der Verordnung (EG) Nr. 805/2004 sind ohne Anhörung des Schuldners auszustellen. </w:t>
      </w:r>
      <w:r>
        <w:rPr>
          <w:rStyle w:val="Satznummer"/>
        </w:rPr>
        <w:t>2</w:t>
      </w:r>
      <w:r>
        <w:t xml:space="preserve">Eine Ausfertigung der Bestätigung ist dem Schuldner von Amts wegen zuzustellen. </w:t>
      </w:r>
      <w:r>
        <w:rPr>
          <w:rStyle w:val="Satznummer"/>
        </w:rPr>
        <w:t>3</w:t>
      </w:r>
      <w:r>
        <w:t>Das gilt nicht, wenn die antragstellende Person Übermittlung an sich zur Zustellung im Parteibetrieb beantragt hat.</w:t>
      </w:r>
    </w:p>
    <w:p>
      <w:r>
        <w:t>(2) Wird der Antrag auf Ausstellung einer Bestätigung zurückgewiesen, so sind die Vorschriften über die Anfechtung der Entscheidung über die Erteilung einer Vollstreckungsklausel entsprechend anzuwenden.</w:t>
      </w:r>
    </w:p>
    <w:p>
      <w:pPr>
        <w:pStyle w:val="Heading4"/>
      </w:pPr>
      <w:bookmarkStart w:id="1122" w:name="b1121"/>
      <w:r>
        <w:t>§ 1081 Berichtigung und Widerruf</w:t>
      </w:r>
      <w:r>
        <w:t xml:space="preserve"> </w:t>
      </w:r>
      <w:r>
        <w:rPr>
          <w:rStyle w:val="Suchmarke"/>
        </w:rPr>
        <w:t>#1081#</w:t>
      </w:r>
      <w:bookmarkEnd w:id="1122"/>
    </w:p>
    <w:p>
      <w:r>
        <w:t xml:space="preserve">(1) </w:t>
      </w:r>
      <w:r>
        <w:rPr>
          <w:rStyle w:val="Satznummer"/>
        </w:rPr>
        <w:t>1</w:t>
      </w:r>
      <w:r>
        <w:t xml:space="preserve">Ein Antrag nach Artikel 10 Abs. 1 der Verordnung (EG) Nr. 805/2004 auf Berichtigung oder Widerruf einer gerichtlichen Bestätigung ist bei dem Gericht zu stellen, das die Bestätigung ausgestellt hat. </w:t>
      </w:r>
      <w:r>
        <w:rPr>
          <w:rStyle w:val="Satznummer"/>
        </w:rPr>
        <w:t>2</w:t>
      </w:r>
      <w:r>
        <w:t xml:space="preserve">Über den Antrag entscheidet dieses Gericht. </w:t>
      </w:r>
      <w:r>
        <w:rPr>
          <w:rStyle w:val="Satznummer"/>
        </w:rPr>
        <w:t>3</w:t>
      </w:r>
      <w:r>
        <w:t xml:space="preserve">Ein Antrag auf Berichtigung oder Widerruf einer notariellen oder behördlichen Bestätigung ist an die Stelle zu richten, die die Bestätigung ausgestellt hat. </w:t>
      </w:r>
      <w:r>
        <w:rPr>
          <w:rStyle w:val="Satznummer"/>
        </w:rPr>
        <w:t>4</w:t>
      </w:r>
      <w:r>
        <w:t>Die Notare oder Behörden leiten den Antrag unverzüglich dem Amtsgericht, in dessen Bezirk sie ihren Sitz haben, zur Entscheidung zu.</w:t>
      </w:r>
    </w:p>
    <w:p>
      <w:r>
        <w:t xml:space="preserve">(2) </w:t>
      </w:r>
      <w:r>
        <w:rPr>
          <w:rStyle w:val="Satznummer"/>
        </w:rPr>
        <w:t>1</w:t>
      </w:r>
      <w:r>
        <w:t xml:space="preserve">Der Antrag auf Widerruf durch den Schuldner ist nur binnen einer Frist von einem Monat zulässig. </w:t>
      </w:r>
      <w:r>
        <w:rPr>
          <w:rStyle w:val="Satznummer"/>
        </w:rPr>
        <w:t>2</w:t>
      </w:r>
      <w:r>
        <w:t xml:space="preserve">Ist die Bestätigung im Ausland zuzustellen, beträgt die Frist zwei Monate. </w:t>
      </w:r>
      <w:r>
        <w:rPr>
          <w:rStyle w:val="Satznummer"/>
        </w:rPr>
        <w:t>3</w:t>
      </w:r>
      <w:r>
        <w:t xml:space="preserve">Sie ist eine Notfrist und beginnt mit der Zustellung der Bestätigung, jedoch frühestens mit der Zustellung des Titels, auf den sich die Bestätigung bezieht. </w:t>
      </w:r>
      <w:r>
        <w:rPr>
          <w:rStyle w:val="Satznummer"/>
        </w:rPr>
        <w:t>4</w:t>
      </w:r>
      <w:r>
        <w:t>In dem Antrag auf Widerruf sind die Gründe darzulegen, weshalb die Bestätigung eindeutig zu Unrecht erteilt worden ist.</w:t>
      </w:r>
    </w:p>
    <w:p>
      <w:r>
        <w:t xml:space="preserve">(3) </w:t>
      </w:r>
      <w:hyperlink w:anchor="b365" w:history="1">
        <w:r>
          <w:rPr>
            <w:color w:val="0A3A8C"/>
            <w:u w:val="single"/>
          </w:rPr>
          <w:t xml:space="preserve">§ 319</w:t>
        </w:r>
      </w:hyperlink>
      <w:r>
        <w:t xml:space="preserve"> Abs. 2 und 3 ist auf die Berichtigung und den Widerruf entsprechend anzuwenden.</w:t>
      </w:r>
    </w:p>
    <w:p>
      <w:pPr>
        <w:pStyle w:val="Heading3"/>
      </w:pPr>
      <w:bookmarkStart w:id="1123" w:name="b1122"/>
      <w:r>
        <w:t>Titel 2 Zwangsvollstreckung aus Europäischen Vollstreckungstiteln im Inland</w:t>
      </w:r>
      <w:bookmarkEnd w:id="1123"/>
    </w:p>
    <w:p>
      <w:pPr>
        <w:pStyle w:val="Heading4"/>
      </w:pPr>
      <w:bookmarkStart w:id="1124" w:name="b1123"/>
      <w:r>
        <w:t>§ 1082 Vollstreckungstitel</w:t>
      </w:r>
      <w:r>
        <w:t xml:space="preserve"> </w:t>
      </w:r>
      <w:r>
        <w:rPr>
          <w:rStyle w:val="Suchmarke"/>
        </w:rPr>
        <w:t>#1082#</w:t>
      </w:r>
      <w:bookmarkEnd w:id="1124"/>
    </w:p>
    <w:p>
      <w:r>
        <w:t>Aus einem Titel, der in einem anderen Mitgliedstaat der Europäischen Union nach der Verordnung (EG) Nr. 805/2004 als Europäischer Vollstreckungstitel bestätigt worden ist, findet die Zwangsvollstreckung im Inland statt, ohne dass es einer Vollstreckungsklausel bedarf.</w:t>
      </w:r>
    </w:p>
    <w:p>
      <w:pPr>
        <w:pStyle w:val="Heading4"/>
      </w:pPr>
      <w:bookmarkStart w:id="1125" w:name="b1124"/>
      <w:r>
        <w:t>§ 1083 Übersetzung</w:t>
      </w:r>
      <w:r>
        <w:t xml:space="preserve"> </w:t>
      </w:r>
      <w:r>
        <w:rPr>
          <w:rStyle w:val="Suchmarke"/>
        </w:rPr>
        <w:t>#1083#</w:t>
      </w:r>
      <w:bookmarkEnd w:id="1125"/>
    </w:p>
    <w:p>
      <w:r>
        <w:t>Hat der Gläubiger nach Artikel 20 Abs. 2 Buchstabe c der Verordnung (EG) Nr. 805/2004 eine Übersetzung vorzulegen, so ist diese in deutscher Sprache zu verfassen und von einer hierzu in einem der Mitgliedstaaten der Europäischen Union befugten Person zu beglaubigen.</w:t>
      </w:r>
    </w:p>
    <w:p>
      <w:pPr>
        <w:pStyle w:val="Heading4"/>
      </w:pPr>
      <w:bookmarkStart w:id="1126" w:name="b1125"/>
      <w:r>
        <w:t>§ 1084 Anträge nach den Artikeln 21 und 23 der Verordnung (EG) Nr. 805/2004</w:t>
      </w:r>
      <w:r>
        <w:t xml:space="preserve"> </w:t>
      </w:r>
      <w:r>
        <w:rPr>
          <w:rStyle w:val="Suchmarke"/>
        </w:rPr>
        <w:t>#1084#</w:t>
      </w:r>
      <w:bookmarkEnd w:id="1126"/>
    </w:p>
    <w:p>
      <w:r>
        <w:t xml:space="preserve">(1) </w:t>
      </w:r>
      <w:r>
        <w:rPr>
          <w:rStyle w:val="Satznummer"/>
        </w:rPr>
        <w:t>1</w:t>
      </w:r>
      <w:r>
        <w:t xml:space="preserve">Für Anträge auf Verweigerung, Aussetzung oder Beschränkung der Zwangsvollstreckung nach den Artikeln 21 und 23 der Verordnung (EG) Nr. 805/2004 ist das Amtsgericht als Vollstreckungsgericht zuständig. </w:t>
      </w:r>
      <w:r>
        <w:rPr>
          <w:rStyle w:val="Satznummer"/>
        </w:rPr>
        <w:t>2</w:t>
      </w:r>
      <w:r>
        <w:t xml:space="preserve">Die Vorschriften des Buches 8 über die örtliche Zuständigkeit des Vollstreckungsgerichts sind entsprechend anzuwenden. </w:t>
      </w:r>
      <w:r>
        <w:rPr>
          <w:rStyle w:val="Satznummer"/>
        </w:rPr>
        <w:t>3</w:t>
      </w:r>
      <w:r>
        <w:t>Die Zuständigkeit nach den Sätzen 1 und 2 ist ausschließlich.</w:t>
      </w:r>
    </w:p>
    <w:p>
      <w:r>
        <w:t xml:space="preserve">(2) </w:t>
      </w:r>
      <w:r>
        <w:rPr>
          <w:rStyle w:val="Satznummer"/>
        </w:rPr>
        <w:t>1</w:t>
      </w:r>
      <w:r>
        <w:t xml:space="preserve">Die Entscheidung über den Antrag nach Artikel 21 der Verordnung (EG) Nr. 805/2004 ergeht durch Beschluss. </w:t>
      </w:r>
      <w:r>
        <w:rPr>
          <w:rStyle w:val="Satznummer"/>
        </w:rPr>
        <w:t>2</w:t>
      </w:r>
      <w:r>
        <w:t xml:space="preserve">Auf die Einstellung der Zwangsvollstreckung und die Aufhebung der bereits getroffenen Vollstreckungsmaßregeln sind </w:t>
      </w:r>
      <w:hyperlink w:anchor="b775" w:history="1">
        <w:r>
          <w:rPr>
            <w:color w:val="0A3A8C"/>
            <w:u w:val="single"/>
          </w:rPr>
          <w:t xml:space="preserve">§ 769</w:t>
        </w:r>
      </w:hyperlink>
      <w:r>
        <w:t xml:space="preserve"> Abs. 1 und 3 sowie </w:t>
      </w:r>
      <w:hyperlink w:anchor="b776" w:history="1">
        <w:r>
          <w:rPr>
            <w:color w:val="0A3A8C"/>
            <w:u w:val="single"/>
          </w:rPr>
          <w:t xml:space="preserve">§ 770</w:t>
        </w:r>
      </w:hyperlink>
      <w:r>
        <w:t xml:space="preserve"> entsprechend anzuwenden. </w:t>
      </w:r>
      <w:r>
        <w:rPr>
          <w:rStyle w:val="Satznummer"/>
        </w:rPr>
        <w:t>3</w:t>
      </w:r>
      <w:r>
        <w:t>Die Aufhebung einer Vollstreckungsmaßregel ist auch ohne Sicherheitsleistung zulässig.</w:t>
      </w:r>
    </w:p>
    <w:p>
      <w:r>
        <w:t xml:space="preserve">(3) </w:t>
      </w:r>
      <w:r>
        <w:rPr>
          <w:rStyle w:val="Satznummer"/>
        </w:rPr>
        <w:t>1</w:t>
      </w:r>
      <w:r>
        <w:t xml:space="preserve">Über den Antrag auf Aussetzung oder Beschränkung der Vollstreckung nach Artikel 23 der Verordnung (EG) Nr. 805/2004 wird durch einstweilige Anordnung entschieden. </w:t>
      </w:r>
      <w:r>
        <w:rPr>
          <w:rStyle w:val="Satznummer"/>
        </w:rPr>
        <w:t>2</w:t>
      </w:r>
      <w:r>
        <w:t>Die Entscheidung ist unanfechtbar.</w:t>
      </w:r>
    </w:p>
    <w:p>
      <w:pPr>
        <w:pStyle w:val="Heading4"/>
      </w:pPr>
      <w:bookmarkStart w:id="1127" w:name="b1126"/>
      <w:r>
        <w:t>§ 1085 Einstellung der Zwangsvollstreckung</w:t>
      </w:r>
      <w:r>
        <w:t xml:space="preserve"> </w:t>
      </w:r>
      <w:r>
        <w:rPr>
          <w:rStyle w:val="Suchmarke"/>
        </w:rPr>
        <w:t>#1085#</w:t>
      </w:r>
      <w:bookmarkEnd w:id="1127"/>
    </w:p>
    <w:p>
      <w:r>
        <w:t xml:space="preserve">Die Zwangsvollstreckung ist entsprechend den </w:t>
      </w:r>
      <w:hyperlink w:anchor="b781" w:history="1">
        <w:r>
          <w:rPr>
            <w:color w:val="0A3A8C"/>
            <w:u w:val="single"/>
          </w:rPr>
          <w:t xml:space="preserve">§§ 775</w:t>
        </w:r>
      </w:hyperlink>
      <w:r>
        <w:t xml:space="preserve"> und </w:t>
      </w:r>
      <w:hyperlink w:anchor="b782" w:history="1">
        <w:r>
          <w:rPr>
            <w:color w:val="0A3A8C"/>
            <w:u w:val="single"/>
          </w:rPr>
          <w:t xml:space="preserve">776</w:t>
        </w:r>
      </w:hyperlink>
      <w:r>
        <w:t xml:space="preserve"> auch dann einzustellen oder zu beschränken, wenn die Ausfertigung einer Bestätigung über die Nichtvollstreckbarkeit oder über die Beschränkung der Vollstreckbarkeit nach Artikel 6 Abs. 2 der Verordnung (EG) Nr. 805/2004 vorgelegt wird.</w:t>
      </w:r>
    </w:p>
    <w:p>
      <w:pPr>
        <w:pStyle w:val="Heading4"/>
      </w:pPr>
      <w:bookmarkStart w:id="1128" w:name="b1127"/>
      <w:r>
        <w:t>§ 1086 Vollstreckungsabwehrklage</w:t>
      </w:r>
      <w:r>
        <w:t xml:space="preserve"> </w:t>
      </w:r>
      <w:r>
        <w:rPr>
          <w:rStyle w:val="Suchmarke"/>
        </w:rPr>
        <w:t>#1086#</w:t>
      </w:r>
      <w:bookmarkEnd w:id="1128"/>
    </w:p>
    <w:p>
      <w:r>
        <w:t xml:space="preserve">(1) </w:t>
      </w:r>
      <w:r>
        <w:rPr>
          <w:rStyle w:val="Satznummer"/>
        </w:rPr>
        <w:t>1</w:t>
      </w:r>
      <w:r>
        <w:t xml:space="preserve">Für Klagen nach </w:t>
      </w:r>
      <w:hyperlink w:anchor="b803" w:history="1">
        <w:r>
          <w:rPr>
            <w:color w:val="0A3A8C"/>
            <w:u w:val="single"/>
          </w:rPr>
          <w:t xml:space="preserve">§ 795</w:t>
        </w:r>
      </w:hyperlink>
      <w:r>
        <w:t xml:space="preserve"> Satz 1 in Verbindung mit </w:t>
      </w:r>
      <w:hyperlink w:anchor="b773" w:history="1">
        <w:r>
          <w:rPr>
            <w:color w:val="0A3A8C"/>
            <w:u w:val="single"/>
          </w:rPr>
          <w:t xml:space="preserve">§ 767</w:t>
        </w:r>
      </w:hyperlink>
      <w:r>
        <w:t xml:space="preserve"> ist das Gericht ausschließlich örtlich zuständig, in dessen Bezirk der Schuldner seinen Wohnsitz hat, oder, wenn er im Inland keinen Wohnsitz hat, das Gericht, in dessen Bezirk die Zwangsvollstreckung stattfinden soll oder stattgefunden hat. </w:t>
      </w:r>
      <w:r>
        <w:rPr>
          <w:rStyle w:val="Satznummer"/>
        </w:rPr>
        <w:t>2</w:t>
      </w:r>
      <w:r>
        <w:t>Der Sitz von Gesellschaften oder juristischen Personen steht dem Wohnsitz gleich.</w:t>
      </w:r>
    </w:p>
    <w:p>
      <w:r>
        <w:t xml:space="preserve">(2) </w:t>
      </w:r>
      <w:hyperlink w:anchor="b773" w:history="1">
        <w:r>
          <w:rPr>
            <w:color w:val="0A3A8C"/>
            <w:u w:val="single"/>
          </w:rPr>
          <w:t xml:space="preserve">§ 767</w:t>
        </w:r>
      </w:hyperlink>
      <w:r>
        <w:t xml:space="preserve"> Abs. 2 ist entsprechend auf gerichtliche Vergleiche und öffentliche Urkunden anzuwenden.</w:t>
      </w:r>
    </w:p>
    <w:p>
      <w:pPr>
        <w:pStyle w:val="Heading2"/>
      </w:pPr>
      <w:bookmarkStart w:id="1129" w:name="b1128"/>
      <w:r>
        <w:t>Abschnitt 5 Europäisches Mahnverfahren nach der Verordnung (EG) Nr. 1896/2006</w:t>
      </w:r>
      <w:bookmarkEnd w:id="1129"/>
    </w:p>
    <w:p>
      <w:pPr>
        <w:pStyle w:val="Heading3"/>
      </w:pPr>
      <w:bookmarkStart w:id="1130" w:name="b1129"/>
      <w:r>
        <w:t>Titel 1 Allgemeine Vorschriften</w:t>
      </w:r>
      <w:bookmarkEnd w:id="1130"/>
    </w:p>
    <w:p>
      <w:pPr>
        <w:pStyle w:val="Heading4"/>
      </w:pPr>
      <w:bookmarkStart w:id="1131" w:name="b1130"/>
      <w:r>
        <w:t>§ 1087 Zuständigkeit</w:t>
      </w:r>
      <w:r>
        <w:t xml:space="preserve"> </w:t>
      </w:r>
      <w:r>
        <w:rPr>
          <w:rStyle w:val="Suchmarke"/>
        </w:rPr>
        <w:t>#1087#</w:t>
      </w:r>
      <w:bookmarkEnd w:id="1131"/>
    </w:p>
    <w:p>
      <w:r>
        <w:t>Für die Bearbeitung von Anträgen auf Erlass und Überprüfung sowie die Vollstreckbarerklärung eines Europäischen Zahlungsbefehls nach der Verordnung (EG) Nr. 1896/2006 ist das Amtsgericht Wedding in Berlin ausschließlich zuständig.</w:t>
      </w:r>
    </w:p>
    <w:p>
      <w:pPr>
        <w:pStyle w:val="Heading4"/>
      </w:pPr>
      <w:bookmarkStart w:id="1132" w:name="b1131"/>
      <w:r>
        <w:t>§ 1088 Maschinelle Bearbeitung</w:t>
      </w:r>
      <w:r>
        <w:t xml:space="preserve"> </w:t>
      </w:r>
      <w:r>
        <w:rPr>
          <w:rStyle w:val="Suchmarke"/>
        </w:rPr>
        <w:t>#1088#</w:t>
      </w:r>
      <w:bookmarkEnd w:id="1132"/>
    </w:p>
    <w:p>
      <w:r>
        <w:t xml:space="preserve">(1) </w:t>
      </w:r>
      <w:r>
        <w:rPr>
          <w:rStyle w:val="Satznummer"/>
        </w:rPr>
        <w:t>1</w:t>
      </w:r>
      <w:r>
        <w:t xml:space="preserve">Der Antrag auf Erlass des Europäischen Zahlungsbefehls und der Einspruch können in einer nur maschinell lesbaren Form bei Gericht eingereicht werden, wenn diese dem Gericht für seine maschinelle Bearbeitung geeignet erscheint. </w:t>
      </w:r>
      <w:r>
        <w:rPr>
          <w:rStyle w:val="Satznummer"/>
        </w:rPr>
        <w:t>2</w:t>
      </w:r>
      <w:hyperlink w:anchor="b163" w:history="1">
        <w:r>
          <w:rPr>
            <w:color w:val="0A3A8C"/>
            <w:u w:val="single"/>
          </w:rPr>
          <w:t xml:space="preserve">§ 130a</w:t>
        </w:r>
      </w:hyperlink>
      <w:r>
        <w:t xml:space="preserve"> Absatz 5 Satz 1 gilt entsprechend.</w:t>
      </w:r>
    </w:p>
    <w:p>
      <w:r>
        <w:t>(2) Der Senat des Landes Berlin bestimmt durch Rechtsverordnung, die nicht der Zustimmung des Bundesrates bedarf, den Zeitpunkt, in dem beim Amtsgericht Wedding die maschinelle Bearbeitung der Mahnverfahren eingeführt wird; er kann die Ermächtigung durch Rechtsverordnung auf die Senatsverwaltung für Justiz des Landes Berlin übertragen.</w:t>
      </w:r>
    </w:p>
    <w:p>
      <w:pPr>
        <w:pStyle w:val="Heading4"/>
      </w:pPr>
      <w:bookmarkStart w:id="1133" w:name="b1132"/>
      <w:r>
        <w:t>§ 1089 Zustellung</w:t>
      </w:r>
      <w:r>
        <w:t xml:space="preserve"> </w:t>
      </w:r>
      <w:r>
        <w:rPr>
          <w:rStyle w:val="Suchmarke"/>
        </w:rPr>
        <w:t>#1089#</w:t>
      </w:r>
      <w:bookmarkEnd w:id="1133"/>
    </w:p>
    <w:p>
      <w:r>
        <w:t xml:space="preserve">(1) </w:t>
      </w:r>
      <w:r>
        <w:rPr>
          <w:rStyle w:val="Satznummer"/>
        </w:rPr>
        <w:t>1</w:t>
      </w:r>
      <w:r>
        <w:t xml:space="preserve">Ist der Europäische Zahlungsbefehl im Inland zuzustellen, gelten die Vorschriften über das Verfahren bei Zustellungen von Amts wegen entsprechend. </w:t>
      </w:r>
      <w:r>
        <w:rPr>
          <w:rStyle w:val="Satznummer"/>
        </w:rPr>
        <w:t>2</w:t>
      </w:r>
      <w:r>
        <w:t xml:space="preserve">Die </w:t>
      </w:r>
      <w:hyperlink w:anchor="b226" w:history="1">
        <w:r>
          <w:rPr>
            <w:color w:val="0A3A8C"/>
            <w:u w:val="single"/>
          </w:rPr>
          <w:t xml:space="preserve">§§ 185</w:t>
        </w:r>
      </w:hyperlink>
      <w:r>
        <w:t xml:space="preserve"> bis </w:t>
      </w:r>
      <w:hyperlink w:anchor="b229" w:history="1">
        <w:r>
          <w:rPr>
            <w:color w:val="0A3A8C"/>
            <w:u w:val="single"/>
          </w:rPr>
          <w:t xml:space="preserve">188</w:t>
        </w:r>
      </w:hyperlink>
      <w:r>
        <w:t xml:space="preserve"> sind nicht anzuwenden.</w:t>
      </w:r>
    </w:p>
    <w:p>
      <w:r>
        <w:t xml:space="preserve">(2) Ist der Europäische Zahlungsbefehl in einem anderen Mitgliedstaat der Europäischen Union zuzustellen, gelten die Vorschriften der Verordnung (EU) 2020/1784 sowie für die Durchführung dieser Verordnung </w:t>
      </w:r>
      <w:hyperlink w:anchor="b1103" w:history="1">
        <w:r>
          <w:rPr>
            <w:color w:val="0A3A8C"/>
            <w:u w:val="single"/>
          </w:rPr>
          <w:t xml:space="preserve">§ 1067</w:t>
        </w:r>
      </w:hyperlink>
      <w:r>
        <w:t xml:space="preserve"> Absatz 1, </w:t>
      </w:r>
      <w:hyperlink w:anchor="b1105" w:history="1">
        <w:r>
          <w:rPr>
            <w:color w:val="0A3A8C"/>
            <w:u w:val="single"/>
          </w:rPr>
          <w:t xml:space="preserve">§ 1069</w:t>
        </w:r>
      </w:hyperlink>
      <w:r>
        <w:t xml:space="preserve"> Absatz 1 und </w:t>
      </w:r>
      <w:hyperlink w:anchor="b1106" w:history="1">
        <w:r>
          <w:rPr>
            <w:color w:val="0A3A8C"/>
            <w:u w:val="single"/>
          </w:rPr>
          <w:t xml:space="preserve">§ 1070</w:t>
        </w:r>
      </w:hyperlink>
      <w:r>
        <w:t xml:space="preserve"> entsprechend.</w:t>
      </w:r>
    </w:p>
    <w:p>
      <w:pPr>
        <w:pStyle w:val="Heading3"/>
      </w:pPr>
      <w:bookmarkStart w:id="1134" w:name="b1133"/>
      <w:r>
        <w:t>Titel 2 Einspruch gegen den Europäischen Zahlungsbefehl</w:t>
      </w:r>
      <w:bookmarkEnd w:id="1134"/>
    </w:p>
    <w:p>
      <w:pPr>
        <w:pStyle w:val="Heading4"/>
      </w:pPr>
      <w:bookmarkStart w:id="1135" w:name="b1134"/>
      <w:r>
        <w:t>§ 1090 Verfahren nach Einspruch</w:t>
      </w:r>
      <w:r>
        <w:t xml:space="preserve"> </w:t>
      </w:r>
      <w:r>
        <w:rPr>
          <w:rStyle w:val="Suchmarke"/>
        </w:rPr>
        <w:t>#1090#</w:t>
      </w:r>
      <w:bookmarkEnd w:id="1135"/>
    </w:p>
    <w:p>
      <w:r>
        <w:t xml:space="preserve">(1) </w:t>
      </w:r>
      <w:r>
        <w:rPr>
          <w:rStyle w:val="Satznummer"/>
        </w:rPr>
        <w:t>1</w:t>
      </w:r>
      <w:r>
        <w:t xml:space="preserve">Im Fall des Artikels 17 Abs. 1 der Verordnung (EG) Nr. 1896/2006 fordert das Gericht den Antragsteller mit der Mitteilung nach Artikel 17 Abs. 3 der Verordnung (EG) Nr. 1896/2006 auf, das Gericht zu bezeichnen, das für die Durchführung des streitigen Verfahrens zuständig ist. </w:t>
      </w:r>
      <w:r>
        <w:rPr>
          <w:rStyle w:val="Satznummer"/>
        </w:rPr>
        <w:t>2</w:t>
      </w:r>
      <w:r>
        <w:t xml:space="preserve">Das Gericht setzt dem Antragsteller hierfür eine nach den Umständen angemessene Frist und weist ihn darauf hin, dass dem für die Durchführung des streitigen Verfahrens bezeichneten Gericht die Prüfung seiner Zuständigkeit vorbehalten bleibt. </w:t>
      </w:r>
      <w:r>
        <w:rPr>
          <w:rStyle w:val="Satznummer"/>
        </w:rPr>
        <w:t>3</w:t>
      </w:r>
      <w:r>
        <w:t xml:space="preserve">Die Aufforderung ist dem Antragsgegner mitzuteilen. </w:t>
      </w:r>
      <w:r>
        <w:rPr>
          <w:rStyle w:val="Satznummer"/>
        </w:rPr>
        <w:t>4</w:t>
      </w:r>
      <w:r>
        <w:t xml:space="preserve">Für den Fall, dass der Antragsteller nicht innerhalb der ihm hierfür nach Satz 2 gesetzten Frist das für die Durchführung des streitigen Verfahrens zuständige Gericht benennt, ist der Europäische Zahlungsbefehl aufzuheben. </w:t>
      </w:r>
      <w:r>
        <w:rPr>
          <w:rStyle w:val="Satznummer"/>
        </w:rPr>
        <w:t>5</w:t>
      </w:r>
      <w:r>
        <w:t>Hierdurch endet das Verfahren nach der Verordnung (EG) Nr. 1896/2006.</w:t>
      </w:r>
    </w:p>
    <w:p>
      <w:r>
        <w:t xml:space="preserve">(2) </w:t>
      </w:r>
      <w:r>
        <w:rPr>
          <w:rStyle w:val="Satznummer"/>
        </w:rPr>
        <w:t>1</w:t>
      </w:r>
      <w:r>
        <w:t xml:space="preserve">Nach Eingang der Mitteilung des Antragstellers nach Absatz 1 Satz 1 gibt das Gericht, das den Europäischen Zahlungsbefehl erlassen hat, das Verfahren von Amts wegen an das vom Antragsteller bezeichnete Gericht ab. </w:t>
      </w:r>
      <w:r>
        <w:rPr>
          <w:rStyle w:val="Satznummer"/>
        </w:rPr>
        <w:t>2</w:t>
      </w:r>
      <w:hyperlink w:anchor="b688" w:history="1">
        <w:r>
          <w:rPr>
            <w:color w:val="0A3A8C"/>
            <w:u w:val="single"/>
          </w:rPr>
          <w:t xml:space="preserve">§ 696</w:t>
        </w:r>
      </w:hyperlink>
      <w:r>
        <w:t xml:space="preserve"> Abs. 1 Satz 3 bis 5, Abs. 2, 4 und 5 sowie </w:t>
      </w:r>
      <w:hyperlink w:anchor="b690" w:history="1">
        <w:r>
          <w:rPr>
            <w:color w:val="0A3A8C"/>
            <w:u w:val="single"/>
          </w:rPr>
          <w:t xml:space="preserve">§ 698</w:t>
        </w:r>
      </w:hyperlink>
      <w:r>
        <w:t xml:space="preserve"> gelten entsprechend.</w:t>
      </w:r>
    </w:p>
    <w:p>
      <w:r>
        <w:t>(3) Die Streitsache gilt als mit Zustellung des Europäischen Zahlungsbefehls rechtshängig geworden, wenn sie nach Übersendung der Aufforderung nach Absatz 1 Satz 1 und unter Berücksichtigung der Frist nach Absatz 1 Satz 2 alsbald abgegeben wird.</w:t>
      </w:r>
    </w:p>
    <w:p>
      <w:pPr>
        <w:pStyle w:val="Heading4"/>
      </w:pPr>
      <w:bookmarkStart w:id="1136" w:name="b1135"/>
      <w:r>
        <w:t>§ 1091 Einleitung des Streitverfahrens</w:t>
      </w:r>
      <w:r>
        <w:t xml:space="preserve"> </w:t>
      </w:r>
      <w:r>
        <w:rPr>
          <w:rStyle w:val="Suchmarke"/>
        </w:rPr>
        <w:t>#1091#</w:t>
      </w:r>
      <w:bookmarkEnd w:id="1136"/>
    </w:p>
    <w:p>
      <w:hyperlink w:anchor="b689" w:history="1">
        <w:r>
          <w:rPr>
            <w:color w:val="0A3A8C"/>
            <w:u w:val="single"/>
          </w:rPr>
          <w:t xml:space="preserve">§ 697</w:t>
        </w:r>
      </w:hyperlink>
      <w:r>
        <w:t xml:space="preserve"> Abs. 1 bis 3 gilt entsprechend.</w:t>
      </w:r>
    </w:p>
    <w:p>
      <w:pPr>
        <w:pStyle w:val="Heading3"/>
      </w:pPr>
      <w:bookmarkStart w:id="1137" w:name="b1136"/>
      <w:r>
        <w:t>Titel 3 Überprüfung des Europäischen Zahlungsbefehls in Ausnahmefällen</w:t>
      </w:r>
      <w:bookmarkEnd w:id="1137"/>
    </w:p>
    <w:p>
      <w:pPr>
        <w:pStyle w:val="Heading4"/>
      </w:pPr>
      <w:bookmarkStart w:id="1138" w:name="b1137"/>
      <w:r>
        <w:t>§ 1092 Verfahren</w:t>
      </w:r>
      <w:r>
        <w:t xml:space="preserve"> </w:t>
      </w:r>
      <w:r>
        <w:rPr>
          <w:rStyle w:val="Suchmarke"/>
        </w:rPr>
        <w:t>#1092#</w:t>
      </w:r>
      <w:bookmarkEnd w:id="1138"/>
    </w:p>
    <w:p>
      <w:r>
        <w:t xml:space="preserve">(1) </w:t>
      </w:r>
      <w:r>
        <w:rPr>
          <w:rStyle w:val="Satznummer"/>
        </w:rPr>
        <w:t>1</w:t>
      </w:r>
      <w:r>
        <w:t xml:space="preserve">Die Entscheidung über einen Antrag auf Überprüfung des Europäischen Zahlungsbefehls nach Artikel 20 Abs. 1 oder Abs. 2 der Verordnung (EG) Nr. 1896/2006 ergeht durch Beschluss. </w:t>
      </w:r>
      <w:r>
        <w:rPr>
          <w:rStyle w:val="Satznummer"/>
        </w:rPr>
        <w:t>2</w:t>
      </w:r>
      <w:r>
        <w:t>Der Beschluss ist unanfechtbar.</w:t>
      </w:r>
    </w:p>
    <w:p>
      <w:r>
        <w:t>(2) Der Antragsgegner hat die Tatsachen, die eine Aufhebung des Europäischen Zahlungsbefehls begründen, glaubhaft zu machen.</w:t>
      </w:r>
    </w:p>
    <w:p>
      <w:r>
        <w:t>(3) Erklärt das Gericht den Europäischen Zahlungsbefehl für nichtig, endet das Verfahren nach der Verordnung (EG) Nr. 1896/2006.</w:t>
      </w:r>
    </w:p>
    <w:p>
      <w:r>
        <w:t>(4) Eine Wiedereinsetzung in die Frist nach Artikel 16 Abs. 2 der Verordnung (EG) Nr. 1896/2006 findet nicht statt.</w:t>
      </w:r>
    </w:p>
    <w:p>
      <w:pPr>
        <w:pStyle w:val="Heading4"/>
      </w:pPr>
      <w:bookmarkStart w:id="1139" w:name="b1138"/>
      <w:r>
        <w:t>§ 1092a Rechtsbehelf bei Nichtzustellung oder bei nicht ordnungsgemäßer Zustellung des Europäischen Zahlungsbefehls</w:t>
      </w:r>
      <w:r>
        <w:t xml:space="preserve"> </w:t>
      </w:r>
      <w:r>
        <w:rPr>
          <w:rStyle w:val="Suchmarke"/>
        </w:rPr>
        <w:t>#1092a#</w:t>
      </w:r>
      <w:bookmarkEnd w:id="1139"/>
    </w:p>
    <w:p>
      <w:r>
        <w:t xml:space="preserve">(1) </w:t>
      </w:r>
      <w:r>
        <w:rPr>
          <w:rStyle w:val="Satznummer"/>
        </w:rPr>
        <w:t>1</w:t>
      </w:r>
      <w:r>
        <w:t>Der Antragsgegner kann die Aufhebung des Europäischen Zahlungsbefehls beantragen, wenn ihm der Europäische Zahlungsbefehl</w:t>
      </w:r>
    </w:p>
    <w:p>
      <w:pPr>
        <w:tabs>
          <w:tab w:pos="567" w:val="left"/>
        </w:tabs>
        <w:ind w:left="567" w:hanging="567"/>
      </w:pPr>
      <w:r>
        <w:t>1.</w:t>
      </w:r>
      <w:r>
        <w:tab/>
      </w:r>
      <w:r>
        <w:t>nicht zugestellt wurde oder</w:t>
      </w:r>
    </w:p>
    <w:p>
      <w:pPr>
        <w:tabs>
          <w:tab w:pos="567" w:val="left"/>
        </w:tabs>
        <w:ind w:left="567" w:hanging="567"/>
      </w:pPr>
      <w:r>
        <w:t>2.</w:t>
      </w:r>
      <w:r>
        <w:tab/>
      </w:r>
      <w:r>
        <w:t>in einer nicht den Anforderungen der Artikel 13 bis 15 der Verordnung (EG) Nr. 1896/2006 genügenden Weise zugestellt wurde.</w:t>
      </w:r>
    </w:p>
    <w:p>
      <w:r>
        <w:rPr>
          <w:rStyle w:val="Satznummer"/>
        </w:rPr>
        <w:t>2</w:t>
      </w:r>
      <w:r>
        <w:t xml:space="preserve">Der Antrag muss innerhalb eines Monats ab dem Zeitpunkt gestellt werden, zu dem der Antragsgegner Kenntnis vom Erlass des Europäischen Zahlungsbefehls oder des Zustellungsmangels gehabt hat oder hätte haben können. </w:t>
      </w:r>
      <w:r>
        <w:rPr>
          <w:rStyle w:val="Satznummer"/>
        </w:rPr>
        <w:t>3</w:t>
      </w:r>
      <w:r>
        <w:t>Gibt das Gericht dem Antrag aus einem der in Satz 1 genannten Gründe statt, wird der Europäische Zahlungsbefehl für nichtig erklärt.</w:t>
      </w:r>
    </w:p>
    <w:p>
      <w:r>
        <w:t xml:space="preserve">(2) </w:t>
      </w:r>
      <w:r>
        <w:rPr>
          <w:rStyle w:val="Satznummer"/>
        </w:rPr>
        <w:t>1</w:t>
      </w:r>
      <w:r>
        <w:t xml:space="preserve">Hat das Gericht zum Zeitpunkt der Antragstellung nach Absatz 1 Satz 1 den Europäischen Zahlungsbefehl bereits nach Artikel 18 der Verordnung (EG) Nr. 1896/2006 für vollstreckbar erklärt und gibt es dem Antrag nunmehr statt, so erklärt es die Zwangsvollstreckung aus dem Zahlungsbefehl für unzulässig. </w:t>
      </w:r>
      <w:r>
        <w:rPr>
          <w:rStyle w:val="Satznummer"/>
        </w:rPr>
        <w:t>2</w:t>
      </w:r>
      <w:r>
        <w:t>Absatz 1 Satz 3 gilt entsprechend.</w:t>
      </w:r>
    </w:p>
    <w:p>
      <w:r>
        <w:t xml:space="preserve">(3) </w:t>
      </w:r>
      <w:r>
        <w:rPr>
          <w:rStyle w:val="Satznummer"/>
        </w:rPr>
        <w:t>1</w:t>
      </w:r>
      <w:r>
        <w:t xml:space="preserve">Die Entscheidung ergeht durch Beschluss. </w:t>
      </w:r>
      <w:r>
        <w:rPr>
          <w:rStyle w:val="Satznummer"/>
        </w:rPr>
        <w:t>2</w:t>
      </w:r>
      <w:r>
        <w:t xml:space="preserve">Der Beschluss ist unanfechtbar. </w:t>
      </w:r>
      <w:r>
        <w:rPr>
          <w:rStyle w:val="Satznummer"/>
        </w:rPr>
        <w:t>3</w:t>
      </w:r>
      <w:hyperlink w:anchor="b1137" w:history="1">
        <w:r>
          <w:rPr>
            <w:color w:val="0A3A8C"/>
            <w:u w:val="single"/>
          </w:rPr>
          <w:t xml:space="preserve">§ 1092</w:t>
        </w:r>
      </w:hyperlink>
      <w:r>
        <w:t xml:space="preserve"> Absatz 2 bis 4 findet entsprechende Anwendung.</w:t>
      </w:r>
    </w:p>
    <w:p>
      <w:pPr>
        <w:pStyle w:val="Heading3"/>
      </w:pPr>
      <w:bookmarkStart w:id="1140" w:name="b1139"/>
      <w:r>
        <w:t>Titel 4 Zwangsvollstreckung aus dem Europäischen Zahlungsbefehl</w:t>
      </w:r>
      <w:bookmarkEnd w:id="1140"/>
    </w:p>
    <w:p>
      <w:pPr>
        <w:pStyle w:val="Heading4"/>
      </w:pPr>
      <w:bookmarkStart w:id="1141" w:name="b1140"/>
      <w:r>
        <w:t>§ 1093 Vollstreckungsklausel</w:t>
      </w:r>
      <w:r>
        <w:t xml:space="preserve"> </w:t>
      </w:r>
      <w:r>
        <w:rPr>
          <w:rStyle w:val="Suchmarke"/>
        </w:rPr>
        <w:t>#1093#</w:t>
      </w:r>
      <w:bookmarkEnd w:id="1141"/>
    </w:p>
    <w:p>
      <w:r>
        <w:t>Aus einem nach der Verordnung (EG) Nr. 1896/2006 erlassenen und für vollstreckbar erklärten Europäischen Zahlungsbefehl findet die Zwangsvollstreckung im Inland statt, ohne dass es einer Vollstreckungsklausel bedarf.</w:t>
      </w:r>
    </w:p>
    <w:p>
      <w:pPr>
        <w:pStyle w:val="Heading4"/>
      </w:pPr>
      <w:bookmarkStart w:id="1142" w:name="b1141"/>
      <w:r>
        <w:t>§ 1094 Übersetzung</w:t>
      </w:r>
      <w:r>
        <w:t xml:space="preserve"> </w:t>
      </w:r>
      <w:r>
        <w:rPr>
          <w:rStyle w:val="Suchmarke"/>
        </w:rPr>
        <w:t>#1094#</w:t>
      </w:r>
      <w:bookmarkEnd w:id="1142"/>
    </w:p>
    <w:p>
      <w:r>
        <w:t>Hat der Gläubiger nach Artikel 21 Abs. 2 Buchstabe b der Verordnung (EG) Nr. 1896/2006 eine Übersetzung vorzulegen, so ist diese in deutscher Sprache zu verfassen und von einer in einem der Mitgliedstaaten der Europäischen Union hierzu befugten Person zu beglaubigen.</w:t>
      </w:r>
    </w:p>
    <w:p>
      <w:pPr>
        <w:pStyle w:val="Heading4"/>
      </w:pPr>
      <w:bookmarkStart w:id="1143" w:name="b1142"/>
      <w:r>
        <w:t>§ 1095 Vollstreckungsschutz und Vollstreckungsabwehrklage gegen den im Inland erlassenen Europäischen Zahlungsbefehl</w:t>
      </w:r>
      <w:r>
        <w:t xml:space="preserve"> </w:t>
      </w:r>
      <w:r>
        <w:rPr>
          <w:rStyle w:val="Suchmarke"/>
        </w:rPr>
        <w:t>#1095#</w:t>
      </w:r>
      <w:bookmarkEnd w:id="1143"/>
    </w:p>
    <w:p>
      <w:r>
        <w:t xml:space="preserve">(1) </w:t>
      </w:r>
      <w:r>
        <w:rPr>
          <w:rStyle w:val="Satznummer"/>
        </w:rPr>
        <w:t>1</w:t>
      </w:r>
      <w:r>
        <w:t xml:space="preserve">Wird die Überprüfung eines im Inland erlassenen Europäischen Zahlungsbefehls nach Artikel 20 der Verordnung (EG) Nr. 1896/2006 oder dessen Aufhebung nach </w:t>
      </w:r>
      <w:hyperlink w:anchor="b1138" w:history="1">
        <w:r>
          <w:rPr>
            <w:color w:val="0A3A8C"/>
            <w:u w:val="single"/>
          </w:rPr>
          <w:t xml:space="preserve">§ 1092a</w:t>
        </w:r>
      </w:hyperlink>
      <w:r>
        <w:t xml:space="preserve"> beantragt, gilt </w:t>
      </w:r>
      <w:hyperlink w:anchor="b705" w:history="1">
        <w:r>
          <w:rPr>
            <w:color w:val="0A3A8C"/>
            <w:u w:val="single"/>
          </w:rPr>
          <w:t xml:space="preserve">§ 707</w:t>
        </w:r>
      </w:hyperlink>
      <w:r>
        <w:t xml:space="preserve"> entsprechend. </w:t>
      </w:r>
      <w:r>
        <w:rPr>
          <w:rStyle w:val="Satznummer"/>
        </w:rPr>
        <w:t>2</w:t>
      </w:r>
      <w:r>
        <w:t xml:space="preserve">Für die Entscheidung über den Antrag nach </w:t>
      </w:r>
      <w:hyperlink w:anchor="b705" w:history="1">
        <w:r>
          <w:rPr>
            <w:color w:val="0A3A8C"/>
            <w:u w:val="single"/>
          </w:rPr>
          <w:t xml:space="preserve">§ 707</w:t>
        </w:r>
      </w:hyperlink>
      <w:r>
        <w:t xml:space="preserve"> ist das Gericht zuständig, das über den Antrag nach Artikel 20 der Verordnung (EG) Nr. 1896/2006 entscheidet.</w:t>
      </w:r>
    </w:p>
    <w:p>
      <w:r>
        <w:t>(2) Einwendungen, die den Anspruch selbst betreffen, sind nur insoweit zulässig, als die Gründe, auf denen sie beruhen, nach Zustellung des Europäischen Zahlungsbefehls entstanden sind und durch Einspruch nach Artikel 16 der Verordnung (EG) Nr. 1896/2006 nicht mehr geltend gemacht werden können.</w:t>
      </w:r>
    </w:p>
    <w:p>
      <w:pPr>
        <w:pStyle w:val="Heading4"/>
      </w:pPr>
      <w:bookmarkStart w:id="1144" w:name="b1143"/>
      <w:r>
        <w:t>§ 1096 Anträge nach den Artikeln 22 und 23 der Verordnung (EG) Nr. 1896/2006; Vollstreckungsabwehrklage</w:t>
      </w:r>
      <w:r>
        <w:t xml:space="preserve"> </w:t>
      </w:r>
      <w:r>
        <w:rPr>
          <w:rStyle w:val="Suchmarke"/>
        </w:rPr>
        <w:t>#1096#</w:t>
      </w:r>
      <w:bookmarkEnd w:id="1144"/>
    </w:p>
    <w:p>
      <w:r>
        <w:t xml:space="preserve">(1) </w:t>
      </w:r>
      <w:r>
        <w:rPr>
          <w:rStyle w:val="Satznummer"/>
        </w:rPr>
        <w:t>1</w:t>
      </w:r>
      <w:r>
        <w:t xml:space="preserve">Für Anträge auf Verweigerung der Zwangsvollstreckung nach Artikel 22 Abs. 1 der Verordnung (EG) Nr. 1896/2006 gilt </w:t>
      </w:r>
      <w:hyperlink w:anchor="b1125" w:history="1">
        <w:r>
          <w:rPr>
            <w:color w:val="0A3A8C"/>
            <w:u w:val="single"/>
          </w:rPr>
          <w:t xml:space="preserve">§ 1084</w:t>
        </w:r>
      </w:hyperlink>
      <w:r>
        <w:t xml:space="preserve"> Abs. 1 und 2 entsprechend. </w:t>
      </w:r>
      <w:r>
        <w:rPr>
          <w:rStyle w:val="Satznummer"/>
        </w:rPr>
        <w:t>2</w:t>
      </w:r>
      <w:r>
        <w:t xml:space="preserve">Für Anträge auf Aussetzung oder Beschränkung der Zwangsvollstreckung nach Artikel 23 der Verordnung (EG) Nr. 1896/2006 ist </w:t>
      </w:r>
      <w:hyperlink w:anchor="b1125" w:history="1">
        <w:r>
          <w:rPr>
            <w:color w:val="0A3A8C"/>
            <w:u w:val="single"/>
          </w:rPr>
          <w:t xml:space="preserve">§ 1084</w:t>
        </w:r>
      </w:hyperlink>
      <w:r>
        <w:t xml:space="preserve"> Abs. 1 und 3 entsprechend anzuwenden.</w:t>
      </w:r>
    </w:p>
    <w:p>
      <w:r>
        <w:t xml:space="preserve">(2) </w:t>
      </w:r>
      <w:r>
        <w:rPr>
          <w:rStyle w:val="Satznummer"/>
        </w:rPr>
        <w:t>1</w:t>
      </w:r>
      <w:r>
        <w:t xml:space="preserve">Für Anträge auf Verweigerung der Zwangsvollstreckung nach Artikel 22 Abs. 2 der Verordnung (EG) Nr. 1896/2006 gilt </w:t>
      </w:r>
      <w:hyperlink w:anchor="b1127" w:history="1">
        <w:r>
          <w:rPr>
            <w:color w:val="0A3A8C"/>
            <w:u w:val="single"/>
          </w:rPr>
          <w:t xml:space="preserve">§ 1086</w:t>
        </w:r>
      </w:hyperlink>
      <w:r>
        <w:t xml:space="preserve"> Abs. 1 entsprechend. </w:t>
      </w:r>
      <w:r>
        <w:rPr>
          <w:rStyle w:val="Satznummer"/>
        </w:rPr>
        <w:t>2</w:t>
      </w:r>
      <w:r>
        <w:t xml:space="preserve">Für Klagen nach </w:t>
      </w:r>
      <w:hyperlink w:anchor="b803" w:history="1">
        <w:r>
          <w:rPr>
            <w:color w:val="0A3A8C"/>
            <w:u w:val="single"/>
          </w:rPr>
          <w:t xml:space="preserve">§ 795</w:t>
        </w:r>
      </w:hyperlink>
      <w:r>
        <w:t xml:space="preserve"> Satz 1 in Verbindung mit </w:t>
      </w:r>
      <w:hyperlink w:anchor="b773" w:history="1">
        <w:r>
          <w:rPr>
            <w:color w:val="0A3A8C"/>
            <w:u w:val="single"/>
          </w:rPr>
          <w:t xml:space="preserve">§ 767</w:t>
        </w:r>
      </w:hyperlink>
      <w:r>
        <w:t xml:space="preserve"> sind </w:t>
      </w:r>
      <w:hyperlink w:anchor="b1127" w:history="1">
        <w:r>
          <w:rPr>
            <w:color w:val="0A3A8C"/>
            <w:u w:val="single"/>
          </w:rPr>
          <w:t xml:space="preserve">§ 1086</w:t>
        </w:r>
      </w:hyperlink>
      <w:r>
        <w:t xml:space="preserve"> Abs. 1 und </w:t>
      </w:r>
      <w:hyperlink w:anchor="b1142" w:history="1">
        <w:r>
          <w:rPr>
            <w:color w:val="0A3A8C"/>
            <w:u w:val="single"/>
          </w:rPr>
          <w:t xml:space="preserve">§ 1095</w:t>
        </w:r>
      </w:hyperlink>
      <w:r>
        <w:t xml:space="preserve"> Abs. 2 entsprechend anzuwenden.</w:t>
      </w:r>
    </w:p>
    <w:p>
      <w:pPr>
        <w:pStyle w:val="Heading2"/>
      </w:pPr>
      <w:bookmarkStart w:id="1145" w:name="b1144"/>
      <w:r>
        <w:t>Abschnitt 6 Europäisches Verfahren für geringfügige Forderungen nach der Verordnung (EG) Nr. 861/2007</w:t>
      </w:r>
      <w:bookmarkEnd w:id="1145"/>
    </w:p>
    <w:p>
      <w:pPr>
        <w:pStyle w:val="Heading3"/>
      </w:pPr>
      <w:bookmarkStart w:id="1146" w:name="b1145"/>
      <w:r>
        <w:t>Titel 1 Erkenntnisverfahren</w:t>
      </w:r>
      <w:bookmarkEnd w:id="1146"/>
    </w:p>
    <w:p>
      <w:pPr>
        <w:pStyle w:val="Heading4"/>
      </w:pPr>
      <w:bookmarkStart w:id="1147" w:name="b1146"/>
      <w:r>
        <w:t>§ 1097 Einleitung und Durchführung des Verfahrens</w:t>
      </w:r>
      <w:r>
        <w:t xml:space="preserve"> </w:t>
      </w:r>
      <w:r>
        <w:rPr>
          <w:rStyle w:val="Suchmarke"/>
        </w:rPr>
        <w:t>#1097#</w:t>
      </w:r>
      <w:bookmarkEnd w:id="1147"/>
    </w:p>
    <w:p>
      <w:r>
        <w:t xml:space="preserve">(1) Die Formblätter gemäß der Verordnung (EG) Nr. 861/2007 und andere Anträge oder Erklärungen können als Schriftsatz, als Telekopie oder nach Maßgabe des </w:t>
      </w:r>
      <w:hyperlink w:anchor="b163" w:history="1">
        <w:r>
          <w:rPr>
            <w:color w:val="0A3A8C"/>
            <w:u w:val="single"/>
          </w:rPr>
          <w:t xml:space="preserve">§ 130a</w:t>
        </w:r>
      </w:hyperlink>
      <w:r>
        <w:t xml:space="preserve"> als elektronisches Dokument bei Gericht eingereicht werden.</w:t>
      </w:r>
    </w:p>
    <w:p>
      <w:r>
        <w:t>(2) Im Fall des Artikels 4 Abs. 3 der Verordnung (EG) Nr. 861/2007 wird das Verfahren über die Klage ohne Anwendung der Vorschriften der Verordnung (EG) Nr. 861/2007 fortgeführt.</w:t>
      </w:r>
    </w:p>
    <w:p>
      <w:pPr>
        <w:pStyle w:val="Heading4"/>
      </w:pPr>
      <w:bookmarkStart w:id="1148" w:name="b1147"/>
      <w:r>
        <w:t>§ 1098 Annahmeverweigerung auf Grund der verwendeten Sprache</w:t>
      </w:r>
      <w:r>
        <w:t xml:space="preserve"> </w:t>
      </w:r>
      <w:r>
        <w:rPr>
          <w:rStyle w:val="Suchmarke"/>
        </w:rPr>
        <w:t>#1098#</w:t>
      </w:r>
      <w:bookmarkEnd w:id="1148"/>
    </w:p>
    <w:p>
      <w:r>
        <w:rPr>
          <w:rStyle w:val="Satznummer"/>
        </w:rPr>
        <w:t>1</w:t>
      </w:r>
      <w:r>
        <w:t xml:space="preserve">Die Frist zur Erklärung der Annahmeverweigerung nach Artikel 6 Abs. 3 der Verordnung (EG) Nr. 861/2007 beträgt eine Woche. </w:t>
      </w:r>
      <w:r>
        <w:rPr>
          <w:rStyle w:val="Satznummer"/>
        </w:rPr>
        <w:t>2</w:t>
      </w:r>
      <w:r>
        <w:t xml:space="preserve">Sie ist eine Notfrist und beginnt mit der Zustellung des Schriftstücks. </w:t>
      </w:r>
      <w:r>
        <w:rPr>
          <w:rStyle w:val="Satznummer"/>
        </w:rPr>
        <w:t>3</w:t>
      </w:r>
      <w:r>
        <w:t>Der Empfänger ist über die Folgen einer Versäumung der Frist zu belehren.</w:t>
      </w:r>
    </w:p>
    <w:p>
      <w:pPr>
        <w:pStyle w:val="Heading4"/>
      </w:pPr>
      <w:bookmarkStart w:id="1149" w:name="b1148"/>
      <w:r>
        <w:t>§ 1099 Widerklage</w:t>
      </w:r>
      <w:r>
        <w:t xml:space="preserve"> </w:t>
      </w:r>
      <w:r>
        <w:rPr>
          <w:rStyle w:val="Suchmarke"/>
        </w:rPr>
        <w:t>#1099#</w:t>
      </w:r>
      <w:bookmarkEnd w:id="1149"/>
    </w:p>
    <w:p>
      <w:r>
        <w:t>(1) Eine Widerklage, die nicht den Vorschriften der Verordnung (EG) Nr. 861/2007 entspricht, ist außer im Fall des Artikels 5 Abs. 7 Satz 1 der Verordnung (EG) Nr. 861/2007 als unzulässig abzuweisen.</w:t>
      </w:r>
    </w:p>
    <w:p>
      <w:r>
        <w:t xml:space="preserve">(2) </w:t>
      </w:r>
      <w:r>
        <w:rPr>
          <w:rStyle w:val="Satznummer"/>
        </w:rPr>
        <w:t>1</w:t>
      </w:r>
      <w:r>
        <w:t xml:space="preserve">Im Fall des Artikels 5 Abs. 7 Satz 1 der Verordnung (EG) Nr. 861/2007 wird das Verfahren über die Klage und die Widerklage ohne Anwendung der Vorschriften der Verordnung (EG) Nr. 861/2007 fortgeführt. </w:t>
      </w:r>
      <w:r>
        <w:rPr>
          <w:rStyle w:val="Satznummer"/>
        </w:rPr>
        <w:t>2</w:t>
      </w:r>
      <w:r>
        <w:t>Das Verfahren wird in der Lage übernommen, in der es sich zur Zeit der Erhebung der Widerklage befunden hat.</w:t>
      </w:r>
    </w:p>
    <w:p>
      <w:pPr>
        <w:pStyle w:val="Heading4"/>
      </w:pPr>
      <w:bookmarkStart w:id="1150" w:name="b1149"/>
      <w:r>
        <w:t>§ 1100 Mündliche Verhandlung</w:t>
      </w:r>
      <w:r>
        <w:t xml:space="preserve"> </w:t>
      </w:r>
      <w:r>
        <w:rPr>
          <w:rStyle w:val="Suchmarke"/>
        </w:rPr>
        <w:t>#1100#</w:t>
      </w:r>
      <w:bookmarkEnd w:id="1150"/>
    </w:p>
    <w:p>
      <w:r>
        <w:t xml:space="preserve">(1) Im Fall einer Videoverhandlung nach Artikel 8 der Verordnung (EG) Nr. 861/2007 ist nur </w:t>
      </w:r>
      <w:hyperlink w:anchor="b159" w:history="1">
        <w:r>
          <w:rPr>
            <w:color w:val="0A3A8C"/>
            <w:u w:val="single"/>
          </w:rPr>
          <w:t xml:space="preserve">§ 128a</w:t>
        </w:r>
      </w:hyperlink>
      <w:r>
        <w:t xml:space="preserve"> Absatz 6 anwendbar.</w:t>
      </w:r>
    </w:p>
    <w:p>
      <w:r>
        <w:t>(2) Die Bestimmung eines frühen ersten Termins zur mündlichen Verhandlung (</w:t>
      </w:r>
      <w:hyperlink w:anchor="b309" w:history="1">
        <w:r>
          <w:rPr>
            <w:color w:val="0A3A8C"/>
            <w:u w:val="single"/>
          </w:rPr>
          <w:t xml:space="preserve">§ 275</w:t>
        </w:r>
      </w:hyperlink>
      <w:r>
        <w:t>) ist ausgeschlossen.</w:t>
      </w:r>
    </w:p>
    <w:p>
      <w:pPr>
        <w:pStyle w:val="Heading4"/>
      </w:pPr>
      <w:bookmarkStart w:id="1151" w:name="b1150"/>
      <w:r>
        <w:t>§ 1101 Beweisaufnahme</w:t>
      </w:r>
      <w:r>
        <w:t xml:space="preserve"> </w:t>
      </w:r>
      <w:r>
        <w:rPr>
          <w:rStyle w:val="Suchmarke"/>
        </w:rPr>
        <w:t>#1101#</w:t>
      </w:r>
      <w:bookmarkEnd w:id="1151"/>
    </w:p>
    <w:p>
      <w:r>
        <w:t>(1) Das Gericht kann die Beweise in der ihm geeignet erscheinenden Art aufnehmen, soweit Artikel 9 Abs. 2 bis 4 der Verordnung (EG) Nr. 861/2007 nichts anderes bestimmt.</w:t>
      </w:r>
    </w:p>
    <w:p>
      <w:r>
        <w:t xml:space="preserve">(2) Im Fall einer Beweisaufnahme per Bild- und Tonübertragung nach Artikel 9 Absatz 1 Satz 2 der Verordnung (EG) Nr. 861/2007 ist nur </w:t>
      </w:r>
      <w:hyperlink w:anchor="b320" w:history="1">
        <w:r>
          <w:rPr>
            <w:color w:val="0A3A8C"/>
            <w:u w:val="single"/>
          </w:rPr>
          <w:t xml:space="preserve">§ 284</w:t>
        </w:r>
      </w:hyperlink>
      <w:r>
        <w:t xml:space="preserve"> Absatz 2 Satz 3 in Verbindung mit </w:t>
      </w:r>
      <w:hyperlink w:anchor="b159" w:history="1">
        <w:r>
          <w:rPr>
            <w:color w:val="0A3A8C"/>
            <w:u w:val="single"/>
          </w:rPr>
          <w:t xml:space="preserve">§ 128a</w:t>
        </w:r>
      </w:hyperlink>
      <w:r>
        <w:t xml:space="preserve"> Absatz 6 und </w:t>
      </w:r>
      <w:hyperlink w:anchor="b320" w:history="1">
        <w:r>
          <w:rPr>
            <w:color w:val="0A3A8C"/>
            <w:u w:val="single"/>
          </w:rPr>
          <w:t xml:space="preserve">§ 284</w:t>
        </w:r>
      </w:hyperlink>
      <w:r>
        <w:t xml:space="preserve"> Absatz 3 anwendbar.</w:t>
      </w:r>
    </w:p>
    <w:p>
      <w:pPr>
        <w:pStyle w:val="Heading4"/>
      </w:pPr>
      <w:bookmarkStart w:id="1152" w:name="b1151"/>
      <w:r>
        <w:t>§ 1102 Urteil</w:t>
      </w:r>
      <w:r>
        <w:t xml:space="preserve"> </w:t>
      </w:r>
      <w:r>
        <w:rPr>
          <w:rStyle w:val="Suchmarke"/>
        </w:rPr>
        <w:t>#1102#</w:t>
      </w:r>
      <w:bookmarkEnd w:id="1152"/>
    </w:p>
    <w:p>
      <w:r>
        <w:rPr>
          <w:rStyle w:val="Satznummer"/>
        </w:rPr>
        <w:t>1</w:t>
      </w:r>
      <w:r>
        <w:t xml:space="preserve">Urteile bedürfen keiner Verkündung. </w:t>
      </w:r>
      <w:r>
        <w:rPr>
          <w:rStyle w:val="Satznummer"/>
        </w:rPr>
        <w:t>2</w:t>
      </w:r>
      <w:r>
        <w:t>Die Verkündung eines Urteils wird durch die Zustellung ersetzt.</w:t>
      </w:r>
    </w:p>
    <w:p>
      <w:pPr>
        <w:pStyle w:val="Heading4"/>
      </w:pPr>
      <w:bookmarkStart w:id="1153" w:name="b1152"/>
      <w:r>
        <w:t>§ 1103 Säumnis</w:t>
      </w:r>
      <w:r>
        <w:t xml:space="preserve"> </w:t>
      </w:r>
      <w:r>
        <w:rPr>
          <w:rStyle w:val="Suchmarke"/>
        </w:rPr>
        <w:t>#1103#</w:t>
      </w:r>
      <w:bookmarkEnd w:id="1153"/>
    </w:p>
    <w:p>
      <w:r>
        <w:rPr>
          <w:rStyle w:val="Satznummer"/>
        </w:rPr>
        <w:t>1</w:t>
      </w:r>
      <w:r>
        <w:t xml:space="preserve">Äußert sich eine Partei binnen der für sie geltenden Frist nicht oder erscheint sie nicht zur mündlichen Verhandlung, kann das Gericht eine Entscheidung nach Lage der Akten erlassen. </w:t>
      </w:r>
      <w:r>
        <w:rPr>
          <w:rStyle w:val="Satznummer"/>
        </w:rPr>
        <w:t>2</w:t>
      </w:r>
      <w:hyperlink w:anchor="b281" w:history="1">
        <w:r>
          <w:rPr>
            <w:color w:val="0A3A8C"/>
            <w:u w:val="single"/>
          </w:rPr>
          <w:t xml:space="preserve">§ 251a</w:t>
        </w:r>
      </w:hyperlink>
      <w:r>
        <w:t xml:space="preserve"> ist nicht anzuwenden.</w:t>
      </w:r>
    </w:p>
    <w:p>
      <w:pPr>
        <w:pStyle w:val="Heading4"/>
      </w:pPr>
      <w:bookmarkStart w:id="1154" w:name="b1153"/>
      <w:r>
        <w:t>§ 1104 Abhilfe bei unverschuldeter Säumnis des Beklagten</w:t>
      </w:r>
      <w:r>
        <w:t xml:space="preserve"> </w:t>
      </w:r>
      <w:r>
        <w:rPr>
          <w:rStyle w:val="Suchmarke"/>
        </w:rPr>
        <w:t>#1104#</w:t>
      </w:r>
      <w:bookmarkEnd w:id="1154"/>
    </w:p>
    <w:p>
      <w:r>
        <w:t xml:space="preserve">(1) </w:t>
      </w:r>
      <w:r>
        <w:rPr>
          <w:rStyle w:val="Satznummer"/>
        </w:rPr>
        <w:t>1</w:t>
      </w:r>
      <w:r>
        <w:t xml:space="preserve">Liegen die Voraussetzungen des Artikels 18 Abs. 1 und 2 der Verordnung (EG) Nr. 861/2007 vor, wird das Verfahren fortgeführt; es wird in die Lage zurückversetzt, in der es sich vor Erlass des Urteils befand. </w:t>
      </w:r>
      <w:r>
        <w:rPr>
          <w:rStyle w:val="Satznummer"/>
        </w:rPr>
        <w:t>2</w:t>
      </w:r>
      <w:r>
        <w:t>Auf Antrag stellt das Gericht die Nichtigkeit des Urteils durch Beschluss fest.</w:t>
      </w:r>
    </w:p>
    <w:p>
      <w:r>
        <w:t>(2) Der Beklagte hat die tatsächlichen Voraussetzungen des Artikels 18 Abs. 1 und 2 der Verordnung (EG) Nr. 861/2007 glaubhaft zu machen.</w:t>
      </w:r>
    </w:p>
    <w:p>
      <w:pPr>
        <w:pStyle w:val="Heading4"/>
      </w:pPr>
      <w:bookmarkStart w:id="1155" w:name="b1154"/>
      <w:r>
        <w:t>§ 1104a Gemeinsame Gerichte</w:t>
      </w:r>
      <w:r>
        <w:t xml:space="preserve"> </w:t>
      </w:r>
      <w:r>
        <w:rPr>
          <w:rStyle w:val="Suchmarke"/>
        </w:rPr>
        <w:t>#1104a#</w:t>
      </w:r>
      <w:bookmarkEnd w:id="1155"/>
    </w:p>
    <w:p>
      <w:r>
        <w:rPr>
          <w:rStyle w:val="Satznummer"/>
        </w:rPr>
        <w:t>1</w:t>
      </w:r>
      <w:r>
        <w:t xml:space="preserve">Die Landesregierungen werden ermächtigt, durch Rechtsverordnung einem Amtsgericht für die Bezirke mehrerer Amtsgerichte und einem Landgericht für die Bezirke mehrerer Landgerichte die Angelegenheiten in europäischen Verfahren für geringfügige Forderungen nach der Verordnung (EG) Nr. 861/2007 zuzuweisen, wenn dies der sachlichen Förderung der Verfahren dient. </w:t>
      </w:r>
      <w:r>
        <w:rPr>
          <w:rStyle w:val="Satznummer"/>
        </w:rPr>
        <w:t>2</w:t>
      </w:r>
      <w:r>
        <w:t>Die Landesregierungen können die Ermächtigung auf die Landesjustizverwaltungen übertragen.</w:t>
      </w:r>
    </w:p>
    <w:p>
      <w:pPr>
        <w:pStyle w:val="Heading3"/>
      </w:pPr>
      <w:bookmarkStart w:id="1156" w:name="b1155"/>
      <w:r>
        <w:t>Titel 2 Zwangsvollstreckung</w:t>
      </w:r>
      <w:bookmarkEnd w:id="1156"/>
    </w:p>
    <w:p>
      <w:pPr>
        <w:pStyle w:val="Heading4"/>
      </w:pPr>
      <w:bookmarkStart w:id="1157" w:name="b1156"/>
      <w:r>
        <w:t>§ 1105 Zwangsvollstreckung inländischer Titel</w:t>
      </w:r>
      <w:r>
        <w:t xml:space="preserve"> </w:t>
      </w:r>
      <w:r>
        <w:rPr>
          <w:rStyle w:val="Suchmarke"/>
        </w:rPr>
        <w:t>#1105#</w:t>
      </w:r>
      <w:bookmarkEnd w:id="1157"/>
    </w:p>
    <w:p>
      <w:r>
        <w:t xml:space="preserve">(1) </w:t>
      </w:r>
      <w:r>
        <w:rPr>
          <w:rStyle w:val="Satznummer"/>
        </w:rPr>
        <w:t>1</w:t>
      </w:r>
      <w:r>
        <w:t xml:space="preserve">Urteile sind für vorläufig vollstreckbar ohne Sicherheitsleistung zu erklären. </w:t>
      </w:r>
      <w:r>
        <w:rPr>
          <w:rStyle w:val="Satznummer"/>
        </w:rPr>
        <w:t>2</w:t>
      </w:r>
      <w:r>
        <w:t xml:space="preserve">Die </w:t>
      </w:r>
      <w:hyperlink w:anchor="b710" w:history="1">
        <w:r>
          <w:rPr>
            <w:color w:val="0A3A8C"/>
            <w:u w:val="single"/>
          </w:rPr>
          <w:t xml:space="preserve">§§ 712</w:t>
        </w:r>
      </w:hyperlink>
      <w:r>
        <w:t xml:space="preserve"> und </w:t>
      </w:r>
      <w:hyperlink w:anchor="b717" w:history="1">
        <w:r>
          <w:rPr>
            <w:color w:val="0A3A8C"/>
            <w:u w:val="single"/>
          </w:rPr>
          <w:t xml:space="preserve">719</w:t>
        </w:r>
      </w:hyperlink>
      <w:r>
        <w:t xml:space="preserve"> Abs. 1 Satz 1 in Verbindung mit </w:t>
      </w:r>
      <w:hyperlink w:anchor="b705" w:history="1">
        <w:r>
          <w:rPr>
            <w:color w:val="0A3A8C"/>
            <w:u w:val="single"/>
          </w:rPr>
          <w:t xml:space="preserve">§ 707</w:t>
        </w:r>
      </w:hyperlink>
      <w:r>
        <w:t xml:space="preserve"> sind nicht anzuwenden.</w:t>
      </w:r>
    </w:p>
    <w:p>
      <w:r>
        <w:t xml:space="preserve">(2) </w:t>
      </w:r>
      <w:r>
        <w:rPr>
          <w:rStyle w:val="Satznummer"/>
        </w:rPr>
        <w:t>1</w:t>
      </w:r>
      <w:r>
        <w:t xml:space="preserve">Für Anträge auf Beschränkung der Zwangsvollstreckung nach Artikel 15 Abs. 2 in Verbindung mit Artikel 23 der Verordnung (EG) Nr. 861/2007 ist das Gericht der Hauptsache zuständig. </w:t>
      </w:r>
      <w:r>
        <w:rPr>
          <w:rStyle w:val="Satznummer"/>
        </w:rPr>
        <w:t>2</w:t>
      </w:r>
      <w:r>
        <w:t xml:space="preserve">Die Entscheidung ergeht im Wege einstweiliger Anordnung. </w:t>
      </w:r>
      <w:r>
        <w:rPr>
          <w:rStyle w:val="Satznummer"/>
        </w:rPr>
        <w:t>3</w:t>
      </w:r>
      <w:r>
        <w:t xml:space="preserve">Sie ist unanfechtbar. </w:t>
      </w:r>
      <w:r>
        <w:rPr>
          <w:rStyle w:val="Satznummer"/>
        </w:rPr>
        <w:t>4</w:t>
      </w:r>
      <w:r>
        <w:t>Die tatsächlichen Voraussetzungen des Artikels 23 der Verordnung (EG) Nr. 861/2007 sind glaubhaft zu machen.</w:t>
      </w:r>
    </w:p>
    <w:p>
      <w:pPr>
        <w:pStyle w:val="Heading4"/>
      </w:pPr>
      <w:bookmarkStart w:id="1158" w:name="b1157"/>
      <w:r>
        <w:t>§ 1106 Bestätigung inländischer Titel</w:t>
      </w:r>
      <w:r>
        <w:t xml:space="preserve"> </w:t>
      </w:r>
      <w:r>
        <w:rPr>
          <w:rStyle w:val="Suchmarke"/>
        </w:rPr>
        <w:t>#1106#</w:t>
      </w:r>
      <w:bookmarkEnd w:id="1158"/>
    </w:p>
    <w:p>
      <w:r>
        <w:t>(1) Für die Ausstellung der Bestätigung nach Artikel 20 Abs. 2 der Verordnung (EG) Nr. 861/2007 ist das Gericht zuständig, dem die Erteilung einer vollstreckbaren Ausfertigung des Titels obliegt.</w:t>
      </w:r>
    </w:p>
    <w:p>
      <w:r>
        <w:t xml:space="preserve">(2) </w:t>
      </w:r>
      <w:r>
        <w:rPr>
          <w:rStyle w:val="Satznummer"/>
        </w:rPr>
        <w:t>1</w:t>
      </w:r>
      <w:r>
        <w:t xml:space="preserve">Vor Ausfertigung der Bestätigung ist der Schuldner anzuhören. </w:t>
      </w:r>
      <w:r>
        <w:rPr>
          <w:rStyle w:val="Satznummer"/>
        </w:rPr>
        <w:t>2</w:t>
      </w:r>
      <w:r>
        <w:t>Wird der Antrag auf Ausstellung einer Bestätigung zurückgewiesen, so sind die Vorschriften über die Anfechtung der Entscheidung über die Erteilung einer Vollstreckungsklausel entsprechend anzuwenden.</w:t>
      </w:r>
    </w:p>
    <w:p>
      <w:pPr>
        <w:pStyle w:val="Heading4"/>
      </w:pPr>
      <w:bookmarkStart w:id="1159" w:name="b1158"/>
      <w:r>
        <w:t>§ 1107 Ausländische Vollstreckungstitel</w:t>
      </w:r>
      <w:r>
        <w:t xml:space="preserve"> </w:t>
      </w:r>
      <w:r>
        <w:rPr>
          <w:rStyle w:val="Suchmarke"/>
        </w:rPr>
        <w:t>#1107#</w:t>
      </w:r>
      <w:bookmarkEnd w:id="1159"/>
    </w:p>
    <w:p>
      <w:r>
        <w:t>Aus einem Titel, der in einem Mitgliedstaat der Europäischen Union nach der Verordnung (EG) Nr. 861/2007 ergangen ist, findet die Zwangsvollstreckung im Inland statt, ohne dass es einer Vollstreckungsklausel bedarf.</w:t>
      </w:r>
    </w:p>
    <w:p>
      <w:pPr>
        <w:pStyle w:val="Heading4"/>
      </w:pPr>
      <w:bookmarkStart w:id="1160" w:name="b1159"/>
      <w:r>
        <w:t>§ 1108 Übersetzung</w:t>
      </w:r>
      <w:r>
        <w:t xml:space="preserve"> </w:t>
      </w:r>
      <w:r>
        <w:rPr>
          <w:rStyle w:val="Suchmarke"/>
        </w:rPr>
        <w:t>#1108#</w:t>
      </w:r>
      <w:bookmarkEnd w:id="1160"/>
    </w:p>
    <w:p>
      <w:r>
        <w:t>Hat der Gläubiger nach Artikel 21 Abs. 2 Buchstabe b der Verordnung (EG) Nr. 861/2007 eine Übersetzung vorzulegen, so ist diese in deutscher Sprache zu verfassen und von einer in einem der Mitgliedstaaten der Europäischen Union hierzu befugten Person zu erstellen.</w:t>
      </w:r>
    </w:p>
    <w:p>
      <w:pPr>
        <w:pStyle w:val="Heading4"/>
      </w:pPr>
      <w:bookmarkStart w:id="1161" w:name="b1160"/>
      <w:r>
        <w:t>§ 1109 Anträge nach den Artikeln 22 und 23 der Verordnung (EG) Nr. 861/2007; Vollstreckungsabwehrklage</w:t>
      </w:r>
      <w:r>
        <w:t xml:space="preserve"> </w:t>
      </w:r>
      <w:r>
        <w:rPr>
          <w:rStyle w:val="Suchmarke"/>
        </w:rPr>
        <w:t>#1109#</w:t>
      </w:r>
      <w:bookmarkEnd w:id="1161"/>
    </w:p>
    <w:p>
      <w:r>
        <w:t xml:space="preserve">(1) </w:t>
      </w:r>
      <w:r>
        <w:rPr>
          <w:rStyle w:val="Satznummer"/>
        </w:rPr>
        <w:t>1</w:t>
      </w:r>
      <w:r>
        <w:t xml:space="preserve">Auf Anträge nach Artikel 22 der Verordnung (EG) Nr. 861/2007 ist </w:t>
      </w:r>
      <w:hyperlink w:anchor="b1125" w:history="1">
        <w:r>
          <w:rPr>
            <w:color w:val="0A3A8C"/>
            <w:u w:val="single"/>
          </w:rPr>
          <w:t xml:space="preserve">§ 1084</w:t>
        </w:r>
      </w:hyperlink>
      <w:r>
        <w:t xml:space="preserve"> Abs. 1 und 2 entsprechend anzuwenden. </w:t>
      </w:r>
      <w:r>
        <w:rPr>
          <w:rStyle w:val="Satznummer"/>
        </w:rPr>
        <w:t>2</w:t>
      </w:r>
      <w:r>
        <w:t xml:space="preserve">Auf Anträge nach Artikel 23 der Verordnung (EG) Nr. 861/2007 ist </w:t>
      </w:r>
      <w:hyperlink w:anchor="b1125" w:history="1">
        <w:r>
          <w:rPr>
            <w:color w:val="0A3A8C"/>
            <w:u w:val="single"/>
          </w:rPr>
          <w:t xml:space="preserve">§ 1084</w:t>
        </w:r>
      </w:hyperlink>
      <w:r>
        <w:t xml:space="preserve"> Abs. 1 und 3 entsprechend anzuwenden.</w:t>
      </w:r>
    </w:p>
    <w:p>
      <w:r>
        <w:t xml:space="preserve">(2) </w:t>
      </w:r>
      <w:hyperlink w:anchor="b1127" w:history="1">
        <w:r>
          <w:rPr>
            <w:color w:val="0A3A8C"/>
            <w:u w:val="single"/>
          </w:rPr>
          <w:t xml:space="preserve">§ 1086</w:t>
        </w:r>
      </w:hyperlink>
      <w:r>
        <w:t xml:space="preserve"> gilt entsprechend.</w:t>
      </w:r>
    </w:p>
    <w:p>
      <w:pPr>
        <w:pStyle w:val="Heading2"/>
      </w:pPr>
      <w:bookmarkStart w:id="1162" w:name="b1161"/>
      <w:r>
        <w:t>Abschnitt 7 Anerkennung und Vollstreckung nach der Verordnung (EU) Nr. 1215/2012</w:t>
      </w:r>
      <w:bookmarkEnd w:id="1162"/>
    </w:p>
    <w:p>
      <w:pPr>
        <w:pStyle w:val="Heading3"/>
      </w:pPr>
      <w:bookmarkStart w:id="1163" w:name="b1162"/>
      <w:r>
        <w:t>Titel 1 Bescheinigung über inländische Titel</w:t>
      </w:r>
      <w:bookmarkEnd w:id="1163"/>
    </w:p>
    <w:p>
      <w:pPr>
        <w:pStyle w:val="Heading4"/>
      </w:pPr>
      <w:bookmarkStart w:id="1164" w:name="b1163"/>
      <w:r>
        <w:t>§ 1110 Zuständigkeit</w:t>
      </w:r>
      <w:r>
        <w:t xml:space="preserve"> </w:t>
      </w:r>
      <w:r>
        <w:rPr>
          <w:rStyle w:val="Suchmarke"/>
        </w:rPr>
        <w:t>#1110#</w:t>
      </w:r>
      <w:bookmarkEnd w:id="1164"/>
    </w:p>
    <w:p>
      <w:r>
        <w:t>Für die Ausstellung der Bescheinigung nach den Artikeln 53 und 60 der Verordnung (EU) Nr. 1215/2012 sind die Gerichte oder Notare zuständig, denen die Erteilung einer vollstreckbaren Ausfertigung des Titels obliegt.</w:t>
      </w:r>
    </w:p>
    <w:p>
      <w:pPr>
        <w:pStyle w:val="Heading4"/>
      </w:pPr>
      <w:bookmarkStart w:id="1165" w:name="b1164"/>
      <w:r>
        <w:t>§ 1111 Verfahren</w:t>
      </w:r>
      <w:r>
        <w:t xml:space="preserve"> </w:t>
      </w:r>
      <w:r>
        <w:rPr>
          <w:rStyle w:val="Suchmarke"/>
        </w:rPr>
        <w:t>#1111#</w:t>
      </w:r>
      <w:bookmarkEnd w:id="1165"/>
    </w:p>
    <w:p>
      <w:r>
        <w:t xml:space="preserve">(1) </w:t>
      </w:r>
      <w:r>
        <w:rPr>
          <w:rStyle w:val="Satznummer"/>
        </w:rPr>
        <w:t>1</w:t>
      </w:r>
      <w:r>
        <w:t xml:space="preserve">Bescheinigungen nach den Artikeln 53 und 60 der Verordnung (EU) Nr. 1215/2012 sind ohne Anhörung des Schuldners auszustellen. </w:t>
      </w:r>
      <w:r>
        <w:rPr>
          <w:rStyle w:val="Satznummer"/>
        </w:rPr>
        <w:t>2</w:t>
      </w:r>
      <w:r>
        <w:t xml:space="preserve">In den Fällen des </w:t>
      </w:r>
      <w:hyperlink w:anchor="b725" w:history="1">
        <w:r>
          <w:rPr>
            <w:color w:val="0A3A8C"/>
            <w:u w:val="single"/>
          </w:rPr>
          <w:t xml:space="preserve">§ 726</w:t>
        </w:r>
      </w:hyperlink>
      <w:r>
        <w:t xml:space="preserve"> Absatz 1 und der </w:t>
      </w:r>
      <w:hyperlink w:anchor="b726" w:history="1">
        <w:r>
          <w:rPr>
            <w:color w:val="0A3A8C"/>
            <w:u w:val="single"/>
          </w:rPr>
          <w:t xml:space="preserve">§§ 727</w:t>
        </w:r>
      </w:hyperlink>
      <w:r>
        <w:t xml:space="preserve"> bis </w:t>
      </w:r>
      <w:hyperlink w:anchor="b728" w:history="1">
        <w:r>
          <w:rPr>
            <w:color w:val="0A3A8C"/>
            <w:u w:val="single"/>
          </w:rPr>
          <w:t xml:space="preserve">729</w:t>
        </w:r>
      </w:hyperlink>
      <w:r>
        <w:t xml:space="preserve"> kann der Schuldner vor der Ausstellung der Bescheinigung gehört werden. </w:t>
      </w:r>
      <w:r>
        <w:rPr>
          <w:rStyle w:val="Satznummer"/>
        </w:rPr>
        <w:t>3</w:t>
      </w:r>
      <w:r>
        <w:t xml:space="preserve">Eine Ausfertigung der Bescheinigung ist dem Schuldner von Amts wegen zuzustellen. </w:t>
      </w:r>
      <w:r>
        <w:rPr>
          <w:rStyle w:val="Satznummer"/>
        </w:rPr>
        <w:t>4</w:t>
      </w:r>
      <w:r>
        <w:t>Das gilt nicht, wenn die antragstellende Person Übermittlung an sich zur Zustellung im Parteibetrieb beantragt hat.</w:t>
      </w:r>
    </w:p>
    <w:p>
      <w:r>
        <w:t>(2) Für die Anfechtbarkeit der Entscheidung über die Ausstellung der Bescheinigung nach Absatz 1 gelten die Vorschriften über die Anfechtbarkeit der Entscheidung über die Erteilung der Vollstreckungsklausel entsprechend.</w:t>
      </w:r>
    </w:p>
    <w:p>
      <w:pPr>
        <w:pStyle w:val="Heading3"/>
      </w:pPr>
      <w:bookmarkStart w:id="1166" w:name="b1165"/>
      <w:r>
        <w:t>Titel 2 Anerkennung und Vollstreckung ausländischer Titel im Inland</w:t>
      </w:r>
      <w:bookmarkEnd w:id="1166"/>
    </w:p>
    <w:p>
      <w:pPr>
        <w:pStyle w:val="Heading4"/>
      </w:pPr>
      <w:bookmarkStart w:id="1167" w:name="b1166"/>
      <w:r>
        <w:t>§ 1112 Entbehrlichkeit der Vollstreckungsklausel</w:t>
      </w:r>
      <w:r>
        <w:t xml:space="preserve"> </w:t>
      </w:r>
      <w:r>
        <w:rPr>
          <w:rStyle w:val="Suchmarke"/>
        </w:rPr>
        <w:t>#1112#</w:t>
      </w:r>
      <w:bookmarkEnd w:id="1167"/>
    </w:p>
    <w:p>
      <w:r>
        <w:t>Aus einem Titel, der in einem anderen Mitgliedstaat der Europäischen Union vollstreckbar ist, findet die Zwangsvollstreckung im Inland statt, ohne dass es einer Vollstreckungsklausel bedarf.</w:t>
      </w:r>
    </w:p>
    <w:p>
      <w:pPr>
        <w:pStyle w:val="Heading4"/>
      </w:pPr>
      <w:bookmarkStart w:id="1168" w:name="b1167"/>
      <w:r>
        <w:t>§ 1113 Übersetzung oder Transliteration</w:t>
      </w:r>
      <w:r>
        <w:t xml:space="preserve"> </w:t>
      </w:r>
      <w:r>
        <w:rPr>
          <w:rStyle w:val="Suchmarke"/>
        </w:rPr>
        <w:t>#1113#</w:t>
      </w:r>
      <w:bookmarkEnd w:id="1168"/>
    </w:p>
    <w:p>
      <w:r>
        <w:t>Hat eine Partei nach Artikel 57 der Verordnung (EU) Nr. 1215/2012 eine Übersetzung oder eine Transliteration vorzulegen, so ist diese in deutscher Sprache abzufassen und von einer in einem Mitgliedstaat der Europäischen Union hierzu befugten Person zu erstellen.</w:t>
      </w:r>
    </w:p>
    <w:p>
      <w:pPr>
        <w:pStyle w:val="Heading4"/>
      </w:pPr>
      <w:bookmarkStart w:id="1169" w:name="b1168"/>
      <w:r>
        <w:t>§ 1114 Anfechtung der Anpassung eines Titels</w:t>
      </w:r>
      <w:r>
        <w:t xml:space="preserve"> </w:t>
      </w:r>
      <w:r>
        <w:rPr>
          <w:rStyle w:val="Suchmarke"/>
        </w:rPr>
        <w:t>#1114#</w:t>
      </w:r>
      <w:bookmarkEnd w:id="1169"/>
    </w:p>
    <w:p>
      <w:r>
        <w:t>Für die Anfechtung der Anpassung eines Titels (Artikel 54 der Verordnung (EU) Nr. 1215/2012) sind folgende Rechtsgrundlagen entsprechend anzuwenden:</w:t>
      </w:r>
    </w:p>
    <w:p>
      <w:pPr>
        <w:tabs>
          <w:tab w:pos="567" w:val="left"/>
        </w:tabs>
        <w:ind w:left="567" w:hanging="567"/>
      </w:pPr>
      <w:r>
        <w:t>1.</w:t>
      </w:r>
      <w:r>
        <w:tab/>
      </w:r>
      <w:r>
        <w:t xml:space="preserve">im Fall von Maßnahmen des Gerichtsvollziehers oder des Vollstreckungsgerichts </w:t>
      </w:r>
      <w:hyperlink w:anchor="b772" w:history="1">
        <w:r>
          <w:rPr>
            <w:color w:val="0A3A8C"/>
            <w:u w:val="single"/>
          </w:rPr>
          <w:t xml:space="preserve">§ 766</w:t>
        </w:r>
      </w:hyperlink>
      <w:r>
        <w:t>,</w:t>
      </w:r>
    </w:p>
    <w:p>
      <w:pPr>
        <w:tabs>
          <w:tab w:pos="567" w:val="left"/>
        </w:tabs>
        <w:ind w:left="567" w:hanging="567"/>
      </w:pPr>
      <w:r>
        <w:t>2.</w:t>
      </w:r>
      <w:r>
        <w:tab/>
      </w:r>
      <w:r>
        <w:t xml:space="preserve">im Fall von Entscheidungen des Vollstreckungsgerichts oder von Vollstreckungsmaßnahmen des Prozessgerichts </w:t>
      </w:r>
      <w:hyperlink w:anchor="b800" w:history="1">
        <w:r>
          <w:rPr>
            <w:color w:val="0A3A8C"/>
            <w:u w:val="single"/>
          </w:rPr>
          <w:t xml:space="preserve">§ 793</w:t>
        </w:r>
      </w:hyperlink>
      <w:r>
        <w:t xml:space="preserve"> und</w:t>
      </w:r>
    </w:p>
    <w:p>
      <w:pPr>
        <w:tabs>
          <w:tab w:pos="567" w:val="left"/>
        </w:tabs>
        <w:ind w:left="567" w:hanging="567"/>
      </w:pPr>
      <w:r>
        <w:t>3.</w:t>
      </w:r>
      <w:r>
        <w:tab/>
      </w:r>
      <w:r>
        <w:t>im Fall von Vollstreckungsmaßnahmen des Grundbuchamts § 71 der Grundbuchordnung.</w:t>
      </w:r>
    </w:p>
    <w:p>
      <w:pPr>
        <w:pStyle w:val="Heading4"/>
      </w:pPr>
      <w:bookmarkStart w:id="1170" w:name="b1169"/>
      <w:r>
        <w:t>§ 1115 Versagung der Anerkennung oder der Vollstreckung</w:t>
      </w:r>
      <w:r>
        <w:t xml:space="preserve"> </w:t>
      </w:r>
      <w:r>
        <w:rPr>
          <w:rStyle w:val="Suchmarke"/>
        </w:rPr>
        <w:t>#1115#</w:t>
      </w:r>
      <w:bookmarkEnd w:id="1170"/>
    </w:p>
    <w:p>
      <w:r>
        <w:t>(1) Für Anträge auf Versagung der Anerkennung oder der Vollstreckung (Artikel 45 Absatz 4 und Artikel 47 Absatz 1 der Verordnung (EU) Nr. 1215/2012) ist das Landgericht ausschließlich zuständig.</w:t>
      </w:r>
    </w:p>
    <w:p>
      <w:r>
        <w:t xml:space="preserve">(2) </w:t>
      </w:r>
      <w:r>
        <w:rPr>
          <w:rStyle w:val="Satznummer"/>
        </w:rPr>
        <w:t>1</w:t>
      </w:r>
      <w:r>
        <w:t xml:space="preserve">Örtlich zuständig ist ausschließlich das Landgericht, in dessen Bezirk der Schuldner seinen Wohnsitz hat. </w:t>
      </w:r>
      <w:r>
        <w:rPr>
          <w:rStyle w:val="Satznummer"/>
        </w:rPr>
        <w:t>2</w:t>
      </w:r>
      <w:r>
        <w:t xml:space="preserve">Hat der Schuldner im Inland keinen Wohnsitz, ist ausschließlich das Landgericht zuständig, in dessen Bezirk die Zwangsvollstreckung durchgeführt werden soll. </w:t>
      </w:r>
      <w:r>
        <w:rPr>
          <w:rStyle w:val="Satznummer"/>
        </w:rPr>
        <w:t>3</w:t>
      </w:r>
      <w:r>
        <w:t>Der Sitz von Gesellschaften und juristischen Personen steht dem Wohnsitz gleich.</w:t>
      </w:r>
    </w:p>
    <w:p>
      <w:r>
        <w:t>(3) Der Antrag auf Versagung kann bei dem zuständigen Landgericht schriftlich eingereicht oder mündlich zu Protokoll der Geschäftsstelle erklärt werden.</w:t>
      </w:r>
    </w:p>
    <w:p>
      <w:r>
        <w:t xml:space="preserve">(4) </w:t>
      </w:r>
      <w:r>
        <w:rPr>
          <w:rStyle w:val="Satznummer"/>
        </w:rPr>
        <w:t>1</w:t>
      </w:r>
      <w:r>
        <w:t xml:space="preserve">Über den Antrag auf Versagung entscheidet der Vorsitzende einer Zivilkammer durch Beschluss. </w:t>
      </w:r>
      <w:r>
        <w:rPr>
          <w:rStyle w:val="Satznummer"/>
        </w:rPr>
        <w:t>2</w:t>
      </w:r>
      <w:r>
        <w:t xml:space="preserve">Der Beschluss ist zu begründen und kann ohne mündliche Verhandlung ergehen. </w:t>
      </w:r>
      <w:r>
        <w:rPr>
          <w:rStyle w:val="Satznummer"/>
        </w:rPr>
        <w:t>3</w:t>
      </w:r>
      <w:r>
        <w:t>Der Antragsgegner ist vor der Entscheidung zu hören.</w:t>
      </w:r>
    </w:p>
    <w:p>
      <w:r>
        <w:t xml:space="preserve">(5) </w:t>
      </w:r>
      <w:r>
        <w:rPr>
          <w:rStyle w:val="Satznummer"/>
        </w:rPr>
        <w:t>1</w:t>
      </w:r>
      <w:r>
        <w:t xml:space="preserve">Gegen die Entscheidung findet die sofortige Beschwerde statt. </w:t>
      </w:r>
      <w:r>
        <w:rPr>
          <w:rStyle w:val="Satznummer"/>
        </w:rPr>
        <w:t>2</w:t>
      </w:r>
      <w:r>
        <w:t xml:space="preserve">Die Notfrist des </w:t>
      </w:r>
      <w:hyperlink w:anchor="b625" w:history="1">
        <w:r>
          <w:rPr>
            <w:color w:val="0A3A8C"/>
            <w:u w:val="single"/>
          </w:rPr>
          <w:t xml:space="preserve">§ 569</w:t>
        </w:r>
      </w:hyperlink>
      <w:r>
        <w:t xml:space="preserve"> Absatz 1 Satz 1 beträgt einen Monat und beginnt mit der Zustellung der Entscheidung. </w:t>
      </w:r>
      <w:r>
        <w:rPr>
          <w:rStyle w:val="Satznummer"/>
        </w:rPr>
        <w:t>3</w:t>
      </w:r>
      <w:r>
        <w:t>Gegen den Beschluss des Beschwerdegerichts findet die Rechtsbeschwerde statt.</w:t>
      </w:r>
    </w:p>
    <w:p>
      <w:r>
        <w:t xml:space="preserve">(6) </w:t>
      </w:r>
      <w:r>
        <w:rPr>
          <w:rStyle w:val="Satznummer"/>
        </w:rPr>
        <w:t>1</w:t>
      </w:r>
      <w:r>
        <w:t xml:space="preserve">Über den Antrag auf Aussetzung oder Beschränkung der Vollstreckung und den Antrag, die Vollstreckung von der Leistung einer Sicherheit abhängig zu machen (Artikel 44 Absatz 1 der Verordnung (EU) Nr. 1215/2012), wird durch einstweilige Anordnung entschieden. </w:t>
      </w:r>
      <w:r>
        <w:rPr>
          <w:rStyle w:val="Satznummer"/>
        </w:rPr>
        <w:t>2</w:t>
      </w:r>
      <w:r>
        <w:t>Die Entscheidung ist unanfechtbar.</w:t>
      </w:r>
    </w:p>
    <w:p>
      <w:pPr>
        <w:pStyle w:val="Heading4"/>
      </w:pPr>
      <w:bookmarkStart w:id="1171" w:name="b1170"/>
      <w:r>
        <w:t>§ 1116 Wegfall oder Beschränkung der Vollstreckbarkeit im Ursprungsmitgliedstaat</w:t>
      </w:r>
      <w:r>
        <w:t xml:space="preserve"> </w:t>
      </w:r>
      <w:r>
        <w:rPr>
          <w:rStyle w:val="Suchmarke"/>
        </w:rPr>
        <w:t>#1116#</w:t>
      </w:r>
      <w:bookmarkEnd w:id="1171"/>
    </w:p>
    <w:p>
      <w:r>
        <w:rPr>
          <w:rStyle w:val="Satznummer"/>
        </w:rPr>
        <w:t>1</w:t>
      </w:r>
      <w:r>
        <w:t xml:space="preserve">Auf Antrag des Schuldners (Artikel 44 Absatz 2 der Verordnung (EU) Nr. 1215/2012) ist die Zwangsvollstreckung entsprechend </w:t>
      </w:r>
      <w:hyperlink w:anchor="b781" w:history="1">
        <w:r>
          <w:rPr>
            <w:color w:val="0A3A8C"/>
            <w:u w:val="single"/>
          </w:rPr>
          <w:t xml:space="preserve">§ 775</w:t>
        </w:r>
      </w:hyperlink>
      <w:r>
        <w:t xml:space="preserve"> Nummer 1 und 2 und </w:t>
      </w:r>
      <w:hyperlink w:anchor="b782" w:history="1">
        <w:r>
          <w:rPr>
            <w:color w:val="0A3A8C"/>
            <w:u w:val="single"/>
          </w:rPr>
          <w:t xml:space="preserve">§ 776</w:t>
        </w:r>
      </w:hyperlink>
      <w:r>
        <w:t xml:space="preserve"> auch dann einzustellen oder zu beschränken, wenn der Schuldner eine Entscheidung eines Gerichts des Ursprungsmitgliedstaats über die Nichtvollstreckbarkeit oder über die Beschränkung der Vollstreckbarkeit vorlegt. </w:t>
      </w:r>
      <w:r>
        <w:rPr>
          <w:rStyle w:val="Satznummer"/>
        </w:rPr>
        <w:t>2</w:t>
      </w:r>
      <w:r>
        <w:t xml:space="preserve">Auf Verlangen des Vollstreckungsorgans ist eine Übersetzung der Entscheidung vorzulegen. </w:t>
      </w:r>
      <w:r>
        <w:rPr>
          <w:rStyle w:val="Satznummer"/>
        </w:rPr>
        <w:t>3</w:t>
      </w:r>
      <w:hyperlink w:anchor="b1159" w:history="1">
        <w:r>
          <w:rPr>
            <w:color w:val="0A3A8C"/>
            <w:u w:val="single"/>
          </w:rPr>
          <w:t xml:space="preserve">§ 1108</w:t>
        </w:r>
      </w:hyperlink>
      <w:r>
        <w:t xml:space="preserve"> gilt entsprechend.</w:t>
      </w:r>
    </w:p>
    <w:p>
      <w:pPr>
        <w:pStyle w:val="Heading4"/>
      </w:pPr>
      <w:bookmarkStart w:id="1172" w:name="b1171"/>
      <w:r>
        <w:t>§ 1117 Vollstreckungsabwehrklage</w:t>
      </w:r>
      <w:r>
        <w:t xml:space="preserve"> </w:t>
      </w:r>
      <w:r>
        <w:rPr>
          <w:rStyle w:val="Suchmarke"/>
        </w:rPr>
        <w:t>#1117#</w:t>
      </w:r>
      <w:bookmarkEnd w:id="1172"/>
    </w:p>
    <w:p>
      <w:r>
        <w:t xml:space="preserve">(1) Für Klagen nach </w:t>
      </w:r>
      <w:hyperlink w:anchor="b803" w:history="1">
        <w:r>
          <w:rPr>
            <w:color w:val="0A3A8C"/>
            <w:u w:val="single"/>
          </w:rPr>
          <w:t xml:space="preserve">§ 795</w:t>
        </w:r>
      </w:hyperlink>
      <w:r>
        <w:t xml:space="preserve"> Satz 1 in Verbindung mit </w:t>
      </w:r>
      <w:hyperlink w:anchor="b773" w:history="1">
        <w:r>
          <w:rPr>
            <w:color w:val="0A3A8C"/>
            <w:u w:val="single"/>
          </w:rPr>
          <w:t xml:space="preserve">§ 767</w:t>
        </w:r>
      </w:hyperlink>
      <w:r>
        <w:t xml:space="preserve"> gilt </w:t>
      </w:r>
      <w:hyperlink w:anchor="b1127" w:history="1">
        <w:r>
          <w:rPr>
            <w:color w:val="0A3A8C"/>
            <w:u w:val="single"/>
          </w:rPr>
          <w:t xml:space="preserve">§ 1086</w:t>
        </w:r>
      </w:hyperlink>
      <w:r>
        <w:t xml:space="preserve"> Absatz 1 entsprechend.</w:t>
      </w:r>
    </w:p>
    <w:p>
      <w:r>
        <w:t xml:space="preserve">(2) Richtet sich die Klage gegen die Vollstreckung aus einem gerichtlichen Vergleich oder einer öffentlichen Urkunde, ist </w:t>
      </w:r>
      <w:hyperlink w:anchor="b773" w:history="1">
        <w:r>
          <w:rPr>
            <w:color w:val="0A3A8C"/>
            <w:u w:val="single"/>
          </w:rPr>
          <w:t xml:space="preserve">§ 767</w:t>
        </w:r>
      </w:hyperlink>
      <w:r>
        <w:t xml:space="preserve"> Absatz 2 nicht anzuwenden.</w:t>
      </w:r>
    </w:p>
    <w:p>
      <w:pPr>
        <w:pStyle w:val="Heading2"/>
      </w:pPr>
      <w:bookmarkStart w:id="1173" w:name="b1172"/>
      <w:r>
        <w:t>Abschnitt 8 Beweis der Echtheit ausländischer öffentlicher Urkunden nach der Verordnung (EU) 2016/1191</w:t>
      </w:r>
      <w:bookmarkEnd w:id="1173"/>
    </w:p>
    <w:p>
      <w:pPr>
        <w:pStyle w:val="Heading3"/>
      </w:pPr>
      <w:bookmarkStart w:id="1174" w:name="b1173"/>
      <w:r>
        <w:t>§ 1118 Zentralbehörde</w:t>
      </w:r>
      <w:r>
        <w:t xml:space="preserve"> </w:t>
      </w:r>
      <w:r>
        <w:rPr>
          <w:rStyle w:val="Suchmarke"/>
        </w:rPr>
        <w:t>#1118#</w:t>
      </w:r>
      <w:bookmarkEnd w:id="1174"/>
    </w:p>
    <w:p>
      <w:r>
        <w:rPr>
          <w:rStyle w:val="Satznummer"/>
        </w:rPr>
        <w:t>1</w:t>
      </w:r>
      <w:r>
        <w:t xml:space="preserve">Das Bundesamt für Justiz ist Zentralbehörde nach Artikel 15 Absatz 1 der Verordnung (EU) 2016/1191 des Europäischen Parlaments und des Rates vom 6. Juli 2016 zur Förderung der Freizügigkeit von Bürgern durch die Vereinfachung der Anforderungen an die Vorlage bestimmter öffentlicher Urkunden innerhalb der Europäischen Union und zur Änderung der Verordnung (EU) Nr. 1024/2012 (ABl. L 200 vom 26.7.2016, S. 1). </w:t>
      </w:r>
      <w:r>
        <w:rPr>
          <w:rStyle w:val="Satznummer"/>
        </w:rPr>
        <w:t>2</w:t>
      </w:r>
      <w:r>
        <w:t xml:space="preserve">Die Verfahren nach diesem Gesetz vor dem Bundesamt für Justiz sind Justizverwaltungsverfahren. </w:t>
      </w:r>
      <w:r>
        <w:rPr>
          <w:rStyle w:val="Satznummer"/>
        </w:rPr>
        <w:t>3</w:t>
      </w:r>
      <w:r>
        <w:t>Informationen nach Artikel 22 Absatz 2 der Verordnung werden durch das Bundesamt für Justiz mitgeteilt.</w:t>
      </w:r>
    </w:p>
    <w:p>
      <w:pPr>
        <w:pStyle w:val="Heading3"/>
      </w:pPr>
      <w:bookmarkStart w:id="1175" w:name="b1174"/>
      <w:r>
        <w:t>§ 1119 Verwaltungszusammenarbeit</w:t>
      </w:r>
      <w:r>
        <w:t xml:space="preserve"> </w:t>
      </w:r>
      <w:r>
        <w:rPr>
          <w:rStyle w:val="Suchmarke"/>
        </w:rPr>
        <w:t>#1119#</w:t>
      </w:r>
      <w:bookmarkEnd w:id="1175"/>
    </w:p>
    <w:p>
      <w:r>
        <w:t xml:space="preserve">(1) </w:t>
      </w:r>
      <w:r>
        <w:rPr>
          <w:rStyle w:val="Satznummer"/>
        </w:rPr>
        <w:t>1</w:t>
      </w:r>
      <w:r>
        <w:t xml:space="preserve">Soweit bei der Überprüfung der Echtheit einer öffentlichen Urkunde oder einer beglaubigten Kopie eine Nachfrage bei der ausstellenden deutschen Behörde erforderlich ist, kann sich das Bundesamt unmittelbar an diese Behörde wenden. </w:t>
      </w:r>
      <w:r>
        <w:rPr>
          <w:rStyle w:val="Satznummer"/>
        </w:rPr>
        <w:t>2</w:t>
      </w:r>
      <w:r>
        <w:t xml:space="preserve">Dazu nutzt es das Binnenmarkt-Informationssystem unter Beachtung bereits vorhandener Verfahrensstrukturen. </w:t>
      </w:r>
      <w:r>
        <w:rPr>
          <w:rStyle w:val="Satznummer"/>
        </w:rPr>
        <w:t>3</w:t>
      </w:r>
      <w:r>
        <w:t>Diese Behörden sind im Rahmen ihrer Zuständigkeit neben dem Bundesamt für Justiz auch zuständig für die Beantwortung von Auskunftsersuchen der Mitgliedstaaten der Europäischen Union.</w:t>
      </w:r>
    </w:p>
    <w:p>
      <w:r>
        <w:t>(2) Über Änderungen bei den gemäß Artikel 22 Absatz 1 Buchstabe b der Verordnung einzustellenden Urkunden unterrichtet das Bundesministerium des Innern, für Bau und Heimat das Bundesamt für Justiz, soweit diese in seine Zuständigkeit fallen.</w:t>
      </w:r>
    </w:p>
    <w:p>
      <w:pPr>
        <w:pStyle w:val="Heading3"/>
      </w:pPr>
      <w:bookmarkStart w:id="1176" w:name="b1175"/>
      <w:r>
        <w:t>§ 1120 Mehrsprachige Formulare</w:t>
      </w:r>
      <w:r>
        <w:t xml:space="preserve"> </w:t>
      </w:r>
      <w:r>
        <w:rPr>
          <w:rStyle w:val="Suchmarke"/>
        </w:rPr>
        <w:t>#1120#</w:t>
      </w:r>
      <w:bookmarkEnd w:id="1176"/>
    </w:p>
    <w:p>
      <w:r>
        <w:rPr>
          <w:rStyle w:val="Satznummer"/>
        </w:rPr>
        <w:t>1</w:t>
      </w:r>
      <w:r>
        <w:t xml:space="preserve">Mehrsprachige Formulare gemäß Artikel 7 der Verordnung (EU) 2016/1191 werden durch die Behörden ausgestellt, die für die Erteilung der Urkunden zuständig sind. </w:t>
      </w:r>
      <w:r>
        <w:rPr>
          <w:rStyle w:val="Satznummer"/>
        </w:rPr>
        <w:t>2</w:t>
      </w:r>
      <w:r>
        <w:t>Das Bundesamt für Justiz ist für das Ausstellen der Formulare zuständig, soweit Urkunden des Geschäftsbereichs des Bundesministeriums der Justiz und für Verbraucherschutz oder gerichtliche Urkunden betroffen sind.</w:t>
      </w:r>
    </w:p>
    <w:p>
      <w:pPr>
        <w:pStyle w:val="Heading1"/>
      </w:pPr>
      <w:bookmarkStart w:id="1177" w:name="b1176"/>
      <w:r>
        <w:t>Buch 12 Erprobung und Evaluierung</w:t>
      </w:r>
      <w:bookmarkEnd w:id="1177"/>
    </w:p>
    <w:p>
      <w:pPr>
        <w:pStyle w:val="Heading2"/>
      </w:pPr>
      <w:bookmarkStart w:id="1178" w:name="b1177"/>
      <w:r>
        <w:t>Abschnitt 1 Allgemeine Vorschriften</w:t>
      </w:r>
      <w:bookmarkEnd w:id="1178"/>
    </w:p>
    <w:p>
      <w:pPr>
        <w:pStyle w:val="Heading3"/>
      </w:pPr>
      <w:bookmarkStart w:id="1179" w:name="b1178"/>
      <w:r>
        <w:t>§ 1121 Zielsetzung und Anwendungsbereich</w:t>
      </w:r>
      <w:r>
        <w:t xml:space="preserve"> </w:t>
      </w:r>
      <w:r>
        <w:rPr>
          <w:rStyle w:val="Suchmarke"/>
        </w:rPr>
        <w:t>#1121#</w:t>
      </w:r>
      <w:bookmarkEnd w:id="1179"/>
    </w:p>
    <w:p>
      <w:r>
        <w:t>(1) Die Vorschriften dieses Buches dienen der praktischen Erprobung neuer digitaler Technologien und Kommunikationsformen und neuer Verfahrensabläufe in der Zivilgerichtsbarkeit sowie der Vorbereitung ihrer möglichen dauerhaften Regulierung.</w:t>
      </w:r>
    </w:p>
    <w:p>
      <w:r>
        <w:t xml:space="preserve">(2) </w:t>
      </w:r>
      <w:r>
        <w:rPr>
          <w:rStyle w:val="Satznummer"/>
        </w:rPr>
        <w:t>1</w:t>
      </w:r>
      <w:r>
        <w:t xml:space="preserve">Die Erprobung umfasst die in diesem Buch geregelten Anwendungsgebiete. </w:t>
      </w:r>
      <w:r>
        <w:rPr>
          <w:rStyle w:val="Satznummer"/>
        </w:rPr>
        <w:t>2</w:t>
      </w:r>
      <w:r>
        <w:t>Soweit für die jeweilige Erprobung nachfolgend nichts Abweichendes bestimmt ist, gelten die allgemeinen Bestimmungen dieses Gesetzes.</w:t>
      </w:r>
    </w:p>
    <w:p>
      <w:pPr>
        <w:pStyle w:val="Heading2"/>
      </w:pPr>
      <w:bookmarkStart w:id="1180" w:name="b1179"/>
      <w:r>
        <w:t>Abschnitt 2 Erprobung eines Online-Verfahrens</w:t>
      </w:r>
      <w:bookmarkEnd w:id="1180"/>
    </w:p>
    <w:p>
      <w:pPr>
        <w:pStyle w:val="Heading3"/>
      </w:pPr>
      <w:bookmarkStart w:id="1181" w:name="b1180"/>
      <w:r>
        <w:t>Titel 1 Anwendungsbereich</w:t>
      </w:r>
      <w:bookmarkEnd w:id="1181"/>
    </w:p>
    <w:p>
      <w:pPr>
        <w:pStyle w:val="Heading4"/>
      </w:pPr>
      <w:bookmarkStart w:id="1182" w:name="b1181"/>
      <w:r>
        <w:t>§ 1122 Umfang der Erprobung</w:t>
      </w:r>
      <w:r>
        <w:t xml:space="preserve"> </w:t>
      </w:r>
      <w:r>
        <w:rPr>
          <w:rStyle w:val="Suchmarke"/>
        </w:rPr>
        <w:t>#1122#</w:t>
      </w:r>
      <w:bookmarkEnd w:id="1182"/>
    </w:p>
    <w:p>
      <w:r>
        <w:t xml:space="preserve">(1) </w:t>
      </w:r>
      <w:r>
        <w:rPr>
          <w:rStyle w:val="Satznummer"/>
        </w:rPr>
        <w:t>1</w:t>
      </w:r>
      <w:r>
        <w:t xml:space="preserve">Das Online-Verfahren wird nach den Vorschriften dieses Abschnitts erprobt. </w:t>
      </w:r>
      <w:r>
        <w:rPr>
          <w:rStyle w:val="Satznummer"/>
        </w:rPr>
        <w:t>2</w:t>
      </w:r>
      <w:r>
        <w:t>Es steht den Rechtsuchenden als eine Alternative zu den weiteren Verfahren nach diesem Gesetz zur Verfügung.</w:t>
      </w:r>
    </w:p>
    <w:p>
      <w:r>
        <w:t xml:space="preserve">(2) </w:t>
      </w:r>
      <w:r>
        <w:rPr>
          <w:rStyle w:val="Satznummer"/>
        </w:rPr>
        <w:t>1</w:t>
      </w:r>
      <w:r>
        <w:t xml:space="preserve">Die Erprobung ist auf solche Klageverfahren vor den Amtsgerichten in bürgerlichen Rechtsstreitigkeiten beschränkt, in denen die Zahlung einer Geldsumme geltend gemacht wird, die den Betrag nach § 23 Nummer 1 des Gerichtsverfassungsgesetzes nicht übersteigt. </w:t>
      </w:r>
      <w:r>
        <w:rPr>
          <w:rStyle w:val="Satznummer"/>
        </w:rPr>
        <w:t>2</w:t>
      </w:r>
      <w:r>
        <w:t>Sie ist nicht anzuwenden auf Verfahren in der Zuständigkeit der Amtsgerichte nach § 23a des Gerichtsverfassungsgesetzes.</w:t>
      </w:r>
    </w:p>
    <w:p>
      <w:r>
        <w:t xml:space="preserve">(3) </w:t>
      </w:r>
      <w:r>
        <w:rPr>
          <w:rStyle w:val="Satznummer"/>
        </w:rPr>
        <w:t>1</w:t>
      </w:r>
      <w:r>
        <w:t xml:space="preserve">Fällt eine im Online-Verfahren eingereichte Klage nicht in den Anwendungsbereich nach Absatz 2, so wird das Verfahren ohne Anwendung der Vorschriften dieses Abschnitts fortgeführt. </w:t>
      </w:r>
      <w:r>
        <w:rPr>
          <w:rStyle w:val="Satznummer"/>
        </w:rPr>
        <w:t>2</w:t>
      </w:r>
      <w:r>
        <w:t>Auf diese Fortführung des Verfahrens hat das Gericht die Parteien hinzuweisen.</w:t>
      </w:r>
    </w:p>
    <w:p>
      <w:pPr>
        <w:pStyle w:val="Heading4"/>
      </w:pPr>
      <w:bookmarkStart w:id="1183" w:name="b1182"/>
      <w:r>
        <w:t>§ 1123 Verordnungsermächtigungen</w:t>
      </w:r>
      <w:r>
        <w:t xml:space="preserve"> </w:t>
      </w:r>
      <w:r>
        <w:rPr>
          <w:rStyle w:val="Suchmarke"/>
        </w:rPr>
        <w:t>#1123#</w:t>
      </w:r>
      <w:bookmarkEnd w:id="1183"/>
    </w:p>
    <w:p>
      <w:r>
        <w:t xml:space="preserve">(1) </w:t>
      </w:r>
      <w:r>
        <w:rPr>
          <w:rStyle w:val="Satznummer"/>
        </w:rPr>
        <w:t>1</w:t>
      </w:r>
      <w:r>
        <w:t>Die Landesregierungen werden ermächtigt, durch Rechtsverordnung Folgendes zu bestimmen:</w:t>
      </w:r>
    </w:p>
    <w:p>
      <w:pPr>
        <w:tabs>
          <w:tab w:pos="567" w:val="left"/>
        </w:tabs>
        <w:ind w:left="567" w:hanging="567"/>
      </w:pPr>
      <w:r>
        <w:t>1.</w:t>
      </w:r>
      <w:r>
        <w:tab/>
      </w:r>
      <w:r>
        <w:t>diejenigen Amtsgerichte, die an der Erprobung des Online-Verfahrens teilnehmen,</w:t>
      </w:r>
    </w:p>
    <w:p>
      <w:pPr>
        <w:tabs>
          <w:tab w:pos="567" w:val="left"/>
        </w:tabs>
        <w:ind w:left="567" w:hanging="567"/>
      </w:pPr>
      <w:r>
        <w:t>2.</w:t>
      </w:r>
      <w:r>
        <w:tab/>
      </w:r>
      <w:r>
        <w:t>den Zeitpunkt, in dem bei einem nach Nummer 1 an der Erprobung teilnehmenden Amtsgericht das Online-Verfahren mittels digitaler Klageeinreichung nach § 1124 Absatz 1 Satz 1 Nummer 1 Buchstabe a eingeführt wird, sowie</w:t>
      </w:r>
    </w:p>
    <w:p>
      <w:pPr>
        <w:tabs>
          <w:tab w:pos="567" w:val="left"/>
        </w:tabs>
        <w:ind w:left="567" w:hanging="567"/>
      </w:pPr>
      <w:r>
        <w:t>3.</w:t>
      </w:r>
      <w:r>
        <w:tab/>
      </w:r>
      <w:r>
        <w:t xml:space="preserve">den Zeitpunkt, in dem bei einem nach Nummer 1 an der Erprobung teilnehmenden Amtsgericht eine Kommunikationsplattform nach </w:t>
      </w:r>
      <w:hyperlink w:anchor="b1192" w:history="1">
        <w:r>
          <w:rPr>
            <w:color w:val="0A3A8C"/>
            <w:u w:val="single"/>
          </w:rPr>
          <w:t xml:space="preserve">§ 1131</w:t>
        </w:r>
      </w:hyperlink>
      <w:r>
        <w:t xml:space="preserve"> eingeführt wird.</w:t>
      </w:r>
    </w:p>
    <w:p>
      <w:r>
        <w:rPr>
          <w:rStyle w:val="Satznummer"/>
        </w:rPr>
        <w:t>2</w:t>
      </w:r>
      <w:r>
        <w:t xml:space="preserve">Die Landesregierungen können die Teilnahme eines Amtsgerichts nach Satz 1 Nummer 1 auf Streitigkeiten über Ansprüche nach der Verordnung (EG) Nr. 261/2004 beschränken. </w:t>
      </w:r>
      <w:r>
        <w:rPr>
          <w:rStyle w:val="Satznummer"/>
        </w:rPr>
        <w:t>3</w:t>
      </w:r>
      <w:r>
        <w:t>Die Landesregierungen können die in Satz 1 genannte Ermächtigung durch Rechtsverordnung auf die Landesjustizverwaltungen übertragen.</w:t>
      </w:r>
    </w:p>
    <w:p>
      <w:r>
        <w:t xml:space="preserve">(2) </w:t>
      </w:r>
      <w:r>
        <w:rPr>
          <w:rStyle w:val="Satznummer"/>
        </w:rPr>
        <w:t>1</w:t>
      </w:r>
      <w:r>
        <w:t xml:space="preserve">Die Landesregierungen werden ferner ermächtigt, durch Rechtsverordnung die Zuständigkeit eines Amtsgerichts für die Bezirke mehrerer Amtsgerichte für die Teilnahme an der Erprobung, auch für einzelne Sachgebiete, zu bestimmen, sofern dies für die sachdienliche Förderung oder die schnellere Erledigung von Verfahren zweckmäßig ist. </w:t>
      </w:r>
      <w:r>
        <w:rPr>
          <w:rStyle w:val="Satznummer"/>
        </w:rPr>
        <w:t>2</w:t>
      </w:r>
      <w:r>
        <w:t>Die Landesregierungen können die in Satz 1 genannte Ermächtigung durch Rechtsverordnung auf die Landesjustizverwaltungen übertragen.</w:t>
      </w:r>
    </w:p>
    <w:p>
      <w:r>
        <w:t>(3) Mehrere Länder können vereinbaren, ein gemeinsames Amtsgericht zur Teilnahme an der Erprobung, auch für einzelne Sachgebiete, zu bestimmen, das über die Landesgrenzen hinaus zuständig ist.</w:t>
      </w:r>
    </w:p>
    <w:p>
      <w:pPr>
        <w:pStyle w:val="Heading3"/>
      </w:pPr>
      <w:bookmarkStart w:id="1184" w:name="b1183"/>
      <w:r>
        <w:t>Titel 2 Verfahren</w:t>
      </w:r>
      <w:bookmarkEnd w:id="1184"/>
    </w:p>
    <w:p>
      <w:pPr>
        <w:pStyle w:val="Heading4"/>
      </w:pPr>
      <w:bookmarkStart w:id="1185" w:name="b1184"/>
      <w:r>
        <w:t>§ 1124 Digitale Kommunikation; Verordnungsermächtigung</w:t>
      </w:r>
      <w:r>
        <w:t xml:space="preserve"> </w:t>
      </w:r>
      <w:r>
        <w:rPr>
          <w:rStyle w:val="Suchmarke"/>
        </w:rPr>
        <w:t>#1124#</w:t>
      </w:r>
      <w:bookmarkEnd w:id="1185"/>
    </w:p>
    <w:p>
      <w:r>
        <w:t xml:space="preserve">(1) </w:t>
      </w:r>
      <w:r>
        <w:rPr>
          <w:rStyle w:val="Satznummer"/>
        </w:rPr>
        <w:t>1</w:t>
      </w:r>
      <w:r>
        <w:t>Das Online-Verfahren ist eröffnet, sofern die Klage</w:t>
      </w:r>
    </w:p>
    <w:p>
      <w:pPr>
        <w:tabs>
          <w:tab w:pos="567" w:val="left"/>
        </w:tabs>
        <w:ind w:left="567" w:hanging="567"/>
      </w:pPr>
      <w:r>
        <w:t>1.</w:t>
      </w:r>
      <w:r>
        <w:tab/>
      </w:r>
      <w:r>
        <w:t>mittels eines digitalen Eingabesystems erstellt und wie folgt bei Gericht eingereicht wird:</w:t>
      </w:r>
    </w:p>
    <w:p>
      <w:pPr>
        <w:tabs>
          <w:tab w:pos="1134" w:val="left"/>
        </w:tabs>
        <w:ind w:left="1134" w:hanging="567"/>
      </w:pPr>
      <w:r>
        <w:t>a)</w:t>
      </w:r>
      <w:r>
        <w:tab/>
      </w:r>
      <w:r>
        <w:t xml:space="preserve">auf einem sicheren Übermittlungsweg nach </w:t>
      </w:r>
      <w:hyperlink w:anchor="b163" w:history="1">
        <w:r>
          <w:rPr>
            <w:color w:val="0A3A8C"/>
            <w:u w:val="single"/>
          </w:rPr>
          <w:t xml:space="preserve">§ 130a</w:t>
        </w:r>
      </w:hyperlink>
      <w:r>
        <w:t xml:space="preserve"> Absatz 4 Satz 1 Nummer 1 durch Rechtsanwälte oder nach </w:t>
      </w:r>
      <w:hyperlink w:anchor="b163" w:history="1">
        <w:r>
          <w:rPr>
            <w:color w:val="0A3A8C"/>
            <w:u w:val="single"/>
          </w:rPr>
          <w:t xml:space="preserve">§ 130a</w:t>
        </w:r>
      </w:hyperlink>
      <w:r>
        <w:t xml:space="preserve"> Absatz 4 Satz 1 Nummer 3 und 4 durch Nutzer eines Postfachs oder</w:t>
      </w:r>
    </w:p>
    <w:p>
      <w:pPr>
        <w:tabs>
          <w:tab w:pos="1134" w:val="left"/>
        </w:tabs>
        <w:ind w:left="1134" w:hanging="567"/>
      </w:pPr>
      <w:r>
        <w:t>b)</w:t>
      </w:r>
      <w:r>
        <w:tab/>
      </w:r>
      <w:r>
        <w:t xml:space="preserve">über die Kommunikationsplattform nach </w:t>
      </w:r>
      <w:hyperlink w:anchor="b1192" w:history="1">
        <w:r>
          <w:rPr>
            <w:color w:val="0A3A8C"/>
            <w:u w:val="single"/>
          </w:rPr>
          <w:t xml:space="preserve">§ 1131</w:t>
        </w:r>
      </w:hyperlink>
      <w:r>
        <w:t xml:space="preserve"> durch Eingabe nach </w:t>
      </w:r>
      <w:hyperlink w:anchor="b1193" w:history="1">
        <w:r>
          <w:rPr>
            <w:color w:val="0A3A8C"/>
            <w:u w:val="single"/>
          </w:rPr>
          <w:t xml:space="preserve">§ 1132</w:t>
        </w:r>
      </w:hyperlink>
      <w:r>
        <w:t xml:space="preserve"> Absatz 1 oder</w:t>
      </w:r>
    </w:p>
    <w:p>
      <w:pPr>
        <w:tabs>
          <w:tab w:pos="567" w:val="left"/>
        </w:tabs>
        <w:ind w:left="567" w:hanging="567"/>
      </w:pPr>
      <w:r>
        <w:t>2.</w:t>
      </w:r>
      <w:r>
        <w:tab/>
      </w:r>
      <w:r>
        <w:t xml:space="preserve">über die Kommunikationsplattform nach </w:t>
      </w:r>
      <w:hyperlink w:anchor="b1192" w:history="1">
        <w:r>
          <w:rPr>
            <w:color w:val="0A3A8C"/>
            <w:u w:val="single"/>
          </w:rPr>
          <w:t xml:space="preserve">§ 1131</w:t>
        </w:r>
      </w:hyperlink>
      <w:r>
        <w:t xml:space="preserve"> durch Übermittlung nach </w:t>
      </w:r>
      <w:hyperlink w:anchor="b1193" w:history="1">
        <w:r>
          <w:rPr>
            <w:color w:val="0A3A8C"/>
            <w:u w:val="single"/>
          </w:rPr>
          <w:t xml:space="preserve">§ 1132</w:t>
        </w:r>
      </w:hyperlink>
      <w:r>
        <w:t xml:space="preserve"> Absatz 2 bei Gericht eingereicht wird.</w:t>
      </w:r>
    </w:p>
    <w:p>
      <w:r>
        <w:rPr>
          <w:rStyle w:val="Satznummer"/>
        </w:rPr>
        <w:t>2</w:t>
      </w:r>
      <w:r>
        <w:t>Reicht eine andere berechtigte Person für den Rechtsanwalt die Klage ein, muss diese mit einer qualifizierten elektronischen Signatur des verantwortenden Rechtsanwaltes versehen sein.</w:t>
      </w:r>
    </w:p>
    <w:p>
      <w:r>
        <w:t xml:space="preserve">(2) </w:t>
      </w:r>
      <w:r>
        <w:rPr>
          <w:rStyle w:val="Satznummer"/>
        </w:rPr>
        <w:t>1</w:t>
      </w:r>
      <w:r>
        <w:t xml:space="preserve">Für Anträge und Erklärungen der Parteien, die im Anschluss an die Klageeinreichung nach Absatz 1 erstellt werden, können weitere digitale Eingabesysteme genutzt werden. </w:t>
      </w:r>
      <w:r>
        <w:rPr>
          <w:rStyle w:val="Satznummer"/>
        </w:rPr>
        <w:t>2</w:t>
      </w:r>
      <w:r>
        <w:t>Für die Einreichung bei Gericht gilt Absatz 1 Satz 1 Nummer 1 und Satz 2 entsprechend.</w:t>
      </w:r>
    </w:p>
    <w:p>
      <w:r>
        <w:t xml:space="preserve">(3) </w:t>
      </w:r>
      <w:r>
        <w:rPr>
          <w:rStyle w:val="Satznummer"/>
        </w:rPr>
        <w:t>1</w:t>
      </w:r>
      <w:r>
        <w:t>Soweit digitale Eingabesysteme nach Absatz 2 bereitgestellt sind, müssen die Parteien diese bei einer Anordnung des Gerichts nutzen</w:t>
      </w:r>
    </w:p>
    <w:p>
      <w:pPr>
        <w:tabs>
          <w:tab w:pos="567" w:val="left"/>
        </w:tabs>
        <w:ind w:left="567" w:hanging="567"/>
      </w:pPr>
      <w:r>
        <w:t>1.</w:t>
      </w:r>
      <w:r>
        <w:tab/>
      </w:r>
      <w:r>
        <w:t>bei Ansprüchen nach der Verordnung (EG) Nr. 261/2004 oder</w:t>
      </w:r>
    </w:p>
    <w:p>
      <w:pPr>
        <w:tabs>
          <w:tab w:pos="567" w:val="left"/>
        </w:tabs>
        <w:ind w:left="567" w:hanging="567"/>
      </w:pPr>
      <w:r>
        <w:t>2.</w:t>
      </w:r>
      <w:r>
        <w:tab/>
      </w:r>
      <w:r>
        <w:t>bei Ansprüchen, die den durch Rechtsverordnung nach Absatz 4 bestimmten Anwendungsgebieten für eine Vielzahl gleichgelagerter und standardisierbarer Verfahren unterfallen.</w:t>
      </w:r>
    </w:p>
    <w:p>
      <w:r>
        <w:rPr>
          <w:rStyle w:val="Satznummer"/>
        </w:rPr>
        <w:t>2</w:t>
      </w:r>
      <w:r>
        <w:t>Satz 1 gilt nicht für Parteien, die natürliche Personen sind und nicht anwaltlich vertreten sind; diesen steht auch die Einreichung von Anträgen und Erklärungen bei Gericht nach den allgemeinen Vorschriften offen.</w:t>
      </w:r>
    </w:p>
    <w:p>
      <w:r>
        <w:t>(4) Das Bundesministerium der Justiz und für Verbraucherschutz wird ermächtigt, durch Rechtsverordnung mit Zustimmung des Bundesrates Anwendungsgebiete für eine Vielzahl gleichgelagerter und standardisierbarer Verfahren im Sinne des Absatzes 3 Satz 1 Nummer 2 zu bestimmen.</w:t>
      </w:r>
    </w:p>
    <w:p>
      <w:r>
        <w:t xml:space="preserve">(5) </w:t>
      </w:r>
      <w:r>
        <w:rPr>
          <w:rStyle w:val="Satznummer"/>
        </w:rPr>
        <w:t>1</w:t>
      </w:r>
      <w:r>
        <w:t xml:space="preserve">Bei einem Mahnverfahren kann nach einem Widerspruch nach </w:t>
      </w:r>
      <w:hyperlink w:anchor="b688" w:history="1">
        <w:r>
          <w:rPr>
            <w:color w:val="0A3A8C"/>
            <w:u w:val="single"/>
          </w:rPr>
          <w:t xml:space="preserve">§ 696</w:t>
        </w:r>
      </w:hyperlink>
      <w:r>
        <w:t xml:space="preserve"> Absatz 1 Satz 1 das beantragte streitige Verfahren als Online-Verfahren geführt werden, sofern</w:t>
      </w:r>
    </w:p>
    <w:p>
      <w:pPr>
        <w:tabs>
          <w:tab w:pos="567" w:val="left"/>
        </w:tabs>
        <w:ind w:left="567" w:hanging="567"/>
      </w:pPr>
      <w:r>
        <w:t>1.</w:t>
      </w:r>
      <w:r>
        <w:tab/>
      </w:r>
      <w:r>
        <w:t xml:space="preserve">der Anwendungsbereich der Erprobung nach </w:t>
      </w:r>
      <w:hyperlink w:anchor="b1181" w:history="1">
        <w:r>
          <w:rPr>
            <w:color w:val="0A3A8C"/>
            <w:u w:val="single"/>
          </w:rPr>
          <w:t xml:space="preserve">§ 1122</w:t>
        </w:r>
      </w:hyperlink>
      <w:r>
        <w:t xml:space="preserve"> Absatz 2 eröffnet ist,</w:t>
      </w:r>
    </w:p>
    <w:p>
      <w:pPr>
        <w:tabs>
          <w:tab w:pos="567" w:val="left"/>
        </w:tabs>
        <w:ind w:left="567" w:hanging="567"/>
      </w:pPr>
      <w:r>
        <w:t>2.</w:t>
      </w:r>
      <w:r>
        <w:tab/>
      </w:r>
      <w:r>
        <w:t xml:space="preserve">das Gericht, an das der Rechtsstreit nach </w:t>
      </w:r>
      <w:hyperlink w:anchor="b688" w:history="1">
        <w:r>
          <w:rPr>
            <w:color w:val="0A3A8C"/>
            <w:u w:val="single"/>
          </w:rPr>
          <w:t xml:space="preserve">§ 696</w:t>
        </w:r>
      </w:hyperlink>
      <w:r>
        <w:t xml:space="preserve"> Absatz 1 Satz 1 abgegeben wurde, für die Durchführung des streitigen Verfahrens zuständig und auf der Grundlage des § 1123 zur Teilnahme an der Erprobung bestimmt ist,</w:t>
      </w:r>
    </w:p>
    <w:p>
      <w:pPr>
        <w:tabs>
          <w:tab w:pos="567" w:val="left"/>
        </w:tabs>
        <w:ind w:left="567" w:hanging="567"/>
      </w:pPr>
      <w:r>
        <w:t>3.</w:t>
      </w:r>
      <w:r>
        <w:tab/>
      </w:r>
      <w:r>
        <w:t xml:space="preserve">der Antragsteller seinen Anspruch nach </w:t>
      </w:r>
      <w:hyperlink w:anchor="b689" w:history="1">
        <w:r>
          <w:rPr>
            <w:color w:val="0A3A8C"/>
            <w:u w:val="single"/>
          </w:rPr>
          <w:t xml:space="preserve">§ 697</w:t>
        </w:r>
      </w:hyperlink>
      <w:r>
        <w:t xml:space="preserve"> Absatz 1 Satz 1 ungeachtet der dort genannten Frist unter Nutzung eines digitalen Eingabesystems nach Absatz 1 begründet und</w:t>
      </w:r>
    </w:p>
    <w:p>
      <w:pPr>
        <w:tabs>
          <w:tab w:pos="567" w:val="left"/>
        </w:tabs>
        <w:ind w:left="567" w:hanging="567"/>
      </w:pPr>
      <w:r>
        <w:t>4.</w:t>
      </w:r>
      <w:r>
        <w:tab/>
      </w:r>
      <w:r>
        <w:t>das Gericht bis zum Eingang der Begründung nach Nummer 3 keine verfahrensleitenden Maßnahmen getroffen hat.</w:t>
      </w:r>
    </w:p>
    <w:p>
      <w:r>
        <w:rPr>
          <w:rStyle w:val="Satznummer"/>
        </w:rPr>
        <w:t>2</w:t>
      </w:r>
      <w:r>
        <w:t xml:space="preserve">Entsprechendes gilt nach einem Einspruch gegen einen Vollstreckungsbescheid gemäß </w:t>
      </w:r>
      <w:hyperlink w:anchor="b692" w:history="1">
        <w:r>
          <w:rPr>
            <w:color w:val="0A3A8C"/>
            <w:u w:val="single"/>
          </w:rPr>
          <w:t xml:space="preserve">§ 700</w:t>
        </w:r>
      </w:hyperlink>
      <w:r>
        <w:t xml:space="preserve"> Absatz 3. </w:t>
      </w:r>
      <w:r>
        <w:rPr>
          <w:rStyle w:val="Satznummer"/>
        </w:rPr>
        <w:t>3</w:t>
      </w:r>
      <w:r>
        <w:t xml:space="preserve">Kommt eine Fortführung im Online-Verfahren nach Satz 1 Nummer 1 und 2 in Betracht, ist der Antragsteller mit der Aufforderung zur Anspruchsbegründung nach </w:t>
      </w:r>
      <w:hyperlink w:anchor="b689" w:history="1">
        <w:r>
          <w:rPr>
            <w:color w:val="0A3A8C"/>
            <w:u w:val="single"/>
          </w:rPr>
          <w:t xml:space="preserve">§ 697</w:t>
        </w:r>
      </w:hyperlink>
      <w:r>
        <w:t xml:space="preserve"> Absatz 1 Satz 1 auf diese Möglichkeit hinzuweisen.</w:t>
      </w:r>
    </w:p>
    <w:p>
      <w:pPr>
        <w:pStyle w:val="Heading4"/>
      </w:pPr>
      <w:bookmarkStart w:id="1186" w:name="b1185"/>
      <w:r>
        <w:t>§ 1125 Digitale Eingabesysteme im Online-Verfahren; Verordnungsermächtigung</w:t>
      </w:r>
      <w:r>
        <w:t xml:space="preserve"> </w:t>
      </w:r>
      <w:r>
        <w:rPr>
          <w:rStyle w:val="Suchmarke"/>
        </w:rPr>
        <w:t>#1125#</w:t>
      </w:r>
      <w:bookmarkEnd w:id="1186"/>
    </w:p>
    <w:p>
      <w:r>
        <w:t xml:space="preserve">(1) </w:t>
      </w:r>
      <w:r>
        <w:rPr>
          <w:rStyle w:val="Satznummer"/>
        </w:rPr>
        <w:t>1</w:t>
      </w:r>
      <w:r>
        <w:t xml:space="preserve">Die digitalen Eingabesysteme nach </w:t>
      </w:r>
      <w:hyperlink w:anchor="b1184" w:history="1">
        <w:r>
          <w:rPr>
            <w:color w:val="0A3A8C"/>
            <w:u w:val="single"/>
          </w:rPr>
          <w:t xml:space="preserve">§ 1124</w:t>
        </w:r>
      </w:hyperlink>
      <w:r>
        <w:t xml:space="preserve"> Absatz 1 und 2 werden vom Bundesministerium der Justiz und für Verbraucherschutz als Referenzimplementierung entwickelt und den Ländern zur Anwendung bei den nach </w:t>
      </w:r>
      <w:hyperlink w:anchor="b1182" w:history="1">
        <w:r>
          <w:rPr>
            <w:color w:val="0A3A8C"/>
            <w:u w:val="single"/>
          </w:rPr>
          <w:t xml:space="preserve">§ 1123</w:t>
        </w:r>
      </w:hyperlink>
      <w:r>
        <w:t xml:space="preserve"> bestimmten Gerichten bundeseinheitlich bereitgestellt. </w:t>
      </w:r>
      <w:r>
        <w:rPr>
          <w:rStyle w:val="Satznummer"/>
        </w:rPr>
        <w:t>2</w:t>
      </w:r>
      <w:r>
        <w:t xml:space="preserve">Die Länder können weitere digitale Eingabesysteme entwickeln und zur Anwendung bei den nach </w:t>
      </w:r>
      <w:hyperlink w:anchor="b1182" w:history="1">
        <w:r>
          <w:rPr>
            <w:color w:val="0A3A8C"/>
            <w:u w:val="single"/>
          </w:rPr>
          <w:t xml:space="preserve">§ 1123</w:t>
        </w:r>
      </w:hyperlink>
      <w:r>
        <w:t xml:space="preserve"> bestimmten Gerichten bundeseinheitlich bereitstellen. </w:t>
      </w:r>
      <w:r>
        <w:rPr>
          <w:rStyle w:val="Satznummer"/>
        </w:rPr>
        <w:t>3</w:t>
      </w:r>
      <w:r>
        <w:t>Das Bundesministerium der Justiz und für Verbraucherschutz wird ermächtigt, durch Rechtsverordnung mit Zustimmung des Bundesrates die technischen, organisatorischen und datenschutzrechtlichen Rahmenbedingungen für Entwicklung, Betrieb, Pflege und Weiterentwicklung der digitalen Eingabesysteme zu bestimmen.</w:t>
      </w:r>
    </w:p>
    <w:p>
      <w:r>
        <w:t xml:space="preserve">(2) </w:t>
      </w:r>
      <w:r>
        <w:rPr>
          <w:rStyle w:val="Satznummer"/>
        </w:rPr>
        <w:t>1</w:t>
      </w:r>
      <w:r>
        <w:t xml:space="preserve">Die nach Absatz 1 entwickelten digitalen Eingabesysteme sind über ein Justizportal des Bundes und der Länder für die Nutzer bereitzustellen. </w:t>
      </w:r>
      <w:r>
        <w:rPr>
          <w:rStyle w:val="Satznummer"/>
        </w:rPr>
        <w:t>2</w:t>
      </w:r>
      <w:r>
        <w:t xml:space="preserve">Sie sind nach Maßgabe der Barrierefreie-Informationstechnik-Verordnung barrierefrei zu gestalten. </w:t>
      </w:r>
      <w:r>
        <w:rPr>
          <w:rStyle w:val="Satznummer"/>
        </w:rPr>
        <w:t>3</w:t>
      </w:r>
      <w:r>
        <w:t>Ferner ist bei der Gestaltung der digitalen Eingabesysteme deren Nutzerfreundlichkeit sowie eine einfache und intuitive Bedienbarkeit sicherzustellen.</w:t>
      </w:r>
    </w:p>
    <w:p>
      <w:r>
        <w:t xml:space="preserve">(3) </w:t>
      </w:r>
      <w:r>
        <w:rPr>
          <w:rStyle w:val="Satznummer"/>
        </w:rPr>
        <w:t>1</w:t>
      </w:r>
      <w:r>
        <w:t xml:space="preserve">Die Stelle, die digitale Eingabesysteme nach Absatz 1 bereitstellt, darf personenbezogene Daten nur verarbeiten, soweit dies für die Nutzung der digitalen Eingabesysteme nach </w:t>
      </w:r>
      <w:hyperlink w:anchor="b1184" w:history="1">
        <w:r>
          <w:rPr>
            <w:color w:val="0A3A8C"/>
            <w:u w:val="single"/>
          </w:rPr>
          <w:t xml:space="preserve">§ 1124</w:t>
        </w:r>
      </w:hyperlink>
      <w:r>
        <w:t xml:space="preserve"> Absatz 1 und 2 erforderlich ist. </w:t>
      </w:r>
      <w:r>
        <w:rPr>
          <w:rStyle w:val="Satznummer"/>
        </w:rPr>
        <w:t>2</w:t>
      </w:r>
      <w:r>
        <w:t xml:space="preserve">Die Daten dürfen in den digitalen Eingabesystemen zwischengespeichert werden, um dem Nutzer zu ermöglichen, sie zu einem späteren Zeitpunkt zu vervollständigen, zu korrigieren oder zu löschen. </w:t>
      </w:r>
      <w:r>
        <w:rPr>
          <w:rStyle w:val="Satznummer"/>
        </w:rPr>
        <w:t>3</w:t>
      </w:r>
      <w:r>
        <w:t>Die zwischengespeicherten Daten sind spätestens 30 Tage nach der letzten Bearbeitung der digitalen Eingabesysteme automatisch zu löschen.</w:t>
      </w:r>
    </w:p>
    <w:p>
      <w:r>
        <w:t>(4) Anträge und Erklärungen, die mithilfe digitaler Eingabesysteme erstellt wurden, können abweichend von § 2 Absatz 1 der Elektronischer-Rechtsverkehr-Verordnung als strukturierter Datensatz übermittelt werden, sofern für diesen im Online-Verfahren eine automatisierte Bearbeitung durch das Gericht eröffnet ist.</w:t>
      </w:r>
    </w:p>
    <w:p>
      <w:pPr>
        <w:pStyle w:val="Heading4"/>
      </w:pPr>
      <w:bookmarkStart w:id="1187" w:name="b1186"/>
      <w:r>
        <w:t>§ 1126 Digitale Strukturierung</w:t>
      </w:r>
      <w:r>
        <w:t xml:space="preserve"> </w:t>
      </w:r>
      <w:r>
        <w:rPr>
          <w:rStyle w:val="Suchmarke"/>
        </w:rPr>
        <w:t>#1126#</w:t>
      </w:r>
      <w:bookmarkEnd w:id="1187"/>
    </w:p>
    <w:p>
      <w:r>
        <w:t xml:space="preserve">(1) </w:t>
      </w:r>
      <w:r>
        <w:rPr>
          <w:rStyle w:val="Satznummer"/>
        </w:rPr>
        <w:t>1</w:t>
      </w:r>
      <w:r>
        <w:t xml:space="preserve">Das Gericht kann Maßnahmen der Prozessleitung ergreifen, um den Streitstoff zu strukturieren. </w:t>
      </w:r>
      <w:r>
        <w:rPr>
          <w:rStyle w:val="Satznummer"/>
        </w:rPr>
        <w:t>2</w:t>
      </w:r>
      <w:r>
        <w:t xml:space="preserve">Für die Strukturierung nach Satz 1 können digitale Eingabesysteme nach </w:t>
      </w:r>
      <w:hyperlink w:anchor="b1184" w:history="1">
        <w:r>
          <w:rPr>
            <w:color w:val="0A3A8C"/>
            <w:u w:val="single"/>
          </w:rPr>
          <w:t xml:space="preserve">§ 1124</w:t>
        </w:r>
      </w:hyperlink>
      <w:r>
        <w:t xml:space="preserve"> Absatz 2 oder elektronische Dokumente genutzt werden.</w:t>
      </w:r>
    </w:p>
    <w:p>
      <w:r>
        <w:t>(2) Das Gericht kann insbesondere</w:t>
      </w:r>
    </w:p>
    <w:p>
      <w:pPr>
        <w:tabs>
          <w:tab w:pos="567" w:val="left"/>
        </w:tabs>
        <w:ind w:left="567" w:hanging="567"/>
      </w:pPr>
      <w:r>
        <w:t>1.</w:t>
      </w:r>
      <w:r>
        <w:tab/>
      </w:r>
      <w:r>
        <w:t>anordnen, dass der Beklagte die Klageerwiderung sowie die Parteien ihren jeweiligen weiteren Vortrag demjenigen der anderen Partei in digitaler Form gegenüberstellen oder in einem digitalen Verfahrensdokument ergänzen, und</w:t>
      </w:r>
    </w:p>
    <w:p>
      <w:pPr>
        <w:tabs>
          <w:tab w:pos="567" w:val="left"/>
        </w:tabs>
        <w:ind w:left="567" w:hanging="567"/>
      </w:pPr>
      <w:r>
        <w:t>2.</w:t>
      </w:r>
      <w:r>
        <w:tab/>
      </w:r>
      <w:r>
        <w:t>den Parteien die Ergänzung oder Erläuterung ihres Vortrags durch Zuordnung von Eingabefeldern zum jeweiligen Streitstoff aufgeben; hiermit kann eine Frist zur Erklärung über bestimmte klärungsbedürftige Punkte verbunden werden.</w:t>
      </w:r>
    </w:p>
    <w:p>
      <w:pPr>
        <w:pStyle w:val="Heading4"/>
      </w:pPr>
      <w:bookmarkStart w:id="1188" w:name="b1187"/>
      <w:r>
        <w:t>§ 1127 Verhandlung</w:t>
      </w:r>
      <w:r>
        <w:t xml:space="preserve"> </w:t>
      </w:r>
      <w:r>
        <w:rPr>
          <w:rStyle w:val="Suchmarke"/>
        </w:rPr>
        <w:t>#1127#</w:t>
      </w:r>
      <w:bookmarkEnd w:id="1188"/>
    </w:p>
    <w:p>
      <w:r>
        <w:t xml:space="preserve">(1) </w:t>
      </w:r>
      <w:r>
        <w:rPr>
          <w:rStyle w:val="Satznummer"/>
        </w:rPr>
        <w:t>1</w:t>
      </w:r>
      <w:r>
        <w:t xml:space="preserve">In geeigneten Fällen kann das Gericht abweichend von </w:t>
      </w:r>
      <w:hyperlink w:anchor="b158" w:history="1">
        <w:r>
          <w:rPr>
            <w:color w:val="0A3A8C"/>
            <w:u w:val="single"/>
          </w:rPr>
          <w:t xml:space="preserve">§ 128</w:t>
        </w:r>
      </w:hyperlink>
      <w:r>
        <w:t xml:space="preserve"> Absatz 1 eine Entscheidung ohne mündliche Verhandlung treffen. </w:t>
      </w:r>
      <w:r>
        <w:rPr>
          <w:rStyle w:val="Satznummer"/>
        </w:rPr>
        <w:t>2</w:t>
      </w:r>
      <w:r>
        <w:t>Das Gericht bestimmt insbesondere einen Termin zur mündlichen Verhandlung,</w:t>
      </w:r>
    </w:p>
    <w:p>
      <w:pPr>
        <w:tabs>
          <w:tab w:pos="567" w:val="left"/>
        </w:tabs>
        <w:ind w:left="567" w:hanging="567"/>
      </w:pPr>
      <w:r>
        <w:t>1.</w:t>
      </w:r>
      <w:r>
        <w:tab/>
      </w:r>
      <w:r>
        <w:t>wenn es diese aufgrund einer Beweisaufnahme für erforderlich erachtet,</w:t>
      </w:r>
    </w:p>
    <w:p>
      <w:pPr>
        <w:tabs>
          <w:tab w:pos="567" w:val="left"/>
        </w:tabs>
        <w:ind w:left="567" w:hanging="567"/>
      </w:pPr>
      <w:r>
        <w:t>2.</w:t>
      </w:r>
      <w:r>
        <w:tab/>
      </w:r>
      <w:r>
        <w:t>wenn die Ermöglichung höchstpersönlicher mündlicher Äußerungen geboten erscheint,</w:t>
      </w:r>
    </w:p>
    <w:p>
      <w:pPr>
        <w:tabs>
          <w:tab w:pos="567" w:val="left"/>
        </w:tabs>
        <w:ind w:left="567" w:hanging="567"/>
      </w:pPr>
      <w:r>
        <w:t>3.</w:t>
      </w:r>
      <w:r>
        <w:tab/>
      </w:r>
      <w:r>
        <w:t>wenn es diese zum Zweck der gütlichen Beilegung des Rechtsstreits für erforderlich erachtet oder</w:t>
      </w:r>
    </w:p>
    <w:p>
      <w:pPr>
        <w:tabs>
          <w:tab w:pos="567" w:val="left"/>
        </w:tabs>
        <w:ind w:left="567" w:hanging="567"/>
      </w:pPr>
      <w:r>
        <w:t>4.</w:t>
      </w:r>
      <w:r>
        <w:tab/>
      </w:r>
      <w:r>
        <w:t>wenn mindestens eine der Parteien die mündliche Verhandlung beantragt; Artikel 5 Absatz 1a Satz 2 bis 4 der Verordnung (EG) Nr. 861/2007 gilt entsprechend.</w:t>
      </w:r>
    </w:p>
    <w:p>
      <w:r>
        <w:rPr>
          <w:rStyle w:val="Satznummer"/>
        </w:rPr>
        <w:t>3</w:t>
      </w:r>
      <w:r>
        <w:t>Für die Bestimmung eines Termins zur Durchführung einer Güteverhandlung gilt Satz 2 Nummer 3 entsprechend.</w:t>
      </w:r>
    </w:p>
    <w:p>
      <w:r>
        <w:t>(2) Bei einer Entscheidung ohne mündliche Verhandlung bestimmt das Gericht alsbald den Zeitpunkt, bis zu dem Anträge und Erklärungen der Parteien eingereicht werden können, und den Termin der Entscheidung.</w:t>
      </w:r>
    </w:p>
    <w:p>
      <w:r>
        <w:t xml:space="preserve">(3) </w:t>
      </w:r>
      <w:r>
        <w:rPr>
          <w:rStyle w:val="Satznummer"/>
        </w:rPr>
        <w:t>1</w:t>
      </w:r>
      <w:r>
        <w:t xml:space="preserve">Bestimmt das Gericht einen Termin zur Güteverhandlung oder zur mündlichen Verhandlung, so soll dieser als Videoverhandlung nach </w:t>
      </w:r>
      <w:hyperlink w:anchor="b159" w:history="1">
        <w:r>
          <w:rPr>
            <w:color w:val="0A3A8C"/>
            <w:u w:val="single"/>
          </w:rPr>
          <w:t xml:space="preserve">§ 128a</w:t>
        </w:r>
      </w:hyperlink>
      <w:r>
        <w:t xml:space="preserve"> stattfinden. </w:t>
      </w:r>
      <w:r>
        <w:rPr>
          <w:rStyle w:val="Satznummer"/>
        </w:rPr>
        <w:t>2</w:t>
      </w:r>
      <w:r>
        <w:t>Mit Einverständnis der Parteien kann das Gericht abweichend von Satz 1 anordnen, dass eine Güteverhandlung oder eine mündliche Verhandlung durch Tonübertragung oder mithilfe anderer geeigneter digitaler Kommunikationsmittel stattfindet.</w:t>
      </w:r>
    </w:p>
    <w:p>
      <w:r>
        <w:t xml:space="preserve">(4) Vorbehaltlich der Absätze 1 bis 3 kann das Gericht das Verfahren abweichend von den </w:t>
      </w:r>
      <w:hyperlink w:anchor="b309" w:history="1">
        <w:r>
          <w:rPr>
            <w:color w:val="0A3A8C"/>
            <w:u w:val="single"/>
          </w:rPr>
          <w:t xml:space="preserve">§§ 275</w:t>
        </w:r>
      </w:hyperlink>
      <w:r>
        <w:t xml:space="preserve"> und </w:t>
      </w:r>
      <w:hyperlink w:anchor="b310" w:history="1">
        <w:r>
          <w:rPr>
            <w:color w:val="0A3A8C"/>
            <w:u w:val="single"/>
          </w:rPr>
          <w:t xml:space="preserve">276</w:t>
        </w:r>
      </w:hyperlink>
      <w:r>
        <w:t xml:space="preserve"> in Verbindung mit </w:t>
      </w:r>
      <w:hyperlink w:anchor="b545" w:history="1">
        <w:r>
          <w:rPr>
            <w:color w:val="0A3A8C"/>
            <w:u w:val="single"/>
          </w:rPr>
          <w:t xml:space="preserve">§ 495</w:t>
        </w:r>
      </w:hyperlink>
      <w:r>
        <w:t xml:space="preserve"> nach billigem Ermessen bestimmen.</w:t>
      </w:r>
    </w:p>
    <w:p>
      <w:r>
        <w:t xml:space="preserve">(5) </w:t>
      </w:r>
      <w:r>
        <w:rPr>
          <w:rStyle w:val="Satznummer"/>
        </w:rPr>
        <w:t>1</w:t>
      </w:r>
      <w:r>
        <w:t xml:space="preserve">Als vorbereitende Maßnahme nach </w:t>
      </w:r>
      <w:hyperlink w:anchor="b306" w:history="1">
        <w:r>
          <w:rPr>
            <w:color w:val="0A3A8C"/>
            <w:u w:val="single"/>
          </w:rPr>
          <w:t xml:space="preserve">§ 273</w:t>
        </w:r>
      </w:hyperlink>
      <w:r>
        <w:t xml:space="preserve"> in Verbindung mit </w:t>
      </w:r>
      <w:hyperlink w:anchor="b545" w:history="1">
        <w:r>
          <w:rPr>
            <w:color w:val="0A3A8C"/>
            <w:u w:val="single"/>
          </w:rPr>
          <w:t xml:space="preserve">§ 495</w:t>
        </w:r>
      </w:hyperlink>
      <w:r>
        <w:t xml:space="preserve"> kann das Gericht Auskünfte aus allgemein zugänglichen Quellen abrufen. </w:t>
      </w:r>
      <w:r>
        <w:rPr>
          <w:rStyle w:val="Satznummer"/>
        </w:rPr>
        <w:t>2</w:t>
      </w:r>
      <w:r>
        <w:t xml:space="preserve">Dies betrifft auch offenkundige Tatsachen nach </w:t>
      </w:r>
      <w:hyperlink w:anchor="b327" w:history="1">
        <w:r>
          <w:rPr>
            <w:color w:val="0A3A8C"/>
            <w:u w:val="single"/>
          </w:rPr>
          <w:t xml:space="preserve">§ 291</w:t>
        </w:r>
      </w:hyperlink>
      <w:r>
        <w:t xml:space="preserve">, die nicht von den Parteien vorgebracht wurden. </w:t>
      </w:r>
      <w:r>
        <w:rPr>
          <w:rStyle w:val="Satznummer"/>
        </w:rPr>
        <w:t>3</w:t>
      </w:r>
      <w:r>
        <w:t>Das Gericht hat die Parteien auf die verwendete Quelle hinzuweisen und das Ergebnis der Auskunft in einer für die Parteien nachvollziehbaren Weise offenzulegen.</w:t>
      </w:r>
    </w:p>
    <w:p>
      <w:pPr>
        <w:pStyle w:val="Heading4"/>
      </w:pPr>
      <w:bookmarkStart w:id="1189" w:name="b1188"/>
      <w:r>
        <w:t>§ 1128 Versäumnisurteil</w:t>
      </w:r>
      <w:r>
        <w:t xml:space="preserve"> </w:t>
      </w:r>
      <w:r>
        <w:rPr>
          <w:rStyle w:val="Suchmarke"/>
        </w:rPr>
        <w:t>#1128#</w:t>
      </w:r>
      <w:bookmarkEnd w:id="1189"/>
    </w:p>
    <w:p>
      <w:r>
        <w:t xml:space="preserve">(1) </w:t>
      </w:r>
      <w:r>
        <w:rPr>
          <w:rStyle w:val="Satznummer"/>
        </w:rPr>
        <w:t>1</w:t>
      </w:r>
      <w:r>
        <w:t xml:space="preserve">In den Fällen des </w:t>
      </w:r>
      <w:hyperlink w:anchor="b1187" w:history="1">
        <w:r>
          <w:rPr>
            <w:color w:val="0A3A8C"/>
            <w:u w:val="single"/>
          </w:rPr>
          <w:t xml:space="preserve">§ 1127</w:t>
        </w:r>
      </w:hyperlink>
      <w:r>
        <w:t xml:space="preserve"> Absatz 4 fordert das Gericht den Beklagten mit der Zustellung der Klage auf, dem Gericht binnen einer Notfrist von zwei Wochen nach Zustellung der Klage anzuzeigen, dass er sich gegen die Klage verteidigen wolle. </w:t>
      </w:r>
      <w:r>
        <w:rPr>
          <w:rStyle w:val="Satznummer"/>
        </w:rPr>
        <w:t>2</w:t>
      </w:r>
      <w:r>
        <w:t xml:space="preserve">Mit der Zustellung der Klage ist der Beklagte über die Frist nach Satz 1 und die Folgen einer Versäumung dieser Frist zu belehren. </w:t>
      </w:r>
      <w:r>
        <w:rPr>
          <w:rStyle w:val="Satznummer"/>
        </w:rPr>
        <w:t>3</w:t>
      </w:r>
      <w:r>
        <w:t xml:space="preserve">Die Belehrung nach Satz 2 hat einen Hinweis auf die Rechtsfolgen aus den </w:t>
      </w:r>
      <w:hyperlink w:anchor="b113" w:history="1">
        <w:r>
          <w:rPr>
            <w:color w:val="0A3A8C"/>
            <w:u w:val="single"/>
          </w:rPr>
          <w:t xml:space="preserve">§§ 91</w:t>
        </w:r>
      </w:hyperlink>
      <w:r>
        <w:t xml:space="preserve"> und </w:t>
      </w:r>
      <w:hyperlink w:anchor="b706" w:history="1">
        <w:r>
          <w:rPr>
            <w:color w:val="0A3A8C"/>
            <w:u w:val="single"/>
          </w:rPr>
          <w:t xml:space="preserve">708</w:t>
        </w:r>
      </w:hyperlink>
      <w:r>
        <w:t xml:space="preserve"> Nummer 2 zu umfassen.</w:t>
      </w:r>
    </w:p>
    <w:p>
      <w:r>
        <w:t xml:space="preserve">(2) </w:t>
      </w:r>
      <w:r>
        <w:rPr>
          <w:rStyle w:val="Satznummer"/>
        </w:rPr>
        <w:t>1</w:t>
      </w:r>
      <w:r>
        <w:t xml:space="preserve">Hat der Beklagte entgegen Absatz 1 nicht rechtzeitig angezeigt, dass er sich gegen die Klage verteidigen wolle, so trifft das Gericht auf Antrag des Klägers die Entscheidung nach </w:t>
      </w:r>
      <w:hyperlink w:anchor="b382" w:history="1">
        <w:r>
          <w:rPr>
            <w:color w:val="0A3A8C"/>
            <w:u w:val="single"/>
          </w:rPr>
          <w:t xml:space="preserve">§ 331</w:t>
        </w:r>
      </w:hyperlink>
      <w:r>
        <w:t xml:space="preserve"> Absatz 3 in Verbindung mit </w:t>
      </w:r>
      <w:hyperlink w:anchor="b545" w:history="1">
        <w:r>
          <w:rPr>
            <w:color w:val="0A3A8C"/>
            <w:u w:val="single"/>
          </w:rPr>
          <w:t xml:space="preserve">§ 495</w:t>
        </w:r>
      </w:hyperlink>
      <w:r>
        <w:t xml:space="preserve"> ohne mündliche Verhandlung. </w:t>
      </w:r>
      <w:r>
        <w:rPr>
          <w:rStyle w:val="Satznummer"/>
        </w:rPr>
        <w:t>2</w:t>
      </w:r>
      <w:hyperlink w:anchor="b310" w:history="1">
        <w:r>
          <w:rPr>
            <w:color w:val="0A3A8C"/>
            <w:u w:val="single"/>
          </w:rPr>
          <w:t xml:space="preserve">§ 276</w:t>
        </w:r>
      </w:hyperlink>
      <w:r>
        <w:t xml:space="preserve"> Absatz 1 Satz 3 und 4 und </w:t>
      </w:r>
      <w:hyperlink w:anchor="b387" w:history="1">
        <w:r>
          <w:rPr>
            <w:color w:val="0A3A8C"/>
            <w:u w:val="single"/>
          </w:rPr>
          <w:t xml:space="preserve">§ 335</w:t>
        </w:r>
      </w:hyperlink>
      <w:r>
        <w:t xml:space="preserve"> Absatz 1 Nummer 4 jeweils in Verbindung mit </w:t>
      </w:r>
      <w:hyperlink w:anchor="b545" w:history="1">
        <w:r>
          <w:rPr>
            <w:color w:val="0A3A8C"/>
            <w:u w:val="single"/>
          </w:rPr>
          <w:t xml:space="preserve">§ 495</w:t>
        </w:r>
      </w:hyperlink>
      <w:r>
        <w:t xml:space="preserve"> sind entsprechend anzuwenden.</w:t>
      </w:r>
    </w:p>
    <w:p>
      <w:r>
        <w:t xml:space="preserve">(3) </w:t>
      </w:r>
      <w:hyperlink w:anchor="b395" w:history="1">
        <w:r>
          <w:rPr>
            <w:color w:val="0A3A8C"/>
            <w:u w:val="single"/>
          </w:rPr>
          <w:t xml:space="preserve">§ 341a</w:t>
        </w:r>
      </w:hyperlink>
      <w:r>
        <w:t xml:space="preserve"> gilt mit der Maßgabe, dass das Gericht nach § 1127 Absatz 1 in geeigneten Fällen eine Entscheidung ohne mündliche Verhandlung treffen kann.</w:t>
      </w:r>
    </w:p>
    <w:p>
      <w:pPr>
        <w:pStyle w:val="Heading4"/>
      </w:pPr>
      <w:bookmarkStart w:id="1190" w:name="b1189"/>
      <w:r>
        <w:t>§ 1129 Beweisaufnahme</w:t>
      </w:r>
      <w:r>
        <w:t xml:space="preserve"> </w:t>
      </w:r>
      <w:r>
        <w:rPr>
          <w:rStyle w:val="Suchmarke"/>
        </w:rPr>
        <w:t>#1129#</w:t>
      </w:r>
      <w:bookmarkEnd w:id="1190"/>
    </w:p>
    <w:p>
      <w:r>
        <w:t xml:space="preserve">(1) </w:t>
      </w:r>
      <w:r>
        <w:rPr>
          <w:rStyle w:val="Satznummer"/>
        </w:rPr>
        <w:t>1</w:t>
      </w:r>
      <w:r>
        <w:t xml:space="preserve">In geeigneten Fällen kann das Gericht auf Antrag oder von Amts wegen abweichend von </w:t>
      </w:r>
      <w:hyperlink w:anchor="b320" w:history="1">
        <w:r>
          <w:rPr>
            <w:color w:val="0A3A8C"/>
            <w:u w:val="single"/>
          </w:rPr>
          <w:t xml:space="preserve">§ 284</w:t>
        </w:r>
      </w:hyperlink>
      <w:r>
        <w:t xml:space="preserve"> Absatz 2 Satz 1 in Verbindung mit </w:t>
      </w:r>
      <w:hyperlink w:anchor="b545" w:history="1">
        <w:r>
          <w:rPr>
            <w:color w:val="0A3A8C"/>
            <w:u w:val="single"/>
          </w:rPr>
          <w:t xml:space="preserve">§ 495</w:t>
        </w:r>
      </w:hyperlink>
      <w:r>
        <w:t xml:space="preserve"> die Beweisaufnahme auch durch Tonübertragung oder mithilfe anderer geeigneter digitaler Kommunikationsmittel gestatten oder anordnen. </w:t>
      </w:r>
      <w:r>
        <w:rPr>
          <w:rStyle w:val="Satznummer"/>
        </w:rPr>
        <w:t>2</w:t>
      </w:r>
      <w:hyperlink w:anchor="b320" w:history="1">
        <w:r>
          <w:rPr>
            <w:color w:val="0A3A8C"/>
            <w:u w:val="single"/>
          </w:rPr>
          <w:t xml:space="preserve">§ 284</w:t>
        </w:r>
      </w:hyperlink>
      <w:r>
        <w:t xml:space="preserve"> Absatz 2 Satz 2 bis 5 und Absatz 3 in Verbindung mit </w:t>
      </w:r>
      <w:hyperlink w:anchor="b545" w:history="1">
        <w:r>
          <w:rPr>
            <w:color w:val="0A3A8C"/>
            <w:u w:val="single"/>
          </w:rPr>
          <w:t xml:space="preserve">§ 495</w:t>
        </w:r>
      </w:hyperlink>
      <w:r>
        <w:t xml:space="preserve"> bleibt unberührt.</w:t>
      </w:r>
    </w:p>
    <w:p>
      <w:r>
        <w:t xml:space="preserve">(2) </w:t>
      </w:r>
      <w:r>
        <w:rPr>
          <w:rStyle w:val="Satznummer"/>
        </w:rPr>
        <w:t>1</w:t>
      </w:r>
      <w:r>
        <w:t xml:space="preserve">Das Gericht kann abweichend von </w:t>
      </w:r>
      <w:hyperlink w:anchor="b411" w:history="1">
        <w:r>
          <w:rPr>
            <w:color w:val="0A3A8C"/>
            <w:u w:val="single"/>
          </w:rPr>
          <w:t xml:space="preserve">§ 357</w:t>
        </w:r>
      </w:hyperlink>
      <w:r>
        <w:t xml:space="preserve"> Absatz 1 in Verbindung mit </w:t>
      </w:r>
      <w:hyperlink w:anchor="b545" w:history="1">
        <w:r>
          <w:rPr>
            <w:color w:val="0A3A8C"/>
            <w:u w:val="single"/>
          </w:rPr>
          <w:t xml:space="preserve">§ 495</w:t>
        </w:r>
      </w:hyperlink>
      <w:r>
        <w:t xml:space="preserve"> entscheidungserhebliche Tatsachen auch durch Aussagen von Zeugen und Auskünfte von Sachverständigen feststellen, die mittels Bild- und Tonübertragung, schriftlich, elektronisch, telefonisch oder mithilfe anderer geeigneter digitaler Kommunikationsmittel erfolgen. </w:t>
      </w:r>
      <w:r>
        <w:rPr>
          <w:rStyle w:val="Satznummer"/>
        </w:rPr>
        <w:t>2</w:t>
      </w:r>
      <w:r>
        <w:t xml:space="preserve">Eines Beweisbeschlusses nach den </w:t>
      </w:r>
      <w:hyperlink w:anchor="b413" w:history="1">
        <w:r>
          <w:rPr>
            <w:color w:val="0A3A8C"/>
            <w:u w:val="single"/>
          </w:rPr>
          <w:t xml:space="preserve">§§ 358</w:t>
        </w:r>
      </w:hyperlink>
      <w:r>
        <w:t xml:space="preserve"> bis </w:t>
      </w:r>
      <w:hyperlink w:anchor="b416" w:history="1">
        <w:r>
          <w:rPr>
            <w:color w:val="0A3A8C"/>
            <w:u w:val="single"/>
          </w:rPr>
          <w:t xml:space="preserve">360</w:t>
        </w:r>
      </w:hyperlink>
      <w:r>
        <w:t xml:space="preserve"> in Verbindung mit </w:t>
      </w:r>
      <w:hyperlink w:anchor="b545" w:history="1">
        <w:r>
          <w:rPr>
            <w:color w:val="0A3A8C"/>
            <w:u w:val="single"/>
          </w:rPr>
          <w:t xml:space="preserve">§ 495</w:t>
        </w:r>
      </w:hyperlink>
      <w:r>
        <w:t xml:space="preserve"> bedarf es nicht. </w:t>
      </w:r>
      <w:r>
        <w:rPr>
          <w:rStyle w:val="Satznummer"/>
        </w:rPr>
        <w:t>3</w:t>
      </w:r>
      <w:r>
        <w:t>Den Parteien ist Gelegenheit zu geben, zu dem Ergebnis der Beweisaufnahme Stellung zu nehmen.</w:t>
      </w:r>
    </w:p>
    <w:p>
      <w:r>
        <w:t xml:space="preserve">(3) </w:t>
      </w:r>
      <w:r>
        <w:rPr>
          <w:rStyle w:val="Satznummer"/>
        </w:rPr>
        <w:t>1</w:t>
      </w:r>
      <w:r>
        <w:t xml:space="preserve">Für die Parteivernehmung gilt Absatz 2 Satz 1 und 3 entsprechend. </w:t>
      </w:r>
      <w:r>
        <w:rPr>
          <w:rStyle w:val="Satznummer"/>
        </w:rPr>
        <w:t>2</w:t>
      </w:r>
      <w:r>
        <w:t xml:space="preserve">Eines Beweisbeschlusses nach </w:t>
      </w:r>
      <w:hyperlink w:anchor="b518" w:history="1">
        <w:r>
          <w:rPr>
            <w:color w:val="0A3A8C"/>
            <w:u w:val="single"/>
          </w:rPr>
          <w:t xml:space="preserve">§ 450</w:t>
        </w:r>
      </w:hyperlink>
      <w:r>
        <w:t xml:space="preserve"> in Verbindung mit </w:t>
      </w:r>
      <w:hyperlink w:anchor="b545" w:history="1">
        <w:r>
          <w:rPr>
            <w:color w:val="0A3A8C"/>
            <w:u w:val="single"/>
          </w:rPr>
          <w:t xml:space="preserve">§ 495</w:t>
        </w:r>
      </w:hyperlink>
      <w:r>
        <w:t xml:space="preserve"> bedarf es nicht.</w:t>
      </w:r>
    </w:p>
    <w:p>
      <w:pPr>
        <w:pStyle w:val="Heading4"/>
      </w:pPr>
      <w:bookmarkStart w:id="1191" w:name="b1190"/>
      <w:r>
        <w:t>§ 1130 Benachrichtigung; Ersetzung der Verkündung</w:t>
      </w:r>
      <w:r>
        <w:t xml:space="preserve"> </w:t>
      </w:r>
      <w:r>
        <w:rPr>
          <w:rStyle w:val="Suchmarke"/>
        </w:rPr>
        <w:t>#1130#</w:t>
      </w:r>
      <w:bookmarkEnd w:id="1191"/>
    </w:p>
    <w:p>
      <w:r>
        <w:t xml:space="preserve">(1) Der Nutzer eines Postfach- und Versanddienstes nach </w:t>
      </w:r>
      <w:hyperlink w:anchor="b163" w:history="1">
        <w:r>
          <w:rPr>
            <w:color w:val="0A3A8C"/>
            <w:u w:val="single"/>
          </w:rPr>
          <w:t xml:space="preserve">§ 130a</w:t>
        </w:r>
      </w:hyperlink>
      <w:r>
        <w:t xml:space="preserve"> Absatz 4 Satz 1 Nummer 4 ist über die von ihm zu diesem Zweck angegebene Adresse spätestens am Tag der Bereitstellung eines elektronischen Dokuments in seinem Postfach darüber zu benachrichtigen, dass dieses abgerufen werden kann.</w:t>
      </w:r>
    </w:p>
    <w:p>
      <w:r>
        <w:t xml:space="preserve">(2) </w:t>
      </w:r>
      <w:r>
        <w:rPr>
          <w:rStyle w:val="Satznummer"/>
        </w:rPr>
        <w:t>1</w:t>
      </w:r>
      <w:r>
        <w:t xml:space="preserve">Die Verkündung eines Urteils oder eines Beschlusses kann durch dessen Zustellung ersetzt werden. </w:t>
      </w:r>
      <w:r>
        <w:rPr>
          <w:rStyle w:val="Satznummer"/>
        </w:rPr>
        <w:t>2</w:t>
      </w:r>
      <w:r>
        <w:t xml:space="preserve">Das Gericht bestimmt, bis wann die Zustellung spätestens erfolgen wird. </w:t>
      </w:r>
      <w:r>
        <w:rPr>
          <w:rStyle w:val="Satznummer"/>
        </w:rPr>
        <w:t>3</w:t>
      </w:r>
      <w:hyperlink w:anchor="b354" w:history="1">
        <w:r>
          <w:rPr>
            <w:color w:val="0A3A8C"/>
            <w:u w:val="single"/>
          </w:rPr>
          <w:t xml:space="preserve">§ 310</w:t>
        </w:r>
      </w:hyperlink>
      <w:r>
        <w:t xml:space="preserve"> Absatz 1 Satz 2 gilt entsprechend.</w:t>
      </w:r>
    </w:p>
    <w:p>
      <w:pPr>
        <w:pStyle w:val="Heading3"/>
      </w:pPr>
      <w:bookmarkStart w:id="1192" w:name="b1191"/>
      <w:r>
        <w:t>Titel 3 Kommunikationsplattform</w:t>
      </w:r>
      <w:bookmarkEnd w:id="1192"/>
    </w:p>
    <w:p>
      <w:pPr>
        <w:pStyle w:val="Heading4"/>
      </w:pPr>
      <w:bookmarkStart w:id="1193" w:name="b1192"/>
      <w:r>
        <w:t>§ 1131 Entwicklung und Bereitstellung; Verordnungsermächtigungen</w:t>
      </w:r>
      <w:r>
        <w:t xml:space="preserve"> </w:t>
      </w:r>
      <w:r>
        <w:rPr>
          <w:rStyle w:val="Suchmarke"/>
        </w:rPr>
        <w:t>#1131#</w:t>
      </w:r>
      <w:bookmarkEnd w:id="1193"/>
    </w:p>
    <w:p>
      <w:r>
        <w:t xml:space="preserve">(1) </w:t>
      </w:r>
      <w:r>
        <w:rPr>
          <w:rStyle w:val="Satznummer"/>
        </w:rPr>
        <w:t>1</w:t>
      </w:r>
      <w:r>
        <w:t xml:space="preserve">Im Online-Verfahren kann eine Kommunikationsplattform genutzt werden, die der bundeseinheitlichen Erprobung digitaler Austausch- und Übermittlungsformen zwischen den Verfahrensbeteiligten und mit dem Gericht dient. </w:t>
      </w:r>
      <w:r>
        <w:rPr>
          <w:rStyle w:val="Satznummer"/>
        </w:rPr>
        <w:t>2</w:t>
      </w:r>
      <w:r>
        <w:t xml:space="preserve">Die Kommunikationsplattform kann insbesondere genutzt werden, um elektronische Dokumente zur Einsicht und zum Datenabruf bereitzustellen oder um diese durch die Verfahrensbeteiligten und das Gericht zu bearbeiten. </w:t>
      </w:r>
      <w:r>
        <w:rPr>
          <w:rStyle w:val="Satznummer"/>
        </w:rPr>
        <w:t>3</w:t>
      </w:r>
      <w:r>
        <w:t>Das Gericht kann in entsprechender Anwendung des § 1126 Maßnahmen der Prozessleitung ergreifen, um den Streitstoff unter Nutzung der Kommunikationsplattform zu strukturieren.</w:t>
      </w:r>
    </w:p>
    <w:p>
      <w:r>
        <w:t xml:space="preserve">(2) </w:t>
      </w:r>
      <w:r>
        <w:rPr>
          <w:rStyle w:val="Satznummer"/>
        </w:rPr>
        <w:t>1</w:t>
      </w:r>
      <w:r>
        <w:t xml:space="preserve">Die Kommunikationsplattform wird vom Bundesministerium der Justiz und für Verbraucherschutz als Referenzimplementierung entwickelt und den Ländern zur Anwendung bei den nach </w:t>
      </w:r>
      <w:hyperlink w:anchor="b1182" w:history="1">
        <w:r>
          <w:rPr>
            <w:color w:val="0A3A8C"/>
            <w:u w:val="single"/>
          </w:rPr>
          <w:t xml:space="preserve">§ 1123</w:t>
        </w:r>
      </w:hyperlink>
      <w:r>
        <w:t xml:space="preserve"> bestimmten Gerichten bundeseinheitlich bereitgestellt. </w:t>
      </w:r>
      <w:r>
        <w:rPr>
          <w:rStyle w:val="Satznummer"/>
        </w:rPr>
        <w:t>2</w:t>
      </w:r>
      <w:r>
        <w:t xml:space="preserve">Die Länder können die Entwicklung und die bundeseinheitliche Bereitstellung der Kommunikationsplattform nach Satz 1 zur Anwendung bei den nach </w:t>
      </w:r>
      <w:hyperlink w:anchor="b1182" w:history="1">
        <w:r>
          <w:rPr>
            <w:color w:val="0A3A8C"/>
            <w:u w:val="single"/>
          </w:rPr>
          <w:t xml:space="preserve">§ 1123</w:t>
        </w:r>
      </w:hyperlink>
      <w:r>
        <w:t xml:space="preserve"> bestimmten Gerichten ganz oder teilweise übernehmen; Entsprechendes gilt für die Bereitstellung weiterer Anwendungsmodule für die Zwecke nach Absatz 1. </w:t>
      </w:r>
      <w:r>
        <w:rPr>
          <w:rStyle w:val="Satznummer"/>
        </w:rPr>
        <w:t>3</w:t>
      </w:r>
      <w:r>
        <w:t>Das Bundesministerium der Justiz und für Verbraucherschutz wird ermächtigt, durch Rechtsverordnung mit Zustimmung des Bundesrates die technischen, organisatorischen und datenschutzrechtlichen Rahmenbedingungen für Entwicklung, Betrieb, Pflege und Weiterentwicklung der Kommunikationsplattform und ihrer Anwendungsmodule zu bestimmen.</w:t>
      </w:r>
    </w:p>
    <w:p>
      <w:r>
        <w:t xml:space="preserve">(3) </w:t>
      </w:r>
      <w:r>
        <w:rPr>
          <w:rStyle w:val="Satznummer"/>
        </w:rPr>
        <w:t>1</w:t>
      </w:r>
      <w:r>
        <w:t xml:space="preserve">Die nach Absatz 2 entwickelte Kommunikationsplattform ist über ein Justizportal des Bundes und der Länder für die Nutzer bereitzustellen. </w:t>
      </w:r>
      <w:r>
        <w:rPr>
          <w:rStyle w:val="Satznummer"/>
        </w:rPr>
        <w:t>2</w:t>
      </w:r>
      <w:r>
        <w:t xml:space="preserve">Sie ist nach Maßgabe der Barrierefreie-Informationstechnik-Verordnung barrierefrei zu gestalten. </w:t>
      </w:r>
      <w:r>
        <w:rPr>
          <w:rStyle w:val="Satznummer"/>
        </w:rPr>
        <w:t>3</w:t>
      </w:r>
      <w:r>
        <w:t>Ferner ist bei der Gestaltung der Kommunikationsplattform deren Nutzerfreundlichkeit sowie eine einfache und intuitive Bedienbarkeit sicherzustellen.</w:t>
      </w:r>
    </w:p>
    <w:p>
      <w:r>
        <w:t xml:space="preserve">(4) </w:t>
      </w:r>
      <w:r>
        <w:rPr>
          <w:rStyle w:val="Satznummer"/>
        </w:rPr>
        <w:t>1</w:t>
      </w:r>
      <w:r>
        <w:t xml:space="preserve">Die Stelle, die die Kommunikationsplattform nach Absatz 2 bereitstellt, darf personenbezogene Daten nur verarbeiten, soweit dies für die Zwecke nach Absatz 1 erforderlich ist. </w:t>
      </w:r>
      <w:r>
        <w:rPr>
          <w:rStyle w:val="Satznummer"/>
        </w:rPr>
        <w:t>2</w:t>
      </w:r>
      <w:r>
        <w:t xml:space="preserve">Die Daten sind spätestens nach rechtskräftigem Abschluss oder nach sonstiger Beendigung des Verfahrens von der Kommunikationsplattform zu löschen. </w:t>
      </w:r>
      <w:r>
        <w:rPr>
          <w:rStyle w:val="Satznummer"/>
        </w:rPr>
        <w:t>3</w:t>
      </w:r>
      <w:r>
        <w:t xml:space="preserve">Elektronische Dokumente aus dem über die Kommunikationsplattform geführten Verfahren sind zu den elektronisch geführten Prozessakten nach </w:t>
      </w:r>
      <w:hyperlink w:anchor="b337" w:history="1">
        <w:r>
          <w:rPr>
            <w:color w:val="0A3A8C"/>
            <w:u w:val="single"/>
          </w:rPr>
          <w:t xml:space="preserve">§ 298a</w:t>
        </w:r>
      </w:hyperlink>
      <w:r>
        <w:t xml:space="preserve"> zu nehmen.</w:t>
      </w:r>
    </w:p>
    <w:p>
      <w:r>
        <w:t>(5) Das Bundesministerium der Justiz und für Verbraucherschutz wird ermächtigt, durch Rechtsverordnung mit Zustimmung des Bundesrates die für die Übermittlung und Bearbeitung von Daten geltenden Standards und Dateiformate und die Ausgestaltung des Datenschutzes bei Nutzung der Kommunikationsplattform festzulegen.</w:t>
      </w:r>
    </w:p>
    <w:p>
      <w:pPr>
        <w:pStyle w:val="Heading4"/>
      </w:pPr>
      <w:bookmarkStart w:id="1194" w:name="b1193"/>
      <w:r>
        <w:t>§ 1132 Kommunikations-, Austausch- und Übermittlungsformen</w:t>
      </w:r>
      <w:r>
        <w:t xml:space="preserve"> </w:t>
      </w:r>
      <w:r>
        <w:rPr>
          <w:rStyle w:val="Suchmarke"/>
        </w:rPr>
        <w:t>#1132#</w:t>
      </w:r>
      <w:bookmarkEnd w:id="1194"/>
    </w:p>
    <w:p>
      <w:r>
        <w:t xml:space="preserve">(1) </w:t>
      </w:r>
      <w:r>
        <w:rPr>
          <w:rStyle w:val="Satznummer"/>
        </w:rPr>
        <w:t>1</w:t>
      </w:r>
      <w:r>
        <w:t xml:space="preserve">Eine in diesem Gesetz angeordnete Schriftform kann durch unmittelbare Eingabe von Anträgen und Erklärungen der Verfahrensbeteiligten über die Kommunikationsplattform nach </w:t>
      </w:r>
      <w:hyperlink w:anchor="b1192" w:history="1">
        <w:r>
          <w:rPr>
            <w:color w:val="0A3A8C"/>
            <w:u w:val="single"/>
          </w:rPr>
          <w:t xml:space="preserve">§ 1131</w:t>
        </w:r>
      </w:hyperlink>
      <w:r>
        <w:t xml:space="preserve"> ersetzt werden, sofern hierfür digitale Eingabesysteme zur Verfügung stehen und eines der folgenden Identifizierungsverfahren genutzt wird:</w:t>
      </w:r>
    </w:p>
    <w:p>
      <w:pPr>
        <w:tabs>
          <w:tab w:pos="567" w:val="left"/>
        </w:tabs>
        <w:ind w:left="567" w:hanging="567"/>
      </w:pPr>
      <w:r>
        <w:t>1.</w:t>
      </w:r>
      <w:r>
        <w:tab/>
      </w:r>
      <w:r>
        <w:t>für die Identifizierung von Rechtsanwälten: das Verfahren zum Zugang zum besonderen elektronischen Anwaltspostfach nach § 31a Absatz 3 Satz 1 auch in Verbindung mit § 31b Absatz 5 der Bundesrechtsanwaltsordnung;</w:t>
      </w:r>
    </w:p>
    <w:p>
      <w:pPr>
        <w:tabs>
          <w:tab w:pos="567" w:val="left"/>
        </w:tabs>
        <w:ind w:left="567" w:hanging="567"/>
      </w:pPr>
      <w:r>
        <w:t>2.</w:t>
      </w:r>
      <w:r>
        <w:tab/>
      </w:r>
      <w:r>
        <w:t xml:space="preserve">für die Identifizierung anderer Verfahrensbeteiligter: ein Verfahren über ein Nutzerkonto nach </w:t>
      </w:r>
      <w:hyperlink w:anchor="b4" w:history="1">
        <w:r>
          <w:rPr>
            <w:color w:val="0A3A8C"/>
            <w:u w:val="single"/>
          </w:rPr>
          <w:t xml:space="preserve">§ 2</w:t>
        </w:r>
      </w:hyperlink>
      <w:r>
        <w:t xml:space="preserve"> Absatz 5 in Verbindung mit § 3 Absatz 4 des Onlinezugangsgesetzes.</w:t>
      </w:r>
    </w:p>
    <w:p>
      <w:r>
        <w:rPr>
          <w:rStyle w:val="Satznummer"/>
        </w:rPr>
        <w:t>2</w:t>
      </w:r>
      <w:r>
        <w:t xml:space="preserve">Reicht im Fall von Satz 1 Nummer 1 eine andere berechtigte Person für den Rechtsanwalt Anträge und Erklärungen ein, müssen diese mit einer qualifizierten elektronischen Signatur des verantwortenden Rechtsanwaltes versehen sein. </w:t>
      </w:r>
      <w:r>
        <w:rPr>
          <w:rStyle w:val="Satznummer"/>
        </w:rPr>
        <w:t>3</w:t>
      </w:r>
      <w:r>
        <w:t>Wurde der Nachweis der Identität nach Satz 1 erbracht, so kann die spätere Authentisierung des Inhabers des Identitätsnachweises auch durch andere geeignete Authentisierungsmittel erfolgen.</w:t>
      </w:r>
    </w:p>
    <w:p>
      <w:r>
        <w:t xml:space="preserve">(2) </w:t>
      </w:r>
      <w:r>
        <w:rPr>
          <w:rStyle w:val="Satznummer"/>
        </w:rPr>
        <w:t>1</w:t>
      </w:r>
      <w:r>
        <w:t>Eine in diesem Gesetz angeordnete Schriftform kann auch durch Übermittlung elektronischer Dokumente über die Kommunikationsplattform ersetzt werden, sofern</w:t>
      </w:r>
    </w:p>
    <w:p>
      <w:pPr>
        <w:tabs>
          <w:tab w:pos="567" w:val="left"/>
        </w:tabs>
        <w:ind w:left="567" w:hanging="567"/>
      </w:pPr>
      <w:r>
        <w:t>1.</w:t>
      </w:r>
      <w:r>
        <w:tab/>
      </w:r>
      <w:r>
        <w:t>ein Identifizierungsverfahren nach Absatz 1 genutzt wird,</w:t>
      </w:r>
    </w:p>
    <w:p>
      <w:pPr>
        <w:tabs>
          <w:tab w:pos="567" w:val="left"/>
        </w:tabs>
        <w:ind w:left="567" w:hanging="567"/>
      </w:pPr>
      <w:r>
        <w:t>2.</w:t>
      </w:r>
      <w:r>
        <w:tab/>
      </w:r>
      <w:r>
        <w:t>bei der Datenübermittlung ein sicheres Verfahren verwendet wird, das die Authentizität und Integrität der Daten gewährleistet, und</w:t>
      </w:r>
    </w:p>
    <w:p>
      <w:pPr>
        <w:tabs>
          <w:tab w:pos="567" w:val="left"/>
        </w:tabs>
        <w:ind w:left="567" w:hanging="567"/>
      </w:pPr>
      <w:r>
        <w:t>3.</w:t>
      </w:r>
      <w:r>
        <w:tab/>
      </w:r>
      <w:r>
        <w:t>für die elektronischen Dokumente auf der Kommunikationsplattform eine automatisierte Bearbeitung durch das Gericht eröffnet ist.</w:t>
      </w:r>
    </w:p>
    <w:p>
      <w:r>
        <w:rPr>
          <w:rStyle w:val="Satznummer"/>
        </w:rPr>
        <w:t>2</w:t>
      </w:r>
      <w:hyperlink w:anchor="b167" w:history="1">
        <w:r>
          <w:rPr>
            <w:color w:val="0A3A8C"/>
            <w:u w:val="single"/>
          </w:rPr>
          <w:t xml:space="preserve">§ 130e</w:t>
        </w:r>
      </w:hyperlink>
      <w:r>
        <w:t xml:space="preserve"> gilt entsprechend.</w:t>
      </w:r>
    </w:p>
    <w:p>
      <w:r>
        <w:t xml:space="preserve">(3) </w:t>
      </w:r>
      <w:r>
        <w:rPr>
          <w:rStyle w:val="Satznummer"/>
        </w:rPr>
        <w:t>1</w:t>
      </w:r>
      <w:r>
        <w:t xml:space="preserve">Schriftlich einzureichenden Anträgen und Erklärungen ist ein strukturierter Datensatz beizufügen, der mindestens die Angaben nach § 2 Absatz 3 der Elektronischer-Rechtsverkehr-Verordnung enthält. </w:t>
      </w:r>
      <w:r>
        <w:rPr>
          <w:rStyle w:val="Satznummer"/>
        </w:rPr>
        <w:t>2</w:t>
      </w:r>
      <w:r>
        <w:t xml:space="preserve">Schriftlich einzureichende Anträge und Erklärungen sind als strukturierte Datensätze zu übermitteln, soweit die für die Übermittlung und Bearbeitung von Daten geltenden Standards und Dateiformate in der Rechtsverordnung nach </w:t>
      </w:r>
      <w:hyperlink w:anchor="b1192" w:history="1">
        <w:r>
          <w:rPr>
            <w:color w:val="0A3A8C"/>
            <w:u w:val="single"/>
          </w:rPr>
          <w:t xml:space="preserve">§ 1131</w:t>
        </w:r>
      </w:hyperlink>
      <w:r>
        <w:t xml:space="preserve"> Absatz 5 als verbindlich festgelegt sind.</w:t>
      </w:r>
    </w:p>
    <w:p>
      <w:r>
        <w:t xml:space="preserve">(4) </w:t>
      </w:r>
      <w:r>
        <w:rPr>
          <w:rStyle w:val="Satznummer"/>
        </w:rPr>
        <w:t>1</w:t>
      </w:r>
      <w:r>
        <w:t xml:space="preserve">Elektronische Dokumente sind bei Gericht eingegangen, sobald sie über die Kommunikationsplattform bereitgestellt sind. </w:t>
      </w:r>
      <w:r>
        <w:rPr>
          <w:rStyle w:val="Satznummer"/>
        </w:rPr>
        <w:t>2</w:t>
      </w:r>
      <w:r>
        <w:t xml:space="preserve">Der einreichenden Person ist ein Nachweis über den Eingang und den Zeitpunkt des Eingangs zu erteilen. </w:t>
      </w:r>
      <w:r>
        <w:rPr>
          <w:rStyle w:val="Satznummer"/>
        </w:rPr>
        <w:t>3</w:t>
      </w:r>
      <w:hyperlink w:anchor="b163" w:history="1">
        <w:r>
          <w:rPr>
            <w:color w:val="0A3A8C"/>
            <w:u w:val="single"/>
          </w:rPr>
          <w:t xml:space="preserve">§ 130a</w:t>
        </w:r>
      </w:hyperlink>
      <w:r>
        <w:t xml:space="preserve"> Absatz 6 gilt entsprechend.</w:t>
      </w:r>
    </w:p>
    <w:p>
      <w:r>
        <w:t>(5) Die Gerichte haben bei der digitalen Kommunikation mit den Verfahrensbeteiligten und bei der Bereitstellung von elektronischen Dokumenten zum Abruf ein sicheres Verfahren zu verwenden, das die Authentizität und Integrität der Daten gewährleistet.</w:t>
      </w:r>
    </w:p>
    <w:p>
      <w:r>
        <w:t xml:space="preserve">(6) </w:t>
      </w:r>
      <w:r>
        <w:rPr>
          <w:rStyle w:val="Satznummer"/>
        </w:rPr>
        <w:t>1</w:t>
      </w:r>
      <w:r>
        <w:t xml:space="preserve">Bei der Bereitstellung eines elektronischen Dokuments über die Kommunikationsplattform ist der Empfänger über das von ihm zu diesem Zweck angegebene Postfach oder die von ihm zu diesem Zweck angegebene Adresse spätestens am Tag der Bereitstellung des elektronischen Dokuments darüber zu benachrichtigen, dass dieses abgerufen werden kann. </w:t>
      </w:r>
      <w:r>
        <w:rPr>
          <w:rStyle w:val="Satznummer"/>
        </w:rPr>
        <w:t>2</w:t>
      </w:r>
      <w:r>
        <w:t xml:space="preserve">Satz 1 gilt entsprechend für die weitere digitale Kommunikation zwischen dem Gericht und den Verfahrensbeteiligten über die Kommunikationsplattform. </w:t>
      </w:r>
      <w:r>
        <w:rPr>
          <w:rStyle w:val="Satznummer"/>
        </w:rPr>
        <w:t>3</w:t>
      </w:r>
      <w:r>
        <w:t xml:space="preserve">Der Empfänger hat sich beim Datenabruf zu authentisieren. </w:t>
      </w:r>
      <w:r>
        <w:rPr>
          <w:rStyle w:val="Satznummer"/>
        </w:rPr>
        <w:t>4</w:t>
      </w:r>
      <w:r>
        <w:t>Die Zeitpunkte der Bereitstellung und des Abrufs sind zu protokollieren.</w:t>
      </w:r>
    </w:p>
    <w:p>
      <w:r>
        <w:t xml:space="preserve">(7) </w:t>
      </w:r>
      <w:r>
        <w:rPr>
          <w:rStyle w:val="Satznummer"/>
        </w:rPr>
        <w:t>1</w:t>
      </w:r>
      <w:r>
        <w:t xml:space="preserve">Besteht eine Nutzungspflicht nach </w:t>
      </w:r>
      <w:hyperlink w:anchor="b1194" w:history="1">
        <w:r>
          <w:rPr>
            <w:color w:val="0A3A8C"/>
            <w:u w:val="single"/>
          </w:rPr>
          <w:t xml:space="preserve">§ 1133</w:t>
        </w:r>
      </w:hyperlink>
      <w:r>
        <w:t>, so kann ein elektronisches Dokument in den folgenden Fällen zugestellt werden, indem es zum Datenabruf über die Kommunikationsplattform bereitgestellt wird:</w:t>
      </w:r>
    </w:p>
    <w:p>
      <w:pPr>
        <w:tabs>
          <w:tab w:pos="567" w:val="left"/>
        </w:tabs>
        <w:ind w:left="567" w:hanging="567"/>
      </w:pPr>
      <w:r>
        <w:t>1.</w:t>
      </w:r>
      <w:r>
        <w:tab/>
      </w:r>
      <w:r>
        <w:t xml:space="preserve">bei einer Zustellung durch das Gericht abweichend von </w:t>
      </w:r>
      <w:hyperlink w:anchor="b214" w:history="1">
        <w:r>
          <w:rPr>
            <w:color w:val="0A3A8C"/>
            <w:u w:val="single"/>
          </w:rPr>
          <w:t xml:space="preserve">§ 173</w:t>
        </w:r>
      </w:hyperlink>
      <w:r>
        <w:t xml:space="preserve"> Absatz 1 und 3,</w:t>
      </w:r>
    </w:p>
    <w:p>
      <w:pPr>
        <w:tabs>
          <w:tab w:pos="567" w:val="left"/>
        </w:tabs>
        <w:ind w:left="567" w:hanging="567"/>
      </w:pPr>
      <w:r>
        <w:t>2.</w:t>
      </w:r>
      <w:r>
        <w:tab/>
      </w:r>
      <w:r>
        <w:t xml:space="preserve">bei einer Zustellung von Anwalt zu Anwalt abweichend von </w:t>
      </w:r>
      <w:hyperlink w:anchor="b238" w:history="1">
        <w:r>
          <w:rPr>
            <w:color w:val="0A3A8C"/>
            <w:u w:val="single"/>
          </w:rPr>
          <w:t xml:space="preserve">§ 195</w:t>
        </w:r>
      </w:hyperlink>
      <w:r>
        <w:t xml:space="preserve"> Absatz 1 Satz 5 und Absatz 2.</w:t>
      </w:r>
    </w:p>
    <w:p>
      <w:r>
        <w:rPr>
          <w:rStyle w:val="Satznummer"/>
        </w:rPr>
        <w:t>2</w:t>
      </w:r>
      <w:r>
        <w:t xml:space="preserve">Die Zeitpunkte der Bereitstellung und des Abrufs sind automatisiert zu bestätigen. </w:t>
      </w:r>
      <w:r>
        <w:rPr>
          <w:rStyle w:val="Satznummer"/>
        </w:rPr>
        <w:t>3</w:t>
      </w:r>
      <w:hyperlink w:anchor="b214" w:history="1">
        <w:r>
          <w:rPr>
            <w:color w:val="0A3A8C"/>
            <w:u w:val="single"/>
          </w:rPr>
          <w:t xml:space="preserve">§ 173</w:t>
        </w:r>
      </w:hyperlink>
      <w:r>
        <w:t xml:space="preserve"> Absatz 4 Satz 4 und 5 ist entsprechend anzuwenden.</w:t>
      </w:r>
    </w:p>
    <w:p>
      <w:pPr>
        <w:pStyle w:val="Heading4"/>
      </w:pPr>
      <w:bookmarkStart w:id="1195" w:name="b1194"/>
      <w:r>
        <w:t>§ 1133 Nutzungspflichten</w:t>
      </w:r>
      <w:r>
        <w:t xml:space="preserve"> </w:t>
      </w:r>
      <w:r>
        <w:rPr>
          <w:rStyle w:val="Suchmarke"/>
        </w:rPr>
        <w:t>#1133#</w:t>
      </w:r>
      <w:bookmarkEnd w:id="1195"/>
    </w:p>
    <w:p>
      <w:r>
        <w:t xml:space="preserve">(1) </w:t>
      </w:r>
      <w:r>
        <w:rPr>
          <w:rStyle w:val="Satznummer"/>
        </w:rPr>
        <w:t>1</w:t>
      </w:r>
      <w:r>
        <w:t xml:space="preserve">Ist eine Kommunikationsplattform bereitgestellt, müssen die Verfahrensbeteiligten diese zur digitalen Kommunikation im Verfahren nutzen. </w:t>
      </w:r>
      <w:r>
        <w:rPr>
          <w:rStyle w:val="Satznummer"/>
        </w:rPr>
        <w:t>2</w:t>
      </w:r>
      <w:r>
        <w:t xml:space="preserve">Satz 1 gilt nicht für Parteien, die natürliche Personen sind, nicht anwaltlich vertreten sind und die sich nicht nach </w:t>
      </w:r>
      <w:hyperlink w:anchor="b1193" w:history="1">
        <w:r>
          <w:rPr>
            <w:color w:val="0A3A8C"/>
            <w:u w:val="single"/>
          </w:rPr>
          <w:t xml:space="preserve">§ 1132</w:t>
        </w:r>
      </w:hyperlink>
      <w:r>
        <w:t xml:space="preserve"> Absatz 1 Satz 1 Nummer 2 identifiziert haben; diesen steht auch die Einreichung von Anträgen und Erklärungen bei Gericht nach den allgemeinen Vorschriften offen.</w:t>
      </w:r>
    </w:p>
    <w:p>
      <w:r>
        <w:t xml:space="preserve">(2) </w:t>
      </w:r>
      <w:r>
        <w:rPr>
          <w:rStyle w:val="Satznummer"/>
        </w:rPr>
        <w:t>1</w:t>
      </w:r>
      <w:r>
        <w:t xml:space="preserve">Absatz 1 Satz 1 gilt nicht, sofern für einen Verfahrensbeteiligten kein Identifizierungsverfahren über die Kommunikationsplattform nach § 1132 Absatz 1 Satz 1 zur Verfügung steht oder soweit für einen digitalen Kommunikationsvorgang im Verfahren keine Nutzung der Kommunikationsplattform eröffnet ist. </w:t>
      </w:r>
      <w:r>
        <w:rPr>
          <w:rStyle w:val="Satznummer"/>
        </w:rPr>
        <w:t>2</w:t>
      </w:r>
      <w:r>
        <w:t xml:space="preserve">Ist die digitale Kommunikation über die Kommunikationsplattform aus technischen Gründen vorübergehend nicht möglich, so gilt </w:t>
      </w:r>
      <w:hyperlink w:anchor="b166" w:history="1">
        <w:r>
          <w:rPr>
            <w:color w:val="0A3A8C"/>
            <w:u w:val="single"/>
          </w:rPr>
          <w:t xml:space="preserve">§ 130d</w:t>
        </w:r>
      </w:hyperlink>
      <w:r>
        <w:t xml:space="preserve"> Satz 2 und 3 entsprechend. </w:t>
      </w:r>
      <w:r>
        <w:rPr>
          <w:rStyle w:val="Satznummer"/>
        </w:rPr>
        <w:t>3</w:t>
      </w:r>
      <w:r>
        <w:t>Ist die digitale Kommunikation über die Kommunikationsplattform für einen Verfahrensbeteiligten nicht zumutbar, so kann das Gericht gestatten, dass die Einreichung von Anträgen und Erklärungen nach den allgemeinen Vorschriften erfolgt.</w:t>
      </w:r>
    </w:p>
    <w:p>
      <w:r>
        <w:t>(3) Ist ein Verfahrensbeteiligter nach Absatz 1 Satz 2 oder Absatz 2 nicht zur Nutzung der Kommunikationsplattform verpflichtet, so kann das Gericht anordnen, dass die weitere Kommunikation durch alle Verfahrensbeteiligten ohne Nutzung der Kommunikationsplattform zu führen ist.</w:t>
      </w:r>
    </w:p>
    <w:p>
      <w:r>
        <w:t>(4) Der Beklagte ist mit der Zustellung der Klageschrift auf den Umfang der Nutzungspflichten nach den Absätzen 1 bis 3 sowie auf die zur Verfügung stehenden Identifizierungsverfahren hinzuweisen.</w:t>
      </w:r>
    </w:p>
    <w:p>
      <w:pPr>
        <w:pStyle w:val="Heading3"/>
      </w:pPr>
      <w:bookmarkStart w:id="1196" w:name="b1195"/>
      <w:r>
        <w:t>Titel 4 Evaluierung</w:t>
      </w:r>
      <w:bookmarkEnd w:id="1196"/>
    </w:p>
    <w:p>
      <w:pPr>
        <w:pStyle w:val="Heading4"/>
      </w:pPr>
      <w:bookmarkStart w:id="1197" w:name="b1196"/>
      <w:r>
        <w:t>§ 1134 Evaluierung</w:t>
      </w:r>
      <w:r>
        <w:t xml:space="preserve"> </w:t>
      </w:r>
      <w:r>
        <w:rPr>
          <w:rStyle w:val="Suchmarke"/>
        </w:rPr>
        <w:t>#1134#</w:t>
      </w:r>
      <w:bookmarkEnd w:id="1197"/>
    </w:p>
    <w:p>
      <w:r>
        <w:t>(1) Die Vorschriften dieses Abschnitts werden unter Beteiligung der an der Erprobung des Online-Verfahrens teilnehmenden Länder und auf der Grundlage der technischen Entwicklung und der durch die Erprobung gewonnenen Erfahrungen und Erkenntnisse zwei Jahre, vier Jahre und acht Jahre nach dem 23. Dezember 2025 evaluiert.</w:t>
      </w:r>
    </w:p>
    <w:p>
      <w:r>
        <w:t>(2) Im Rahmen der Evaluierung soll untersucht werden,</w:t>
      </w:r>
    </w:p>
    <w:p>
      <w:pPr>
        <w:tabs>
          <w:tab w:pos="567" w:val="left"/>
        </w:tabs>
        <w:ind w:left="567" w:hanging="567"/>
      </w:pPr>
      <w:r>
        <w:t>1.</w:t>
      </w:r>
      <w:r>
        <w:tab/>
      </w:r>
      <w:r>
        <w:t>in welchem Umfang von der Nutzung digitaler Eingabesysteme bei Klageeinreichung und im weiteren Verfahren Gebrauch gemacht wurde, einschließlich deren Barrierefreiheit, Nutzerfreundlichkeit und Bedienbarkeit,</w:t>
      </w:r>
    </w:p>
    <w:p>
      <w:pPr>
        <w:tabs>
          <w:tab w:pos="567" w:val="left"/>
        </w:tabs>
        <w:ind w:left="567" w:hanging="567"/>
      </w:pPr>
      <w:r>
        <w:t>2.</w:t>
      </w:r>
      <w:r>
        <w:tab/>
      </w:r>
      <w:r>
        <w:t>inwieweit Anwendungsgebiete für eine Vielzahl gleichgelagerter und standardisierbarer Verfahren inhaltlich und technisch erfasst werden konnten,</w:t>
      </w:r>
    </w:p>
    <w:p>
      <w:pPr>
        <w:tabs>
          <w:tab w:pos="567" w:val="left"/>
        </w:tabs>
        <w:ind w:left="567" w:hanging="567"/>
      </w:pPr>
      <w:r>
        <w:t>3.</w:t>
      </w:r>
      <w:r>
        <w:tab/>
      </w:r>
      <w:r>
        <w:t>in welchem Umfang und mit welchen Erfahrungen die Gerichte von den Möglichkeiten der §§ 1126 bis 1130 Gebrauch gemacht haben, insbesondere wie oft eine oder beide Parteien die mündliche Verhandlung beantragt haben und in welchen Fällen und mit welcher Begründung die Gerichte diese Anträge abgelehnt haben,</w:t>
      </w:r>
    </w:p>
    <w:p>
      <w:pPr>
        <w:tabs>
          <w:tab w:pos="567" w:val="left"/>
        </w:tabs>
        <w:ind w:left="567" w:hanging="567"/>
      </w:pPr>
      <w:r>
        <w:t>4.</w:t>
      </w:r>
      <w:r>
        <w:tab/>
      </w:r>
      <w:r>
        <w:t xml:space="preserve">welche Funktionalitäten und Anwendungsmodule nach </w:t>
      </w:r>
      <w:hyperlink w:anchor="b1192" w:history="1">
        <w:r>
          <w:rPr>
            <w:color w:val="0A3A8C"/>
            <w:u w:val="single"/>
          </w:rPr>
          <w:t xml:space="preserve">§ 1131</w:t>
        </w:r>
      </w:hyperlink>
      <w:r>
        <w:t xml:space="preserve"> Absatz 1 über die Kommunikationsplattform bereitgestellt wurden,</w:t>
      </w:r>
    </w:p>
    <w:p>
      <w:pPr>
        <w:tabs>
          <w:tab w:pos="567" w:val="left"/>
        </w:tabs>
        <w:ind w:left="567" w:hanging="567"/>
      </w:pPr>
      <w:r>
        <w:t>5.</w:t>
      </w:r>
      <w:r>
        <w:tab/>
      </w:r>
      <w:r>
        <w:t>welche Kosten und welcher Nutzen bei der Umsetzung der Vorschriften dieses Abschnitts entstanden sind und</w:t>
      </w:r>
    </w:p>
    <w:p>
      <w:pPr>
        <w:tabs>
          <w:tab w:pos="567" w:val="left"/>
        </w:tabs>
        <w:ind w:left="567" w:hanging="567"/>
      </w:pPr>
      <w:r>
        <w:t>6.</w:t>
      </w:r>
      <w:r>
        <w:tab/>
      </w:r>
      <w:r>
        <w:t>inwieweit Fortentwicklungen, insbesondere hinsichtlich des Anwendungsbereichs, sowie Verstetigungen der Gesetzgebung zum Online-Verfahren geboten sind.</w:t>
      </w:r>
    </w:p>
    <w:p>
      <w:pPr>
        <w:pStyle w:val="Heading2"/>
      </w:pPr>
      <w:bookmarkStart w:id="1198" w:name="b1197"/>
      <w:r>
        <w:t>Abschnitt 3 Erprobung weiterer digitaler Eingabesysteme</w:t>
      </w:r>
      <w:bookmarkEnd w:id="1198"/>
    </w:p>
    <w:p>
      <w:pPr>
        <w:pStyle w:val="Heading3"/>
      </w:pPr>
      <w:bookmarkStart w:id="1199" w:name="b1198"/>
      <w:r>
        <w:t>§ 1135 Umfang der Erprobung</w:t>
      </w:r>
      <w:r>
        <w:t xml:space="preserve"> </w:t>
      </w:r>
      <w:r>
        <w:rPr>
          <w:rStyle w:val="Suchmarke"/>
        </w:rPr>
        <w:t>#1135#</w:t>
      </w:r>
      <w:bookmarkEnd w:id="1199"/>
    </w:p>
    <w:p>
      <w:r>
        <w:t xml:space="preserve">(1) </w:t>
      </w:r>
      <w:r>
        <w:rPr>
          <w:rStyle w:val="Satznummer"/>
        </w:rPr>
        <w:t>1</w:t>
      </w:r>
      <w:r>
        <w:t xml:space="preserve">Das Bundesministerium der Justiz und für Verbraucherschutz kann digitale Eingabesysteme als Referenzimplementierung entwickeln und bundeseinheitlich zur Erprobung bereitstellen, soweit diese dem elektronischen Erstellen von Anträgen oder Erklärungen nach </w:t>
      </w:r>
      <w:hyperlink w:anchor="b161" w:history="1">
        <w:r>
          <w:rPr>
            <w:color w:val="0A3A8C"/>
            <w:u w:val="single"/>
          </w:rPr>
          <w:t xml:space="preserve">§ 129a</w:t>
        </w:r>
      </w:hyperlink>
      <w:r>
        <w:t xml:space="preserve"> Absatz 1 dienen. </w:t>
      </w:r>
      <w:r>
        <w:rPr>
          <w:rStyle w:val="Satznummer"/>
        </w:rPr>
        <w:t>2</w:t>
      </w:r>
      <w:r>
        <w:t>Satz 1 gilt nicht im Anwendungsbereich des Online-Verfahrens nach Abschnitt 2 dieses Buches.</w:t>
      </w:r>
    </w:p>
    <w:p>
      <w:r>
        <w:t xml:space="preserve">(2) </w:t>
      </w:r>
      <w:hyperlink w:anchor="b1185" w:history="1">
        <w:r>
          <w:rPr>
            <w:color w:val="0A3A8C"/>
            <w:u w:val="single"/>
          </w:rPr>
          <w:t xml:space="preserve">§ 1125</w:t>
        </w:r>
      </w:hyperlink>
      <w:r>
        <w:t xml:space="preserve"> Absatz 2 bis 4 gilt entsprechend.</w:t>
      </w:r>
    </w:p>
    <w:p>
      <w:pPr>
        <w:pStyle w:val="Heading3"/>
      </w:pPr>
      <w:bookmarkStart w:id="1200" w:name="b1199"/>
      <w:r>
        <w:t>§ 1136 Evaluierung</w:t>
      </w:r>
      <w:r>
        <w:t xml:space="preserve"> </w:t>
      </w:r>
      <w:r>
        <w:rPr>
          <w:rStyle w:val="Suchmarke"/>
        </w:rPr>
        <w:t>#1136#</w:t>
      </w:r>
      <w:bookmarkEnd w:id="1200"/>
    </w:p>
    <w:p>
      <w:r>
        <w:t xml:space="preserve">(1) </w:t>
      </w:r>
      <w:hyperlink w:anchor="b1198" w:history="1">
        <w:r>
          <w:rPr>
            <w:color w:val="0A3A8C"/>
            <w:u w:val="single"/>
          </w:rPr>
          <w:t xml:space="preserve">§ 1135</w:t>
        </w:r>
      </w:hyperlink>
      <w:r>
        <w:t xml:space="preserve"> wird unter Beteiligung der an der Erprobung der digitalen Eingabesysteme teilnehmenden Länder und auf der Grundlage der technischen Entwicklung und der durch die Erprobung gewonnenen Erfahrungen und Erkenntnisse zwei Jahre, vier Jahre und acht Jahre nach dem 23. Dezember 2025 evaluiert.</w:t>
      </w:r>
    </w:p>
    <w:p>
      <w:r>
        <w:t>(2) Im Rahmen der Evaluierung soll untersucht werden,</w:t>
      </w:r>
    </w:p>
    <w:p>
      <w:pPr>
        <w:tabs>
          <w:tab w:pos="567" w:val="left"/>
        </w:tabs>
        <w:ind w:left="567" w:hanging="567"/>
      </w:pPr>
      <w:r>
        <w:t>1.</w:t>
      </w:r>
      <w:r>
        <w:tab/>
      </w:r>
      <w:r>
        <w:t xml:space="preserve">in welchem Umfang digitale Eingabesysteme nach </w:t>
      </w:r>
      <w:hyperlink w:anchor="b1198" w:history="1">
        <w:r>
          <w:rPr>
            <w:color w:val="0A3A8C"/>
            <w:u w:val="single"/>
          </w:rPr>
          <w:t xml:space="preserve">§ 1135</w:t>
        </w:r>
      </w:hyperlink>
      <w:r>
        <w:t xml:space="preserve"> genutzt wurden, einschließlich deren Barrierefreiheit, Nutzerfreundlichkeit und Bedienbarkeit,</w:t>
      </w:r>
    </w:p>
    <w:p>
      <w:pPr>
        <w:tabs>
          <w:tab w:pos="567" w:val="left"/>
        </w:tabs>
        <w:ind w:left="567" w:hanging="567"/>
      </w:pPr>
      <w:r>
        <w:t>2.</w:t>
      </w:r>
      <w:r>
        <w:tab/>
      </w:r>
      <w:r>
        <w:t>welche Anwendungsgebiete inhaltlich und technisch erfasst werden konnten,</w:t>
      </w:r>
    </w:p>
    <w:p>
      <w:pPr>
        <w:tabs>
          <w:tab w:pos="567" w:val="left"/>
        </w:tabs>
        <w:ind w:left="567" w:hanging="567"/>
      </w:pPr>
      <w:r>
        <w:t>3.</w:t>
      </w:r>
      <w:r>
        <w:tab/>
      </w:r>
      <w:r>
        <w:t>welche Kosten und welcher Nutzen bei der Entwicklung und Anwendung der digitalen Eingabesysteme entstanden sind und</w:t>
      </w:r>
    </w:p>
    <w:p>
      <w:pPr>
        <w:tabs>
          <w:tab w:pos="567" w:val="left"/>
        </w:tabs>
        <w:ind w:left="567" w:hanging="567"/>
      </w:pPr>
      <w:r>
        <w:t>4.</w:t>
      </w:r>
      <w:r>
        <w:tab/>
      </w:r>
      <w:r>
        <w:t>inwieweit Fortentwicklungen, insbesondere hinsichtlich des Anwendungsbereichs, sowie Verstetigungen der Gesetzgebung zu den digitalen Eingabesystemen geboten sind.</w:t>
      </w:r>
    </w:p>
    <w:p>
      <w:pPr>
        <w:pStyle w:val="Heading3"/>
      </w:pPr>
      <w:bookmarkStart w:id="1201" w:name="b1200"/>
      <w:r>
        <w:t>Anhang EV Auszug aus EinigVtr Anlage I Kapitel III Sachgebiet A Abschnitte III und IV (BGBl. II 1990, 889, 927, 940) Abschnitt III - Maßgaben für das beigetretene Gebiet (Art. 3 EinigVtr) - Abschnitt IV - Sonderregelung für das Land Berlin -</w:t>
      </w:r>
      <w:bookmarkEnd w:id="1201"/>
    </w:p>
    <w:p>
      <w:r>
        <w:t>Abschnitt III</w:t>
      </w:r>
      <w:r>
        <w:br/>
      </w:r>
      <w:r>
        <w:t>Bundesrecht tritt ... vorbehaltlich der Sonderregelung für das Land Berlin in Abschnitt IV in dem in Artikel 3 des Vertrages genannten Gebiet mit folgenden Maßgaben in Kraft:</w:t>
      </w:r>
      <w:r>
        <w:br/>
      </w:r>
      <w:r>
        <w:t>...</w:t>
      </w:r>
    </w:p>
    <w:p>
      <w:pPr>
        <w:tabs>
          <w:tab w:pos="567" w:val="left"/>
        </w:tabs>
        <w:ind w:left="567" w:hanging="567"/>
      </w:pPr>
      <w:r>
        <w:t>5.</w:t>
      </w:r>
      <w:r>
        <w:tab/>
      </w:r>
      <w:r>
        <w:t>Zivilprozeßordnung in der im Bundesgesetzblatt Teil III, Gliederungsnummer 310-4, veröffentlichten bereinigten Fassung, zuletzt geändert durch Artikel 4 des Gesetzes vom 17. Mai 1990 (BGBl. I S. 926),</w:t>
      </w:r>
    </w:p>
    <w:p>
      <w:pPr>
        <w:ind w:left="567"/>
      </w:pPr>
      <w:r>
        <w:t>mit folgenden Maßgaben:</w:t>
      </w:r>
    </w:p>
    <w:p>
      <w:pPr>
        <w:tabs>
          <w:tab w:pos="1134" w:val="left"/>
        </w:tabs>
        <w:ind w:left="1134" w:hanging="567"/>
      </w:pPr>
      <w:r>
        <w:t>a)</w:t>
      </w:r>
      <w:r>
        <w:tab/>
      </w:r>
      <w:r>
        <w:t>bis i) (nicht mehr anzuwenden)</w:t>
      </w:r>
    </w:p>
    <w:p>
      <w:pPr>
        <w:tabs>
          <w:tab w:pos="1134" w:val="left"/>
        </w:tabs>
        <w:ind w:left="1134" w:hanging="567"/>
      </w:pPr>
      <w:r>
        <w:t>j)</w:t>
      </w:r>
      <w:r>
        <w:tab/>
      </w:r>
      <w:r>
        <w:t>Entscheidungen der gesellschaftlichen Gerichte können nicht für vollstreckbar erklärt werden.</w:t>
      </w:r>
    </w:p>
    <w:p>
      <w:pPr>
        <w:tabs>
          <w:tab w:pos="1134" w:val="left"/>
        </w:tabs>
        <w:ind w:left="1134" w:hanging="567"/>
      </w:pPr>
      <w:r>
        <w:t>k)</w:t>
      </w:r>
      <w:r>
        <w:tab/>
      </w:r>
      <w:r>
        <w:t>bis l) (nicht mehr anzuwenden)</w:t>
      </w:r>
    </w:p>
    <w:p>
      <w:r>
        <w:t>...</w:t>
      </w:r>
    </w:p>
    <w:p>
      <w:pPr>
        <w:tabs>
          <w:tab w:pos="567" w:val="left"/>
        </w:tabs>
        <w:ind w:left="567" w:hanging="567"/>
      </w:pPr>
      <w:r>
        <w:t>28.</w:t>
      </w:r>
      <w:r>
        <w:tab/>
      </w:r>
      <w:r>
        <w:t>Im übrigen gelten, falls in den Nummern 1 bis 27 nichts anderes bestimmt ist, die folgenden</w:t>
      </w:r>
    </w:p>
    <w:p>
      <w:pPr>
        <w:ind w:left="567"/>
      </w:pPr>
      <w:r>
        <w:t>allgemeinen Maßgaben:</w:t>
      </w:r>
    </w:p>
    <w:p>
      <w:pPr>
        <w:ind w:left="567"/>
      </w:pPr>
      <w:r>
        <w:t>(nicht mehr anzuwenden)</w:t>
      </w:r>
    </w:p>
    <w:p>
      <w:r>
        <w:t>Abschnitt IV</w:t>
      </w:r>
      <w:r>
        <w:br/>
      </w:r>
      <w:r>
        <w:t>...</w:t>
      </w:r>
    </w:p>
    <w:p>
      <w:pPr>
        <w:tabs>
          <w:tab w:pos="567" w:val="left"/>
        </w:tabs>
        <w:ind w:left="567" w:hanging="567"/>
      </w:pPr>
      <w:r>
        <w:t>3.</w:t>
      </w:r>
      <w:r>
        <w:tab/>
      </w:r>
      <w:r>
        <w:t>Für folgende in Abschnitt III genannte Rechtsvorschriften gelten im Land Berlin folgende Besonderheiten:</w:t>
      </w:r>
    </w:p>
    <w:p>
      <w:pPr>
        <w:ind w:left="567"/>
      </w:pPr>
      <w:r>
        <w:t>...</w:t>
      </w:r>
    </w:p>
    <w:p>
      <w:pPr>
        <w:tabs>
          <w:tab w:pos="1134" w:val="left"/>
        </w:tabs>
        <w:ind w:left="1134" w:hanging="567"/>
      </w:pPr>
      <w:r>
        <w:t>c)</w:t>
      </w:r>
      <w:r>
        <w:tab/>
      </w:r>
      <w:r>
        <w:t>Zivilprozeßordnung in der im Bundesgesetzblatt Teil III, Gliederungsnummer 310-4 veröffentlichten bereinigten Fassung, zuletzt geändert durch Artikel 4 des Gesetzes vom 17. Mai 1990 (BGBl. I S. 926),</w:t>
      </w:r>
    </w:p>
    <w:p>
      <w:pPr>
        <w:ind w:left="1134"/>
      </w:pPr>
      <w:r>
        <w:t>mit folgenden Maßgaben:</w:t>
      </w:r>
    </w:p>
    <w:p>
      <w:pPr>
        <w:ind w:left="1134"/>
      </w:pPr>
      <w:r>
        <w:t>(nicht mehr anzuwenden)</w:t>
      </w:r>
    </w:p>
    <w:p>
      <w:r>
        <w:t>...</w:t>
      </w:r>
    </w:p>
    <w:p>
      <w:pPr>
        <w:spacing w:before="480"/>
      </w:pPr>
      <w:r>
        <w:t xml:space="preserve">Ende des Gesetzes: Zivilprozessordnung (ZPO)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zp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Zivilprozessordnung (ZPO)</dc:title>
  <dc:subject>Nicht amtliche Fassung</dc:subject>
  <dc:creator>Barrierefreie Gesetze</dc:creator>
  <cp:keywords/>
  <dc:description/>
  <cp:lastModifiedBy>Barrierefreie Gesetze</cp:lastModifiedBy>
  <cp:revision>1</cp:revision>
  <dcterms:created xsi:type="dcterms:W3CDTF">2026-10-19T11:34:45Z</dcterms:created>
  <dcterms:modified xsi:type="dcterms:W3CDTF">2026-10-19T11:34:45Z</dcterms:modified>
  <cp:category/>
  <dc:language>de-DE</dc:language>
</cp:coreProperties>
</file>