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Straßenverkehrsgesetz (StVG)</w:t>
      </w:r>
    </w:p>
    <w:p>
      <w:pPr>
        <w:pStyle w:val="Stand"/>
      </w:pPr>
      <w:r>
        <w:rPr>
          <w:b/>
        </w:rPr>
        <w:t>Nicht amtliche Fassung.</w:t>
      </w:r>
    </w:p>
    <w:p>
      <w:pPr>
        <w:pStyle w:val="Stand"/>
      </w:pPr>
      <w:r>
        <w:t>Die Satznummern sind berechnet, nicht amtlich.</w:t>
      </w:r>
    </w:p>
    <w:p>
      <w:pPr>
        <w:pStyle w:val="Stand"/>
      </w:pPr>
      <w:r>
        <w:rPr>
          <w:b/>
        </w:rPr>
        <w:t xml:space="preserve">Erstfassung/Ausfertigung: </w:t>
      </w:r>
      <w:r>
        <w:t>03.05.1909</w:t>
      </w:r>
    </w:p>
    <w:p>
      <w:pPr>
        <w:pStyle w:val="Stand"/>
      </w:pPr>
      <w:r>
        <w:rPr>
          <w:b/>
        </w:rPr>
        <w:t xml:space="preserve">Letzte Änderung: </w:t>
      </w:r>
      <w:r>
        <w:t>Art. 1 G v. 25.09.2026 I Nr. 276</w:t>
      </w:r>
    </w:p>
    <w:p>
      <w:pPr>
        <w:pStyle w:val="Stand"/>
      </w:pPr>
      <w:r>
        <w:rPr>
          <w:b/>
        </w:rPr>
        <w:t xml:space="preserve">Neufassung: </w:t>
      </w:r>
      <w:r>
        <w:t>Bek. v. 05.03.2003 I 310, 919</w:t>
      </w:r>
    </w:p>
    <w:p>
      <w:pPr>
        <w:pStyle w:val="Stand"/>
      </w:pPr>
      <w:r>
        <w:rPr>
          <w:b/>
        </w:rPr>
        <w:t xml:space="preserve">Diese Fassung abgerufen am: </w:t>
      </w:r>
      <w:r>
        <w:t>19.10.2026</w:t>
      </w:r>
    </w:p>
    <w:p>
      <w:pPr>
        <w:pStyle w:val="Stand"/>
      </w:pPr>
      <w:r>
        <w:rPr>
          <w:b/>
        </w:rPr>
        <w:t xml:space="preserve">Quelle: </w:t>
      </w:r>
      <w:hyperlink r:id="rId10">
        <w:r>
          <w:rPr>
            <w:color w:val="0A3A8C"/>
            <w:u w:val="single"/>
          </w:rPr>
          <w:t xml:space="preserve">gesetze-im-internet.de</w:t>
        </w:r>
      </w:hyperlink>
    </w:p>
    <w:p>
      <w:pPr>
        <w:pStyle w:val="Heading1"/>
      </w:pPr>
      <w:r>
        <w:t>Inhaltsübersicht</w:t>
      </w:r>
    </w:p>
    <w:p>
      <w:pPr>
        <w:pStyle w:val="Übersicht"/>
        <w:ind w:left="0"/>
      </w:pPr>
      <w:hyperlink w:anchor="b0" w:history="1">
        <w:r>
          <w:rPr>
            <w:b/>
            <w:color w:val="0A3A8C"/>
            <w:u w:val="single"/>
          </w:rPr>
          <w:t xml:space="preserve">I. Verkehrsvorschriften</w:t>
        </w:r>
      </w:hyperlink>
    </w:p>
    <w:p>
      <w:pPr>
        <w:pStyle w:val="Übersicht"/>
        <w:ind w:left="340"/>
      </w:pPr>
      <w:hyperlink w:anchor="b1" w:history="1">
        <w:r>
          <w:rPr>
            <w:color w:val="0A3A8C"/>
            <w:u w:val="single"/>
          </w:rPr>
          <w:t xml:space="preserve">§ 1 Zulassung</w:t>
        </w:r>
      </w:hyperlink>
    </w:p>
    <w:p>
      <w:pPr>
        <w:pStyle w:val="Übersicht"/>
        <w:ind w:left="340"/>
      </w:pPr>
      <w:hyperlink w:anchor="b2" w:history="1">
        <w:r>
          <w:rPr>
            <w:color w:val="0A3A8C"/>
            <w:u w:val="single"/>
          </w:rPr>
          <w:t xml:space="preserve">§ 1a Kraftfahrzeuge mit automatisierter Fahrfunktion</w:t>
        </w:r>
      </w:hyperlink>
    </w:p>
    <w:p>
      <w:pPr>
        <w:pStyle w:val="Übersicht"/>
        <w:ind w:left="340"/>
      </w:pPr>
      <w:hyperlink w:anchor="b3" w:history="1">
        <w:r>
          <w:rPr>
            <w:color w:val="0A3A8C"/>
            <w:u w:val="single"/>
          </w:rPr>
          <w:t xml:space="preserve">§ 1b Rechte und Pflichten des Fahrzeugführers bei Nutzung automatisierter Fahrfunktionen</w:t>
        </w:r>
      </w:hyperlink>
    </w:p>
    <w:p>
      <w:pPr>
        <w:pStyle w:val="Übersicht"/>
        <w:ind w:left="340"/>
      </w:pPr>
      <w:hyperlink w:anchor="b4" w:history="1">
        <w:r>
          <w:rPr>
            <w:color w:val="0A3A8C"/>
            <w:u w:val="single"/>
          </w:rPr>
          <w:t xml:space="preserve">§ 1c Evaluierung</w:t>
        </w:r>
      </w:hyperlink>
    </w:p>
    <w:p>
      <w:pPr>
        <w:pStyle w:val="Übersicht"/>
        <w:ind w:left="340"/>
      </w:pPr>
      <w:hyperlink w:anchor="b5" w:history="1">
        <w:r>
          <w:rPr>
            <w:color w:val="0A3A8C"/>
            <w:u w:val="single"/>
          </w:rPr>
          <w:t xml:space="preserve">§ 1d Kraftfahrzeuge mit autonomer Fahrfunktion in festgelegten Betriebsbereichen</w:t>
        </w:r>
      </w:hyperlink>
    </w:p>
    <w:p>
      <w:pPr>
        <w:pStyle w:val="Übersicht"/>
        <w:ind w:left="340"/>
      </w:pPr>
      <w:hyperlink w:anchor="b6" w:history="1">
        <w:r>
          <w:rPr>
            <w:color w:val="0A3A8C"/>
            <w:u w:val="single"/>
          </w:rPr>
          <w:t xml:space="preserve">§ 1e Betrieb von Kraftfahrzeugen mit autonomer Fahrfunktion; Widerspruch und Anfechtungsklage</w:t>
        </w:r>
      </w:hyperlink>
    </w:p>
    <w:p>
      <w:pPr>
        <w:pStyle w:val="Übersicht"/>
        <w:ind w:left="340"/>
      </w:pPr>
      <w:hyperlink w:anchor="b7" w:history="1">
        <w:r>
          <w:rPr>
            <w:color w:val="0A3A8C"/>
            <w:u w:val="single"/>
          </w:rPr>
          <w:t xml:space="preserve">§ 1f Pflichten der Beteiligten beim Betrieb von Kraftfahrzeugen mit autonomer Fahrfunktion</w:t>
        </w:r>
      </w:hyperlink>
    </w:p>
    <w:p>
      <w:pPr>
        <w:pStyle w:val="Übersicht"/>
        <w:ind w:left="340"/>
      </w:pPr>
      <w:hyperlink w:anchor="b8" w:history="1">
        <w:r>
          <w:rPr>
            <w:color w:val="0A3A8C"/>
            <w:u w:val="single"/>
          </w:rPr>
          <w:t xml:space="preserve">§ 1g Datenverarbeitung</w:t>
        </w:r>
      </w:hyperlink>
    </w:p>
    <w:p>
      <w:pPr>
        <w:pStyle w:val="Übersicht"/>
        <w:ind w:left="340"/>
      </w:pPr>
      <w:hyperlink w:anchor="b9" w:history="1">
        <w:r>
          <w:rPr>
            <w:color w:val="0A3A8C"/>
            <w:u w:val="single"/>
          </w:rPr>
          <w:t xml:space="preserve">§ 1h Nachträgliche Aktivierung von automatisierten und autonomen Fahrfunktionen</w:t>
        </w:r>
      </w:hyperlink>
    </w:p>
    <w:p>
      <w:pPr>
        <w:pStyle w:val="Übersicht"/>
        <w:ind w:left="340"/>
      </w:pPr>
      <w:hyperlink w:anchor="b10" w:history="1">
        <w:r>
          <w:rPr>
            <w:color w:val="0A3A8C"/>
            <w:u w:val="single"/>
          </w:rPr>
          <w:t xml:space="preserve">§ 1i Erprobung von automatisierten und autonomen Fahrfunktionen</w:t>
        </w:r>
      </w:hyperlink>
    </w:p>
    <w:p>
      <w:pPr>
        <w:pStyle w:val="Übersicht"/>
        <w:ind w:left="340"/>
      </w:pPr>
      <w:hyperlink w:anchor="b11" w:history="1">
        <w:r>
          <w:rPr>
            <w:color w:val="0A3A8C"/>
            <w:u w:val="single"/>
          </w:rPr>
          <w:t xml:space="preserve">§ 1j Verordnungsermächtigung</w:t>
        </w:r>
      </w:hyperlink>
    </w:p>
    <w:p>
      <w:pPr>
        <w:pStyle w:val="Übersicht"/>
        <w:ind w:left="340"/>
      </w:pPr>
      <w:hyperlink w:anchor="b12" w:history="1">
        <w:r>
          <w:rPr>
            <w:color w:val="0A3A8C"/>
            <w:u w:val="single"/>
          </w:rPr>
          <w:t xml:space="preserve">§ 1k Ausnahmen</w:t>
        </w:r>
      </w:hyperlink>
    </w:p>
    <w:p>
      <w:pPr>
        <w:pStyle w:val="Übersicht"/>
        <w:ind w:left="340"/>
      </w:pPr>
      <w:hyperlink w:anchor="b13" w:history="1">
        <w:r>
          <w:rPr>
            <w:color w:val="0A3A8C"/>
            <w:u w:val="single"/>
          </w:rPr>
          <w:t xml:space="preserve">§ 1l Evaluierung</w:t>
        </w:r>
      </w:hyperlink>
    </w:p>
    <w:p>
      <w:pPr>
        <w:pStyle w:val="Übersicht"/>
        <w:ind w:left="340"/>
      </w:pPr>
      <w:hyperlink w:anchor="b14" w:history="1">
        <w:r>
          <w:rPr>
            <w:color w:val="0A3A8C"/>
            <w:u w:val="single"/>
          </w:rPr>
          <w:t xml:space="preserve">§ 2 Fahrerlaubnis und Führerschein</w:t>
        </w:r>
      </w:hyperlink>
    </w:p>
    <w:p>
      <w:pPr>
        <w:pStyle w:val="Übersicht"/>
        <w:ind w:left="340"/>
      </w:pPr>
      <w:hyperlink w:anchor="b15" w:history="1">
        <w:r>
          <w:rPr>
            <w:color w:val="0A3A8C"/>
            <w:u w:val="single"/>
          </w:rPr>
          <w:t xml:space="preserve">§ 2a Fahrerlaubnis auf Probe</w:t>
        </w:r>
      </w:hyperlink>
    </w:p>
    <w:p>
      <w:pPr>
        <w:pStyle w:val="Übersicht"/>
        <w:ind w:left="340"/>
      </w:pPr>
      <w:hyperlink w:anchor="b16" w:history="1">
        <w:r>
          <w:rPr>
            <w:color w:val="0A3A8C"/>
            <w:u w:val="single"/>
          </w:rPr>
          <w:t xml:space="preserve">§ 2b Aufbauseminar bei Zuwiderhandlungen innerhalb der Probezeit</w:t>
        </w:r>
      </w:hyperlink>
    </w:p>
    <w:p>
      <w:pPr>
        <w:pStyle w:val="Übersicht"/>
        <w:ind w:left="340"/>
      </w:pPr>
      <w:hyperlink w:anchor="b17" w:history="1">
        <w:r>
          <w:rPr>
            <w:color w:val="0A3A8C"/>
            <w:u w:val="single"/>
          </w:rPr>
          <w:t xml:space="preserve">§ 2c Unterrichtung der Fahrerlaubnisbehörden durch das Kraftfahrt-Bundesamt</w:t>
        </w:r>
      </w:hyperlink>
    </w:p>
    <w:p>
      <w:pPr>
        <w:pStyle w:val="Übersicht"/>
        <w:ind w:left="340"/>
      </w:pPr>
      <w:hyperlink w:anchor="b18" w:history="1">
        <w:r>
          <w:rPr>
            <w:color w:val="0A3A8C"/>
            <w:u w:val="single"/>
          </w:rPr>
          <w:t xml:space="preserve">§ 3 Entziehung der Fahrerlaubnis</w:t>
        </w:r>
      </w:hyperlink>
    </w:p>
    <w:p>
      <w:pPr>
        <w:pStyle w:val="Übersicht"/>
        <w:ind w:left="340"/>
      </w:pPr>
      <w:hyperlink w:anchor="b19" w:history="1">
        <w:r>
          <w:rPr>
            <w:color w:val="0A3A8C"/>
            <w:u w:val="single"/>
          </w:rPr>
          <w:t xml:space="preserve">§ 4 Fahreignungs-Bewertungssystem</w:t>
        </w:r>
      </w:hyperlink>
    </w:p>
    <w:p>
      <w:pPr>
        <w:pStyle w:val="Übersicht"/>
        <w:ind w:left="340"/>
      </w:pPr>
      <w:hyperlink w:anchor="b20" w:history="1">
        <w:r>
          <w:rPr>
            <w:color w:val="0A3A8C"/>
            <w:u w:val="single"/>
          </w:rPr>
          <w:t xml:space="preserve">§ 4a Fahreignungsseminar</w:t>
        </w:r>
      </w:hyperlink>
    </w:p>
    <w:p>
      <w:pPr>
        <w:pStyle w:val="Übersicht"/>
        <w:ind w:left="340"/>
      </w:pPr>
      <w:hyperlink w:anchor="b21" w:history="1">
        <w:r>
          <w:rPr>
            <w:color w:val="0A3A8C"/>
            <w:u w:val="single"/>
          </w:rPr>
          <w:t xml:space="preserve">§ 4b Evaluierung</w:t>
        </w:r>
      </w:hyperlink>
    </w:p>
    <w:p>
      <w:pPr>
        <w:pStyle w:val="Übersicht"/>
        <w:ind w:left="340"/>
      </w:pPr>
      <w:hyperlink w:anchor="b22" w:history="1">
        <w:r>
          <w:rPr>
            <w:color w:val="0A3A8C"/>
            <w:u w:val="single"/>
          </w:rPr>
          <w:t xml:space="preserve">§ 4c Verbot der Täuschung über den Beteiligten an einem Verkehrsverstoß</w:t>
        </w:r>
      </w:hyperlink>
    </w:p>
    <w:p>
      <w:pPr>
        <w:pStyle w:val="Übersicht"/>
        <w:ind w:left="340"/>
      </w:pPr>
      <w:hyperlink w:anchor="b23" w:history="1">
        <w:r>
          <w:rPr>
            <w:color w:val="0A3A8C"/>
            <w:u w:val="single"/>
          </w:rPr>
          <w:t xml:space="preserve">§ 5 Verlust von Dokumenten und Kennzeichen</w:t>
        </w:r>
      </w:hyperlink>
    </w:p>
    <w:p>
      <w:pPr>
        <w:pStyle w:val="Übersicht"/>
        <w:ind w:left="340"/>
      </w:pPr>
      <w:hyperlink w:anchor="b24" w:history="1">
        <w:r>
          <w:rPr>
            <w:color w:val="0A3A8C"/>
            <w:u w:val="single"/>
          </w:rPr>
          <w:t xml:space="preserve">§ 5a</w:t>
        </w:r>
      </w:hyperlink>
    </w:p>
    <w:p>
      <w:pPr>
        <w:pStyle w:val="Übersicht"/>
        <w:ind w:left="340"/>
      </w:pPr>
      <w:hyperlink w:anchor="b25" w:history="1">
        <w:r>
          <w:rPr>
            <w:color w:val="0A3A8C"/>
            <w:u w:val="single"/>
          </w:rPr>
          <w:t xml:space="preserve">§ 5b Unterhaltung der Verkehrszeichen</w:t>
        </w:r>
      </w:hyperlink>
    </w:p>
    <w:p>
      <w:pPr>
        <w:pStyle w:val="Übersicht"/>
        <w:ind w:left="340"/>
      </w:pPr>
      <w:hyperlink w:anchor="b26" w:history="1">
        <w:r>
          <w:rPr>
            <w:color w:val="0A3A8C"/>
            <w:u w:val="single"/>
          </w:rPr>
          <w:t xml:space="preserve">§ 6 Verordnungsermächtigungen</w:t>
        </w:r>
      </w:hyperlink>
    </w:p>
    <w:p>
      <w:pPr>
        <w:pStyle w:val="Übersicht"/>
        <w:ind w:left="340"/>
      </w:pPr>
      <w:hyperlink w:anchor="b27" w:history="1">
        <w:r>
          <w:rPr>
            <w:color w:val="0A3A8C"/>
            <w:u w:val="single"/>
          </w:rPr>
          <w:t xml:space="preserve">§ 6a Gebühren</w:t>
        </w:r>
      </w:hyperlink>
    </w:p>
    <w:p>
      <w:pPr>
        <w:pStyle w:val="Übersicht"/>
        <w:ind w:left="340"/>
      </w:pPr>
      <w:hyperlink w:anchor="b28" w:history="1">
        <w:r>
          <w:rPr>
            <w:color w:val="0A3A8C"/>
            <w:u w:val="single"/>
          </w:rPr>
          <w:t xml:space="preserve">§ 6b Herstellung, Vertrieb und Ausgabe von Kennzeichen</w:t>
        </w:r>
      </w:hyperlink>
    </w:p>
    <w:p>
      <w:pPr>
        <w:pStyle w:val="Übersicht"/>
        <w:ind w:left="340"/>
      </w:pPr>
      <w:hyperlink w:anchor="b29" w:history="1">
        <w:r>
          <w:rPr>
            <w:color w:val="0A3A8C"/>
            <w:u w:val="single"/>
          </w:rPr>
          <w:t xml:space="preserve">§ 6c Herstellung, Vertrieb und Ausgabe von Kennzeichenvorprodukten</w:t>
        </w:r>
      </w:hyperlink>
    </w:p>
    <w:p>
      <w:pPr>
        <w:pStyle w:val="Übersicht"/>
        <w:ind w:left="340"/>
      </w:pPr>
      <w:hyperlink w:anchor="b30" w:history="1">
        <w:r>
          <w:rPr>
            <w:color w:val="0A3A8C"/>
            <w:u w:val="single"/>
          </w:rPr>
          <w:t xml:space="preserve">§ 6d Auskunft und Prüfung</w:t>
        </w:r>
      </w:hyperlink>
    </w:p>
    <w:p>
      <w:pPr>
        <w:pStyle w:val="Übersicht"/>
        <w:ind w:left="340"/>
      </w:pPr>
      <w:hyperlink w:anchor="b31" w:history="1">
        <w:r>
          <w:rPr>
            <w:color w:val="0A3A8C"/>
            <w:u w:val="single"/>
          </w:rPr>
          <w:t xml:space="preserve">§ 6e Führen von Kraftfahrzeugen in Begleitung</w:t>
        </w:r>
      </w:hyperlink>
    </w:p>
    <w:p>
      <w:pPr>
        <w:pStyle w:val="Übersicht"/>
        <w:ind w:left="340"/>
      </w:pPr>
      <w:hyperlink w:anchor="b32" w:history="1">
        <w:r>
          <w:rPr>
            <w:color w:val="0A3A8C"/>
            <w:u w:val="single"/>
          </w:rPr>
          <w:t xml:space="preserve">§ 6f Entgelte für Begutachtungsstellen für Fahreignung</w:t>
        </w:r>
      </w:hyperlink>
    </w:p>
    <w:p>
      <w:pPr>
        <w:pStyle w:val="Übersicht"/>
        <w:ind w:left="340"/>
      </w:pPr>
      <w:hyperlink w:anchor="b33" w:history="1">
        <w:r>
          <w:rPr>
            <w:color w:val="0A3A8C"/>
            <w:u w:val="single"/>
          </w:rPr>
          <w:t xml:space="preserve">§ 6g Internetbasierte Zulassungsverfahren bei Kraftfahrzeugen</w:t>
        </w:r>
      </w:hyperlink>
    </w:p>
    <w:p>
      <w:pPr>
        <w:pStyle w:val="Übersicht"/>
        <w:ind w:left="0"/>
      </w:pPr>
      <w:hyperlink w:anchor="b34" w:history="1">
        <w:r>
          <w:rPr>
            <w:b/>
            <w:color w:val="0A3A8C"/>
            <w:u w:val="single"/>
          </w:rPr>
          <w:t xml:space="preserve">II. Haftpflicht</w:t>
        </w:r>
      </w:hyperlink>
    </w:p>
    <w:p>
      <w:pPr>
        <w:pStyle w:val="Übersicht"/>
        <w:ind w:left="340"/>
      </w:pPr>
      <w:hyperlink w:anchor="b35" w:history="1">
        <w:r>
          <w:rPr>
            <w:color w:val="0A3A8C"/>
            <w:u w:val="single"/>
          </w:rPr>
          <w:t xml:space="preserve">§ 7 Haftung des Halters, Schwarzfahrt</w:t>
        </w:r>
      </w:hyperlink>
    </w:p>
    <w:p>
      <w:pPr>
        <w:pStyle w:val="Übersicht"/>
        <w:ind w:left="340"/>
      </w:pPr>
      <w:hyperlink w:anchor="b36" w:history="1">
        <w:r>
          <w:rPr>
            <w:color w:val="0A3A8C"/>
            <w:u w:val="single"/>
          </w:rPr>
          <w:t xml:space="preserve">§ 8 Ausnahmen</w:t>
        </w:r>
      </w:hyperlink>
    </w:p>
    <w:p>
      <w:pPr>
        <w:pStyle w:val="Übersicht"/>
        <w:ind w:left="340"/>
      </w:pPr>
      <w:hyperlink w:anchor="b37" w:history="1">
        <w:r>
          <w:rPr>
            <w:color w:val="0A3A8C"/>
            <w:u w:val="single"/>
          </w:rPr>
          <w:t xml:space="preserve">§ 8a Entgeltliche Personenbeförderung, Verbot des Haftungsausschlusses</w:t>
        </w:r>
      </w:hyperlink>
    </w:p>
    <w:p>
      <w:pPr>
        <w:pStyle w:val="Übersicht"/>
        <w:ind w:left="340"/>
      </w:pPr>
      <w:hyperlink w:anchor="b38" w:history="1">
        <w:r>
          <w:rPr>
            <w:color w:val="0A3A8C"/>
            <w:u w:val="single"/>
          </w:rPr>
          <w:t xml:space="preserve">§ 9 Mitverschulden</w:t>
        </w:r>
      </w:hyperlink>
    </w:p>
    <w:p>
      <w:pPr>
        <w:pStyle w:val="Übersicht"/>
        <w:ind w:left="340"/>
      </w:pPr>
      <w:hyperlink w:anchor="b39" w:history="1">
        <w:r>
          <w:rPr>
            <w:color w:val="0A3A8C"/>
            <w:u w:val="single"/>
          </w:rPr>
          <w:t xml:space="preserve">§ 10 Umfang der Ersatzpflicht bei Tötung</w:t>
        </w:r>
      </w:hyperlink>
    </w:p>
    <w:p>
      <w:pPr>
        <w:pStyle w:val="Übersicht"/>
        <w:ind w:left="340"/>
      </w:pPr>
      <w:hyperlink w:anchor="b40" w:history="1">
        <w:r>
          <w:rPr>
            <w:color w:val="0A3A8C"/>
            <w:u w:val="single"/>
          </w:rPr>
          <w:t xml:space="preserve">§ 11 Umfang der Ersatzpflicht bei Körperverletzung</w:t>
        </w:r>
      </w:hyperlink>
    </w:p>
    <w:p>
      <w:pPr>
        <w:pStyle w:val="Übersicht"/>
        <w:ind w:left="340"/>
      </w:pPr>
      <w:hyperlink w:anchor="b41" w:history="1">
        <w:r>
          <w:rPr>
            <w:color w:val="0A3A8C"/>
            <w:u w:val="single"/>
          </w:rPr>
          <w:t xml:space="preserve">§ 12 Höchstbeträge</w:t>
        </w:r>
      </w:hyperlink>
    </w:p>
    <w:p>
      <w:pPr>
        <w:pStyle w:val="Übersicht"/>
        <w:ind w:left="340"/>
      </w:pPr>
      <w:hyperlink w:anchor="b42" w:history="1">
        <w:r>
          <w:rPr>
            <w:color w:val="0A3A8C"/>
            <w:u w:val="single"/>
          </w:rPr>
          <w:t xml:space="preserve">§ 12a Höchstbeträge bei Beförderung gefährlicher Güter</w:t>
        </w:r>
      </w:hyperlink>
    </w:p>
    <w:p>
      <w:pPr>
        <w:pStyle w:val="Übersicht"/>
        <w:ind w:left="340"/>
      </w:pPr>
      <w:hyperlink w:anchor="b43" w:history="1">
        <w:r>
          <w:rPr>
            <w:color w:val="0A3A8C"/>
            <w:u w:val="single"/>
          </w:rPr>
          <w:t xml:space="preserve">§ 12b Nichtanwendbarkeit der Höchstbeträge</w:t>
        </w:r>
      </w:hyperlink>
    </w:p>
    <w:p>
      <w:pPr>
        <w:pStyle w:val="Übersicht"/>
        <w:ind w:left="340"/>
      </w:pPr>
      <w:hyperlink w:anchor="b44" w:history="1">
        <w:r>
          <w:rPr>
            <w:color w:val="0A3A8C"/>
            <w:u w:val="single"/>
          </w:rPr>
          <w:t xml:space="preserve">§ 13 Geldrente</w:t>
        </w:r>
      </w:hyperlink>
    </w:p>
    <w:p>
      <w:pPr>
        <w:pStyle w:val="Übersicht"/>
        <w:ind w:left="340"/>
      </w:pPr>
      <w:hyperlink w:anchor="b45" w:history="1">
        <w:r>
          <w:rPr>
            <w:color w:val="0A3A8C"/>
            <w:u w:val="single"/>
          </w:rPr>
          <w:t xml:space="preserve">§ 14 Verjährung</w:t>
        </w:r>
      </w:hyperlink>
    </w:p>
    <w:p>
      <w:pPr>
        <w:pStyle w:val="Übersicht"/>
        <w:ind w:left="340"/>
      </w:pPr>
      <w:hyperlink w:anchor="b46" w:history="1">
        <w:r>
          <w:rPr>
            <w:color w:val="0A3A8C"/>
            <w:u w:val="single"/>
          </w:rPr>
          <w:t xml:space="preserve">§ 15 Verwirkung</w:t>
        </w:r>
      </w:hyperlink>
    </w:p>
    <w:p>
      <w:pPr>
        <w:pStyle w:val="Übersicht"/>
        <w:ind w:left="340"/>
      </w:pPr>
      <w:hyperlink w:anchor="b47" w:history="1">
        <w:r>
          <w:rPr>
            <w:color w:val="0A3A8C"/>
            <w:u w:val="single"/>
          </w:rPr>
          <w:t xml:space="preserve">§ 16 Sonstige Gesetze</w:t>
        </w:r>
      </w:hyperlink>
    </w:p>
    <w:p>
      <w:pPr>
        <w:pStyle w:val="Übersicht"/>
        <w:ind w:left="340"/>
      </w:pPr>
      <w:hyperlink w:anchor="b48" w:history="1">
        <w:r>
          <w:rPr>
            <w:color w:val="0A3A8C"/>
            <w:u w:val="single"/>
          </w:rPr>
          <w:t xml:space="preserve">§ 17 Schadensverursachung durch mehrere Kraftfahrzeuge</w:t>
        </w:r>
      </w:hyperlink>
    </w:p>
    <w:p>
      <w:pPr>
        <w:pStyle w:val="Übersicht"/>
        <w:ind w:left="340"/>
      </w:pPr>
      <w:hyperlink w:anchor="b49" w:history="1">
        <w:r>
          <w:rPr>
            <w:color w:val="0A3A8C"/>
            <w:u w:val="single"/>
          </w:rPr>
          <w:t xml:space="preserve">§ 18 Ersatzpflicht des Fahrzeugführers</w:t>
        </w:r>
      </w:hyperlink>
    </w:p>
    <w:p>
      <w:pPr>
        <w:pStyle w:val="Übersicht"/>
        <w:ind w:left="340"/>
      </w:pPr>
      <w:hyperlink w:anchor="b50" w:history="1">
        <w:r>
          <w:rPr>
            <w:color w:val="0A3A8C"/>
            <w:u w:val="single"/>
          </w:rPr>
          <w:t xml:space="preserve">§ 19 Haftung des Halters bei Unfällen mit Anhängern und Gespannen</w:t>
        </w:r>
      </w:hyperlink>
    </w:p>
    <w:p>
      <w:pPr>
        <w:pStyle w:val="Übersicht"/>
        <w:ind w:left="340"/>
      </w:pPr>
      <w:hyperlink w:anchor="b51" w:history="1">
        <w:r>
          <w:rPr>
            <w:color w:val="0A3A8C"/>
            <w:u w:val="single"/>
          </w:rPr>
          <w:t xml:space="preserve">§ 19a Ersatzpflicht des Führers von Anhängern und Gespannen</w:t>
        </w:r>
      </w:hyperlink>
    </w:p>
    <w:p>
      <w:pPr>
        <w:pStyle w:val="Übersicht"/>
        <w:ind w:left="340"/>
      </w:pPr>
      <w:hyperlink w:anchor="b52" w:history="1">
        <w:r>
          <w:rPr>
            <w:color w:val="0A3A8C"/>
            <w:u w:val="single"/>
          </w:rPr>
          <w:t xml:space="preserve">§ 20 Örtliche Zuständigkeit</w:t>
        </w:r>
      </w:hyperlink>
    </w:p>
    <w:p>
      <w:pPr>
        <w:pStyle w:val="Übersicht"/>
        <w:ind w:left="0"/>
      </w:pPr>
      <w:hyperlink w:anchor="b53" w:history="1">
        <w:r>
          <w:rPr>
            <w:b/>
            <w:color w:val="0A3A8C"/>
            <w:u w:val="single"/>
          </w:rPr>
          <w:t xml:space="preserve">III. Straf- und Bußgeldvorschriften</w:t>
        </w:r>
      </w:hyperlink>
    </w:p>
    <w:p>
      <w:pPr>
        <w:pStyle w:val="Übersicht"/>
        <w:ind w:left="340"/>
      </w:pPr>
      <w:hyperlink w:anchor="b54" w:history="1">
        <w:r>
          <w:rPr>
            <w:color w:val="0A3A8C"/>
            <w:u w:val="single"/>
          </w:rPr>
          <w:t xml:space="preserve">§ 21 Fahren ohne Fahrerlaubnis</w:t>
        </w:r>
      </w:hyperlink>
    </w:p>
    <w:p>
      <w:pPr>
        <w:pStyle w:val="Übersicht"/>
        <w:ind w:left="340"/>
      </w:pPr>
      <w:hyperlink w:anchor="b55" w:history="1">
        <w:r>
          <w:rPr>
            <w:color w:val="0A3A8C"/>
            <w:u w:val="single"/>
          </w:rPr>
          <w:t xml:space="preserve">§ 22 Kennzeichenmissbrauch</w:t>
        </w:r>
      </w:hyperlink>
    </w:p>
    <w:p>
      <w:pPr>
        <w:pStyle w:val="Übersicht"/>
        <w:ind w:left="340"/>
      </w:pPr>
      <w:hyperlink w:anchor="b56" w:history="1">
        <w:r>
          <w:rPr>
            <w:color w:val="0A3A8C"/>
            <w:u w:val="single"/>
          </w:rPr>
          <w:t xml:space="preserve">§ 22a Missbräuchliches Herstellen, Vertreiben oder Ausgeben von Kennzeichen</w:t>
        </w:r>
      </w:hyperlink>
    </w:p>
    <w:p>
      <w:pPr>
        <w:pStyle w:val="Übersicht"/>
        <w:ind w:left="340"/>
      </w:pPr>
      <w:hyperlink w:anchor="b57" w:history="1">
        <w:r>
          <w:rPr>
            <w:color w:val="0A3A8C"/>
            <w:u w:val="single"/>
          </w:rPr>
          <w:t xml:space="preserve">§ 22b Missbrauch von Wegstreckenzählern und Geschwindigkeitsbegrenzern</w:t>
        </w:r>
      </w:hyperlink>
    </w:p>
    <w:p>
      <w:pPr>
        <w:pStyle w:val="Übersicht"/>
        <w:ind w:left="340"/>
      </w:pPr>
      <w:hyperlink w:anchor="b58" w:history="1">
        <w:r>
          <w:rPr>
            <w:color w:val="0A3A8C"/>
            <w:u w:val="single"/>
          </w:rPr>
          <w:t xml:space="preserve">§ 23 Bußgeldvorschrift zum Verbot der Täuschung über den Beteiligten an einem Verkehrsverstoß</w:t>
        </w:r>
      </w:hyperlink>
    </w:p>
    <w:p>
      <w:pPr>
        <w:pStyle w:val="Übersicht"/>
        <w:ind w:left="340"/>
      </w:pPr>
      <w:hyperlink w:anchor="b59" w:history="1">
        <w:r>
          <w:rPr>
            <w:color w:val="0A3A8C"/>
            <w:u w:val="single"/>
          </w:rPr>
          <w:t xml:space="preserve">§ 24 Bußgeldvorschriften</w:t>
        </w:r>
      </w:hyperlink>
    </w:p>
    <w:p>
      <w:pPr>
        <w:pStyle w:val="Übersicht"/>
        <w:ind w:left="340"/>
      </w:pPr>
      <w:hyperlink w:anchor="b60" w:history="1">
        <w:r>
          <w:rPr>
            <w:color w:val="0A3A8C"/>
            <w:u w:val="single"/>
          </w:rPr>
          <w:t xml:space="preserve">§ 24a 0,5 Promille-Grenze, Tetrahydrocannabinol-Grenzwert</w:t>
        </w:r>
      </w:hyperlink>
    </w:p>
    <w:p>
      <w:pPr>
        <w:pStyle w:val="Übersicht"/>
        <w:ind w:left="340"/>
      </w:pPr>
      <w:hyperlink w:anchor="b61" w:history="1">
        <w:r>
          <w:rPr>
            <w:color w:val="0A3A8C"/>
            <w:u w:val="single"/>
          </w:rPr>
          <w:t xml:space="preserve">§ 24b (weggefallen)</w:t>
        </w:r>
      </w:hyperlink>
    </w:p>
    <w:p>
      <w:pPr>
        <w:pStyle w:val="Übersicht"/>
        <w:ind w:left="340"/>
      </w:pPr>
      <w:hyperlink w:anchor="b62" w:history="1">
        <w:r>
          <w:rPr>
            <w:color w:val="0A3A8C"/>
            <w:u w:val="single"/>
          </w:rPr>
          <w:t xml:space="preserve">§ 24c Alkohol- und Cannabisverbot für Fahranfänger und Fahranfängerinnen</w:t>
        </w:r>
      </w:hyperlink>
    </w:p>
    <w:p>
      <w:pPr>
        <w:pStyle w:val="Übersicht"/>
        <w:ind w:left="340"/>
      </w:pPr>
      <w:hyperlink w:anchor="b63" w:history="1">
        <w:r>
          <w:rPr>
            <w:color w:val="0A3A8C"/>
            <w:u w:val="single"/>
          </w:rPr>
          <w:t xml:space="preserve">§ 25 Fahrverbot</w:t>
        </w:r>
      </w:hyperlink>
    </w:p>
    <w:p>
      <w:pPr>
        <w:pStyle w:val="Übersicht"/>
        <w:ind w:left="340"/>
      </w:pPr>
      <w:hyperlink w:anchor="b64" w:history="1">
        <w:r>
          <w:rPr>
            <w:color w:val="0A3A8C"/>
            <w:u w:val="single"/>
          </w:rPr>
          <w:t xml:space="preserve">§ 25a Kostentragungspflicht des Halters</w:t>
        </w:r>
      </w:hyperlink>
    </w:p>
    <w:p>
      <w:pPr>
        <w:pStyle w:val="Übersicht"/>
        <w:ind w:left="340"/>
      </w:pPr>
      <w:hyperlink w:anchor="b65" w:history="1">
        <w:r>
          <w:rPr>
            <w:color w:val="0A3A8C"/>
            <w:u w:val="single"/>
          </w:rPr>
          <w:t xml:space="preserve">§ 26 Zuständige Verwaltungsbehörde; Verjährung</w:t>
        </w:r>
      </w:hyperlink>
    </w:p>
    <w:p>
      <w:pPr>
        <w:pStyle w:val="Übersicht"/>
        <w:ind w:left="340"/>
      </w:pPr>
      <w:hyperlink w:anchor="b66" w:history="1">
        <w:r>
          <w:rPr>
            <w:color w:val="0A3A8C"/>
            <w:u w:val="single"/>
          </w:rPr>
          <w:t xml:space="preserve">§ 26a Bußgeldkatalog</w:t>
        </w:r>
      </w:hyperlink>
    </w:p>
    <w:p>
      <w:pPr>
        <w:pStyle w:val="Übersicht"/>
        <w:ind w:left="340"/>
      </w:pPr>
      <w:hyperlink w:anchor="b67" w:history="1">
        <w:r>
          <w:rPr>
            <w:color w:val="0A3A8C"/>
            <w:u w:val="single"/>
          </w:rPr>
          <w:t xml:space="preserve">§ 27 Informationsschreiben</w:t>
        </w:r>
      </w:hyperlink>
    </w:p>
    <w:p>
      <w:pPr>
        <w:pStyle w:val="Übersicht"/>
        <w:ind w:left="0"/>
      </w:pPr>
      <w:hyperlink w:anchor="b68" w:history="1">
        <w:r>
          <w:rPr>
            <w:b/>
            <w:color w:val="0A3A8C"/>
            <w:u w:val="single"/>
          </w:rPr>
          <w:t xml:space="preserve">IV. Fahreignungsregister</w:t>
        </w:r>
      </w:hyperlink>
    </w:p>
    <w:p>
      <w:pPr>
        <w:pStyle w:val="Übersicht"/>
        <w:ind w:left="340"/>
      </w:pPr>
      <w:hyperlink w:anchor="b69" w:history="1">
        <w:r>
          <w:rPr>
            <w:color w:val="0A3A8C"/>
            <w:u w:val="single"/>
          </w:rPr>
          <w:t xml:space="preserve">§ 28 Führung und Inhalt des Fahreignungsregisters</w:t>
        </w:r>
      </w:hyperlink>
    </w:p>
    <w:p>
      <w:pPr>
        <w:pStyle w:val="Übersicht"/>
        <w:ind w:left="340"/>
      </w:pPr>
      <w:hyperlink w:anchor="b70" w:history="1">
        <w:r>
          <w:rPr>
            <w:color w:val="0A3A8C"/>
            <w:u w:val="single"/>
          </w:rPr>
          <w:t xml:space="preserve">§ 28a Eintragung beim Abweichen vom Bußgeldkatalog</w:t>
        </w:r>
      </w:hyperlink>
    </w:p>
    <w:p>
      <w:pPr>
        <w:pStyle w:val="Übersicht"/>
        <w:ind w:left="340"/>
      </w:pPr>
      <w:hyperlink w:anchor="b71" w:history="1">
        <w:r>
          <w:rPr>
            <w:color w:val="0A3A8C"/>
            <w:u w:val="single"/>
          </w:rPr>
          <w:t xml:space="preserve">§ 28b</w:t>
        </w:r>
      </w:hyperlink>
    </w:p>
    <w:p>
      <w:pPr>
        <w:pStyle w:val="Übersicht"/>
        <w:ind w:left="340"/>
      </w:pPr>
      <w:hyperlink w:anchor="b72" w:history="1">
        <w:r>
          <w:rPr>
            <w:color w:val="0A3A8C"/>
            <w:u w:val="single"/>
          </w:rPr>
          <w:t xml:space="preserve">§ 29 Tilgung der Eintragungen</w:t>
        </w:r>
      </w:hyperlink>
    </w:p>
    <w:p>
      <w:pPr>
        <w:pStyle w:val="Übersicht"/>
        <w:ind w:left="340"/>
      </w:pPr>
      <w:hyperlink w:anchor="b73" w:history="1">
        <w:r>
          <w:rPr>
            <w:color w:val="0A3A8C"/>
            <w:u w:val="single"/>
          </w:rPr>
          <w:t xml:space="preserve">§ 30 Übermittlung</w:t>
        </w:r>
      </w:hyperlink>
    </w:p>
    <w:p>
      <w:pPr>
        <w:pStyle w:val="Übersicht"/>
        <w:ind w:left="340"/>
      </w:pPr>
      <w:hyperlink w:anchor="b74" w:history="1">
        <w:r>
          <w:rPr>
            <w:color w:val="0A3A8C"/>
            <w:u w:val="single"/>
          </w:rPr>
          <w:t xml:space="preserve">§ 30a Direkteinstellung und Abruf im automatisierten Verfahren</w:t>
        </w:r>
      </w:hyperlink>
    </w:p>
    <w:p>
      <w:pPr>
        <w:pStyle w:val="Übersicht"/>
        <w:ind w:left="340"/>
      </w:pPr>
      <w:hyperlink w:anchor="b75" w:history="1">
        <w:r>
          <w:rPr>
            <w:color w:val="0A3A8C"/>
            <w:u w:val="single"/>
          </w:rPr>
          <w:t xml:space="preserve">§ 30b Automatisiertes Anfrage- und Auskunftsverfahren beim Kraftfahrt-Bundesamt</w:t>
        </w:r>
      </w:hyperlink>
    </w:p>
    <w:p>
      <w:pPr>
        <w:pStyle w:val="Übersicht"/>
        <w:ind w:left="340"/>
      </w:pPr>
      <w:hyperlink w:anchor="b76" w:history="1">
        <w:r>
          <w:rPr>
            <w:color w:val="0A3A8C"/>
            <w:u w:val="single"/>
          </w:rPr>
          <w:t xml:space="preserve">§ 30c Verordnungsermächtigungen, Ausführungsvorschriften</w:t>
        </w:r>
      </w:hyperlink>
    </w:p>
    <w:p>
      <w:pPr>
        <w:pStyle w:val="Übersicht"/>
        <w:ind w:left="0"/>
      </w:pPr>
      <w:hyperlink w:anchor="b77" w:history="1">
        <w:r>
          <w:rPr>
            <w:b/>
            <w:color w:val="0A3A8C"/>
            <w:u w:val="single"/>
          </w:rPr>
          <w:t xml:space="preserve">V. Fahrzeugregister</w:t>
        </w:r>
      </w:hyperlink>
    </w:p>
    <w:p>
      <w:pPr>
        <w:pStyle w:val="Übersicht"/>
        <w:ind w:left="340"/>
      </w:pPr>
      <w:hyperlink w:anchor="b78" w:history="1">
        <w:r>
          <w:rPr>
            <w:color w:val="0A3A8C"/>
            <w:u w:val="single"/>
          </w:rPr>
          <w:t xml:space="preserve">§ 31 Registerführung und Registerbehörden</w:t>
        </w:r>
      </w:hyperlink>
    </w:p>
    <w:p>
      <w:pPr>
        <w:pStyle w:val="Übersicht"/>
        <w:ind w:left="340"/>
      </w:pPr>
      <w:hyperlink w:anchor="b79" w:history="1">
        <w:r>
          <w:rPr>
            <w:color w:val="0A3A8C"/>
            <w:u w:val="single"/>
          </w:rPr>
          <w:t xml:space="preserve">§ 32 Zweckbestimmung der Fahrzeugregister</w:t>
        </w:r>
      </w:hyperlink>
    </w:p>
    <w:p>
      <w:pPr>
        <w:pStyle w:val="Übersicht"/>
        <w:ind w:left="340"/>
      </w:pPr>
      <w:hyperlink w:anchor="b80" w:history="1">
        <w:r>
          <w:rPr>
            <w:color w:val="0A3A8C"/>
            <w:u w:val="single"/>
          </w:rPr>
          <w:t xml:space="preserve">§ 33 Inhalt der Fahrzeugregister</w:t>
        </w:r>
      </w:hyperlink>
    </w:p>
    <w:p>
      <w:pPr>
        <w:pStyle w:val="Übersicht"/>
        <w:ind w:left="340"/>
      </w:pPr>
      <w:hyperlink w:anchor="b81" w:history="1">
        <w:r>
          <w:rPr>
            <w:color w:val="0A3A8C"/>
            <w:u w:val="single"/>
          </w:rPr>
          <w:t xml:space="preserve">§ 34 Erhebung der Daten</w:t>
        </w:r>
      </w:hyperlink>
    </w:p>
    <w:p>
      <w:pPr>
        <w:pStyle w:val="Übersicht"/>
        <w:ind w:left="340"/>
      </w:pPr>
      <w:hyperlink w:anchor="b82" w:history="1">
        <w:r>
          <w:rPr>
            <w:color w:val="0A3A8C"/>
            <w:u w:val="single"/>
          </w:rPr>
          <w:t xml:space="preserve">§ 35 Übermittlung von Fahrzeugdaten und Halterdaten</w:t>
        </w:r>
      </w:hyperlink>
    </w:p>
    <w:p>
      <w:pPr>
        <w:pStyle w:val="Übersicht"/>
        <w:ind w:left="340"/>
      </w:pPr>
      <w:hyperlink w:anchor="b83" w:history="1">
        <w:r>
          <w:rPr>
            <w:color w:val="0A3A8C"/>
            <w:u w:val="single"/>
          </w:rPr>
          <w:t xml:space="preserve">§ 36 Abruf im automatisierten Verfahren</w:t>
        </w:r>
      </w:hyperlink>
    </w:p>
    <w:p>
      <w:pPr>
        <w:pStyle w:val="Übersicht"/>
        <w:ind w:left="340"/>
      </w:pPr>
      <w:hyperlink w:anchor="b84" w:history="1">
        <w:r>
          <w:rPr>
            <w:color w:val="0A3A8C"/>
            <w:u w:val="single"/>
          </w:rPr>
          <w:t xml:space="preserve">§ 36a Automatisiertes Anfrage- und Auskunftsverfahren beim Kraftfahrt-Bundesamt</w:t>
        </w:r>
      </w:hyperlink>
    </w:p>
    <w:p>
      <w:pPr>
        <w:pStyle w:val="Übersicht"/>
        <w:ind w:left="340"/>
      </w:pPr>
      <w:hyperlink w:anchor="b85" w:history="1">
        <w:r>
          <w:rPr>
            <w:color w:val="0A3A8C"/>
            <w:u w:val="single"/>
          </w:rPr>
          <w:t xml:space="preserve">§ 36b Abgleich mit den Sachfahndungsdaten des Bundeskriminalamtes</w:t>
        </w:r>
      </w:hyperlink>
    </w:p>
    <w:p>
      <w:pPr>
        <w:pStyle w:val="Übersicht"/>
        <w:ind w:left="340"/>
      </w:pPr>
      <w:hyperlink w:anchor="b86" w:history="1">
        <w:r>
          <w:rPr>
            <w:color w:val="0A3A8C"/>
            <w:u w:val="single"/>
          </w:rPr>
          <w:t xml:space="preserve">§ 37 Übermittlung von Fahrzeugdaten und Halterdaten an Stellen außerhalb des Geltungsbereiches dieses Gesetzes</w:t>
        </w:r>
      </w:hyperlink>
    </w:p>
    <w:p>
      <w:pPr>
        <w:pStyle w:val="Übersicht"/>
        <w:ind w:left="340"/>
      </w:pPr>
      <w:hyperlink w:anchor="b87" w:history="1">
        <w:r>
          <w:rPr>
            <w:color w:val="0A3A8C"/>
            <w:u w:val="single"/>
          </w:rPr>
          <w:t xml:space="preserve">§ 37a Abruf im automatisierten Verfahren durch Stellen außerhalb des Geltungsbereiches dieses Gesetzes</w:t>
        </w:r>
      </w:hyperlink>
    </w:p>
    <w:p>
      <w:pPr>
        <w:pStyle w:val="Übersicht"/>
        <w:ind w:left="340"/>
      </w:pPr>
      <w:hyperlink w:anchor="b88" w:history="1">
        <w:r>
          <w:rPr>
            <w:color w:val="0A3A8C"/>
            <w:u w:val="single"/>
          </w:rPr>
          <w:t xml:space="preserve">§ 37b Übermittlung von Fahrzeug- und Halterdaten nach der Richtlinie (EU) 2015/413</w:t>
        </w:r>
      </w:hyperlink>
    </w:p>
    <w:p>
      <w:pPr>
        <w:pStyle w:val="Übersicht"/>
        <w:ind w:left="340"/>
      </w:pPr>
      <w:hyperlink w:anchor="b89" w:history="1">
        <w:r>
          <w:rPr>
            <w:color w:val="0A3A8C"/>
            <w:u w:val="single"/>
          </w:rPr>
          <w:t xml:space="preserve">§ 37c Übermittlung von Fahrzeugdaten und Halterdaten an die Europäische Kommission</w:t>
        </w:r>
      </w:hyperlink>
    </w:p>
    <w:p>
      <w:pPr>
        <w:pStyle w:val="Übersicht"/>
        <w:ind w:left="340"/>
      </w:pPr>
      <w:hyperlink w:anchor="b90" w:history="1">
        <w:r>
          <w:rPr>
            <w:color w:val="0A3A8C"/>
            <w:u w:val="single"/>
          </w:rPr>
          <w:t xml:space="preserve">§ 38 Übermittlung an und Verwendung durch den Empfänger für wissenschaftliche Zwecke</w:t>
        </w:r>
      </w:hyperlink>
    </w:p>
    <w:p>
      <w:pPr>
        <w:pStyle w:val="Übersicht"/>
        <w:ind w:left="340"/>
      </w:pPr>
      <w:hyperlink w:anchor="b91" w:history="1">
        <w:r>
          <w:rPr>
            <w:color w:val="0A3A8C"/>
            <w:u w:val="single"/>
          </w:rPr>
          <w:t xml:space="preserve">§ 38a Übermittlung an und Verwendung durch den Empfänger für statistische Zwecke</w:t>
        </w:r>
      </w:hyperlink>
    </w:p>
    <w:p>
      <w:pPr>
        <w:pStyle w:val="Übersicht"/>
        <w:ind w:left="340"/>
      </w:pPr>
      <w:hyperlink w:anchor="b92" w:history="1">
        <w:r>
          <w:rPr>
            <w:color w:val="0A3A8C"/>
            <w:u w:val="single"/>
          </w:rPr>
          <w:t xml:space="preserve">§ 38b Übermittlung an und Verwendung durch den Empfänger für planerische Zwecke</w:t>
        </w:r>
      </w:hyperlink>
    </w:p>
    <w:p>
      <w:pPr>
        <w:pStyle w:val="Übersicht"/>
        <w:ind w:left="340"/>
      </w:pPr>
      <w:hyperlink w:anchor="b93" w:history="1">
        <w:r>
          <w:rPr>
            <w:color w:val="0A3A8C"/>
            <w:u w:val="single"/>
          </w:rPr>
          <w:t xml:space="preserve">§ 39 Übermittlung von Fahrzeugdaten und Halterdaten zur Verfolgung von Rechtsansprüchen</w:t>
        </w:r>
      </w:hyperlink>
    </w:p>
    <w:p>
      <w:pPr>
        <w:pStyle w:val="Übersicht"/>
        <w:ind w:left="340"/>
      </w:pPr>
      <w:hyperlink w:anchor="b94" w:history="1">
        <w:r>
          <w:rPr>
            <w:color w:val="0A3A8C"/>
            <w:u w:val="single"/>
          </w:rPr>
          <w:t xml:space="preserve">§ 39a Auskunft über Daten</w:t>
        </w:r>
      </w:hyperlink>
    </w:p>
    <w:p>
      <w:pPr>
        <w:pStyle w:val="Übersicht"/>
        <w:ind w:left="340"/>
      </w:pPr>
      <w:hyperlink w:anchor="b95" w:history="1">
        <w:r>
          <w:rPr>
            <w:color w:val="0A3A8C"/>
            <w:u w:val="single"/>
          </w:rPr>
          <w:t xml:space="preserve">§ 40 Übermittlung sonstiger Daten</w:t>
        </w:r>
      </w:hyperlink>
    </w:p>
    <w:p>
      <w:pPr>
        <w:pStyle w:val="Übersicht"/>
        <w:ind w:left="340"/>
      </w:pPr>
      <w:hyperlink w:anchor="b96" w:history="1">
        <w:r>
          <w:rPr>
            <w:color w:val="0A3A8C"/>
            <w:u w:val="single"/>
          </w:rPr>
          <w:t xml:space="preserve">§ 41 Übermittlungssperren</w:t>
        </w:r>
      </w:hyperlink>
    </w:p>
    <w:p>
      <w:pPr>
        <w:pStyle w:val="Übersicht"/>
        <w:ind w:left="340"/>
      </w:pPr>
      <w:hyperlink w:anchor="b97" w:history="1">
        <w:r>
          <w:rPr>
            <w:color w:val="0A3A8C"/>
            <w:u w:val="single"/>
          </w:rPr>
          <w:t xml:space="preserve">§ 42 Datenabgleich zur Beseitigung von Fehlern</w:t>
        </w:r>
      </w:hyperlink>
    </w:p>
    <w:p>
      <w:pPr>
        <w:pStyle w:val="Übersicht"/>
        <w:ind w:left="340"/>
      </w:pPr>
      <w:hyperlink w:anchor="b98" w:history="1">
        <w:r>
          <w:rPr>
            <w:color w:val="0A3A8C"/>
            <w:u w:val="single"/>
          </w:rPr>
          <w:t xml:space="preserve">§ 43 Allgemeine Vorschriften für die Datenübermittlung an und die Verarbeitung der Daten durch den Empfänger</w:t>
        </w:r>
      </w:hyperlink>
    </w:p>
    <w:p>
      <w:pPr>
        <w:pStyle w:val="Übersicht"/>
        <w:ind w:left="340"/>
      </w:pPr>
      <w:hyperlink w:anchor="b99" w:history="1">
        <w:r>
          <w:rPr>
            <w:color w:val="0A3A8C"/>
            <w:u w:val="single"/>
          </w:rPr>
          <w:t xml:space="preserve">§ 44 Löschung der Daten in den Fahrzeugregistern</w:t>
        </w:r>
      </w:hyperlink>
    </w:p>
    <w:p>
      <w:pPr>
        <w:pStyle w:val="Übersicht"/>
        <w:ind w:left="340"/>
      </w:pPr>
      <w:hyperlink w:anchor="b100" w:history="1">
        <w:r>
          <w:rPr>
            <w:color w:val="0A3A8C"/>
            <w:u w:val="single"/>
          </w:rPr>
          <w:t xml:space="preserve">§ 45 Anonymisierte Daten</w:t>
        </w:r>
      </w:hyperlink>
    </w:p>
    <w:p>
      <w:pPr>
        <w:pStyle w:val="Übersicht"/>
        <w:ind w:left="340"/>
      </w:pPr>
      <w:hyperlink w:anchor="b101" w:history="1">
        <w:r>
          <w:rPr>
            <w:color w:val="0A3A8C"/>
            <w:u w:val="single"/>
          </w:rPr>
          <w:t xml:space="preserve">§ 46 Auskunft über Fahrzeugdaten unter Verarbeitung personenbezogener Daten</w:t>
        </w:r>
      </w:hyperlink>
    </w:p>
    <w:p>
      <w:pPr>
        <w:pStyle w:val="Übersicht"/>
        <w:ind w:left="340"/>
      </w:pPr>
      <w:hyperlink w:anchor="b102" w:history="1">
        <w:r>
          <w:rPr>
            <w:color w:val="0A3A8C"/>
            <w:u w:val="single"/>
          </w:rPr>
          <w:t xml:space="preserve">§ 47 Verordnungsermächtigungen, Ausführungsvorschriften</w:t>
        </w:r>
      </w:hyperlink>
    </w:p>
    <w:p>
      <w:pPr>
        <w:pStyle w:val="Übersicht"/>
        <w:ind w:left="0"/>
      </w:pPr>
      <w:hyperlink w:anchor="b103" w:history="1">
        <w:r>
          <w:rPr>
            <w:b/>
            <w:color w:val="0A3A8C"/>
            <w:u w:val="single"/>
          </w:rPr>
          <w:t xml:space="preserve">VI. Fahrerlaubnisregister</w:t>
        </w:r>
      </w:hyperlink>
    </w:p>
    <w:p>
      <w:pPr>
        <w:pStyle w:val="Übersicht"/>
        <w:ind w:left="340"/>
      </w:pPr>
      <w:hyperlink w:anchor="b104" w:history="1">
        <w:r>
          <w:rPr>
            <w:color w:val="0A3A8C"/>
            <w:u w:val="single"/>
          </w:rPr>
          <w:t xml:space="preserve">§ 48 Registerführung und Registerbehörden</w:t>
        </w:r>
      </w:hyperlink>
    </w:p>
    <w:p>
      <w:pPr>
        <w:pStyle w:val="Übersicht"/>
        <w:ind w:left="340"/>
      </w:pPr>
      <w:hyperlink w:anchor="b105" w:history="1">
        <w:r>
          <w:rPr>
            <w:color w:val="0A3A8C"/>
            <w:u w:val="single"/>
          </w:rPr>
          <w:t xml:space="preserve">§ 49 Zweckbestimmung der Register</w:t>
        </w:r>
      </w:hyperlink>
    </w:p>
    <w:p>
      <w:pPr>
        <w:pStyle w:val="Übersicht"/>
        <w:ind w:left="340"/>
      </w:pPr>
      <w:hyperlink w:anchor="b106" w:history="1">
        <w:r>
          <w:rPr>
            <w:color w:val="0A3A8C"/>
            <w:u w:val="single"/>
          </w:rPr>
          <w:t xml:space="preserve">§ 50 Inhalt der Fahrerlaubnisregister</w:t>
        </w:r>
      </w:hyperlink>
    </w:p>
    <w:p>
      <w:pPr>
        <w:pStyle w:val="Übersicht"/>
        <w:ind w:left="340"/>
      </w:pPr>
      <w:hyperlink w:anchor="b107" w:history="1">
        <w:r>
          <w:rPr>
            <w:color w:val="0A3A8C"/>
            <w:u w:val="single"/>
          </w:rPr>
          <w:t xml:space="preserve">§ 51 Mitteilung an das Zentrale Fahrerlaubnisregister</w:t>
        </w:r>
      </w:hyperlink>
    </w:p>
    <w:p>
      <w:pPr>
        <w:pStyle w:val="Übersicht"/>
        <w:ind w:left="340"/>
      </w:pPr>
      <w:hyperlink w:anchor="b108" w:history="1">
        <w:r>
          <w:rPr>
            <w:color w:val="0A3A8C"/>
            <w:u w:val="single"/>
          </w:rPr>
          <w:t xml:space="preserve">§ 52 Übermittlung</w:t>
        </w:r>
      </w:hyperlink>
    </w:p>
    <w:p>
      <w:pPr>
        <w:pStyle w:val="Übersicht"/>
        <w:ind w:left="340"/>
      </w:pPr>
      <w:hyperlink w:anchor="b109" w:history="1">
        <w:r>
          <w:rPr>
            <w:color w:val="0A3A8C"/>
            <w:u w:val="single"/>
          </w:rPr>
          <w:t xml:space="preserve">§ 53 Direkteinstellung und Abruf im automatisierten Verfahren</w:t>
        </w:r>
      </w:hyperlink>
    </w:p>
    <w:p>
      <w:pPr>
        <w:pStyle w:val="Übersicht"/>
        <w:ind w:left="340"/>
      </w:pPr>
      <w:hyperlink w:anchor="b110" w:history="1">
        <w:r>
          <w:rPr>
            <w:color w:val="0A3A8C"/>
            <w:u w:val="single"/>
          </w:rPr>
          <w:t xml:space="preserve">§ 54 (weggefallen)</w:t>
        </w:r>
      </w:hyperlink>
    </w:p>
    <w:p>
      <w:pPr>
        <w:pStyle w:val="Übersicht"/>
        <w:ind w:left="340"/>
      </w:pPr>
      <w:hyperlink w:anchor="b111" w:history="1">
        <w:r>
          <w:rPr>
            <w:color w:val="0A3A8C"/>
            <w:u w:val="single"/>
          </w:rPr>
          <w:t xml:space="preserve">§ 55 Übermittlung von Daten an Stellen außerhalb des Geltungsbereiches dieses Gesetzes</w:t>
        </w:r>
      </w:hyperlink>
    </w:p>
    <w:p>
      <w:pPr>
        <w:pStyle w:val="Übersicht"/>
        <w:ind w:left="340"/>
      </w:pPr>
      <w:hyperlink w:anchor="b112" w:history="1">
        <w:r>
          <w:rPr>
            <w:color w:val="0A3A8C"/>
            <w:u w:val="single"/>
          </w:rPr>
          <w:t xml:space="preserve">§ 56 Abruf im automatisierten Verfahren durch Stellen außerhalb des Geltungsbereiches dieses Gesetzes</w:t>
        </w:r>
      </w:hyperlink>
    </w:p>
    <w:p>
      <w:pPr>
        <w:pStyle w:val="Übersicht"/>
        <w:ind w:left="340"/>
      </w:pPr>
      <w:hyperlink w:anchor="b113" w:history="1">
        <w:r>
          <w:rPr>
            <w:color w:val="0A3A8C"/>
            <w:u w:val="single"/>
          </w:rPr>
          <w:t xml:space="preserve">§ 57 Übermittlung an und Verwendung durch den Empfänger für wissenschaftliche, statistische und gesetzgeberische Zwecke</w:t>
        </w:r>
      </w:hyperlink>
    </w:p>
    <w:p>
      <w:pPr>
        <w:pStyle w:val="Übersicht"/>
        <w:ind w:left="340"/>
      </w:pPr>
      <w:hyperlink w:anchor="b114" w:history="1">
        <w:r>
          <w:rPr>
            <w:color w:val="0A3A8C"/>
            <w:u w:val="single"/>
          </w:rPr>
          <w:t xml:space="preserve">§ 58 Auskunft über eigene Daten aus den Registern</w:t>
        </w:r>
      </w:hyperlink>
    </w:p>
    <w:p>
      <w:pPr>
        <w:pStyle w:val="Übersicht"/>
        <w:ind w:left="340"/>
      </w:pPr>
      <w:hyperlink w:anchor="b115" w:history="1">
        <w:r>
          <w:rPr>
            <w:color w:val="0A3A8C"/>
            <w:u w:val="single"/>
          </w:rPr>
          <w:t xml:space="preserve">§ 59 Datenabgleich zur Beseitigung von Fehlern</w:t>
        </w:r>
      </w:hyperlink>
    </w:p>
    <w:p>
      <w:pPr>
        <w:pStyle w:val="Übersicht"/>
        <w:ind w:left="340"/>
      </w:pPr>
      <w:hyperlink w:anchor="b116" w:history="1">
        <w:r>
          <w:rPr>
            <w:color w:val="0A3A8C"/>
            <w:u w:val="single"/>
          </w:rPr>
          <w:t xml:space="preserve">§ 60 Allgemeine Vorschriften für die Datenübermittlung an und die Verarbeitung der Daten durch den Empfänger</w:t>
        </w:r>
      </w:hyperlink>
    </w:p>
    <w:p>
      <w:pPr>
        <w:pStyle w:val="Übersicht"/>
        <w:ind w:left="340"/>
      </w:pPr>
      <w:hyperlink w:anchor="b117" w:history="1">
        <w:r>
          <w:rPr>
            <w:color w:val="0A3A8C"/>
            <w:u w:val="single"/>
          </w:rPr>
          <w:t xml:space="preserve">§ 61 Löschung der Daten</w:t>
        </w:r>
      </w:hyperlink>
    </w:p>
    <w:p>
      <w:pPr>
        <w:pStyle w:val="Übersicht"/>
        <w:ind w:left="340"/>
      </w:pPr>
      <w:hyperlink w:anchor="b118" w:history="1">
        <w:r>
          <w:rPr>
            <w:color w:val="0A3A8C"/>
            <w:u w:val="single"/>
          </w:rPr>
          <w:t xml:space="preserve">§ 62 Register über die Dienstfahrerlaubnisse der Bundeswehr</w:t>
        </w:r>
      </w:hyperlink>
    </w:p>
    <w:p>
      <w:pPr>
        <w:pStyle w:val="Übersicht"/>
        <w:ind w:left="340"/>
      </w:pPr>
      <w:hyperlink w:anchor="b119" w:history="1">
        <w:r>
          <w:rPr>
            <w:color w:val="0A3A8C"/>
            <w:u w:val="single"/>
          </w:rPr>
          <w:t xml:space="preserve">§ 63 Verordnungsermächtigungen, Ausführungsvorschriften</w:t>
        </w:r>
      </w:hyperlink>
    </w:p>
    <w:p>
      <w:pPr>
        <w:pStyle w:val="Übersicht"/>
        <w:ind w:left="0"/>
      </w:pPr>
      <w:hyperlink w:anchor="b120" w:history="1">
        <w:r>
          <w:rPr>
            <w:b/>
            <w:color w:val="0A3A8C"/>
            <w:u w:val="single"/>
          </w:rPr>
          <w:t xml:space="preserve">VIa. Datenverarbeitung</w:t>
        </w:r>
      </w:hyperlink>
    </w:p>
    <w:p>
      <w:pPr>
        <w:pStyle w:val="Übersicht"/>
        <w:ind w:left="340"/>
      </w:pPr>
      <w:hyperlink w:anchor="b121" w:history="1">
        <w:r>
          <w:rPr>
            <w:color w:val="0A3A8C"/>
            <w:u w:val="single"/>
          </w:rPr>
          <w:t xml:space="preserve">§ 63a Datenverarbeitung bei Kraftfahrzeugen mit automatisierter Fahrfunktion</w:t>
        </w:r>
      </w:hyperlink>
    </w:p>
    <w:p>
      <w:pPr>
        <w:pStyle w:val="Übersicht"/>
        <w:ind w:left="340"/>
      </w:pPr>
      <w:hyperlink w:anchor="b122" w:history="1">
        <w:r>
          <w:rPr>
            <w:color w:val="0A3A8C"/>
            <w:u w:val="single"/>
          </w:rPr>
          <w:t xml:space="preserve">§ 63b Verordnungsermächtigungen</w:t>
        </w:r>
      </w:hyperlink>
    </w:p>
    <w:p>
      <w:pPr>
        <w:pStyle w:val="Übersicht"/>
        <w:ind w:left="340"/>
      </w:pPr>
      <w:hyperlink w:anchor="b123" w:history="1">
        <w:r>
          <w:rPr>
            <w:color w:val="0A3A8C"/>
            <w:u w:val="single"/>
          </w:rPr>
          <w:t xml:space="preserve">§ 63c Datenverarbeitung im Rahmen der Überprüfung der Einhaltung von Verkehrsbeschränkungen und Verkehrsverboten aufgrund immissionsschutzrechtlicher Vorschriften oder aufgrund straßenverkehrsrechtlicher Vorschriften zum Schutz vor Abgasen</w:t>
        </w:r>
      </w:hyperlink>
    </w:p>
    <w:p>
      <w:pPr>
        <w:pStyle w:val="Übersicht"/>
        <w:ind w:left="340"/>
      </w:pPr>
      <w:hyperlink w:anchor="b124" w:history="1">
        <w:r>
          <w:rPr>
            <w:color w:val="0A3A8C"/>
            <w:u w:val="single"/>
          </w:rPr>
          <w:t xml:space="preserve">§ 63d Informationen an die Halter</w:t>
        </w:r>
      </w:hyperlink>
    </w:p>
    <w:p>
      <w:pPr>
        <w:pStyle w:val="Übersicht"/>
        <w:ind w:left="340"/>
      </w:pPr>
      <w:hyperlink w:anchor="b125" w:history="1">
        <w:r>
          <w:rPr>
            <w:color w:val="0A3A8C"/>
            <w:u w:val="single"/>
          </w:rPr>
          <w:t xml:space="preserve">§ 63e Datenerhebung, Datenspeicherung und Datenverwendung für das Verkehrsmanagement</w:t>
        </w:r>
      </w:hyperlink>
    </w:p>
    <w:p>
      <w:pPr>
        <w:pStyle w:val="Übersicht"/>
        <w:ind w:left="340"/>
      </w:pPr>
      <w:hyperlink w:anchor="b126" w:history="1">
        <w:r>
          <w:rPr>
            <w:color w:val="0A3A8C"/>
            <w:u w:val="single"/>
          </w:rPr>
          <w:t xml:space="preserve">§ 63f Verkehrsunfallforschung, Verordnungsermächtigung</w:t>
        </w:r>
      </w:hyperlink>
    </w:p>
    <w:p>
      <w:pPr>
        <w:pStyle w:val="Übersicht"/>
        <w:ind w:left="340"/>
      </w:pPr>
      <w:hyperlink w:anchor="b127" w:history="1">
        <w:r>
          <w:rPr>
            <w:color w:val="0A3A8C"/>
            <w:u w:val="single"/>
          </w:rPr>
          <w:t xml:space="preserve">§ 63g Datenverarbeitung zur Kontrolle des ruhenden Verkehrs</w:t>
        </w:r>
      </w:hyperlink>
    </w:p>
    <w:p>
      <w:pPr>
        <w:pStyle w:val="Übersicht"/>
        <w:ind w:left="0"/>
      </w:pPr>
      <w:hyperlink w:anchor="b128" w:history="1">
        <w:r>
          <w:rPr>
            <w:b/>
            <w:color w:val="0A3A8C"/>
            <w:u w:val="single"/>
          </w:rPr>
          <w:t xml:space="preserve">VII. Gemeinsame Vorschriften, Übergangsbestimmungen</w:t>
        </w:r>
      </w:hyperlink>
    </w:p>
    <w:p>
      <w:pPr>
        <w:pStyle w:val="Übersicht"/>
        <w:ind w:left="340"/>
      </w:pPr>
      <w:hyperlink w:anchor="b129" w:history="1">
        <w:r>
          <w:rPr>
            <w:color w:val="0A3A8C"/>
            <w:u w:val="single"/>
          </w:rPr>
          <w:t xml:space="preserve">§ 64 Gemeinsame Vorschriften</w:t>
        </w:r>
      </w:hyperlink>
    </w:p>
    <w:p>
      <w:pPr>
        <w:pStyle w:val="Übersicht"/>
        <w:ind w:left="340"/>
      </w:pPr>
      <w:hyperlink w:anchor="b130" w:history="1">
        <w:r>
          <w:rPr>
            <w:color w:val="0A3A8C"/>
            <w:u w:val="single"/>
          </w:rPr>
          <w:t xml:space="preserve">§ 65 Übergangsbestimmungen</w:t>
        </w:r>
      </w:hyperlink>
    </w:p>
    <w:p>
      <w:pPr>
        <w:pStyle w:val="Übersicht"/>
        <w:ind w:left="340"/>
      </w:pPr>
      <w:hyperlink w:anchor="b131" w:history="1">
        <w:r>
          <w:rPr>
            <w:color w:val="0A3A8C"/>
            <w:u w:val="single"/>
          </w:rPr>
          <w:t xml:space="preserve">§ 66 (weggefallen)</w:t>
        </w:r>
      </w:hyperlink>
    </w:p>
    <w:p>
      <w:pPr>
        <w:pStyle w:val="Übersicht"/>
        <w:ind w:left="340"/>
      </w:pPr>
      <w:hyperlink w:anchor="b132" w:history="1">
        <w:r>
          <w:rPr>
            <w:color w:val="0A3A8C"/>
            <w:u w:val="single"/>
          </w:rPr>
          <w:t xml:space="preserve">Anlage (zu § 24a)</w:t>
        </w:r>
      </w:hyperlink>
    </w:p>
    <w:p>
      <w:pPr>
        <w:pStyle w:val="Übersicht"/>
        <w:ind w:left="340"/>
      </w:pPr>
      <w:hyperlink w:anchor="b133" w:history="1">
        <w:r>
          <w:rPr>
            <w:color w:val="0A3A8C"/>
            <w:u w:val="single"/>
          </w:rPr>
          <w:t xml:space="preserve">Anhang EV Auszug aus EinigVtr Anlage I Kapitel XI Sachgebiet B Abschnitt III(BGBl. II 1990, 889, 1099)- Maßgaben für das beigetretene Gebiet (Art. 3 EinigVtr) -</w:t>
        </w:r>
      </w:hyperlink>
    </w:p>
    <w:p>
      <w:pPr>
        <w:pStyle w:val="Heading1"/>
      </w:pPr>
      <w:bookmarkStart w:id="1" w:name="b0"/>
      <w:r>
        <w:t>I. Verkehrsvorschriften</w:t>
      </w:r>
      <w:bookmarkEnd w:id="1"/>
    </w:p>
    <w:p>
      <w:pPr>
        <w:pStyle w:val="Heading2"/>
      </w:pPr>
      <w:bookmarkStart w:id="2" w:name="b1"/>
      <w:r>
        <w:t>§ 1 Zulassung</w:t>
      </w:r>
      <w:r>
        <w:t xml:space="preserve"> </w:t>
      </w:r>
      <w:r>
        <w:rPr>
          <w:rStyle w:val="Suchmarke"/>
        </w:rPr>
        <w:t>#1#</w:t>
      </w:r>
      <w:bookmarkEnd w:id="2"/>
    </w:p>
    <w:p>
      <w:r>
        <w:t xml:space="preserve">(1) </w:t>
      </w:r>
      <w:r>
        <w:rPr>
          <w:rStyle w:val="Satznummer"/>
        </w:rPr>
        <w:t>1</w:t>
      </w:r>
      <w:r>
        <w:t xml:space="preserve">Kraftfahrzeuge und ihre Anhänger, die auf öffentlichen Straßen in Betrieb gesetzt werden sollen, müssen von der zuständigen Behörde (Zulassungsbehörde) zum Verkehr zugelassen sein. </w:t>
      </w:r>
      <w:r>
        <w:rPr>
          <w:rStyle w:val="Satznummer"/>
        </w:rPr>
        <w:t>2</w:t>
      </w:r>
      <w:r>
        <w:t>Die Zulassung erfolgt auf Antrag des Verfügungsberechtigten des Fahrzeugs bei Vorliegen einer Betriebserlaubnis, Einzelgenehmigung oder EG-Typgenehmigung durch Zuteilung eines amtlichen Kennzeichens.</w:t>
      </w:r>
    </w:p>
    <w:p>
      <w:r>
        <w:t>(2) Als Kraftfahrzeuge im Sinne dieses Gesetzes gelten Landfahrzeuge, die durch Maschinenkraft bewegt werden, ohne an Bahngleise gebunden zu sein.</w:t>
      </w:r>
    </w:p>
    <w:p>
      <w:r>
        <w:t xml:space="preserve">(3) </w:t>
      </w:r>
      <w:r>
        <w:rPr>
          <w:rStyle w:val="Satznummer"/>
        </w:rPr>
        <w:t>1</w:t>
      </w:r>
      <w:r>
        <w:t>Keine Kraftfahrzeuge im Sinne dieses Gesetzes sind Landfahrzeuge, die durch Muskelkraft fortbewegt werden und mit einem elektromotorischen Hilfsantrieb mit einer Nenndauerleistung von höchstens 0,25 kW ausgestattet sind, dessen Unterstützung sich mit zunehmender Fahrzeuggeschwindigkeit progressiv verringert und</w:t>
      </w:r>
    </w:p>
    <w:p>
      <w:pPr>
        <w:tabs>
          <w:tab w:pos="567" w:val="left"/>
        </w:tabs>
        <w:ind w:left="567" w:hanging="567"/>
      </w:pPr>
      <w:r>
        <w:t>1.</w:t>
      </w:r>
      <w:r>
        <w:tab/>
      </w:r>
      <w:r>
        <w:t>beim Erreichen einer Geschwindigkeit von 25 km/h oder früher,</w:t>
      </w:r>
    </w:p>
    <w:p>
      <w:pPr>
        <w:tabs>
          <w:tab w:pos="567" w:val="left"/>
        </w:tabs>
        <w:ind w:left="567" w:hanging="567"/>
      </w:pPr>
      <w:r>
        <w:t>2.</w:t>
      </w:r>
      <w:r>
        <w:tab/>
      </w:r>
      <w:r>
        <w:t>wenn der Fahrer im Treten einhält,</w:t>
      </w:r>
    </w:p>
    <w:p>
      <w:r>
        <w:t xml:space="preserve">unterbrochen wird. </w:t>
      </w:r>
      <w:r>
        <w:rPr>
          <w:rStyle w:val="Satznummer"/>
        </w:rPr>
        <w:t>2</w:t>
      </w:r>
      <w:r>
        <w:t xml:space="preserve">Satz 1 gilt auch dann, soweit die in Satz 1 bezeichneten Fahrzeuge zusätzlich über eine elektromotorische Anfahr- oder Schiebehilfe verfügen, die eine Beschleunigung des Fahrzeuges auf eine Geschwindigkeit von bis zu 6 km/h, auch ohne gleichzeitiges Treten des Fahrers, ermöglicht. </w:t>
      </w:r>
      <w:r>
        <w:rPr>
          <w:rStyle w:val="Satznummer"/>
        </w:rPr>
        <w:t>3</w:t>
      </w:r>
      <w:r>
        <w:t>Für Fahrzeuge im Sinne der Sätze 1 und 2 sind die Vorschriften über Fahrräder anzuwenden.</w:t>
      </w:r>
    </w:p>
    <w:p>
      <w:pPr>
        <w:pStyle w:val="Heading2"/>
      </w:pPr>
      <w:bookmarkStart w:id="3" w:name="b2"/>
      <w:r>
        <w:t>§ 1a Kraftfahrzeuge mit automatisierter Fahrfunktion</w:t>
      </w:r>
      <w:r>
        <w:t xml:space="preserve"> </w:t>
      </w:r>
      <w:r>
        <w:rPr>
          <w:rStyle w:val="Suchmarke"/>
        </w:rPr>
        <w:t>#1a#</w:t>
      </w:r>
      <w:bookmarkEnd w:id="3"/>
    </w:p>
    <w:p>
      <w:r>
        <w:t>(1) Der Betrieb eines Kraftfahrzeugs mittels automatisierter Fahrfunktion ist zulässig, wenn die Funktion bestimmungsgemäß verwendet wird.</w:t>
      </w:r>
    </w:p>
    <w:p>
      <w:r>
        <w:t xml:space="preserve">(2) </w:t>
      </w:r>
      <w:r>
        <w:rPr>
          <w:rStyle w:val="Satznummer"/>
        </w:rPr>
        <w:t>1</w:t>
      </w:r>
      <w:r>
        <w:t>Kraftfahrzeuge mit automatisierter Fahrfunktion im Sinne dieses Gesetzes sind solche, die über eine technische Ausrüstung verfügen,</w:t>
      </w:r>
    </w:p>
    <w:p>
      <w:pPr>
        <w:tabs>
          <w:tab w:pos="567" w:val="left"/>
        </w:tabs>
        <w:ind w:left="567" w:hanging="567"/>
      </w:pPr>
      <w:r>
        <w:t>1.</w:t>
      </w:r>
      <w:r>
        <w:tab/>
      </w:r>
      <w:r>
        <w:t>die zur Bewältigung der Fahraufgabe – einschließlich Längs- und Querführung – das jeweilige Kraftfahrzeug nach Aktivierung steuern (Fahrzeugsteuerung) kann,</w:t>
      </w:r>
    </w:p>
    <w:p>
      <w:pPr>
        <w:tabs>
          <w:tab w:pos="567" w:val="left"/>
        </w:tabs>
        <w:ind w:left="567" w:hanging="567"/>
      </w:pPr>
      <w:r>
        <w:t>2.</w:t>
      </w:r>
      <w:r>
        <w:tab/>
      </w:r>
      <w:r>
        <w:t>die in der Lage ist, während der automatisierten Fahrzeugsteuerung den an die Fahrzeugführung gerichteten Verkehrsvorschriften zu entsprechen,</w:t>
      </w:r>
    </w:p>
    <w:p>
      <w:pPr>
        <w:tabs>
          <w:tab w:pos="567" w:val="left"/>
        </w:tabs>
        <w:ind w:left="567" w:hanging="567"/>
      </w:pPr>
      <w:r>
        <w:t>3.</w:t>
      </w:r>
      <w:r>
        <w:tab/>
      </w:r>
      <w:r>
        <w:t>die jederzeit durch den Fahrzeugführer manuell übersteuerbar oder deaktivierbar ist,</w:t>
      </w:r>
    </w:p>
    <w:p>
      <w:pPr>
        <w:tabs>
          <w:tab w:pos="567" w:val="left"/>
        </w:tabs>
        <w:ind w:left="567" w:hanging="567"/>
      </w:pPr>
      <w:r>
        <w:t>4.</w:t>
      </w:r>
      <w:r>
        <w:tab/>
      </w:r>
      <w:r>
        <w:t>die die Erforderlichkeit der eigenhändigen Fahrzeugsteuerung durch den Fahrzeugführer erkennen kann,</w:t>
      </w:r>
    </w:p>
    <w:p>
      <w:pPr>
        <w:tabs>
          <w:tab w:pos="567" w:val="left"/>
        </w:tabs>
        <w:ind w:left="567" w:hanging="567"/>
      </w:pPr>
      <w:r>
        <w:t>5.</w:t>
      </w:r>
      <w:r>
        <w:tab/>
      </w:r>
      <w:r>
        <w:t>die dem Fahrzeugführer das Erfordernis der eigenhändigen Fahrzeugsteuerung mit ausreichender Zeitreserve vor der Abgabe der Fahrzeugsteuerung an den Fahrzeugführer optisch, akustisch, taktil oder sonst wahrnehmbar anzeigen kann und</w:t>
      </w:r>
    </w:p>
    <w:p>
      <w:pPr>
        <w:tabs>
          <w:tab w:pos="567" w:val="left"/>
        </w:tabs>
        <w:ind w:left="567" w:hanging="567"/>
      </w:pPr>
      <w:r>
        <w:t>6.</w:t>
      </w:r>
      <w:r>
        <w:tab/>
      </w:r>
      <w:r>
        <w:t>die auf eine der Systembeschreibung zuwiderlaufende Verwendung hinweist.</w:t>
      </w:r>
    </w:p>
    <w:p>
      <w:r>
        <w:rPr>
          <w:rStyle w:val="Satznummer"/>
        </w:rPr>
        <w:t>2</w:t>
      </w:r>
      <w:r>
        <w:t>Der Hersteller eines solchen Kraftfahrzeugs hat in der Systembeschreibung verbindlich zu erklären, dass das Fahrzeug den Voraussetzungen des Satzes 1 entspricht.</w:t>
      </w:r>
    </w:p>
    <w:p>
      <w:r>
        <w:t xml:space="preserve">(3) Die vorstehenden Absätze sind nur auf solche Fahrzeuge anzuwenden, die nach </w:t>
      </w:r>
      <w:hyperlink w:anchor="b1" w:history="1">
        <w:r>
          <w:rPr>
            <w:color w:val="0A3A8C"/>
            <w:u w:val="single"/>
          </w:rPr>
          <w:t xml:space="preserve">§ 1</w:t>
        </w:r>
      </w:hyperlink>
      <w:r>
        <w:t xml:space="preserve"> Absatz 1 zugelassen sind, den in Absatz 2 Satz 1 enthaltenen Vorgaben entsprechen und deren automatisierte Fahrfunktionen</w:t>
      </w:r>
    </w:p>
    <w:p>
      <w:pPr>
        <w:tabs>
          <w:tab w:pos="567" w:val="left"/>
        </w:tabs>
        <w:ind w:left="567" w:hanging="567"/>
      </w:pPr>
      <w:r>
        <w:t>1.</w:t>
      </w:r>
      <w:r>
        <w:tab/>
      </w:r>
      <w:r>
        <w:t>in internationalen, im Geltungsbereich dieses Gesetzes anzuwendenden Vorschriften beschrieben sind und diesen entsprechen oder</w:t>
      </w:r>
    </w:p>
    <w:p>
      <w:pPr>
        <w:tabs>
          <w:tab w:pos="567" w:val="left"/>
        </w:tabs>
        <w:ind w:left="567" w:hanging="567"/>
      </w:pPr>
      <w:r>
        <w:t>2.</w:t>
      </w:r>
      <w:r>
        <w:tab/>
      </w:r>
      <w:r>
        <w:t>eine Typgenehmigung gemäß Artikel 20 der Richtlinie 2007/46/EG des Europäischen Parlaments und des Rates vom 5. September 2007 zur Schaffung eines Rahmens für die Genehmigung von Kraftfahrzeugen und Kraftfahrzeuganhängern sowie von Systemen, Bauteilen und selbstständigen technischen Einheiten für diese Fahrzeuge (Rahmenrichtlinie) (ABl. L 263 vom 9.10.2007, S. 1) erteilt bekommen haben.</w:t>
      </w:r>
    </w:p>
    <w:p>
      <w:r>
        <w:t>(4) Fahrzeugführer ist auch derjenige, der eine automatisierte Fahrfunktion im Sinne des Absatzes 2 aktiviert und zur Fahrzeugsteuerung verwendet, auch wenn er im Rahmen der bestimmungsgemäßen Verwendung dieser Funktion das Fahrzeug nicht eigenhändig steuert.</w:t>
      </w:r>
    </w:p>
    <w:p>
      <w:pPr>
        <w:pStyle w:val="Heading2"/>
      </w:pPr>
      <w:bookmarkStart w:id="4" w:name="b3"/>
      <w:r>
        <w:t>§ 1b Rechte und Pflichten des Fahrzeugführers bei Nutzung automatisierter Fahrfunktionen</w:t>
      </w:r>
      <w:r>
        <w:t xml:space="preserve"> </w:t>
      </w:r>
      <w:r>
        <w:rPr>
          <w:rStyle w:val="Suchmarke"/>
        </w:rPr>
        <w:t>#1b#</w:t>
      </w:r>
      <w:bookmarkEnd w:id="4"/>
    </w:p>
    <w:p>
      <w:r>
        <w:t>(1) Der Fahrzeugführer darf sich während der Fahrzeugführung mittels automatisierter Fahrfunktionen gemäß § 1a vom Verkehrsgeschehen und der Fahrzeugsteuerung abwenden; dabei muss er derart wahrnehmungsbereit bleiben, dass er seiner Pflicht nach Absatz 2 jederzeit nachkommen kann.</w:t>
      </w:r>
    </w:p>
    <w:p>
      <w:r>
        <w:t>(2) Der Fahrzeugführer ist verpflichtet, die Fahrzeugsteuerung unverzüglich wieder zu übernehmen,</w:t>
      </w:r>
    </w:p>
    <w:p>
      <w:pPr>
        <w:tabs>
          <w:tab w:pos="567" w:val="left"/>
        </w:tabs>
        <w:ind w:left="567" w:hanging="567"/>
      </w:pPr>
      <w:r>
        <w:t>1.</w:t>
      </w:r>
      <w:r>
        <w:tab/>
      </w:r>
      <w:r>
        <w:t>wenn das automatisierte System ihn dazu auffordert oder</w:t>
      </w:r>
    </w:p>
    <w:p>
      <w:pPr>
        <w:tabs>
          <w:tab w:pos="567" w:val="left"/>
        </w:tabs>
        <w:ind w:left="567" w:hanging="567"/>
      </w:pPr>
      <w:r>
        <w:t>2.</w:t>
      </w:r>
      <w:r>
        <w:tab/>
      </w:r>
      <w:r>
        <w:t>wenn er erkennt oder auf Grund offensichtlicher Umstände erkennen muss, dass die Voraussetzungen für eine bestimmungsgemäße Verwendung der automatisierten Fahrfunktionen nicht mehr vorliegen.</w:t>
      </w:r>
    </w:p>
    <w:p>
      <w:pPr>
        <w:pStyle w:val="Heading2"/>
      </w:pPr>
      <w:bookmarkStart w:id="5" w:name="b4"/>
      <w:r>
        <w:t>§ 1c Evaluierung</w:t>
      </w:r>
      <w:r>
        <w:t xml:space="preserve"> </w:t>
      </w:r>
      <w:r>
        <w:rPr>
          <w:rStyle w:val="Suchmarke"/>
        </w:rPr>
        <w:t>#1c#</w:t>
      </w:r>
      <w:bookmarkEnd w:id="5"/>
    </w:p>
    <w:p>
      <w:r>
        <w:rPr>
          <w:rStyle w:val="Satznummer"/>
        </w:rPr>
        <w:t>1</w:t>
      </w:r>
      <w:r>
        <w:t xml:space="preserve">Das Bundesministerium für Verkehr wird die Anwendung der Regelungen in Artikel 1 des Gesetzes vom 16. Juni 2017 (BGBl. I S. 1648) nach Ablauf des Jahres 2019 auf wissenschaftlicher Grundlage evaluieren. </w:t>
      </w:r>
      <w:r>
        <w:rPr>
          <w:rStyle w:val="Satznummer"/>
        </w:rPr>
        <w:t>2</w:t>
      </w:r>
      <w:r>
        <w:t>Die Bundesregierung unterrichtet den Deutschen Bundestag über die Ergebnisse der Evaluierung.</w:t>
      </w:r>
    </w:p>
    <w:p>
      <w:pPr>
        <w:pStyle w:val="Heading2"/>
      </w:pPr>
      <w:bookmarkStart w:id="6" w:name="b5"/>
      <w:r>
        <w:t>§ 1d Kraftfahrzeuge mit autonomer Fahrfunktion in festgelegten Betriebsbereichen</w:t>
      </w:r>
      <w:r>
        <w:t xml:space="preserve"> </w:t>
      </w:r>
      <w:r>
        <w:rPr>
          <w:rStyle w:val="Suchmarke"/>
        </w:rPr>
        <w:t>#1d#</w:t>
      </w:r>
      <w:bookmarkEnd w:id="6"/>
    </w:p>
    <w:p>
      <w:r>
        <w:t>(1) Ein Kraftfahrzeug mit autonomer Fahrfunktion im Sinne dieses Gesetzes ist ein Kraftfahrzeug, das</w:t>
      </w:r>
    </w:p>
    <w:p>
      <w:pPr>
        <w:tabs>
          <w:tab w:pos="567" w:val="left"/>
        </w:tabs>
        <w:ind w:left="567" w:hanging="567"/>
      </w:pPr>
      <w:r>
        <w:t>1.</w:t>
      </w:r>
      <w:r>
        <w:tab/>
      </w:r>
      <w:r>
        <w:t>die Fahraufgabe ohne eine fahrzeugführende Person selbstständig in einem festgelegten Betriebsbereich erfüllen kann und</w:t>
      </w:r>
    </w:p>
    <w:p>
      <w:pPr>
        <w:tabs>
          <w:tab w:pos="567" w:val="left"/>
        </w:tabs>
        <w:ind w:left="567" w:hanging="567"/>
      </w:pPr>
      <w:r>
        <w:t>2.</w:t>
      </w:r>
      <w:r>
        <w:tab/>
      </w:r>
      <w:r>
        <w:t xml:space="preserve">über eine technische Ausrüstung gemäß </w:t>
      </w:r>
      <w:hyperlink w:anchor="b6" w:history="1">
        <w:r>
          <w:rPr>
            <w:color w:val="0A3A8C"/>
            <w:u w:val="single"/>
          </w:rPr>
          <w:t xml:space="preserve">§ 1e</w:t>
        </w:r>
      </w:hyperlink>
      <w:r>
        <w:t xml:space="preserve"> Absatz 2 verfügt.</w:t>
      </w:r>
    </w:p>
    <w:p>
      <w:r>
        <w:t xml:space="preserve">(2) Ein festgelegter Betriebsbereich im Sinne dieses Gesetzes bezeichnet den örtlich und räumlich bestimmten öffentlichen Straßenraum, in dem ein Kraftfahrzeug mit autonomer Fahrfunktion bei Vorliegen der Voraussetzungen gemäß </w:t>
      </w:r>
      <w:hyperlink w:anchor="b6" w:history="1">
        <w:r>
          <w:rPr>
            <w:color w:val="0A3A8C"/>
            <w:u w:val="single"/>
          </w:rPr>
          <w:t xml:space="preserve">§ 1e</w:t>
        </w:r>
      </w:hyperlink>
      <w:r>
        <w:t xml:space="preserve"> Absatz 1 betrieben werden darf.</w:t>
      </w:r>
    </w:p>
    <w:p>
      <w:r>
        <w:t xml:space="preserve">(3) Technische Aufsicht eines Kraftfahrzeugs mit autonomer Fahrfunktion im Sinne dieses Gesetzes ist diejenige natürliche Person, die dieses Kraftfahrzeug während des Betriebs gemäß </w:t>
      </w:r>
      <w:hyperlink w:anchor="b6" w:history="1">
        <w:r>
          <w:rPr>
            <w:color w:val="0A3A8C"/>
            <w:u w:val="single"/>
          </w:rPr>
          <w:t xml:space="preserve">§ 1e</w:t>
        </w:r>
      </w:hyperlink>
      <w:r>
        <w:t xml:space="preserve"> Absatz 2 Nummer 8 deaktivieren und für dieses Kraftfahrzeug gemäß § 1e Absatz 2 Nummer 4 und Absatz 3 Fahrmanöver freigeben kann.</w:t>
      </w:r>
    </w:p>
    <w:p>
      <w:r>
        <w:t>(4) Risikominimaler Zustand im Sinne dieses Gesetzes ist ein Zustand, in dem sich das Kraftfahrzeug mit autonomer Fahrfunktion auf eigene Veranlassung oder auf Veranlassung der Technischen Aufsicht an einer möglichst sicheren Stelle in den Stillstand versetzt und die Warnblinkanlage aktiviert, um unter angemessener Beachtung der Verkehrssituation die größtmögliche Sicherheit für die Fahrzeuginsassen, andere Verkehrsteilnehmende und Dritte zu gewährleisten.</w:t>
      </w:r>
    </w:p>
    <w:p>
      <w:pPr>
        <w:pStyle w:val="Heading2"/>
      </w:pPr>
      <w:bookmarkStart w:id="7" w:name="b6"/>
      <w:r>
        <w:t>§ 1e Betrieb von Kraftfahrzeugen mit autonomer Fahrfunktion; Widerspruch und Anfechtungsklage</w:t>
      </w:r>
      <w:r>
        <w:t xml:space="preserve"> </w:t>
      </w:r>
      <w:r>
        <w:rPr>
          <w:rStyle w:val="Suchmarke"/>
        </w:rPr>
        <w:t>#1e#</w:t>
      </w:r>
      <w:bookmarkEnd w:id="7"/>
    </w:p>
    <w:p>
      <w:r>
        <w:t xml:space="preserve">(1) </w:t>
      </w:r>
      <w:r>
        <w:rPr>
          <w:rStyle w:val="Satznummer"/>
        </w:rPr>
        <w:t>1</w:t>
      </w:r>
      <w:r>
        <w:t>Der Betrieb eines Kraftfahrzeugs mittels autonomer Fahrfunktion ist zulässig, wenn</w:t>
      </w:r>
    </w:p>
    <w:p>
      <w:pPr>
        <w:tabs>
          <w:tab w:pos="567" w:val="left"/>
        </w:tabs>
        <w:ind w:left="567" w:hanging="567"/>
      </w:pPr>
      <w:r>
        <w:t>1.</w:t>
      </w:r>
      <w:r>
        <w:tab/>
      </w:r>
      <w:r>
        <w:t>das Kraftfahrzeug den technischen Voraussetzungen gemäß Absatz 2 entspricht,</w:t>
      </w:r>
    </w:p>
    <w:p>
      <w:pPr>
        <w:tabs>
          <w:tab w:pos="567" w:val="left"/>
        </w:tabs>
        <w:ind w:left="567" w:hanging="567"/>
      </w:pPr>
      <w:r>
        <w:t>2.</w:t>
      </w:r>
      <w:r>
        <w:tab/>
      </w:r>
      <w:r>
        <w:t>für das Kraftfahrzeug eine Betriebserlaubnis nach Absatz 4 oder eine Typgenehmigung nach der Durchführungsverordnung (EU) 2022/1426 oder eine vergleichbare Genehmigung auf Grundlage einer im Geltungsbereich dieses Gesetzes anwendbaren Vorschrift erteilt worden ist,</w:t>
      </w:r>
    </w:p>
    <w:p>
      <w:pPr>
        <w:tabs>
          <w:tab w:pos="567" w:val="left"/>
        </w:tabs>
        <w:ind w:left="567" w:hanging="567"/>
      </w:pPr>
      <w:r>
        <w:t>3.</w:t>
      </w:r>
      <w:r>
        <w:tab/>
      </w:r>
      <w:r>
        <w:t>das Kraftfahrzeug in einem von der nach Bundes- oder Landesrecht zuständigen Behörde oder auf Bundesfernstraßen, soweit dem Bund die Verwaltung zusteht, von der Gesellschaft privaten Rechts im Sinne des Infrastrukturgesellschaftserrichtungsgesetzes genehmigten, festgelegten Betriebsbereich eingesetzt wird und</w:t>
      </w:r>
    </w:p>
    <w:p>
      <w:pPr>
        <w:tabs>
          <w:tab w:pos="567" w:val="left"/>
        </w:tabs>
        <w:ind w:left="567" w:hanging="567"/>
      </w:pPr>
      <w:r>
        <w:t>4.</w:t>
      </w:r>
      <w:r>
        <w:tab/>
      </w:r>
      <w:r>
        <w:t xml:space="preserve">das Kraftfahrzeug zur Teilnahme am öffentlichen Straßenverkehr gemäß </w:t>
      </w:r>
      <w:hyperlink w:anchor="b1" w:history="1">
        <w:r>
          <w:rPr>
            <w:color w:val="0A3A8C"/>
            <w:u w:val="single"/>
          </w:rPr>
          <w:t xml:space="preserve">§ 1</w:t>
        </w:r>
      </w:hyperlink>
      <w:r>
        <w:t xml:space="preserve"> Absatz 1 zugelassen ist.</w:t>
      </w:r>
    </w:p>
    <w:p>
      <w:r>
        <w:rPr>
          <w:rStyle w:val="Satznummer"/>
        </w:rPr>
        <w:t>2</w:t>
      </w:r>
      <w:r>
        <w:t xml:space="preserve">Ein Betrieb eines Kraftfahrzeugs gemäß </w:t>
      </w:r>
      <w:hyperlink w:anchor="b9" w:history="1">
        <w:r>
          <w:rPr>
            <w:color w:val="0A3A8C"/>
            <w:u w:val="single"/>
          </w:rPr>
          <w:t xml:space="preserve">§ 1h</w:t>
        </w:r>
      </w:hyperlink>
      <w:r>
        <w:t xml:space="preserve"> und die Zulassung im Übrigen gemäß </w:t>
      </w:r>
      <w:hyperlink w:anchor="b1" w:history="1">
        <w:r>
          <w:rPr>
            <w:color w:val="0A3A8C"/>
            <w:u w:val="single"/>
          </w:rPr>
          <w:t xml:space="preserve">§ 1</w:t>
        </w:r>
      </w:hyperlink>
      <w:r>
        <w:t xml:space="preserve"> Absatz 1 bleiben hiervon unberührt.</w:t>
      </w:r>
    </w:p>
    <w:p>
      <w:r>
        <w:t>(2) Kraftfahrzeuge mit autonomer Fahrfunktion müssen über eine technische Ausrüstung verfügen, die in der Lage ist,</w:t>
      </w:r>
    </w:p>
    <w:p>
      <w:pPr>
        <w:tabs>
          <w:tab w:pos="567" w:val="left"/>
        </w:tabs>
        <w:ind w:left="567" w:hanging="567"/>
      </w:pPr>
      <w:r>
        <w:t>1.</w:t>
      </w:r>
      <w:r>
        <w:tab/>
      </w:r>
      <w:r>
        <w:t>die Fahraufgabe innerhalb des jeweiligen festgelegten Betriebsbereichs selbstständig zu bewältigen, ohne dass eine fahrzeugführende Person in die Steuerung eingreift oder die Fahrt des Kraftfahrzeugs permanent von der Technischen Aufsicht überwacht wird,</w:t>
      </w:r>
    </w:p>
    <w:p>
      <w:pPr>
        <w:tabs>
          <w:tab w:pos="567" w:val="left"/>
        </w:tabs>
        <w:ind w:left="567" w:hanging="567"/>
      </w:pPr>
      <w:r>
        <w:t>2.</w:t>
      </w:r>
      <w:r>
        <w:tab/>
      </w:r>
      <w:r>
        <w:t>selbstständig den an die Fahrzeugführung gerichteten Verkehrsvorschriften zu entsprechen und die über ein System der Unfallvermeidung verfügt, das</w:t>
      </w:r>
    </w:p>
    <w:p>
      <w:pPr>
        <w:tabs>
          <w:tab w:pos="1134" w:val="left"/>
        </w:tabs>
        <w:ind w:left="1134" w:hanging="567"/>
      </w:pPr>
      <w:r>
        <w:t>a)</w:t>
      </w:r>
      <w:r>
        <w:tab/>
      </w:r>
      <w:r>
        <w:t>auf Schadensvermeidung und Schadensreduzierung ausgelegt ist,</w:t>
      </w:r>
    </w:p>
    <w:p>
      <w:pPr>
        <w:tabs>
          <w:tab w:pos="1134" w:val="left"/>
        </w:tabs>
        <w:ind w:left="1134" w:hanging="567"/>
      </w:pPr>
      <w:r>
        <w:t>b)</w:t>
      </w:r>
      <w:r>
        <w:tab/>
      </w:r>
      <w:r>
        <w:t>bei einer unvermeidbaren alternativen Schädigung unterschiedlicher Rechtsgüter die Bedeutung der Rechtsgüter berücksichtigt, wobei der Schutz menschlichen Lebens die höchste Priorität besitzt, und</w:t>
      </w:r>
    </w:p>
    <w:p>
      <w:pPr>
        <w:tabs>
          <w:tab w:pos="1134" w:val="left"/>
        </w:tabs>
        <w:ind w:left="1134" w:hanging="567"/>
      </w:pPr>
      <w:r>
        <w:t>c)</w:t>
      </w:r>
      <w:r>
        <w:tab/>
      </w:r>
      <w:r>
        <w:t>für den Fall einer unvermeidbaren alternativen Gefährdung von Menschenleben keine weitere Gewichtung anhand persönlicher Merkmale vorsieht,</w:t>
      </w:r>
    </w:p>
    <w:p>
      <w:pPr>
        <w:tabs>
          <w:tab w:pos="567" w:val="left"/>
        </w:tabs>
        <w:ind w:left="567" w:hanging="567"/>
      </w:pPr>
      <w:r>
        <w:t>3.</w:t>
      </w:r>
      <w:r>
        <w:tab/>
      </w:r>
      <w:r>
        <w:t>das Kraftfahrzeug selbstständig in einen risikominimalen Zustand zu versetzen, wenn die Fortsetzung der Fahrt nur durch eine Verletzung des Straßenverkehrsrechts möglich wäre,</w:t>
      </w:r>
    </w:p>
    <w:p>
      <w:pPr>
        <w:tabs>
          <w:tab w:pos="567" w:val="left"/>
        </w:tabs>
        <w:ind w:left="567" w:hanging="567"/>
      </w:pPr>
      <w:r>
        <w:t>4.</w:t>
      </w:r>
      <w:r>
        <w:tab/>
      </w:r>
      <w:r>
        <w:t>im Fall der Nummer 3 der Technischen Aufsicht selbstständig</w:t>
      </w:r>
    </w:p>
    <w:p>
      <w:pPr>
        <w:tabs>
          <w:tab w:pos="1134" w:val="left"/>
        </w:tabs>
        <w:ind w:left="1134" w:hanging="567"/>
      </w:pPr>
      <w:r>
        <w:t>a)</w:t>
      </w:r>
      <w:r>
        <w:tab/>
      </w:r>
      <w:r>
        <w:t>mögliche Fahrmanöver zur Fortsetzung der Fahrt vorzuschlagen sowie</w:t>
      </w:r>
    </w:p>
    <w:p>
      <w:pPr>
        <w:tabs>
          <w:tab w:pos="1134" w:val="left"/>
        </w:tabs>
        <w:ind w:left="1134" w:hanging="567"/>
      </w:pPr>
      <w:r>
        <w:t>b)</w:t>
      </w:r>
      <w:r>
        <w:tab/>
      </w:r>
      <w:r>
        <w:t>Daten zur Beurteilung der Situation zu liefern, damit die Technische Aufsicht über eine Freigabe des vorgeschlagenen Fahrmanövers entscheiden kann,</w:t>
      </w:r>
    </w:p>
    <w:p>
      <w:pPr>
        <w:tabs>
          <w:tab w:pos="567" w:val="left"/>
        </w:tabs>
        <w:ind w:left="567" w:hanging="567"/>
      </w:pPr>
      <w:r>
        <w:t>5.</w:t>
      </w:r>
      <w:r>
        <w:tab/>
      </w:r>
      <w:r>
        <w:t>ein von der Technischen Aufsicht vorgegebenes Fahrmanöver zu überprüfen und dieses nicht auszuführen, sondern das Kraftfahrzeug selbstständig in einen risikominimalen Zustand zu versetzen, wenn das Fahrmanöver am Verkehr teilnehmende oder unbeteiligte Personen gefährden würde,</w:t>
      </w:r>
    </w:p>
    <w:p>
      <w:pPr>
        <w:tabs>
          <w:tab w:pos="567" w:val="left"/>
        </w:tabs>
        <w:ind w:left="567" w:hanging="567"/>
      </w:pPr>
      <w:r>
        <w:t>6.</w:t>
      </w:r>
      <w:r>
        <w:tab/>
      </w:r>
      <w:r>
        <w:t>eine Beeinträchtigung ihrer Funktionalität der Technischen Aufsicht unverzüglich anzuzeigen,</w:t>
      </w:r>
    </w:p>
    <w:p>
      <w:pPr>
        <w:tabs>
          <w:tab w:pos="567" w:val="left"/>
        </w:tabs>
        <w:ind w:left="567" w:hanging="567"/>
      </w:pPr>
      <w:r>
        <w:t>7.</w:t>
      </w:r>
      <w:r>
        <w:tab/>
      </w:r>
      <w:r>
        <w:t>ihre Systemgrenzen zu erkennen und beim Erreichen einer Systemgrenze, beim Auftreten einer technischen Störung, die die Ausübung der autonomen Fahrfunktion beeinträchtigt, oder beim Erreichen der Grenzen des festgelegten Betriebsbereichs das Kraftfahrzeug selbstständig in einen risikominimalen Zustand zu versetzen,</w:t>
      </w:r>
    </w:p>
    <w:p>
      <w:pPr>
        <w:tabs>
          <w:tab w:pos="567" w:val="left"/>
        </w:tabs>
        <w:ind w:left="567" w:hanging="567"/>
      </w:pPr>
      <w:r>
        <w:t>8.</w:t>
      </w:r>
      <w:r>
        <w:tab/>
      </w:r>
      <w:r>
        <w:t>jederzeit durch die Technische Aufsicht oder durch Fahrzeuginsassen deaktiviert zu werden und im Falle einer Deaktivierung das Kraftfahrzeug selbstständig in den risikominimalen Zustand zu versetzen,</w:t>
      </w:r>
    </w:p>
    <w:p>
      <w:pPr>
        <w:tabs>
          <w:tab w:pos="567" w:val="left"/>
        </w:tabs>
        <w:ind w:left="567" w:hanging="567"/>
      </w:pPr>
      <w:r>
        <w:t>9.</w:t>
      </w:r>
      <w:r>
        <w:tab/>
      </w:r>
      <w:r>
        <w:t>der Technischen Aufsicht das Erfordernis der Freischaltung eines alternativen Fahrmanövers, der Deaktivierung mit ausreichender Zeitreserve sowie Signale zum eigenen Funktionsstatus optisch, akustisch oder sonst wahrnehmbar anzuzeigen und</w:t>
      </w:r>
    </w:p>
    <w:p>
      <w:pPr>
        <w:tabs>
          <w:tab w:pos="567" w:val="left"/>
        </w:tabs>
        <w:ind w:left="567" w:hanging="567"/>
      </w:pPr>
      <w:r>
        <w:t>10.</w:t>
      </w:r>
      <w:r>
        <w:tab/>
      </w:r>
      <w:r>
        <w:t>ausreichend stabile und vor unautorisierten Eingriffen geschützte Funkverbindungen, insbesondere zur Technischen Aufsicht, sicherzustellen und das Kraftfahrzeug selbstständig in einen risikominimalen Zustand zu versetzen, wenn diese Funkverbindung abbricht oder darauf unerlaubt zugegriffen wird.</w:t>
      </w:r>
    </w:p>
    <w:p>
      <w:r>
        <w:t>(3) Zur Erfüllung der Anforderungen nach Absatz 2 Nummer 1 bis 4 ist es im Falle sonstiger Beeinträchtigungen, die dazu führen, dass die technische Ausrüstung die Fahraufgabe nicht selbstständig bewältigen kann, auch ausreichend, wenn</w:t>
      </w:r>
    </w:p>
    <w:p>
      <w:pPr>
        <w:tabs>
          <w:tab w:pos="567" w:val="left"/>
        </w:tabs>
        <w:ind w:left="567" w:hanging="567"/>
      </w:pPr>
      <w:r>
        <w:t>1.</w:t>
      </w:r>
      <w:r>
        <w:tab/>
      </w:r>
      <w:r>
        <w:t>die technische Ausrüstung in der Lage ist sicherzustellen, dass alternative Fahrmanöver durch die Technische Aufsicht vorgegeben werden können,</w:t>
      </w:r>
    </w:p>
    <w:p>
      <w:pPr>
        <w:tabs>
          <w:tab w:pos="567" w:val="left"/>
        </w:tabs>
        <w:ind w:left="567" w:hanging="567"/>
      </w:pPr>
      <w:r>
        <w:t>2.</w:t>
      </w:r>
      <w:r>
        <w:tab/>
      </w:r>
      <w:r>
        <w:t>die alternativen Fahrmanöver gemäß Nummer 1 durch die technische Ausrüstung selbstständig ausgeführt werden und</w:t>
      </w:r>
    </w:p>
    <w:p>
      <w:pPr>
        <w:tabs>
          <w:tab w:pos="567" w:val="left"/>
        </w:tabs>
        <w:ind w:left="567" w:hanging="567"/>
      </w:pPr>
      <w:r>
        <w:t>3.</w:t>
      </w:r>
      <w:r>
        <w:tab/>
      </w:r>
      <w:r>
        <w:t>die technische Ausrüstung in der Lage ist, die Technische Aufsicht mit ausreichender Zeitreserve optisch, akustisch oder sonst wahrnehmbar zur Vorgabe eines Fahrmanövers aufzufordern.</w:t>
      </w:r>
    </w:p>
    <w:p>
      <w:r>
        <w:t xml:space="preserve">(4) </w:t>
      </w:r>
      <w:r>
        <w:rPr>
          <w:rStyle w:val="Satznummer"/>
        </w:rPr>
        <w:t>1</w:t>
      </w:r>
      <w:r>
        <w:t xml:space="preserve">Liegen die technischen Voraussetzungen gemäß Absatz 2 und die Erklärung des Herstellers nach </w:t>
      </w:r>
      <w:hyperlink w:anchor="b7" w:history="1">
        <w:r>
          <w:rPr>
            <w:color w:val="0A3A8C"/>
            <w:u w:val="single"/>
          </w:rPr>
          <w:t xml:space="preserve">§ 1f</w:t>
        </w:r>
      </w:hyperlink>
      <w:r>
        <w:t xml:space="preserve"> Absatz 3 Nummer 4 vor, erteilt das Kraftfahrt-Bundesamt auf Antrag des Herstellers eine Betriebserlaubnis für ein Kraftfahrzeug mit autonomer Fahrfunktion. </w:t>
      </w:r>
      <w:r>
        <w:rPr>
          <w:rStyle w:val="Satznummer"/>
        </w:rPr>
        <w:t>2</w:t>
      </w:r>
      <w:r>
        <w:t xml:space="preserve">Laufende Genehmigungsverfahren, die sachlich unter </w:t>
      </w:r>
      <w:hyperlink w:anchor="b5" w:history="1">
        <w:r>
          <w:rPr>
            <w:color w:val="0A3A8C"/>
            <w:u w:val="single"/>
          </w:rPr>
          <w:t xml:space="preserve">§ 1d</w:t>
        </w:r>
      </w:hyperlink>
      <w:r>
        <w:t xml:space="preserve"> bis </w:t>
      </w:r>
      <w:hyperlink w:anchor="b8" w:history="1">
        <w:r>
          <w:rPr>
            <w:color w:val="0A3A8C"/>
            <w:u w:val="single"/>
          </w:rPr>
          <w:t xml:space="preserve">§ 1g</w:t>
        </w:r>
      </w:hyperlink>
      <w:r>
        <w:t xml:space="preserve"> fallen und in denen der Antrag auf Erteilung einer Betriebserlaubnis inklusive einer Ausnahmegenehmigung bereits gestellt worden ist, bleiben unberührt.</w:t>
      </w:r>
    </w:p>
    <w:p>
      <w:r>
        <w:t>(5) Widerspruch und Anfechtungsklage gegen den Widerruf oder die Rücknahme einer Betriebserlaubnis für ein Kraftfahrzeug mit autonomer Fahrfunktion haben keine aufschiebende Wirkung.</w:t>
      </w:r>
    </w:p>
    <w:p>
      <w:r>
        <w:t>(6) Widerspruch und Anfechtungsklage gegen den Widerruf oder die Rücknahme einer Genehmigung eines festgelegten Betriebsbereichs haben keine aufschiebende Wirkung.</w:t>
      </w:r>
    </w:p>
    <w:p>
      <w:pPr>
        <w:pStyle w:val="Heading2"/>
      </w:pPr>
      <w:bookmarkStart w:id="8" w:name="b7"/>
      <w:r>
        <w:t>§ 1f Pflichten der Beteiligten beim Betrieb von Kraftfahrzeugen mit autonomer Fahrfunktion</w:t>
      </w:r>
      <w:r>
        <w:t xml:space="preserve"> </w:t>
      </w:r>
      <w:r>
        <w:rPr>
          <w:rStyle w:val="Suchmarke"/>
        </w:rPr>
        <w:t>#1f#</w:t>
      </w:r>
      <w:bookmarkEnd w:id="8"/>
    </w:p>
    <w:p>
      <w:r>
        <w:t xml:space="preserve">(1) </w:t>
      </w:r>
      <w:r>
        <w:rPr>
          <w:rStyle w:val="Satznummer"/>
        </w:rPr>
        <w:t>1</w:t>
      </w:r>
      <w:r>
        <w:t xml:space="preserve">Der Halter eines Kraftfahrzeugs mit autonomer Fahrfunktion ist zur Erhaltung der Verkehrssicherheit und der Umweltverträglichkeit des Kraftfahrzeugs verpflichtet und hat die hierfür erforderlichen Vorkehrungen zu treffen. </w:t>
      </w:r>
      <w:r>
        <w:rPr>
          <w:rStyle w:val="Satznummer"/>
        </w:rPr>
        <w:t>2</w:t>
      </w:r>
      <w:r>
        <w:t>Er hat</w:t>
      </w:r>
    </w:p>
    <w:p>
      <w:pPr>
        <w:tabs>
          <w:tab w:pos="567" w:val="left"/>
        </w:tabs>
        <w:ind w:left="567" w:hanging="567"/>
      </w:pPr>
      <w:r>
        <w:t>1.</w:t>
      </w:r>
      <w:r>
        <w:tab/>
      </w:r>
      <w:r>
        <w:t>die regelmäßige Wartung der für die autonome Fahrfunktion erforderlichen Systeme sicherzustellen,</w:t>
      </w:r>
    </w:p>
    <w:p>
      <w:pPr>
        <w:tabs>
          <w:tab w:pos="567" w:val="left"/>
        </w:tabs>
        <w:ind w:left="567" w:hanging="567"/>
      </w:pPr>
      <w:r>
        <w:t>2.</w:t>
      </w:r>
      <w:r>
        <w:tab/>
      </w:r>
      <w:r>
        <w:t>Vorkehrungen zu treffen, dass die sonstigen, nicht an die Fahrzeugführung gerichteten Verkehrsvorschriften eingehalten werden und</w:t>
      </w:r>
    </w:p>
    <w:p>
      <w:pPr>
        <w:tabs>
          <w:tab w:pos="567" w:val="left"/>
        </w:tabs>
        <w:ind w:left="567" w:hanging="567"/>
      </w:pPr>
      <w:r>
        <w:t>3.</w:t>
      </w:r>
      <w:r>
        <w:tab/>
      </w:r>
      <w:r>
        <w:t>zu gewährleisten, dass die Aufgaben der Technischen Aufsicht erfüllt werden.</w:t>
      </w:r>
    </w:p>
    <w:p>
      <w:r>
        <w:t>(2) Die Technische Aufsicht über ein Kraftfahrzeug mit autonomer Fahrfunktion ist verpflichtet,</w:t>
      </w:r>
    </w:p>
    <w:p>
      <w:pPr>
        <w:tabs>
          <w:tab w:pos="567" w:val="left"/>
        </w:tabs>
        <w:ind w:left="567" w:hanging="567"/>
      </w:pPr>
      <w:r>
        <w:t>1.</w:t>
      </w:r>
      <w:r>
        <w:tab/>
      </w:r>
      <w:r>
        <w:t xml:space="preserve">ein alternatives Fahrmanöver nach </w:t>
      </w:r>
      <w:hyperlink w:anchor="b6" w:history="1">
        <w:r>
          <w:rPr>
            <w:color w:val="0A3A8C"/>
            <w:u w:val="single"/>
          </w:rPr>
          <w:t xml:space="preserve">§ 1e</w:t>
        </w:r>
      </w:hyperlink>
      <w:r>
        <w:t xml:space="preserve"> Absatz 2 Nummer 4 und Absatz 3 zu bewerten und das Kraftfahrzeug hierfür freizuschalten, sobald ihr ein solches optisch, akustisch oder sonst wahrnehmbar durch das Fahrzeugsystem angezeigt wird, die vom Fahrzeugsystem bereitgestellten Daten ihr eine Beurteilung der Situation ermöglichen und die Durchführung des alternativen Fahrmanövers nicht die Verkehrssicherheit gefährdet,</w:t>
      </w:r>
    </w:p>
    <w:p>
      <w:pPr>
        <w:tabs>
          <w:tab w:pos="567" w:val="left"/>
        </w:tabs>
        <w:ind w:left="567" w:hanging="567"/>
      </w:pPr>
      <w:r>
        <w:t>2.</w:t>
      </w:r>
      <w:r>
        <w:tab/>
      </w:r>
      <w:r>
        <w:t>die autonome Fahrfunktion unverzüglich zu deaktivieren, sobald dies optisch, akustisch oder sonst wahrnehmbar durch das Fahrzeugsystem angezeigt wird,</w:t>
      </w:r>
    </w:p>
    <w:p>
      <w:pPr>
        <w:tabs>
          <w:tab w:pos="567" w:val="left"/>
        </w:tabs>
        <w:ind w:left="567" w:hanging="567"/>
      </w:pPr>
      <w:r>
        <w:t>3.</w:t>
      </w:r>
      <w:r>
        <w:tab/>
      </w:r>
      <w:r>
        <w:t>Signale der technischen Ausrüstung zum eigenen Funktionsstatus zu bewerten und gegebenenfalls erforderliche Maßnahmen zur Verkehrssicherung einzuleiten und</w:t>
      </w:r>
    </w:p>
    <w:p>
      <w:pPr>
        <w:tabs>
          <w:tab w:pos="567" w:val="left"/>
        </w:tabs>
        <w:ind w:left="567" w:hanging="567"/>
      </w:pPr>
      <w:r>
        <w:t>4.</w:t>
      </w:r>
      <w:r>
        <w:tab/>
      </w:r>
      <w:r>
        <w:t>unverzüglich Kontakt mit den Insassen des Kraftfahrzeugs herzustellen und die zur Verkehrssicherung notwendigen Maßnahmen einzuleiten, wenn das Kraftfahrzeug in den risikominimalen Zustand versetzt wird.</w:t>
      </w:r>
    </w:p>
    <w:p>
      <w:r>
        <w:t>(3) Der Hersteller eines Kraftfahrzeugs mit autonomer Fahrfunktion hat</w:t>
      </w:r>
    </w:p>
    <w:p>
      <w:pPr>
        <w:tabs>
          <w:tab w:pos="567" w:val="left"/>
        </w:tabs>
        <w:ind w:left="567" w:hanging="567"/>
      </w:pPr>
      <w:r>
        <w:t>1.</w:t>
      </w:r>
      <w:r>
        <w:tab/>
      </w:r>
      <w:r>
        <w:t>über den gesamten Entwicklungs- und Betriebszeitraum des Kraftfahrzeugs gegenüber dem Kraftfahrt-Bundesamt und der zuständigen Behörde nachzuweisen, dass die elektronische und elektrische Architektur des Kraftfahrzeugs und die mit dem Kraftfahrzeug in Verbindung stehende elektronische und elektrische Architektur vor Angriffen gesichert ist,</w:t>
      </w:r>
    </w:p>
    <w:p>
      <w:pPr>
        <w:tabs>
          <w:tab w:pos="567" w:val="left"/>
        </w:tabs>
        <w:ind w:left="567" w:hanging="567"/>
      </w:pPr>
      <w:r>
        <w:t>2.</w:t>
      </w:r>
      <w:r>
        <w:tab/>
      </w:r>
      <w:r>
        <w:t>eine Risikobeurteilung für das Kraftfahrzeug vorzunehmen und gegenüber dem Kraftfahrt-Bundesamt und der zuständigen Behörde nachzuweisen, wie die Risikobeurteilung durchgeführt wurde und dass kritische Elemente des Kraftfahrzeugs gegen Gefahren, die im Rahmen der Risikobeurteilung festgestellt wurden, geschützt werden,</w:t>
      </w:r>
    </w:p>
    <w:p>
      <w:pPr>
        <w:tabs>
          <w:tab w:pos="567" w:val="left"/>
        </w:tabs>
        <w:ind w:left="567" w:hanging="567"/>
      </w:pPr>
      <w:r>
        <w:t>3.</w:t>
      </w:r>
      <w:r>
        <w:tab/>
      </w:r>
      <w:r>
        <w:t>eine für das autonome Fahren ausreichend sichere Funkverbindung nachzuweisen,</w:t>
      </w:r>
    </w:p>
    <w:p>
      <w:pPr>
        <w:tabs>
          <w:tab w:pos="567" w:val="left"/>
        </w:tabs>
        <w:ind w:left="567" w:hanging="567"/>
      </w:pPr>
      <w:r>
        <w:t>4.</w:t>
      </w:r>
      <w:r>
        <w:tab/>
      </w:r>
      <w:r>
        <w:t xml:space="preserve">für jedes Kraftfahrzeug eine Systembeschreibung vorzunehmen, ein Betriebshandbuch zu erstellen und gegenüber dem Kraftfahrt-Bundesamt und im Betriebshandbuch verbindlich zu erklären, dass das Kraftfahrzeug die Voraussetzungen nach </w:t>
      </w:r>
      <w:hyperlink w:anchor="b6" w:history="1">
        <w:r>
          <w:rPr>
            <w:color w:val="0A3A8C"/>
            <w:u w:val="single"/>
          </w:rPr>
          <w:t xml:space="preserve">§ 1e</w:t>
        </w:r>
      </w:hyperlink>
      <w:r>
        <w:t xml:space="preserve"> Absatz 2, auch in Verbindung mit Absatz 3, erfüllt,</w:t>
      </w:r>
    </w:p>
    <w:p>
      <w:pPr>
        <w:tabs>
          <w:tab w:pos="567" w:val="left"/>
        </w:tabs>
        <w:ind w:left="567" w:hanging="567"/>
      </w:pPr>
      <w:r>
        <w:t>5.</w:t>
      </w:r>
      <w:r>
        <w:tab/>
      </w:r>
      <w:r>
        <w:t>für das Kraftfahrzeug eine Schulung für die am Betrieb beteiligten Personen anzubieten, in der die technische Funktionsweise insbesondere im Hinblick auf die Fahrfunktionen und die Aufgabenwahrnehmung der Technischen Aufsicht vermittelt werden, und</w:t>
      </w:r>
    </w:p>
    <w:p>
      <w:pPr>
        <w:tabs>
          <w:tab w:pos="567" w:val="left"/>
        </w:tabs>
        <w:ind w:left="567" w:hanging="567"/>
      </w:pPr>
      <w:r>
        <w:t>6.</w:t>
      </w:r>
      <w:r>
        <w:tab/>
      </w:r>
      <w:r>
        <w:t>sobald er Manipulationen am Kraftfahrzeug oder an dessen elektronischer oder elektrischer Architektur oder an der mit dem Kraftfahrzeug in Verbindung stehenden elektronischen oder elektrischen Architektur erkennt, insbesondere bei einem unerlaubten Zugriff auf die Funkverbindungen des Kraftfahrzeugs, diese unverzüglich dem Kraftfahrt-Bundesamt und der nach Bundes- oder Landesrecht zuständigen Behörde oder auf Bundesfernstraßen, soweit dem Bund die Verwaltung zusteht, der Gesellschaft privaten Rechts im Sinne des Infrastrukturgesellschaftserrichtungsgesetzes mitzuteilen und erforderliche Maßnahmen einzuleiten.</w:t>
      </w:r>
    </w:p>
    <w:p>
      <w:pPr>
        <w:pStyle w:val="Heading2"/>
      </w:pPr>
      <w:bookmarkStart w:id="9" w:name="b8"/>
      <w:r>
        <w:t>§ 1g Datenverarbeitung</w:t>
      </w:r>
      <w:r>
        <w:t xml:space="preserve"> </w:t>
      </w:r>
      <w:r>
        <w:rPr>
          <w:rStyle w:val="Suchmarke"/>
        </w:rPr>
        <w:t>#1g#</w:t>
      </w:r>
      <w:bookmarkEnd w:id="9"/>
    </w:p>
    <w:p>
      <w:r>
        <w:t xml:space="preserve">(1) </w:t>
      </w:r>
      <w:r>
        <w:rPr>
          <w:rStyle w:val="Satznummer"/>
        </w:rPr>
        <w:t>1</w:t>
      </w:r>
      <w:r>
        <w:t>Der Halter eines Kraftfahrzeugs mit autonomer Fahrfunktion ist verpflichtet, folgende Daten beim Betrieb des Kraftfahrzeugs zu speichern:</w:t>
      </w:r>
    </w:p>
    <w:p>
      <w:pPr>
        <w:tabs>
          <w:tab w:pos="567" w:val="left"/>
        </w:tabs>
        <w:ind w:left="567" w:hanging="567"/>
      </w:pPr>
      <w:r>
        <w:t>1.</w:t>
      </w:r>
      <w:r>
        <w:tab/>
      </w:r>
      <w:r>
        <w:t>Fahrzeugidentifizierungsnummer,</w:t>
      </w:r>
    </w:p>
    <w:p>
      <w:pPr>
        <w:tabs>
          <w:tab w:pos="567" w:val="left"/>
        </w:tabs>
        <w:ind w:left="567" w:hanging="567"/>
      </w:pPr>
      <w:r>
        <w:t>2.</w:t>
      </w:r>
      <w:r>
        <w:tab/>
      </w:r>
      <w:r>
        <w:t>Positionsdaten,</w:t>
      </w:r>
    </w:p>
    <w:p>
      <w:pPr>
        <w:tabs>
          <w:tab w:pos="567" w:val="left"/>
        </w:tabs>
        <w:ind w:left="567" w:hanging="567"/>
      </w:pPr>
      <w:r>
        <w:t>3.</w:t>
      </w:r>
      <w:r>
        <w:tab/>
      </w:r>
      <w:r>
        <w:t>Anzahl und Zeiten der Nutzung sowie der Aktivierung und der Deaktivierung der autonomen Fahrfunktion,</w:t>
      </w:r>
    </w:p>
    <w:p>
      <w:pPr>
        <w:tabs>
          <w:tab w:pos="567" w:val="left"/>
        </w:tabs>
        <w:ind w:left="567" w:hanging="567"/>
      </w:pPr>
      <w:r>
        <w:t>4.</w:t>
      </w:r>
      <w:r>
        <w:tab/>
      </w:r>
      <w:r>
        <w:t>Anzahl und Zeiten der Freigabe von alternativen Fahrmanövern,</w:t>
      </w:r>
    </w:p>
    <w:p>
      <w:pPr>
        <w:tabs>
          <w:tab w:pos="567" w:val="left"/>
        </w:tabs>
        <w:ind w:left="567" w:hanging="567"/>
      </w:pPr>
      <w:r>
        <w:t>5.</w:t>
      </w:r>
      <w:r>
        <w:tab/>
      </w:r>
      <w:r>
        <w:t>Systemüberwachungsdaten einschließlich Daten zum Softwarestand,</w:t>
      </w:r>
    </w:p>
    <w:p>
      <w:pPr>
        <w:tabs>
          <w:tab w:pos="567" w:val="left"/>
        </w:tabs>
        <w:ind w:left="567" w:hanging="567"/>
      </w:pPr>
      <w:r>
        <w:t>6.</w:t>
      </w:r>
      <w:r>
        <w:tab/>
      </w:r>
      <w:r>
        <w:t>Umwelt- und Wetterbedingungen,</w:t>
      </w:r>
    </w:p>
    <w:p>
      <w:pPr>
        <w:tabs>
          <w:tab w:pos="567" w:val="left"/>
        </w:tabs>
        <w:ind w:left="567" w:hanging="567"/>
      </w:pPr>
      <w:r>
        <w:t>7.</w:t>
      </w:r>
      <w:r>
        <w:tab/>
      </w:r>
      <w:r>
        <w:t>Vernetzungsparameter wie beispielsweise Übertragungslatenz und verfügbare Bandbreite,</w:t>
      </w:r>
    </w:p>
    <w:p>
      <w:pPr>
        <w:tabs>
          <w:tab w:pos="567" w:val="left"/>
        </w:tabs>
        <w:ind w:left="567" w:hanging="567"/>
      </w:pPr>
      <w:r>
        <w:t>8.</w:t>
      </w:r>
      <w:r>
        <w:tab/>
      </w:r>
      <w:r>
        <w:t>Name der aktivierten und deaktivierten passiven und aktiven Sicherheitssysteme, Daten zum Zustand dieser Sicherheitssysteme sowie die Instanz, die das Sicherheitssystem ausgelöst hat,</w:t>
      </w:r>
    </w:p>
    <w:p>
      <w:pPr>
        <w:tabs>
          <w:tab w:pos="567" w:val="left"/>
        </w:tabs>
        <w:ind w:left="567" w:hanging="567"/>
      </w:pPr>
      <w:r>
        <w:t>9.</w:t>
      </w:r>
      <w:r>
        <w:tab/>
      </w:r>
      <w:r>
        <w:t>Fahrzeugbeschleunigung in Längs- und Querrichtung,</w:t>
      </w:r>
    </w:p>
    <w:p>
      <w:pPr>
        <w:tabs>
          <w:tab w:pos="567" w:val="left"/>
        </w:tabs>
        <w:ind w:left="567" w:hanging="567"/>
      </w:pPr>
      <w:r>
        <w:t>10.</w:t>
      </w:r>
      <w:r>
        <w:tab/>
      </w:r>
      <w:r>
        <w:t>Geschwindigkeit,</w:t>
      </w:r>
    </w:p>
    <w:p>
      <w:pPr>
        <w:tabs>
          <w:tab w:pos="567" w:val="left"/>
        </w:tabs>
        <w:ind w:left="567" w:hanging="567"/>
      </w:pPr>
      <w:r>
        <w:t>11.</w:t>
      </w:r>
      <w:r>
        <w:tab/>
      </w:r>
      <w:r>
        <w:t>Status der lichttechnischen Einrichtungen,</w:t>
      </w:r>
    </w:p>
    <w:p>
      <w:pPr>
        <w:tabs>
          <w:tab w:pos="567" w:val="left"/>
        </w:tabs>
        <w:ind w:left="567" w:hanging="567"/>
      </w:pPr>
      <w:r>
        <w:t>12.</w:t>
      </w:r>
      <w:r>
        <w:tab/>
      </w:r>
      <w:r>
        <w:t>Spannungsversorgung des Kraftfahrzeugs mit autonomer Fahrfunktion,</w:t>
      </w:r>
    </w:p>
    <w:p>
      <w:pPr>
        <w:tabs>
          <w:tab w:pos="567" w:val="left"/>
        </w:tabs>
        <w:ind w:left="567" w:hanging="567"/>
      </w:pPr>
      <w:r>
        <w:t>13.</w:t>
      </w:r>
      <w:r>
        <w:tab/>
      </w:r>
      <w:r>
        <w:t>von extern an das Kraftfahrzeug gesendete Befehle und Informationen.</w:t>
      </w:r>
    </w:p>
    <w:p>
      <w:r>
        <w:rPr>
          <w:rStyle w:val="Satznummer"/>
        </w:rPr>
        <w:t>2</w:t>
      </w:r>
      <w:r>
        <w:t>Der Halter ist verpflichtet, dem Kraftfahrt-Bundesamt und der nach Bundes- oder Landesrecht zuständigen Behörde oder auf Bundesfernstraßen, soweit dem Bund die Verwaltung zusteht, der Gesellschaft privaten Rechts im Sinne des Infrastrukturgesellschaftserrichtungsgesetzes auf Verlangen die Daten nach Satz 1 zu übermitteln, soweit dies erforderlich ist</w:t>
      </w:r>
    </w:p>
    <w:p>
      <w:pPr>
        <w:tabs>
          <w:tab w:pos="567" w:val="left"/>
        </w:tabs>
        <w:ind w:left="567" w:hanging="567"/>
      </w:pPr>
      <w:r>
        <w:t>1.</w:t>
      </w:r>
      <w:r>
        <w:tab/>
      </w:r>
      <w:r>
        <w:t>bezüglich des Kraftfahrt-Bundesamts für dessen Aufgabenerfüllung nach den Absätzen 4 und 5 und</w:t>
      </w:r>
    </w:p>
    <w:p>
      <w:pPr>
        <w:tabs>
          <w:tab w:pos="567" w:val="left"/>
        </w:tabs>
        <w:ind w:left="567" w:hanging="567"/>
      </w:pPr>
      <w:r>
        <w:t>2.</w:t>
      </w:r>
      <w:r>
        <w:tab/>
      </w:r>
      <w:r>
        <w:t>bezüglich der nach Bundes- oder Landesrecht zuständigen Behörde oder auf Bundesfernstraßen, soweit dem Bund die Verwaltung zusteht, der Gesellschaft privaten Rechts im Sinne des Infrastrukturgesellschaftserrichtungsgesetzes für deren Aufgabenerfüllung nach Absatz 6.</w:t>
      </w:r>
    </w:p>
    <w:p>
      <w:r>
        <w:t>(2) Die Daten gemäß Absatz 1 sind bei den folgenden Anlässen zu speichern:</w:t>
      </w:r>
    </w:p>
    <w:p>
      <w:pPr>
        <w:tabs>
          <w:tab w:pos="567" w:val="left"/>
        </w:tabs>
        <w:ind w:left="567" w:hanging="567"/>
      </w:pPr>
      <w:r>
        <w:t>1.</w:t>
      </w:r>
      <w:r>
        <w:tab/>
      </w:r>
      <w:r>
        <w:t>bei Eingriffen durch die Technische Aufsicht,</w:t>
      </w:r>
    </w:p>
    <w:p>
      <w:pPr>
        <w:tabs>
          <w:tab w:pos="567" w:val="left"/>
        </w:tabs>
        <w:ind w:left="567" w:hanging="567"/>
      </w:pPr>
      <w:r>
        <w:t>2.</w:t>
      </w:r>
      <w:r>
        <w:tab/>
      </w:r>
      <w:r>
        <w:t>bei Konfliktszenarien, insbesondere bei Unfällen und Fast-Unfall-Szenarien,</w:t>
      </w:r>
    </w:p>
    <w:p>
      <w:pPr>
        <w:tabs>
          <w:tab w:pos="567" w:val="left"/>
        </w:tabs>
        <w:ind w:left="567" w:hanging="567"/>
      </w:pPr>
      <w:r>
        <w:t>3.</w:t>
      </w:r>
      <w:r>
        <w:tab/>
      </w:r>
      <w:r>
        <w:t>bei nicht planmäßigem Spurwechsel oder Ausweichen,</w:t>
      </w:r>
    </w:p>
    <w:p>
      <w:pPr>
        <w:tabs>
          <w:tab w:pos="567" w:val="left"/>
        </w:tabs>
        <w:ind w:left="567" w:hanging="567"/>
      </w:pPr>
      <w:r>
        <w:t>4.</w:t>
      </w:r>
      <w:r>
        <w:tab/>
      </w:r>
      <w:r>
        <w:t>bei Störungen im Betriebsablauf.</w:t>
      </w:r>
    </w:p>
    <w:p>
      <w:r>
        <w:t xml:space="preserve">(3) </w:t>
      </w:r>
      <w:r>
        <w:rPr>
          <w:rStyle w:val="Satznummer"/>
        </w:rPr>
        <w:t>1</w:t>
      </w:r>
      <w:r>
        <w:t xml:space="preserve">Der Hersteller eines Kraftfahrzeugs mit autonomer Fahrfunktion hat das Fahrzeug so auszustatten, dass die Speicherung der Daten gemäß Absatz 1 und 2 dem Halter tatsächlich möglich ist. </w:t>
      </w:r>
      <w:r>
        <w:rPr>
          <w:rStyle w:val="Satznummer"/>
        </w:rPr>
        <w:t>2</w:t>
      </w:r>
      <w:r>
        <w:t xml:space="preserve">Der Hersteller muss den Halter präzise, klar und in leichter Sprache über die Einstellungsmöglichkeiten zur Privatsphäre und zur Verarbeitung der Daten, die beim Betrieb des Kraftfahrzeugs in der autonomen Fahrfunktion verarbeitet werden, informieren. </w:t>
      </w:r>
      <w:r>
        <w:rPr>
          <w:rStyle w:val="Satznummer"/>
        </w:rPr>
        <w:t>3</w:t>
      </w:r>
      <w:r>
        <w:t>Die diesbezügliche Software des Kraftfahrzeugs muss Wahlmöglichkeiten zur Art und Weise der Speicherung und der Übermittlung der in der autonomen Fahrfunktion verarbeiteten Daten vorsehen und dem Halter entsprechende Einstellungen ermöglichen.</w:t>
      </w:r>
    </w:p>
    <w:p>
      <w:r>
        <w:t xml:space="preserve">(4) </w:t>
      </w:r>
      <w:r>
        <w:rPr>
          <w:rStyle w:val="Satznummer"/>
        </w:rPr>
        <w:t>1</w:t>
      </w:r>
      <w:r>
        <w:t>Das Kraftfahrt-Bundesamt ist berechtigt, folgende Daten beim Halter zu erheben, zu speichern und zu verwenden, soweit dies für die Überwachung des sicheren Betriebs des Kraftfahrzeugs mit autonomer Fahrfunktion erforderlich ist:</w:t>
      </w:r>
    </w:p>
    <w:p>
      <w:pPr>
        <w:tabs>
          <w:tab w:pos="567" w:val="left"/>
        </w:tabs>
        <w:ind w:left="567" w:hanging="567"/>
      </w:pPr>
      <w:r>
        <w:t>1.</w:t>
      </w:r>
      <w:r>
        <w:tab/>
      </w:r>
      <w:r>
        <w:t>Daten nach Absatz 1 und</w:t>
      </w:r>
    </w:p>
    <w:p>
      <w:pPr>
        <w:tabs>
          <w:tab w:pos="567" w:val="left"/>
        </w:tabs>
        <w:ind w:left="567" w:hanging="567"/>
      </w:pPr>
      <w:r>
        <w:t>2.</w:t>
      </w:r>
      <w:r>
        <w:tab/>
      </w:r>
      <w:r>
        <w:t>Vor- und Nachname der als Technische Aufsicht eingesetzten Person sowie Nachweise über ihre fachliche Qualifikation.</w:t>
      </w:r>
    </w:p>
    <w:p>
      <w:r>
        <w:rPr>
          <w:rStyle w:val="Satznummer"/>
        </w:rPr>
        <w:t>2</w:t>
      </w:r>
      <w:r>
        <w:t xml:space="preserve">Setzt der Halter seinerseits Beschäftigte gemäß § 26 des Bundesdatenschutzgesetzes als Technische Aufsicht ein, findet § 26 des Bundesdatenschutzgesetzes Anwendung. </w:t>
      </w:r>
      <w:r>
        <w:rPr>
          <w:rStyle w:val="Satznummer"/>
        </w:rPr>
        <w:t>3</w:t>
      </w:r>
      <w:r>
        <w:t>Das Kraftfahrt-Bundesamt hat die Daten unverzüglich zu löschen, sobald sie für die Zwecke nach Satz 1 nicht mehr erforderlich sind, spätestens nach Ablauf von drei Jahren nach Einstellung des Betriebs des entsprechenden Kraftfahrzeugs.</w:t>
      </w:r>
    </w:p>
    <w:p>
      <w:r>
        <w:t xml:space="preserve">(5) </w:t>
      </w:r>
      <w:r>
        <w:rPr>
          <w:rStyle w:val="Satznummer"/>
        </w:rPr>
        <w:t>1</w:t>
      </w:r>
      <w:r>
        <w:t xml:space="preserve">Sofern es sich nicht um ein Kraftfahrzeug im Sinne des </w:t>
      </w:r>
      <w:hyperlink w:anchor="b12" w:history="1">
        <w:r>
          <w:rPr>
            <w:color w:val="0A3A8C"/>
            <w:u w:val="single"/>
          </w:rPr>
          <w:t xml:space="preserve">§ 1k</w:t>
        </w:r>
      </w:hyperlink>
      <w:r>
        <w:t xml:space="preserve"> handelt, ist das Kraftfahrt-Bundesamt berechtigt, die nach Absatz 4 Nummer 1 in Verbindung mit Absatz 1 beim Halter erhobenen nicht personenbezogenen Daten für verkehrsbezogene Gemeinwohlzwecke, insbesondere zum Zweck der wissenschaftlichen Forschung im Bereich der Digitalisierung, Automatisierung und Vernetzung sowie zum Zweck der Unfallforschung im Straßenverkehr, folgenden Stellen zugänglich zu machen:</w:t>
      </w:r>
    </w:p>
    <w:p>
      <w:pPr>
        <w:tabs>
          <w:tab w:pos="567" w:val="left"/>
        </w:tabs>
        <w:ind w:left="567" w:hanging="567"/>
      </w:pPr>
      <w:r>
        <w:t>1.</w:t>
      </w:r>
      <w:r>
        <w:tab/>
      </w:r>
      <w:r>
        <w:t>Hochschulen und Universitäten,</w:t>
      </w:r>
    </w:p>
    <w:p>
      <w:pPr>
        <w:tabs>
          <w:tab w:pos="567" w:val="left"/>
        </w:tabs>
        <w:ind w:left="567" w:hanging="567"/>
      </w:pPr>
      <w:r>
        <w:t>2.</w:t>
      </w:r>
      <w:r>
        <w:tab/>
      </w:r>
      <w:r>
        <w:t>außeruniversitäre Forschungseinrichtungen,</w:t>
      </w:r>
    </w:p>
    <w:p>
      <w:pPr>
        <w:tabs>
          <w:tab w:pos="567" w:val="left"/>
        </w:tabs>
        <w:ind w:left="567" w:hanging="567"/>
      </w:pPr>
      <w:r>
        <w:t>3.</w:t>
      </w:r>
      <w:r>
        <w:tab/>
      </w:r>
      <w:r>
        <w:t>Bundes-, Landes- und Kommunalbehörden mit Forschungs-, Entwicklungs-, Verkehrsplanungs- oder Stadtplanungsaufgaben.</w:t>
      </w:r>
    </w:p>
    <w:p>
      <w:r>
        <w:rPr>
          <w:rStyle w:val="Satznummer"/>
        </w:rPr>
        <w:t>2</w:t>
      </w:r>
      <w:r>
        <w:t xml:space="preserve">Die in Satz 1 genannten Stellen dürfen die Daten ausschließlich für die in Satz 1 genannten Zwecke verwenden. </w:t>
      </w:r>
      <w:r>
        <w:rPr>
          <w:rStyle w:val="Satznummer"/>
        </w:rPr>
        <w:t>3</w:t>
      </w:r>
      <w:r>
        <w:t xml:space="preserve">Absatz 4 Satz 2 gilt entsprechend. </w:t>
      </w:r>
      <w:r>
        <w:rPr>
          <w:rStyle w:val="Satznummer"/>
        </w:rPr>
        <w:t>4</w:t>
      </w:r>
      <w:r>
        <w:t>Allgemeine Übermittlungsvorschriften bleiben unberührt.</w:t>
      </w:r>
    </w:p>
    <w:p>
      <w:r>
        <w:t xml:space="preserve">(6) </w:t>
      </w:r>
      <w:r>
        <w:rPr>
          <w:rStyle w:val="Satznummer"/>
        </w:rPr>
        <w:t>1</w:t>
      </w:r>
      <w:r>
        <w:t>Die für die Genehmigung von festgelegten Betriebsbereichen nach Bundes- oder Landesrecht zuständigen Behörden oder auf Bundesfernstraßen, soweit dem Bund die Verwaltung zusteht, die Gesellschaft privaten Rechts im Sinne des Infrastrukturgesellschaftserrichtungsgesetzes sind berechtigt, folgende Daten beim Halter zu erheben, zu speichern und zu verwenden, soweit dies für die Prüfung und Überwachung erforderlich ist, ob der festgelegte Betriebsbereich für den Betrieb des Kraftfahrzeugs mit autonomer Fahrfunktion geeignet ist, insbesondere für die Überprüfung und Überwachung, ob die Voraussetzungen der jeweiligen Genehmigung vorliegen und die damit verbundenen Auflagen eingehalten werden:</w:t>
      </w:r>
    </w:p>
    <w:p>
      <w:pPr>
        <w:tabs>
          <w:tab w:pos="567" w:val="left"/>
        </w:tabs>
        <w:ind w:left="567" w:hanging="567"/>
      </w:pPr>
      <w:r>
        <w:t>1.</w:t>
      </w:r>
      <w:r>
        <w:tab/>
      </w:r>
      <w:r>
        <w:t>Daten nach Absatz 1 und</w:t>
      </w:r>
    </w:p>
    <w:p>
      <w:pPr>
        <w:tabs>
          <w:tab w:pos="567" w:val="left"/>
        </w:tabs>
        <w:ind w:left="567" w:hanging="567"/>
      </w:pPr>
      <w:r>
        <w:t>2.</w:t>
      </w:r>
      <w:r>
        <w:tab/>
      </w:r>
      <w:r>
        <w:t>Vor- und Nachname der als Technische Aufsicht eingesetzten Person sowie Nachweise über ihre fachliche Qualifikation.</w:t>
      </w:r>
    </w:p>
    <w:p>
      <w:r>
        <w:rPr>
          <w:rStyle w:val="Satznummer"/>
        </w:rPr>
        <w:t>2</w:t>
      </w:r>
      <w:r>
        <w:t>Die für die Genehmigung von festgelegten Betriebsbereichen nach Bundes- oder Landesrecht zuständigen Behörden oder auf Bundesfernstraßen, soweit dem Bund die Verwaltung zusteht, die Gesellschaft privaten Rechts im Sinne des Infrastrukturgesellschaftserrichtungsgesetzes haben diese Daten unverzüglich zu löschen, sobald sie für die Zwecke nach Satz 1 nicht mehr erforderlich sind, spätestens nach Ablauf von drei Jahren nach Einstellung des Betriebs des entsprechenden Kraftfahrzeugs.</w:t>
      </w:r>
    </w:p>
    <w:p>
      <w:r>
        <w:t xml:space="preserve">(7) </w:t>
      </w:r>
      <w:r>
        <w:rPr>
          <w:rStyle w:val="Satznummer"/>
        </w:rPr>
        <w:t>1</w:t>
      </w:r>
      <w:r>
        <w:t xml:space="preserve">Unbeschadet der Absätze 1 bis 6 können Dritte vom Halter Auskunft über die gemäß Absatz 1 und 2 gespeicherten Daten verlangen, soweit diese Daten zur Geltendmachung, Befriedigung oder Abwehr von Rechtsansprüchen im Zusammenhang mit einem in </w:t>
      </w:r>
      <w:hyperlink w:anchor="b35" w:history="1">
        <w:r>
          <w:rPr>
            <w:color w:val="0A3A8C"/>
            <w:u w:val="single"/>
          </w:rPr>
          <w:t xml:space="preserve">§ 7</w:t>
        </w:r>
      </w:hyperlink>
      <w:r>
        <w:t xml:space="preserve"> Absatz 1 geregelten Ereignis erforderlich sind und das entsprechende Kraftfahrzeug mit autonomer Fahrfunktion an diesem Ereignis beteiligt war. </w:t>
      </w:r>
      <w:r>
        <w:rPr>
          <w:rStyle w:val="Satznummer"/>
        </w:rPr>
        <w:t>2</w:t>
      </w:r>
      <w:r>
        <w:t xml:space="preserve">Die Dritten haben die Daten unverzüglich zu löschen, sobald sie zur Geltendmachung von Rechtsansprüchen nicht mehr erforderlich sind, spätestens mit Verjährung der Ansprüche, für deren Geltendmachung, Befriedigung oder Abwehr die Daten erhoben wurden. </w:t>
      </w:r>
      <w:r>
        <w:rPr>
          <w:rStyle w:val="Satznummer"/>
        </w:rPr>
        <w:t>3</w:t>
      </w:r>
      <w:r>
        <w:t>Eine Verwendung dieser Daten durch die Dritten ist nur zu den in Satz 1 genannten Zwecken zulässig.</w:t>
      </w:r>
    </w:p>
    <w:p>
      <w:pPr>
        <w:pStyle w:val="Heading2"/>
      </w:pPr>
      <w:bookmarkStart w:id="10" w:name="b9"/>
      <w:r>
        <w:t>§ 1h Nachträgliche Aktivierung von automatisierten und autonomen Fahrfunktionen</w:t>
      </w:r>
      <w:r>
        <w:t xml:space="preserve"> </w:t>
      </w:r>
      <w:r>
        <w:rPr>
          <w:rStyle w:val="Suchmarke"/>
        </w:rPr>
        <w:t>#1h#</w:t>
      </w:r>
      <w:bookmarkEnd w:id="10"/>
    </w:p>
    <w:p>
      <w:r>
        <w:t>(1) Ist in einem Kraftfahrzeug eine automatisierte oder autonome Fahrfunktion verbaut, die in internationalen, im Geltungsbereich dieses Gesetzes anzuwendenden Vorschriften nicht beschrieben ist, so ist die Erteilung einer Genehmigung für den Betrieb dieses Kraftfahrzeugs nach den einschlägigen Genehmigungsvorschriften unter Außerachtlassung der automatisierten oder autonomen Fahrfunktion nur zulässig, wenn bei Deaktivierung der automatisierten oder autonomen Fahrfunktion die Einflussnahme dieser Fahrfunktionen auf die genehmigten Systeme ausgeschlossen ist.</w:t>
      </w:r>
    </w:p>
    <w:p>
      <w:r>
        <w:t xml:space="preserve">(2) </w:t>
      </w:r>
      <w:r>
        <w:rPr>
          <w:rStyle w:val="Satznummer"/>
        </w:rPr>
        <w:t>1</w:t>
      </w:r>
      <w:r>
        <w:t xml:space="preserve">Die Aktivierung einer automatisierten oder autonomen Fahrfunktion im Sinne des Absatzes 1 in einem zugelassenen Kraftfahrzeug für den Betrieb dieser Funktionen im öffentlichen Straßenverkehr im Geltungsbereich dieses Gesetzes darf nur auf der Grundlage einer besonderen durch das Kraftfahrt-Bundesamt erteilten Genehmigung erfolgen. </w:t>
      </w:r>
      <w:r>
        <w:rPr>
          <w:rStyle w:val="Satznummer"/>
        </w:rPr>
        <w:t>2</w:t>
      </w:r>
      <w:r>
        <w:t xml:space="preserve">Diese Genehmigung darf nur erteilt werden, sofern die Fahrfunktion genehmigungsfähig gemäß </w:t>
      </w:r>
      <w:hyperlink w:anchor="b2" w:history="1">
        <w:r>
          <w:rPr>
            <w:color w:val="0A3A8C"/>
            <w:u w:val="single"/>
          </w:rPr>
          <w:t xml:space="preserve">§ 1a</w:t>
        </w:r>
      </w:hyperlink>
      <w:r>
        <w:t xml:space="preserve"> Absatz 3, </w:t>
      </w:r>
      <w:hyperlink w:anchor="b6" w:history="1">
        <w:r>
          <w:rPr>
            <w:color w:val="0A3A8C"/>
            <w:u w:val="single"/>
          </w:rPr>
          <w:t xml:space="preserve">§ 1e</w:t>
        </w:r>
      </w:hyperlink>
      <w:r>
        <w:t xml:space="preserve"> Absatz 2 oder anderer einschlägiger Genehmigungsvorschriften ist. </w:t>
      </w:r>
      <w:r>
        <w:rPr>
          <w:rStyle w:val="Satznummer"/>
        </w:rPr>
        <w:t>3</w:t>
      </w:r>
      <w:r>
        <w:t>Das Kraftfahrt-Bundesamt veröffentlicht die insofern zu beachtenden technischen Anforderungen.</w:t>
      </w:r>
    </w:p>
    <w:p>
      <w:pPr>
        <w:pStyle w:val="Heading2"/>
      </w:pPr>
      <w:bookmarkStart w:id="11" w:name="b10"/>
      <w:r>
        <w:t>§ 1i Erprobung von automatisierten und autonomen Fahrfunktionen</w:t>
      </w:r>
      <w:r>
        <w:t xml:space="preserve"> </w:t>
      </w:r>
      <w:r>
        <w:rPr>
          <w:rStyle w:val="Suchmarke"/>
        </w:rPr>
        <w:t>#1i#</w:t>
      </w:r>
      <w:bookmarkEnd w:id="11"/>
    </w:p>
    <w:p>
      <w:r>
        <w:t>(1) Kraftfahrzeuge, die zur Erprobung oder Entwicklung automatisierter oder autonomer Fahrfunktionen dienen, dürfen auf öffentlichen Straßen nur betrieben werden, wenn</w:t>
      </w:r>
    </w:p>
    <w:p>
      <w:pPr>
        <w:tabs>
          <w:tab w:pos="567" w:val="left"/>
        </w:tabs>
        <w:ind w:left="567" w:hanging="567"/>
      </w:pPr>
      <w:r>
        <w:t>1.</w:t>
      </w:r>
      <w:r>
        <w:tab/>
      </w:r>
      <w:r>
        <w:t>für das Kraftfahrzeug eine Erprobungsgenehmigung durch das Kraftfahrt-Bundesamt nach Absatz 2 erteilt worden ist,</w:t>
      </w:r>
    </w:p>
    <w:p>
      <w:pPr>
        <w:tabs>
          <w:tab w:pos="567" w:val="left"/>
        </w:tabs>
        <w:ind w:left="567" w:hanging="567"/>
      </w:pPr>
      <w:r>
        <w:t>2.</w:t>
      </w:r>
      <w:r>
        <w:tab/>
      </w:r>
      <w:r>
        <w:t xml:space="preserve">das Kraftfahrzeug nach </w:t>
      </w:r>
      <w:hyperlink w:anchor="b1" w:history="1">
        <w:r>
          <w:rPr>
            <w:color w:val="0A3A8C"/>
            <w:u w:val="single"/>
          </w:rPr>
          <w:t xml:space="preserve">§ 1</w:t>
        </w:r>
      </w:hyperlink>
      <w:r>
        <w:t xml:space="preserve"> Absatz 1 zugelassen ist,</w:t>
      </w:r>
    </w:p>
    <w:p>
      <w:pPr>
        <w:tabs>
          <w:tab w:pos="567" w:val="left"/>
        </w:tabs>
        <w:ind w:left="567" w:hanging="567"/>
      </w:pPr>
      <w:r>
        <w:t>3.</w:t>
      </w:r>
      <w:r>
        <w:tab/>
      </w:r>
      <w:r>
        <w:t>das Kraftfahrzeug ausschließlich zur Erprobung betrieben wird und</w:t>
      </w:r>
    </w:p>
    <w:p>
      <w:pPr>
        <w:tabs>
          <w:tab w:pos="567" w:val="left"/>
        </w:tabs>
        <w:ind w:left="567" w:hanging="567"/>
      </w:pPr>
      <w:r>
        <w:t>4.</w:t>
      </w:r>
      <w:r>
        <w:tab/>
      </w:r>
      <w:r>
        <w:t>das Kraftfahrzeug im Betrieb wie folgt permanent überwacht wird:</w:t>
      </w:r>
    </w:p>
    <w:p>
      <w:pPr>
        <w:tabs>
          <w:tab w:pos="1134" w:val="left"/>
        </w:tabs>
        <w:ind w:left="1134" w:hanging="567"/>
      </w:pPr>
      <w:r>
        <w:t>a)</w:t>
      </w:r>
      <w:r>
        <w:tab/>
      </w:r>
      <w:r>
        <w:t>bei automatisierten Fahrfunktionen erfolgt die Überwachung durch einen in Bezug auf technische Entwicklungen für den Kraftfahrzeugverkehr zuverlässigen Fahrzeugführer,</w:t>
      </w:r>
    </w:p>
    <w:p>
      <w:pPr>
        <w:tabs>
          <w:tab w:pos="1134" w:val="left"/>
        </w:tabs>
        <w:ind w:left="1134" w:hanging="567"/>
      </w:pPr>
      <w:r>
        <w:t>b)</w:t>
      </w:r>
      <w:r>
        <w:tab/>
      </w:r>
      <w:r>
        <w:t>bei autonomen Fahrfunktionen erfolgt die Überwachung durch eine vor Ort anwesende, in Bezug auf technische Entwicklungen für den Kraftfahrzeugverkehr zuverlässige Technische Aufsicht.</w:t>
      </w:r>
    </w:p>
    <w:p>
      <w:r>
        <w:t xml:space="preserve">(2) </w:t>
      </w:r>
      <w:r>
        <w:rPr>
          <w:rStyle w:val="Satznummer"/>
        </w:rPr>
        <w:t>1</w:t>
      </w:r>
      <w:r>
        <w:t xml:space="preserve">Eine Erprobungsgenehmigung gemäß Absatz 1 Nummer 1 wird vom Kraftfahrt-Bundesamt auf Antrag des Halters erteilt. </w:t>
      </w:r>
      <w:r>
        <w:rPr>
          <w:rStyle w:val="Satznummer"/>
        </w:rPr>
        <w:t>2</w:t>
      </w:r>
      <w:r>
        <w:t xml:space="preserve">Das Kraftfahrt-Bundesamt kann die Erprobungsgenehmigung jederzeit mit Nebenbestimmungen versehen, die den sicheren Betrieb des Fahrzeugs sicherstellen. </w:t>
      </w:r>
      <w:r>
        <w:rPr>
          <w:rStyle w:val="Satznummer"/>
        </w:rPr>
        <w:t>3</w:t>
      </w:r>
      <w:r>
        <w:t xml:space="preserve">Zu Nebenbestimmungen, die den Betrieb auf einen bestimmten Betriebsbereich beschränken, ist die nach Landesrecht zuständige Behörde des örtlich betroffenen Landes anzuhören. </w:t>
      </w:r>
      <w:r>
        <w:rPr>
          <w:rStyle w:val="Satznummer"/>
        </w:rPr>
        <w:t>4</w:t>
      </w:r>
      <w:r>
        <w:t>Die Gesellschaft privaten Rechts im Sinne des Infrastrukturgesellschaftserrichtungsgesetzes ist anzuhören, soweit der Betriebsbereich Bundesautobahnen oder Bundesstraßen in Bundesverwaltung umfasst oder dies vorgesehen ist.</w:t>
      </w:r>
    </w:p>
    <w:p>
      <w:r>
        <w:t>(3) Das Kraftfahrt-Bundesamt beteiligt das Bundesamt für Sicherheit in der Informationstechnik zu Fragen der Sicherheit in der Informationstechnik bei der Erstellung, Umsetzung und bei der Weiterentwicklung und Bewertung technischer Anforderungen.</w:t>
      </w:r>
    </w:p>
    <w:p>
      <w:r>
        <w:t xml:space="preserve">(4) Bis sechs Monate nach Inkrafttreten der Regelungen in der auf Grundlage von </w:t>
      </w:r>
      <w:hyperlink w:anchor="b11" w:history="1">
        <w:r>
          <w:rPr>
            <w:color w:val="0A3A8C"/>
            <w:u w:val="single"/>
          </w:rPr>
          <w:t xml:space="preserve">§ 1j</w:t>
        </w:r>
      </w:hyperlink>
      <w:r>
        <w:t xml:space="preserve"> Absatz 1 Nummer 7 erlassenen Verordnung gelten die bisherigen straßenverkehrsrechtlichen Vorschriften zur Erprobung, auch für Entwicklungsstufen automatisierter oder autonomer Fahrfunktionen, unverändert fort, sofern nicht bereits von den Regelungen in der auf Grundlage von </w:t>
      </w:r>
      <w:hyperlink w:anchor="b11" w:history="1">
        <w:r>
          <w:rPr>
            <w:color w:val="0A3A8C"/>
            <w:u w:val="single"/>
          </w:rPr>
          <w:t xml:space="preserve">§ 1j</w:t>
        </w:r>
      </w:hyperlink>
      <w:r>
        <w:t xml:space="preserve"> Absatz 1 Nummer 7 erlassenen Verordnung Gebrauch gemacht wird.</w:t>
      </w:r>
    </w:p>
    <w:p>
      <w:pPr>
        <w:pStyle w:val="Heading2"/>
      </w:pPr>
      <w:bookmarkStart w:id="12" w:name="b11"/>
      <w:r>
        <w:t>§ 1j Verordnungsermächtigung</w:t>
      </w:r>
      <w:r>
        <w:t xml:space="preserve"> </w:t>
      </w:r>
      <w:r>
        <w:rPr>
          <w:rStyle w:val="Suchmarke"/>
        </w:rPr>
        <w:t>#1j#</w:t>
      </w:r>
      <w:bookmarkEnd w:id="12"/>
    </w:p>
    <w:p>
      <w:r>
        <w:t xml:space="preserve">(1) Das Bundesministerium für Verkehr wird ermächtigt, durch Rechtsverordnung mit Zustimmung des Bundesrates Einzelheiten der Zulassung und des Betriebs von Kraftfahrzeugen mit autonomer Fahrfunktion auf öffentlichen Straßen nach den </w:t>
      </w:r>
      <w:hyperlink w:anchor="b5" w:history="1">
        <w:r>
          <w:rPr>
            <w:color w:val="0A3A8C"/>
            <w:u w:val="single"/>
          </w:rPr>
          <w:t xml:space="preserve">§§ 1d</w:t>
        </w:r>
      </w:hyperlink>
      <w:r>
        <w:t xml:space="preserve"> bis </w:t>
      </w:r>
      <w:hyperlink w:anchor="b10" w:history="1">
        <w:r>
          <w:rPr>
            <w:color w:val="0A3A8C"/>
            <w:u w:val="single"/>
          </w:rPr>
          <w:t xml:space="preserve">1i</w:t>
        </w:r>
      </w:hyperlink>
      <w:r>
        <w:t xml:space="preserve"> zu regeln betreffend</w:t>
      </w:r>
    </w:p>
    <w:p>
      <w:pPr>
        <w:tabs>
          <w:tab w:pos="567" w:val="left"/>
        </w:tabs>
        <w:ind w:left="567" w:hanging="567"/>
      </w:pPr>
      <w:r>
        <w:t>1.</w:t>
      </w:r>
      <w:r>
        <w:tab/>
      </w:r>
      <w:r>
        <w:t xml:space="preserve">die technischen Anforderungen und das Verfahren zur Erteilung einer Betriebserlaubnis gemäß </w:t>
      </w:r>
      <w:hyperlink w:anchor="b6" w:history="1">
        <w:r>
          <w:rPr>
            <w:color w:val="0A3A8C"/>
            <w:u w:val="single"/>
          </w:rPr>
          <w:t xml:space="preserve">§ 1e</w:t>
        </w:r>
      </w:hyperlink>
      <w:r>
        <w:t xml:space="preserve"> Absatz 2 bis 4 durch das Kraftfahrt-Bundesamt, einschließlich</w:t>
      </w:r>
    </w:p>
    <w:p>
      <w:pPr>
        <w:tabs>
          <w:tab w:pos="1134" w:val="left"/>
        </w:tabs>
        <w:ind w:left="1134" w:hanging="567"/>
      </w:pPr>
      <w:r>
        <w:t>a)</w:t>
      </w:r>
      <w:r>
        <w:tab/>
      </w:r>
      <w:r>
        <w:t xml:space="preserve">der vom Hersteller zu beachtenden technischen Anforderungen an den Bau, die Beschaffenheit und die technische Ausrüstung des Kraftfahrzeugs, der vom Hersteller zu beachtenden Anforderungen an die Datenspeicherung, die Sicherheit der eingesetzten Informationstechnik und die funktionale Sicherheit des Kraftfahrzeugs, der vom Hersteller zu beachtenden Anforderungen an die Erklärung gemäß </w:t>
      </w:r>
      <w:hyperlink w:anchor="b7" w:history="1">
        <w:r>
          <w:rPr>
            <w:color w:val="0A3A8C"/>
            <w:u w:val="single"/>
          </w:rPr>
          <w:t xml:space="preserve">§ 1f</w:t>
        </w:r>
      </w:hyperlink>
      <w:r>
        <w:t xml:space="preserve"> Absatz 3 Nummer 4 sowie der vom Hersteller zu beachtenden Dokumentationspflichten,</w:t>
      </w:r>
    </w:p>
    <w:p>
      <w:pPr>
        <w:tabs>
          <w:tab w:pos="1134" w:val="left"/>
        </w:tabs>
        <w:ind w:left="1134" w:hanging="567"/>
      </w:pPr>
      <w:r>
        <w:t>b)</w:t>
      </w:r>
      <w:r>
        <w:tab/>
      </w:r>
      <w:r>
        <w:t>der Anforderungen an die Prüfung und Validierung des Kraftfahrzeugs durch das Kraftfahrt-Bundesamt,</w:t>
      </w:r>
    </w:p>
    <w:p>
      <w:pPr>
        <w:tabs>
          <w:tab w:pos="1134" w:val="left"/>
        </w:tabs>
        <w:ind w:left="1134" w:hanging="567"/>
      </w:pPr>
      <w:r>
        <w:t>c)</w:t>
      </w:r>
      <w:r>
        <w:tab/>
      </w:r>
      <w:r>
        <w:t>der Anforderungen an den Betrieb des Kraftfahrzeugs,</w:t>
      </w:r>
    </w:p>
    <w:p>
      <w:pPr>
        <w:tabs>
          <w:tab w:pos="1134" w:val="left"/>
        </w:tabs>
        <w:ind w:left="1134" w:hanging="567"/>
      </w:pPr>
      <w:r>
        <w:t>d)</w:t>
      </w:r>
      <w:r>
        <w:tab/>
      </w:r>
      <w:r>
        <w:t>der Anforderungen an die Begutachtung des Kraftfahrzeugs durch das Kraftfahrt-Bundesamt,</w:t>
      </w:r>
    </w:p>
    <w:p>
      <w:pPr>
        <w:tabs>
          <w:tab w:pos="1134" w:val="left"/>
        </w:tabs>
        <w:ind w:left="1134" w:hanging="567"/>
      </w:pPr>
      <w:r>
        <w:t>e)</w:t>
      </w:r>
      <w:r>
        <w:tab/>
      </w:r>
      <w:r>
        <w:t>der Marktüberwachung einschließlich Vorgaben zur Beteiligung weiterer Behörden bei der Bewertung der informationstechnischen Sicherheit von Kraftfahrzeugen und Fahrzeugteilen sowie der Regelung von Mitwirkungspflichten für Hersteller und Halter von Kraftfahrzeugen mit autonomer Fahrfunktion und</w:t>
      </w:r>
    </w:p>
    <w:p>
      <w:pPr>
        <w:tabs>
          <w:tab w:pos="1134" w:val="left"/>
        </w:tabs>
        <w:ind w:left="1134" w:hanging="567"/>
      </w:pPr>
      <w:r>
        <w:t>f)</w:t>
      </w:r>
      <w:r>
        <w:tab/>
      </w:r>
      <w:r>
        <w:t>der Anerkennung und Bewertung der Wirkungsgleichheit von Erlaubnissen und Genehmigungen von automatisierten und autonomen Kraftfahrzeugen, die in einem anderen Mitgliedstaat der Europäischen Union auf Grundlage der jeweils geltenden nationalen Bestimmungen erteilt worden sind,</w:t>
      </w:r>
    </w:p>
    <w:p>
      <w:pPr>
        <w:tabs>
          <w:tab w:pos="567" w:val="left"/>
        </w:tabs>
        <w:ind w:left="567" w:hanging="567"/>
      </w:pPr>
      <w:r>
        <w:t>2.</w:t>
      </w:r>
      <w:r>
        <w:tab/>
      </w:r>
      <w:r>
        <w:t>die Eignung von Betriebsbereichen und das Verfahren für die Bewertung und die Genehmigung von festgelegten Betriebsbereichen durch die nach Bundes- oder Landesrecht zuständigen Behörden oder auf Bundesfernstraßen, soweit dem Bund die Verwaltung zusteht, die Gesellschaft privaten Rechts im Sinne des Infrastrukturgesellschaftserrichtungsgesetzes,</w:t>
      </w:r>
    </w:p>
    <w:p>
      <w:pPr>
        <w:tabs>
          <w:tab w:pos="567" w:val="left"/>
        </w:tabs>
        <w:ind w:left="567" w:hanging="567"/>
      </w:pPr>
      <w:r>
        <w:t>3.</w:t>
      </w:r>
      <w:r>
        <w:tab/>
      </w:r>
      <w:r>
        <w:t>Besonderheiten des Verfahrens der Zulassung, einschließlich der Kennzeichnung der Kraftfahrzeuge und Fahrzeugteile, um deren Betriebsweisen kenntlich zu machen und um die Verkehrssicherheit zu gewährleisten,</w:t>
      </w:r>
    </w:p>
    <w:p>
      <w:pPr>
        <w:tabs>
          <w:tab w:pos="567" w:val="left"/>
        </w:tabs>
        <w:ind w:left="567" w:hanging="567"/>
      </w:pPr>
      <w:r>
        <w:t>4.</w:t>
      </w:r>
      <w:r>
        <w:tab/>
      </w:r>
      <w:r>
        <w:t>Anforderungen an und Pflichten für Hersteller, Halter und die Technische Aufsicht zur Gewährleistung der Verkehrssicherheit und eines sicheren Betriebs, einschließlich von</w:t>
      </w:r>
    </w:p>
    <w:p>
      <w:pPr>
        <w:tabs>
          <w:tab w:pos="1134" w:val="left"/>
        </w:tabs>
        <w:ind w:left="1134" w:hanging="567"/>
      </w:pPr>
      <w:r>
        <w:t>a)</w:t>
      </w:r>
      <w:r>
        <w:tab/>
      </w:r>
      <w:r>
        <w:t xml:space="preserve">Anforderungen zur Freigabe von Fahrmanövern und zur Deaktivierung eines Kraftfahrzeugs durch die Technische Aufsicht gemäß </w:t>
      </w:r>
      <w:hyperlink w:anchor="b7" w:history="1">
        <w:r>
          <w:rPr>
            <w:color w:val="0A3A8C"/>
            <w:u w:val="single"/>
          </w:rPr>
          <w:t xml:space="preserve">§ 1f</w:t>
        </w:r>
      </w:hyperlink>
      <w:r>
        <w:t xml:space="preserve"> Absatz 2 Nummer 1 und 2,</w:t>
      </w:r>
    </w:p>
    <w:p>
      <w:pPr>
        <w:tabs>
          <w:tab w:pos="1134" w:val="left"/>
        </w:tabs>
        <w:ind w:left="1134" w:hanging="567"/>
      </w:pPr>
      <w:r>
        <w:t>b)</w:t>
      </w:r>
      <w:r>
        <w:tab/>
      </w:r>
      <w:r>
        <w:t>technischen und organisatorischen Anforderungen an den Halter und</w:t>
      </w:r>
    </w:p>
    <w:p>
      <w:pPr>
        <w:tabs>
          <w:tab w:pos="1134" w:val="left"/>
        </w:tabs>
        <w:ind w:left="1134" w:hanging="567"/>
      </w:pPr>
      <w:r>
        <w:t>c)</w:t>
      </w:r>
      <w:r>
        <w:tab/>
      </w:r>
      <w:r>
        <w:t>Anforderungen an die fachliche Qualifikation und die Zuverlässigkeit der am Betrieb eines Kraftfahrzeugs mit autonomer Fahrfunktion beteiligten Personen einschließlich der hierfür erforderlichen Nachweise,</w:t>
      </w:r>
    </w:p>
    <w:p>
      <w:pPr>
        <w:tabs>
          <w:tab w:pos="567" w:val="left"/>
        </w:tabs>
        <w:ind w:left="567" w:hanging="567"/>
      </w:pPr>
      <w:r>
        <w:t>5.</w:t>
      </w:r>
      <w:r>
        <w:tab/>
      </w:r>
      <w:r>
        <w:t xml:space="preserve">die technischen Einzelheiten der Speicherung der beim Betrieb des Kraftfahrzeugs mittels der autonomen Fahrfunktion erzeugten Daten nach </w:t>
      </w:r>
      <w:hyperlink w:anchor="b8" w:history="1">
        <w:r>
          <w:rPr>
            <w:color w:val="0A3A8C"/>
            <w:u w:val="single"/>
          </w:rPr>
          <w:t xml:space="preserve">§ 1g</w:t>
        </w:r>
      </w:hyperlink>
      <w:r>
        <w:t xml:space="preserve"> Absatz 1, insbesondere über die genauen Zeitpunkte der Datenspeicherungen, die Parameter der Datenkategorien und die Datenformate,</w:t>
      </w:r>
    </w:p>
    <w:p>
      <w:pPr>
        <w:tabs>
          <w:tab w:pos="567" w:val="left"/>
        </w:tabs>
        <w:ind w:left="567" w:hanging="567"/>
      </w:pPr>
      <w:r>
        <w:t>6.</w:t>
      </w:r>
      <w:r>
        <w:tab/>
      </w:r>
      <w:r>
        <w:t xml:space="preserve">das Verfahren zur Erteilung einer Genehmigung bei der nachträglichen Aktivierung von automatisierten und autonomen Fahrfunktionen nach </w:t>
      </w:r>
      <w:hyperlink w:anchor="b9" w:history="1">
        <w:r>
          <w:rPr>
            <w:color w:val="0A3A8C"/>
            <w:u w:val="single"/>
          </w:rPr>
          <w:t xml:space="preserve">§ 1h</w:t>
        </w:r>
      </w:hyperlink>
      <w:r>
        <w:t xml:space="preserve"> einschließlich technischer Anforderungen an die Erteilung einer Betriebserlaubnis,</w:t>
      </w:r>
    </w:p>
    <w:p>
      <w:pPr>
        <w:tabs>
          <w:tab w:pos="567" w:val="left"/>
        </w:tabs>
        <w:ind w:left="567" w:hanging="567"/>
      </w:pPr>
      <w:r>
        <w:t>7.</w:t>
      </w:r>
      <w:r>
        <w:tab/>
      </w:r>
      <w:r>
        <w:t xml:space="preserve">die Anforderungen und das Verfahren zur Erteilung einer Erprobungsgenehmigung nach </w:t>
      </w:r>
      <w:hyperlink w:anchor="b10" w:history="1">
        <w:r>
          <w:rPr>
            <w:color w:val="0A3A8C"/>
            <w:u w:val="single"/>
          </w:rPr>
          <w:t xml:space="preserve">§ 1i</w:t>
        </w:r>
      </w:hyperlink>
      <w:r>
        <w:t xml:space="preserve"> Absatz 2 durch das Kraftfahrt-Bundesamt, einschließlich weiterer Pflichten des Halters, Ausnahmen von Anforderungen nach diesem Gesetz zu Erprobungszwecken sowie die Befugnis des Kraftfahrt-Bundesamts, Daten, die zur Schaffung einer Datenbasis zur Beurteilung der Sicherheit im Straßenverkehr und des technischen Fortschritts sowie zur evidenzbasierten Entwicklung der Regulierung von Entwicklungsstufen automatisierter oder autonomer Fahrfunktionen erforderlich sind, in anonymisierter Form zu erheben, zu speichern und zu verwenden,</w:t>
      </w:r>
    </w:p>
    <w:p>
      <w:pPr>
        <w:tabs>
          <w:tab w:pos="567" w:val="left"/>
        </w:tabs>
        <w:ind w:left="567" w:hanging="567"/>
      </w:pPr>
      <w:r>
        <w:t>8.</w:t>
      </w:r>
      <w:r>
        <w:tab/>
      </w:r>
      <w:r>
        <w:t>Abweichungen von den §§ 1d bis 1i in Bezug auf Kraftfahrzeuge der Bundeswehr, der Bundespolizei, des Bundeskriminalamts, des Bundesnachrichtendienstes, des Zollkriminalamts, des Bundesamts für Verfassungsschutz, der Gesellschaft privaten Rechts im Sinne des Infrastrukturgesellschaftserrichtungsgesetzes, der Landespolizei, der Landeskriminalämter, der Landesämter für Verfassungsschutz, des Zivil- und Katastrophenschutzes, der Feuerwehren, der Rettungsdienste und der Straßenbauverwaltungen.</w:t>
      </w:r>
    </w:p>
    <w:p>
      <w:r>
        <w:t xml:space="preserve">(2) </w:t>
      </w:r>
      <w:r>
        <w:rPr>
          <w:rStyle w:val="Satznummer"/>
        </w:rPr>
        <w:t>1</w:t>
      </w:r>
      <w:r>
        <w:t xml:space="preserve">Das Bundesministerium für Verkehr wird ermächtigt, durch Rechtsverordnung ohne Zustimmung des Bundesrates Ausnahmen von den auf Grundlage des Absatzes 1 erlassenen Rechtsverordnungen zur Erprobung neuartiger Fahrzeugsteuerungseinrichtungen zu regeln. </w:t>
      </w:r>
      <w:r>
        <w:rPr>
          <w:rStyle w:val="Satznummer"/>
        </w:rPr>
        <w:t>2</w:t>
      </w:r>
      <w:r>
        <w:t>Es wird ermächtigt, durch Rechtsverordnung ohne Zustimmung des Bundesrates diese Ermächtigung auf das Kraftfahrt-Bundesamt zu übertragen.</w:t>
      </w:r>
    </w:p>
    <w:p>
      <w:pPr>
        <w:pStyle w:val="Heading2"/>
      </w:pPr>
      <w:bookmarkStart w:id="13" w:name="b12"/>
      <w:r>
        <w:t>§ 1k Ausnahmen</w:t>
      </w:r>
      <w:r>
        <w:t xml:space="preserve"> </w:t>
      </w:r>
      <w:r>
        <w:rPr>
          <w:rStyle w:val="Suchmarke"/>
        </w:rPr>
        <w:t>#1k#</w:t>
      </w:r>
      <w:bookmarkEnd w:id="13"/>
    </w:p>
    <w:p>
      <w:r>
        <w:t xml:space="preserve">(1) Für Kraftfahrzeuge mit autonomer Fahrfunktion gemäß </w:t>
      </w:r>
      <w:hyperlink w:anchor="b5" w:history="1">
        <w:r>
          <w:rPr>
            <w:color w:val="0A3A8C"/>
            <w:u w:val="single"/>
          </w:rPr>
          <w:t xml:space="preserve">§ 1d</w:t>
        </w:r>
      </w:hyperlink>
      <w:r>
        <w:t xml:space="preserve"> Absatz 1, die für militärische, nachrichtendienstliche oder polizeiliche Zwecke, für Zwecke der Zollfahndung, des Zivil- oder Katastrophenschutzes, der Brandbekämpfung, der Straßenbauverwaltung oder der Rettungsdienste bestimmt sind, können das Bundesministerium der Finanzen, das Bundesministerium des Innern, das Bundesministerium der Verteidigung, das Bundesministerium für Verkehr, das Bundeskanzleramt und die nach Landesrecht zuständigen Behörden Dienststellen in ihren jeweiligen Geschäftsbereichen, das Bundesministerium der Verteidigung Dienststellen der Bundeswehr bestimmen, die die Aufgaben des Kraftfahrt-Bundesamts an dessen Stelle für den jeweiligen Geschäftsbereich wahrnehmen.</w:t>
      </w:r>
    </w:p>
    <w:p>
      <w:r>
        <w:t xml:space="preserve">(2) </w:t>
      </w:r>
      <w:r>
        <w:rPr>
          <w:rStyle w:val="Satznummer"/>
        </w:rPr>
        <w:t>1</w:t>
      </w:r>
      <w:r>
        <w:t xml:space="preserve">Kraftfahrzeuge mit autonomer Fahrfunktion, die in der Bundeswehr, in der Bundespolizei, im Bundeskriminalamt, im Bundesnachrichtendienst, im Bundesamt für Verfassungsschutz, im Zollkriminalamt, in der Gesellschaft privaten Rechts im Sinne des Infrastrukturgesellschaftserrichtungsgesetzes, in der Landespolizei, in den Landeskriminalämtern, in den Landesämtern für Verfassungsschutz, im Zivil- und Katastrophenschutz, in den Feuerwehren, in den Rettungsdiensten oder in den Straßenbauverwaltungen eingesetzt werden, dürfen von den technischen Vorgaben, von Regelungen zur Festlegung von Betriebsbereichen und von Betriebsvorschriften sowie von den gemäß </w:t>
      </w:r>
      <w:hyperlink w:anchor="b11" w:history="1">
        <w:r>
          <w:rPr>
            <w:color w:val="0A3A8C"/>
            <w:u w:val="single"/>
          </w:rPr>
          <w:t xml:space="preserve">§ 1j</w:t>
        </w:r>
      </w:hyperlink>
      <w:r>
        <w:t xml:space="preserve"> Absatz 1 erlassenen Verordnungen abweichen, wenn die Kraftfahrzeuge zur Erfüllung hoheitlicher Aufgaben bestimmt, für diese Zwecke gebaut oder ausgerüstet sind und wenn gewährleistet ist, dass die Kraftfahrzeuge unter gebührender Berücksichtigung der öffentlichen Sicherheit eingesetzt werden. </w:t>
      </w:r>
      <w:r>
        <w:rPr>
          <w:rStyle w:val="Satznummer"/>
        </w:rPr>
        <w:t>2</w:t>
      </w:r>
      <w:r>
        <w:t>Technische Voraussetzungen, Regelungen zur Festlegung von Betriebsbereichen und Betriebsvorschriften sind dabei sinngemäß anzuwenden, sofern es der jeweilige Zweck nach Absatz 1 zulässt; Abweichungen sind auf das zwingend erforderliche Maß zu beschränken.</w:t>
      </w:r>
    </w:p>
    <w:p>
      <w:pPr>
        <w:pStyle w:val="Heading2"/>
      </w:pPr>
      <w:bookmarkStart w:id="14" w:name="b13"/>
      <w:r>
        <w:t>§ 1l Evaluierung</w:t>
      </w:r>
      <w:r>
        <w:t xml:space="preserve"> </w:t>
      </w:r>
      <w:r>
        <w:rPr>
          <w:rStyle w:val="Suchmarke"/>
        </w:rPr>
        <w:t>#1l#</w:t>
      </w:r>
      <w:bookmarkEnd w:id="14"/>
    </w:p>
    <w:p>
      <w:r>
        <w:rPr>
          <w:rStyle w:val="Satznummer"/>
        </w:rPr>
        <w:t>1</w:t>
      </w:r>
      <w:r>
        <w:t xml:space="preserve">Das Bundesministerium für Verkehr wird die Anwendung der Regelungen des Gesetzes vom 12. Juli 2021 (BGBl. I S. 3108) nach Ablauf des Jahres 2023 insbesondere im Hinblick auf die Auswirkungen auf die Entwicklung des autonomen Fahrens, die Vereinbarkeit mit Datenschutzvorschriften sowie die aufgrund von Erprobungsgenehmigungen im Sinne des </w:t>
      </w:r>
      <w:hyperlink w:anchor="b10" w:history="1">
        <w:r>
          <w:rPr>
            <w:color w:val="0A3A8C"/>
            <w:u w:val="single"/>
          </w:rPr>
          <w:t xml:space="preserve">§ 1i</w:t>
        </w:r>
      </w:hyperlink>
      <w:r>
        <w:t xml:space="preserve"> Absatz 2 gewonnenen Erkenntnisse auf wissenschaftlicher Grundlage in nicht personenbezogener Form evaluieren und den Deutschen Bundestag über die Ergebnisse der Evaluierung unterrichten. </w:t>
      </w:r>
      <w:r>
        <w:rPr>
          <w:rStyle w:val="Satznummer"/>
        </w:rPr>
        <w:t>2</w:t>
      </w:r>
      <w:r>
        <w:t>Sofern erforderlich, soll das Bundesministerium für Verkehr die Evaluierung zu einem von ihm festzulegenden Zeitpunkt bis zum Jahr 2030 erneut durchführen.</w:t>
      </w:r>
    </w:p>
    <w:p>
      <w:pPr>
        <w:pStyle w:val="Heading2"/>
      </w:pPr>
      <w:bookmarkStart w:id="15" w:name="b14"/>
      <w:r>
        <w:t>§ 2 Fahrerlaubnis und Führerschein</w:t>
      </w:r>
      <w:r>
        <w:t xml:space="preserve"> </w:t>
      </w:r>
      <w:r>
        <w:rPr>
          <w:rStyle w:val="Suchmarke"/>
        </w:rPr>
        <w:t>#2#</w:t>
      </w:r>
      <w:bookmarkEnd w:id="15"/>
    </w:p>
    <w:p>
      <w:r>
        <w:t xml:space="preserve">(1) </w:t>
      </w:r>
      <w:r>
        <w:rPr>
          <w:rStyle w:val="Satznummer"/>
        </w:rPr>
        <w:t>1</w:t>
      </w:r>
      <w:r>
        <w:t xml:space="preserve">Wer auf öffentlichen Straßen ein Kraftfahrzeug führt, bedarf der Erlaubnis (Fahrerlaubnis) der zuständigen Behörde (Fahrerlaubnisbehörde). </w:t>
      </w:r>
      <w:r>
        <w:rPr>
          <w:rStyle w:val="Satznummer"/>
        </w:rPr>
        <w:t>2</w:t>
      </w:r>
      <w:r>
        <w:t xml:space="preserve">Die Fahrerlaubnis wird in bestimmten Klassen erteilt. </w:t>
      </w:r>
      <w:r>
        <w:rPr>
          <w:rStyle w:val="Satznummer"/>
        </w:rPr>
        <w:t>3</w:t>
      </w:r>
      <w:r>
        <w:t xml:space="preserve">Sie ist durch eine amtliche Bescheinigung (Führerschein) nachzuweisen. </w:t>
      </w:r>
      <w:r>
        <w:rPr>
          <w:rStyle w:val="Satznummer"/>
        </w:rPr>
        <w:t>4</w:t>
      </w:r>
      <w:r>
        <w:t>Nach näherer Bestimmung durch Rechtsverordnung auf Grund des § 6 Absatz 1 Satz 1 Nummer 1 Buchstabe a und Absatz 3 Nummer 2 kann die Gültigkeitsdauer der Führerscheine festgelegt werden.</w:t>
      </w:r>
    </w:p>
    <w:p>
      <w:r>
        <w:t xml:space="preserve">(2) </w:t>
      </w:r>
      <w:r>
        <w:rPr>
          <w:rStyle w:val="Satznummer"/>
        </w:rPr>
        <w:t>1</w:t>
      </w:r>
      <w:r>
        <w:t>Die Fahrerlaubnis ist für die jeweilige Klasse zu erteilen, wenn der Bewerber</w:t>
      </w:r>
    </w:p>
    <w:p>
      <w:pPr>
        <w:tabs>
          <w:tab w:pos="567" w:val="left"/>
        </w:tabs>
        <w:ind w:left="567" w:hanging="567"/>
      </w:pPr>
      <w:r>
        <w:t>1.</w:t>
      </w:r>
      <w:r>
        <w:tab/>
      </w:r>
      <w:r>
        <w:t>seinen ordentlichen Wohnsitz im Sinne des Artikels 12 der Richtlinie 2006/126/EG des Europäischen Parlaments und des Rates vom 20. Dezember 2006 über den Führerschein (ABl. L 403 vom 30.12.2006, S. 26) im Inland hat,</w:t>
      </w:r>
    </w:p>
    <w:p>
      <w:pPr>
        <w:tabs>
          <w:tab w:pos="567" w:val="left"/>
        </w:tabs>
        <w:ind w:left="567" w:hanging="567"/>
      </w:pPr>
      <w:r>
        <w:t>2.</w:t>
      </w:r>
      <w:r>
        <w:tab/>
      </w:r>
      <w:r>
        <w:t>das erforderliche Mindestalter erreicht hat,</w:t>
      </w:r>
    </w:p>
    <w:p>
      <w:pPr>
        <w:tabs>
          <w:tab w:pos="567" w:val="left"/>
        </w:tabs>
        <w:ind w:left="567" w:hanging="567"/>
      </w:pPr>
      <w:r>
        <w:t>3.</w:t>
      </w:r>
      <w:r>
        <w:tab/>
      </w:r>
      <w:r>
        <w:t>zum Führen von Kraftfahrzeugen geeignet ist,</w:t>
      </w:r>
    </w:p>
    <w:p>
      <w:pPr>
        <w:tabs>
          <w:tab w:pos="567" w:val="left"/>
        </w:tabs>
        <w:ind w:left="567" w:hanging="567"/>
      </w:pPr>
      <w:r>
        <w:t>4.</w:t>
      </w:r>
      <w:r>
        <w:tab/>
      </w:r>
      <w:r>
        <w:t>zum Führen von Kraftfahrzeugen nach dem Fahrlehrergesetz und den auf ihm beruhenden Rechtsvorschriften ausgebildet worden ist,</w:t>
      </w:r>
    </w:p>
    <w:p>
      <w:pPr>
        <w:tabs>
          <w:tab w:pos="567" w:val="left"/>
        </w:tabs>
        <w:ind w:left="567" w:hanging="567"/>
      </w:pPr>
      <w:r>
        <w:t>5.</w:t>
      </w:r>
      <w:r>
        <w:tab/>
      </w:r>
      <w:r>
        <w:t>die Befähigung zum Führen von Kraftfahrzeugen in einer theoretischen und praktischen Prüfung nachgewiesen hat,</w:t>
      </w:r>
    </w:p>
    <w:p>
      <w:pPr>
        <w:tabs>
          <w:tab w:pos="567" w:val="left"/>
        </w:tabs>
        <w:ind w:left="567" w:hanging="567"/>
      </w:pPr>
      <w:r>
        <w:t>6.</w:t>
      </w:r>
      <w:r>
        <w:tab/>
      </w:r>
      <w:r>
        <w:t>Erste Hilfe leisten kann und</w:t>
      </w:r>
    </w:p>
    <w:p>
      <w:pPr>
        <w:tabs>
          <w:tab w:pos="567" w:val="left"/>
        </w:tabs>
        <w:ind w:left="567" w:hanging="567"/>
      </w:pPr>
      <w:r>
        <w:t>7.</w:t>
      </w:r>
      <w:r>
        <w:tab/>
      </w:r>
      <w:r>
        <w:t>keine in einem Mitgliedstaat der Europäischen Union oder einem anderen Vertragsstaat des Abkommens über den Europäischen Wirtschaftsraum erteilte Fahrerlaubnis dieser Klasse besitzt.</w:t>
      </w:r>
    </w:p>
    <w:p>
      <w:r>
        <w:rPr>
          <w:rStyle w:val="Satznummer"/>
        </w:rPr>
        <w:t>2</w:t>
      </w:r>
      <w:r>
        <w:t xml:space="preserve">Nach näherer Bestimmung durch Rechtsverordnung gemäß § 6 Absatz 1 Satz 1 Nummer 1 Buchstabe b können als weitere Voraussetzungen der Vorbesitz anderer Klassen oder Fahrpraxis in einer anderen Klasse festgelegt werden. </w:t>
      </w:r>
      <w:r>
        <w:rPr>
          <w:rStyle w:val="Satznummer"/>
        </w:rPr>
        <w:t>3</w:t>
      </w:r>
      <w:r>
        <w:t xml:space="preserve">Die Fahrerlaubnis kann für die Klassen C und D sowie ihre Unterklassen und Anhängerklassen befristet erteilt werden. </w:t>
      </w:r>
      <w:r>
        <w:rPr>
          <w:rStyle w:val="Satznummer"/>
        </w:rPr>
        <w:t>4</w:t>
      </w:r>
      <w:r>
        <w:t>Sie ist auf Antrag zu verlängern, wenn der Bewerber zum Führen von Kraftfahrzeugen geeignet ist und kein Anlass zur Annahme besteht, dass eine der aus den Sätzen 1 und 2 ersichtlichen sonstigen Voraussetzungen fehlt.</w:t>
      </w:r>
    </w:p>
    <w:p>
      <w:r>
        <w:t xml:space="preserve">(3) </w:t>
      </w:r>
      <w:r>
        <w:rPr>
          <w:rStyle w:val="Satznummer"/>
        </w:rPr>
        <w:t>1</w:t>
      </w:r>
      <w:r>
        <w:t xml:space="preserve">Nach näherer Bestimmung durch Rechtsverordnung gemäß § 6 Absatz 1 Satz 1 Nummer 1 Buchstabe a und b kann für die Personenbeförderung in anderen Fahrzeugen als Kraftomnibussen zusätzlich zur Fahrerlaubnis nach Absatz 1 eine besondere Erlaubnis verlangt werden. </w:t>
      </w:r>
      <w:r>
        <w:rPr>
          <w:rStyle w:val="Satznummer"/>
        </w:rPr>
        <w:t>2</w:t>
      </w:r>
      <w:r>
        <w:t xml:space="preserve">Die Erlaubnis wird befristet erteilt. </w:t>
      </w:r>
      <w:r>
        <w:rPr>
          <w:rStyle w:val="Satznummer"/>
        </w:rPr>
        <w:t>3</w:t>
      </w:r>
      <w:r>
        <w:t xml:space="preserve">Für die Erteilung und Verlängerung können dieselben Voraussetzungen bestimmt werden, die für die Fahrerlaubnis zum Führen von Kraftomnibussen gelten. </w:t>
      </w:r>
      <w:r>
        <w:rPr>
          <w:rStyle w:val="Satznummer"/>
        </w:rPr>
        <w:t>4</w:t>
      </w:r>
      <w:r>
        <w:t xml:space="preserve">Außerdem kann ein Fachkundenachweis verlangt werden. </w:t>
      </w:r>
      <w:r>
        <w:rPr>
          <w:rStyle w:val="Satznummer"/>
        </w:rPr>
        <w:t>5</w:t>
      </w:r>
      <w:r>
        <w:t>Im Übrigen gelten die Bestimmungen für Fahrerlaubnisse entsprechend, soweit gesetzlich nichts anderes bestimmt ist.</w:t>
      </w:r>
    </w:p>
    <w:p>
      <w:r>
        <w:t xml:space="preserve">(4) </w:t>
      </w:r>
      <w:r>
        <w:rPr>
          <w:rStyle w:val="Satznummer"/>
        </w:rPr>
        <w:t>1</w:t>
      </w:r>
      <w:r>
        <w:t xml:space="preserve">Geeignet zum Führen von Kraftfahrzeugen ist, wer die notwendigen körperlichen und geistigen Anforderungen erfüllt und nicht erheblich oder nicht wiederholt gegen verkehrsrechtliche Vorschriften oder gegen Strafgesetze verstoßen hat. </w:t>
      </w:r>
      <w:r>
        <w:rPr>
          <w:rStyle w:val="Satznummer"/>
        </w:rPr>
        <w:t>2</w:t>
      </w:r>
      <w:r>
        <w:t>Ist der Bewerber auf Grund körperlicher oder geistiger Mängel nur bedingt zum Führen von Kraftfahrzeugen geeignet, so erteilt die Fahrerlaubnisbehörde die Fahrerlaubnis mit Beschränkungen oder unter Auflagen, wenn dadurch das sichere Führen von Kraftfahrzeugen gewährleistet ist.</w:t>
      </w:r>
    </w:p>
    <w:p>
      <w:r>
        <w:t>(5) Befähigt zum Führen von Kraftfahrzeugen ist, wer</w:t>
      </w:r>
    </w:p>
    <w:p>
      <w:pPr>
        <w:tabs>
          <w:tab w:pos="567" w:val="left"/>
        </w:tabs>
        <w:ind w:left="567" w:hanging="567"/>
      </w:pPr>
      <w:r>
        <w:t>1.</w:t>
      </w:r>
      <w:r>
        <w:tab/>
      </w:r>
      <w:r>
        <w:t>ausreichende Kenntnisse der für das Führen von Kraftfahrzeugen maßgebenden gesetzlichen Vorschriften hat,</w:t>
      </w:r>
    </w:p>
    <w:p>
      <w:pPr>
        <w:tabs>
          <w:tab w:pos="567" w:val="left"/>
        </w:tabs>
        <w:ind w:left="567" w:hanging="567"/>
      </w:pPr>
      <w:r>
        <w:t>2.</w:t>
      </w:r>
      <w:r>
        <w:tab/>
      </w:r>
      <w:r>
        <w:t>mit den Gefahren des Straßenverkehrs und den zu ihrer Abwehr erforderlichen Verhaltensweisen vertraut ist,</w:t>
      </w:r>
    </w:p>
    <w:p>
      <w:pPr>
        <w:tabs>
          <w:tab w:pos="567" w:val="left"/>
        </w:tabs>
        <w:ind w:left="567" w:hanging="567"/>
      </w:pPr>
      <w:r>
        <w:t>3.</w:t>
      </w:r>
      <w:r>
        <w:tab/>
      </w:r>
      <w:r>
        <w:t>die zum sicheren Führen eines Kraftfahrzeugs, gegebenenfalls mit Anhänger, erforderlichen technischen Kenntnisse besitzt und zu ihrer praktischen Anwendung in der Lage ist und</w:t>
      </w:r>
    </w:p>
    <w:p>
      <w:pPr>
        <w:tabs>
          <w:tab w:pos="567" w:val="left"/>
        </w:tabs>
        <w:ind w:left="567" w:hanging="567"/>
      </w:pPr>
      <w:r>
        <w:t>4.</w:t>
      </w:r>
      <w:r>
        <w:tab/>
      </w:r>
      <w:r>
        <w:t>über ausreichende Kenntnisse einer umweltbewussten und energiesparenden Fahrweise verfügt und zu ihrer praktischen Anwendung in der Lage ist.</w:t>
      </w:r>
    </w:p>
    <w:p>
      <w:r>
        <w:t xml:space="preserve">(6) </w:t>
      </w:r>
      <w:r>
        <w:rPr>
          <w:rStyle w:val="Satznummer"/>
        </w:rPr>
        <w:t>1</w:t>
      </w:r>
      <w:r>
        <w:t xml:space="preserve">Wer die Erteilung, Erweiterung, Verlängerung oder Änderung einer Fahrerlaubnis oder einer besonderen Erlaubnis nach Absatz 3, die Aufhebung einer Beschränkung oder Auflage oder die Ausfertigung oder Änderung eines Führerscheins beantragt, hat der Fahrerlaubnisbehörde nach näherer Bestimmung durch Rechtsverordnung gemäß </w:t>
      </w:r>
      <w:hyperlink w:anchor="b26" w:history="1">
        <w:r>
          <w:rPr>
            <w:color w:val="0A3A8C"/>
            <w:u w:val="single"/>
          </w:rPr>
          <w:t xml:space="preserve">§ 6</w:t>
        </w:r>
      </w:hyperlink>
      <w:r>
        <w:t xml:space="preserve"> Absatz 1 Satz 1 Nummer 1 und Absatz 3 Nummer 1 mitzuteilen und nachzuweisen</w:t>
      </w:r>
    </w:p>
    <w:p>
      <w:pPr>
        <w:tabs>
          <w:tab w:pos="567" w:val="left"/>
        </w:tabs>
        <w:ind w:left="567" w:hanging="567"/>
      </w:pPr>
      <w:r>
        <w:t>1.</w:t>
      </w:r>
      <w:r>
        <w:tab/>
      </w:r>
      <w:r>
        <w:t>Familiennamen, Geburtsnamen, sonstige frühere Namen, Vornamen, Ordens- oder Künstlernamen, Doktorgrad, Geschlecht, Tag und Ort der Geburt, Anschrift, Staatsangehörigkeit, Art des Ausweisdokumentes und</w:t>
      </w:r>
    </w:p>
    <w:p>
      <w:pPr>
        <w:tabs>
          <w:tab w:pos="567" w:val="left"/>
        </w:tabs>
        <w:ind w:left="567" w:hanging="567"/>
      </w:pPr>
      <w:r>
        <w:t>2.</w:t>
      </w:r>
      <w:r>
        <w:tab/>
      </w:r>
      <w:r>
        <w:t>das Vorliegen der Voraussetzungen nach Absatz 2 Satz 1 Nr. 1 bis 6 und Satz 2 und Absatz 3</w:t>
      </w:r>
    </w:p>
    <w:p>
      <w:r>
        <w:t xml:space="preserve">sowie ein Lichtbild abzugeben. </w:t>
      </w:r>
      <w:r>
        <w:rPr>
          <w:rStyle w:val="Satznummer"/>
        </w:rPr>
        <w:t>2</w:t>
      </w:r>
      <w:r>
        <w:t>Außerdem hat der Antragsteller eine Erklärung darüber abzugeben, ob er bereits eine in- oder ausländische Fahrerlaubnis der beantragten Klasse oder einen entsprechenden Führerschein besitzt.</w:t>
      </w:r>
    </w:p>
    <w:p>
      <w:r>
        <w:t xml:space="preserve">(7) </w:t>
      </w:r>
      <w:r>
        <w:rPr>
          <w:rStyle w:val="Satznummer"/>
        </w:rPr>
        <w:t>1</w:t>
      </w:r>
      <w:r>
        <w:t xml:space="preserve">Die Fahrerlaubnisbehörde hat zu ermitteln, ob der Antragsteller zum Führen von Kraftfahrzeugen, gegebenenfalls mit Anhänger, geeignet und befähigt ist und ob er bereits eine in- oder ausländische Fahrerlaubnis oder einen entsprechenden Führerschein besitzt. </w:t>
      </w:r>
      <w:r>
        <w:rPr>
          <w:rStyle w:val="Satznummer"/>
        </w:rPr>
        <w:t>2</w:t>
      </w:r>
      <w:r>
        <w:t xml:space="preserve">Sie hat dazu Auskünfte aus dem Fahreignungsregister und dem Zentralen Fahrerlaubnisregister nach den Vorschriften dieses Gesetzes einzuholen. </w:t>
      </w:r>
      <w:r>
        <w:rPr>
          <w:rStyle w:val="Satznummer"/>
        </w:rPr>
        <w:t>3</w:t>
      </w:r>
      <w:r>
        <w:t>Sie kann außerdem insbesondere entsprechende Auskünfte aus ausländischen Registern oder von ausländischen Stellen einholen sowie die Beibringung eines Führungszeugnisses zur Vorlage bei der Verwaltungsbehörde nach den Vorschriften des Bundeszentralregistergesetzes verlangen.</w:t>
      </w:r>
    </w:p>
    <w:p>
      <w:r>
        <w:t xml:space="preserve">(8) </w:t>
      </w:r>
      <w:r>
        <w:rPr>
          <w:rStyle w:val="Satznummer"/>
        </w:rPr>
        <w:t>1</w:t>
      </w:r>
      <w:r>
        <w:t xml:space="preserve">Werden Tatsachen bekannt, die Bedenken gegen die Eignung oder Befähigung des Bewerbers begründen, so kann die Fahrerlaubnisbehörde anordnen, dass der Antragsteller ein Gutachten oder Zeugnis eines Facharztes oder Amtsarztes, ein Gutachten einer amtlich anerkannten Begutachtungsstelle für Fahreignung oder eines amtlichen anerkannten Sachverständigen oder Prüfers für den Kraftfahrzeugverkehr innerhalb einer angemessenen Frist beibringt. </w:t>
      </w:r>
      <w:r>
        <w:rPr>
          <w:rStyle w:val="Satznummer"/>
        </w:rPr>
        <w:t>2</w:t>
      </w:r>
      <w:r>
        <w:t>Anstelle eines erneuten Gutachtens einer amtlich anerkannten Begutachtungsstelle für Fahreignung genügt zum Nachweis der Wiederherstellung der Eignung in der Regel die Vorlage einer Bescheinigung über die Teilnahme an einem amtlich anerkannten Kurs zur Wiederherstellung der Kraftfahreignung, wenn</w:t>
      </w:r>
    </w:p>
    <w:p>
      <w:pPr>
        <w:tabs>
          <w:tab w:pos="567" w:val="left"/>
        </w:tabs>
        <w:ind w:left="567" w:hanging="567"/>
      </w:pPr>
      <w:r>
        <w:t>1.</w:t>
      </w:r>
      <w:r>
        <w:tab/>
      </w:r>
      <w:r>
        <w:t>auf Grund eines Gutachtens einer amtlich anerkannten Begutachtungsstelle für Fahreignung die Teilnahme des Betroffenen an dieser Art von Kursen als geeignete Maßnahme angesehen wird, bestehende Eignungsmängel zu beseitigen,</w:t>
      </w:r>
    </w:p>
    <w:p>
      <w:pPr>
        <w:tabs>
          <w:tab w:pos="567" w:val="left"/>
        </w:tabs>
        <w:ind w:left="567" w:hanging="567"/>
      </w:pPr>
      <w:r>
        <w:t>2.</w:t>
      </w:r>
      <w:r>
        <w:tab/>
      </w:r>
      <w:r>
        <w:t>der Betroffene nicht Inhaber einer Fahrerlaubnis ist und</w:t>
      </w:r>
    </w:p>
    <w:p>
      <w:pPr>
        <w:tabs>
          <w:tab w:pos="567" w:val="left"/>
        </w:tabs>
        <w:ind w:left="567" w:hanging="567"/>
      </w:pPr>
      <w:r>
        <w:t>3.</w:t>
      </w:r>
      <w:r>
        <w:tab/>
      </w:r>
      <w:r>
        <w:t>die Fahrerlaubnisbehörde der Kursteilnahme zugestimmt hat.</w:t>
      </w:r>
    </w:p>
    <w:p>
      <w:r>
        <w:rPr>
          <w:rStyle w:val="Satznummer"/>
        </w:rPr>
        <w:t>3</w:t>
      </w:r>
      <w:r>
        <w:t xml:space="preserve">Satz 2 gilt nicht, wenn die Beibringung eines Gutachtens einer amtlich anerkannten Begutachtungsstelle für Fahreignung nach </w:t>
      </w:r>
      <w:hyperlink w:anchor="b19" w:history="1">
        <w:r>
          <w:rPr>
            <w:color w:val="0A3A8C"/>
            <w:u w:val="single"/>
          </w:rPr>
          <w:t xml:space="preserve">§ 4</w:t>
        </w:r>
      </w:hyperlink>
      <w:r>
        <w:t xml:space="preserve"> Absatz 10 Satz 4 oder wegen erheblichen oder wiederholten Verstoßes gegen verkehrsrechtliche Vorschriften oder gegen Strafgesetze angeordnet wird.</w:t>
      </w:r>
    </w:p>
    <w:p>
      <w:r>
        <w:t xml:space="preserve">(9) </w:t>
      </w:r>
      <w:r>
        <w:rPr>
          <w:rStyle w:val="Satznummer"/>
        </w:rPr>
        <w:t>1</w:t>
      </w:r>
      <w:r>
        <w:t xml:space="preserve">Die Registerauskünfte, Führungszeugnisse, Gutachten und Gesundheitszeugnisse dürfen nur zur Feststellung oder Überprüfung der Eignung oder Befähigung verwendet werden. </w:t>
      </w:r>
      <w:r>
        <w:rPr>
          <w:rStyle w:val="Satznummer"/>
        </w:rPr>
        <w:t>2</w:t>
      </w:r>
      <w:r>
        <w:t xml:space="preserve">Sie sind nach spätestens zehn Jahren zu vernichten, es sei denn, mit ihnen im Zusammenhang stehende Eintragungen im Fahreignungsregister oder im Zentralen Fahrerlaubnisregister sind nach den Bestimmungen für diese Register zu einem früheren oder späteren Zeitpunkt zu tilgen oder zu löschen. </w:t>
      </w:r>
      <w:r>
        <w:rPr>
          <w:rStyle w:val="Satznummer"/>
        </w:rPr>
        <w:t>3</w:t>
      </w:r>
      <w:r>
        <w:t xml:space="preserve">In diesem Fall ist für die Vernichtung oder Löschung der frühere oder spätere Zeitpunkt maßgeblich. </w:t>
      </w:r>
      <w:r>
        <w:rPr>
          <w:rStyle w:val="Satznummer"/>
        </w:rPr>
        <w:t>4</w:t>
      </w:r>
      <w:r>
        <w:t xml:space="preserve">Die Zehnjahresfrist nach Satz 2 beginnt mit der rechts- oder bestandskräftigen Entscheidung oder mit der Rücknahme des Antrags durch den Antragsteller. </w:t>
      </w:r>
      <w:r>
        <w:rPr>
          <w:rStyle w:val="Satznummer"/>
        </w:rPr>
        <w:t>5</w:t>
      </w:r>
      <w:r>
        <w:t xml:space="preserve">Die Sätze 1 bis 4 gelten auch für entsprechende Unterlagen, die der Antragsteller nach Absatz 6 Satz 1 Nr. 2 beibringt. </w:t>
      </w:r>
      <w:r>
        <w:rPr>
          <w:rStyle w:val="Satznummer"/>
        </w:rPr>
        <w:t>6</w:t>
      </w:r>
      <w:r>
        <w:t>Anstelle einer Vernichtung der Unterlagen ist die Verarbeitung der darin enthaltenen Daten einzuschränken, wenn die Vernichtung wegen der besonderen Art der Führung der Akten nicht oder nur mit unverhältnismäßigem Aufwand möglich ist.</w:t>
      </w:r>
    </w:p>
    <w:p>
      <w:r>
        <w:t xml:space="preserve">(10) </w:t>
      </w:r>
      <w:r>
        <w:rPr>
          <w:rStyle w:val="Satznummer"/>
        </w:rPr>
        <w:t>1</w:t>
      </w:r>
      <w:r>
        <w:t xml:space="preserve">Bundeswehr, Bundespolizei und Polizei können durch ihre Dienststellen Fahrerlaubnisse für das Führen von Dienstfahrzeugen erteilen (Dienstfahrerlaubnisse). </w:t>
      </w:r>
      <w:r>
        <w:rPr>
          <w:rStyle w:val="Satznummer"/>
        </w:rPr>
        <w:t>2</w:t>
      </w:r>
      <w:r>
        <w:t xml:space="preserve">Diese Dienststellen nehmen die Aufgaben der Fahrerlaubnisbehörde wahr. </w:t>
      </w:r>
      <w:r>
        <w:rPr>
          <w:rStyle w:val="Satznummer"/>
        </w:rPr>
        <w:t>3</w:t>
      </w:r>
      <w:r>
        <w:t xml:space="preserve">Für Dienstfahrerlaubnisse gelten die Bestimmungen dieses Gesetzes und der auf ihm beruhenden Rechtsvorschriften, soweit gesetzlich nichts anderes bestimmt ist. </w:t>
      </w:r>
      <w:r>
        <w:rPr>
          <w:rStyle w:val="Satznummer"/>
        </w:rPr>
        <w:t>4</w:t>
      </w:r>
      <w:r>
        <w:t>Mit Dienstfahrerlaubnissen dürfen nur Dienstfahrzeuge geführt werden.</w:t>
      </w:r>
    </w:p>
    <w:p>
      <w:r>
        <w:t xml:space="preserve">(10a) </w:t>
      </w:r>
      <w:r>
        <w:rPr>
          <w:rStyle w:val="Satznummer"/>
        </w:rPr>
        <w:t>1</w:t>
      </w:r>
      <w:r>
        <w:t xml:space="preserve">Die nach Landesrecht zuständige Behörde kann Angehörigen der Freiwilligen Feuerwehren, der nach Landesrecht anerkannten Rettungsdienste, des Technischen Hilfswerks und sonstiger Einheiten des Katastrophenschutzes, die ihre Tätigkeit ehrenamtlich ausüben, Fahrberechtigungen zum Führen von Einsatzfahrzeugen auf öffentlichen Straßen bis zu einer zulässigen Gesamtmasse von 4,75 t – auch mit Anhängern, sofern die zulässige Gesamtmasse der Kombination 4,75 t nicht übersteigt – erteilen. </w:t>
      </w:r>
      <w:r>
        <w:rPr>
          <w:rStyle w:val="Satznummer"/>
        </w:rPr>
        <w:t>2</w:t>
      </w:r>
      <w:r>
        <w:t>Der Bewerber um die Fahrberechtigung muss</w:t>
      </w:r>
    </w:p>
    <w:p>
      <w:pPr>
        <w:tabs>
          <w:tab w:pos="567" w:val="left"/>
        </w:tabs>
        <w:ind w:left="567" w:hanging="567"/>
      </w:pPr>
      <w:r>
        <w:t>1.</w:t>
      </w:r>
      <w:r>
        <w:tab/>
      </w:r>
      <w:r>
        <w:t>mindestens seit zwei Jahren eine Fahrerlaubnis der Klasse B besitzen,</w:t>
      </w:r>
    </w:p>
    <w:p>
      <w:pPr>
        <w:tabs>
          <w:tab w:pos="567" w:val="left"/>
        </w:tabs>
        <w:ind w:left="567" w:hanging="567"/>
      </w:pPr>
      <w:r>
        <w:t>2.</w:t>
      </w:r>
      <w:r>
        <w:tab/>
      </w:r>
      <w:r>
        <w:t>in das Führen von Einsatzfahrzeugen bis zu einer zulässigen Gesamtmasse von 4,75 t eingewiesen worden sein und</w:t>
      </w:r>
    </w:p>
    <w:p>
      <w:pPr>
        <w:tabs>
          <w:tab w:pos="567" w:val="left"/>
        </w:tabs>
        <w:ind w:left="567" w:hanging="567"/>
      </w:pPr>
      <w:r>
        <w:t>3.</w:t>
      </w:r>
      <w:r>
        <w:tab/>
      </w:r>
      <w:r>
        <w:t>in einer praktischen Prüfung seine Befähigung nachgewiesen haben.</w:t>
      </w:r>
    </w:p>
    <w:p>
      <w:r>
        <w:rPr>
          <w:rStyle w:val="Satznummer"/>
        </w:rPr>
        <w:t>3</w:t>
      </w:r>
      <w:r>
        <w:t xml:space="preserve">Die Fahrberechtigung gilt im gesamten Hoheitsgebiet der Bundesrepublik Deutschland zur Aufgabenerfüllung der in Satz 1 genannten Organisationen oder Einrichtungen. </w:t>
      </w:r>
      <w:r>
        <w:rPr>
          <w:rStyle w:val="Satznummer"/>
        </w:rPr>
        <w:t>4</w:t>
      </w:r>
      <w:r>
        <w:t>Die Sätze 1 bis 3 gelten entsprechend für den Erwerb der Fahrberechtigung zum Führen von Einsatzfahrzeugen bis zu einer zulässigen Gesamtmasse von 7,5 t – auch mit Anhängern, sofern die zulässige Gesamtmasse der Kombination 7,5 t nicht übersteigt.</w:t>
      </w:r>
    </w:p>
    <w:p>
      <w:r>
        <w:t xml:space="preserve">(11) Nach näherer Bestimmung durch Rechtsverordnung gemäß </w:t>
      </w:r>
      <w:hyperlink w:anchor="b26" w:history="1">
        <w:r>
          <w:rPr>
            <w:color w:val="0A3A8C"/>
            <w:u w:val="single"/>
          </w:rPr>
          <w:t xml:space="preserve">§ 6</w:t>
        </w:r>
      </w:hyperlink>
      <w:r>
        <w:t xml:space="preserve"> Absatz 1 Satz 1 Nummer 1 in Verbindung mit Absatz 3 Nummer 1 und 2 berechtigen auch ausländische Fahrerlaubnisse zum Führen von Kraftfahrzeugen im Inland.</w:t>
      </w:r>
    </w:p>
    <w:p>
      <w:r>
        <w:t xml:space="preserve">(12) </w:t>
      </w:r>
      <w:r>
        <w:rPr>
          <w:rStyle w:val="Satznummer"/>
        </w:rPr>
        <w:t>1</w:t>
      </w:r>
      <w:r>
        <w:t xml:space="preserve">Die Polizei hat Informationen über Tatsachen, die auf nicht nur vorübergehende Mängel hinsichtlich der Eignung oder auf Mängel hinsichtlich der Befähigung einer Person zum Führen von Kraftfahrzeugen schließen lassen, den Fahrerlaubnisbehörden zu übermitteln, soweit dies für die Überprüfung der Eignung oder Befähigung aus der Sicht der übermittelnden Stelle erforderlich ist. </w:t>
      </w:r>
      <w:r>
        <w:rPr>
          <w:rStyle w:val="Satznummer"/>
        </w:rPr>
        <w:t>2</w:t>
      </w:r>
      <w:r>
        <w:t>Soweit die mitgeteilten Informationen für die Beurteilung der Eignung oder Befähigung nicht erforderlich sind, sind die Unterlagen unverzüglich zu vernichten.</w:t>
      </w:r>
    </w:p>
    <w:p>
      <w:r>
        <w:t xml:space="preserve">(13) </w:t>
      </w:r>
      <w:r>
        <w:rPr>
          <w:rStyle w:val="Satznummer"/>
        </w:rPr>
        <w:t>1</w:t>
      </w:r>
      <w:r>
        <w:t>Stellen oder Personen, die die Eignung oder Befähigung zur Teilnahme am Straßenverkehr oder Fachkundenachweise zwecks Vorbereitung einer verwaltungsbehördlichen Entscheidung beurteilen oder prüfen oder die in Erster Hilfe (</w:t>
      </w:r>
      <w:hyperlink w:anchor="b14" w:history="1">
        <w:r>
          <w:rPr>
            <w:color w:val="0A3A8C"/>
            <w:u w:val="single"/>
          </w:rPr>
          <w:t xml:space="preserve">§ 2</w:t>
        </w:r>
      </w:hyperlink>
      <w:r>
        <w:t xml:space="preserve"> Abs. 2 Satz 1 Nr. 6) ausbilden, müssen für diese Aufgaben gesetzlich oder amtlich anerkannt oder beauftragt sein. </w:t>
      </w:r>
      <w:r>
        <w:rPr>
          <w:rStyle w:val="Satznummer"/>
        </w:rPr>
        <w:t>2</w:t>
      </w:r>
      <w:r>
        <w:t xml:space="preserve">Personen, die die Befähigung zum Führen von Kraftfahrzeugen nach </w:t>
      </w:r>
      <w:hyperlink w:anchor="b14" w:history="1">
        <w:r>
          <w:rPr>
            <w:color w:val="0A3A8C"/>
            <w:u w:val="single"/>
          </w:rPr>
          <w:t xml:space="preserve">§ 2</w:t>
        </w:r>
      </w:hyperlink>
      <w:r>
        <w:t xml:space="preserve"> Abs. 5 prüfen, müssen darüber hinaus einer Technischen Prüfstelle für den Kraftfahrzeugverkehr nach § 10 des Kraftfahrsachverständigengesetzes angehören. </w:t>
      </w:r>
      <w:r>
        <w:rPr>
          <w:rStyle w:val="Satznummer"/>
        </w:rPr>
        <w:t>3</w:t>
      </w:r>
      <w:r>
        <w:t xml:space="preserve">Voraussetzungen, Inhalt, Umfang und Verfahren für die Anerkennung oder Beauftragung und die Aufsicht werden - soweit nicht bereits im Kraftfahrsachverständigengesetz oder in auf ihm beruhenden Rechtsvorschriften geregelt - durch Rechtsverordnung gemäß § 6 Absatz 1 Satz 1 Nummer 1 Buchstabe c und d in Verbindung mit Absatz 3 Nummer 3 näher bestimmt. </w:t>
      </w:r>
      <w:r>
        <w:rPr>
          <w:rStyle w:val="Satznummer"/>
        </w:rPr>
        <w:t>4</w:t>
      </w:r>
      <w:r>
        <w:t>Abweichend von den Sätzen 1 bis 3 sind Personen, die die Voraussetzungen des Absatzes 16 für die Begleitung erfüllen, berechtigt, die Befähigung zum Führen von Einsatzfahrzeugen der in Absatz 10a Satz 1 genannten Organisationen oder Einrichtungen zu prüfen.</w:t>
      </w:r>
    </w:p>
    <w:p>
      <w:r>
        <w:t xml:space="preserve">(14) </w:t>
      </w:r>
      <w:r>
        <w:rPr>
          <w:rStyle w:val="Satznummer"/>
        </w:rPr>
        <w:t>1</w:t>
      </w:r>
      <w:r>
        <w:t xml:space="preserve">Die Fahrerlaubnisbehörden dürfen den in Absatz 13 Satz 1 genannten Stellen und Personen die Daten übermitteln, die diese zur Erfüllung ihrer Aufgaben benötigen. </w:t>
      </w:r>
      <w:r>
        <w:rPr>
          <w:rStyle w:val="Satznummer"/>
        </w:rPr>
        <w:t>2</w:t>
      </w:r>
      <w:r>
        <w:t>Die betreffenden Stellen und Personen dürfen diese Daten und nach näherer Bestimmung durch Rechtsverordnung gemäß § 6 Absatz 1 Satz 1 Nummer 1 Buchstabe c und d in Verbindung mit Absatz 3 Nummer 3 die bei der Erfüllung ihrer Aufgaben anfallenden Daten verarbeiten.</w:t>
      </w:r>
    </w:p>
    <w:p>
      <w:r>
        <w:t xml:space="preserve">(15) </w:t>
      </w:r>
      <w:r>
        <w:rPr>
          <w:rStyle w:val="Satznummer"/>
        </w:rPr>
        <w:t>1</w:t>
      </w:r>
      <w:r>
        <w:t xml:space="preserve">Wer zur Ausbildung, zur Ablegung der Prüfung oder zur Begutachtung der Eignung oder Befähigung ein Kraftfahrzeug auf öffentlichen Straßen führt, muss dabei von einem Fahrlehrer oder einem Fahrlehreranwärter im Sinne des Fahrlehrergesetzes begleitet werden. </w:t>
      </w:r>
      <w:r>
        <w:rPr>
          <w:rStyle w:val="Satznummer"/>
        </w:rPr>
        <w:t>2</w:t>
      </w:r>
      <w:r>
        <w:t>Bei den Fahrten nach Satz 1 sowie bei der Hin- und Rückfahrt zu oder von einer Prüfung oder einer Begutachtung gilt im Sinne dieses Gesetzes der Fahrlehrer oder der Fahrlehreranwärter als Führer des Kraftfahrzeugs, wenn der Kraftfahrzeugführer keine entsprechende Fahrerlaubnis besitzt.</w:t>
      </w:r>
    </w:p>
    <w:p>
      <w:r>
        <w:t xml:space="preserve">(16) </w:t>
      </w:r>
      <w:r>
        <w:rPr>
          <w:rStyle w:val="Satznummer"/>
        </w:rPr>
        <w:t>1</w:t>
      </w:r>
      <w:r>
        <w:t>Wer zur Einweisung oder zur Ablegung der Prüfung nach Absatz 10a ein entsprechendes Einsatzfahrzeug auf öffentlichen Straßen führt, muss von einem Fahrlehrer im Sinne des Fahrlehrergesetzes oder abweichend von Absatz 15 Satz 1 von einem Angehörigen der in Absatz 10a Satz 1 genannten Organisationen oder Einrichtungen, der</w:t>
      </w:r>
    </w:p>
    <w:p>
      <w:pPr>
        <w:tabs>
          <w:tab w:pos="567" w:val="left"/>
        </w:tabs>
        <w:ind w:left="567" w:hanging="567"/>
      </w:pPr>
      <w:r>
        <w:t>1.</w:t>
      </w:r>
      <w:r>
        <w:tab/>
      </w:r>
      <w:r>
        <w:t>das 30. Lebensjahr vollendet hat,</w:t>
      </w:r>
    </w:p>
    <w:p>
      <w:pPr>
        <w:tabs>
          <w:tab w:pos="567" w:val="left"/>
        </w:tabs>
        <w:ind w:left="567" w:hanging="567"/>
      </w:pPr>
      <w:r>
        <w:t>2.</w:t>
      </w:r>
      <w:r>
        <w:tab/>
      </w:r>
      <w:r>
        <w:t>mindestens seit fünf Jahren eine gültige Fahrerlaubnis der Klasse C1 besitzt und</w:t>
      </w:r>
    </w:p>
    <w:p>
      <w:pPr>
        <w:tabs>
          <w:tab w:pos="567" w:val="left"/>
        </w:tabs>
        <w:ind w:left="567" w:hanging="567"/>
      </w:pPr>
      <w:r>
        <w:t>3.</w:t>
      </w:r>
      <w:r>
        <w:tab/>
      </w:r>
      <w:r>
        <w:t>zum Zeitpunkt der Einweisungs- und Prüfungsfahrten im Fahreignungsregister mit nicht mehr als zwei Punkten belastet ist,</w:t>
      </w:r>
    </w:p>
    <w:p>
      <w:r>
        <w:t xml:space="preserve">begleitet werden. </w:t>
      </w:r>
      <w:r>
        <w:rPr>
          <w:rStyle w:val="Satznummer"/>
        </w:rPr>
        <w:t>2</w:t>
      </w:r>
      <w:r>
        <w:t xml:space="preserve">Absatz 15 Satz 2 gilt entsprechend. </w:t>
      </w:r>
      <w:r>
        <w:rPr>
          <w:rStyle w:val="Satznummer"/>
        </w:rPr>
        <w:t>3</w:t>
      </w:r>
      <w:r>
        <w:t xml:space="preserve">Die nach Landesrecht zuständige Behörde kann überprüfen, ob die Voraussetzungen des Satzes 1 erfüllt sind; sie kann die Auskunft nach Satz 1 Nummer 3 beim Fahreignungsregister einholen. </w:t>
      </w:r>
      <w:r>
        <w:rPr>
          <w:rStyle w:val="Satznummer"/>
        </w:rPr>
        <w:t>4</w:t>
      </w:r>
      <w:r>
        <w:t>Die Fahrerlaubnis nach Satz 1 Nummer 2 ist durch einen gültigen Führerschein nachzuweisen, der während der Einweisungs- und Prüfungsfahrten mitzuführen und zur Überwachung des Straßenverkehrs berechtigten Personen auszuhändigen ist.</w:t>
      </w:r>
    </w:p>
    <w:p>
      <w:pPr>
        <w:pStyle w:val="Heading2"/>
      </w:pPr>
      <w:bookmarkStart w:id="16" w:name="b15"/>
      <w:r>
        <w:t>§ 2a Fahrerlaubnis auf Probe</w:t>
      </w:r>
      <w:r>
        <w:t xml:space="preserve"> </w:t>
      </w:r>
      <w:r>
        <w:rPr>
          <w:rStyle w:val="Suchmarke"/>
        </w:rPr>
        <w:t>#2a#</w:t>
      </w:r>
      <w:bookmarkEnd w:id="16"/>
    </w:p>
    <w:p>
      <w:r>
        <w:t xml:space="preserve">(1) </w:t>
      </w:r>
      <w:r>
        <w:rPr>
          <w:rStyle w:val="Satznummer"/>
        </w:rPr>
        <w:t>1</w:t>
      </w:r>
      <w:r>
        <w:t xml:space="preserve">Bei erstmaligem Erwerb einer Fahrerlaubnis wird diese auf Probe erteilt; die Probezeit dauert zwei Jahre vom Zeitpunkt der Erteilung an. </w:t>
      </w:r>
      <w:r>
        <w:rPr>
          <w:rStyle w:val="Satznummer"/>
        </w:rPr>
        <w:t>2</w:t>
      </w:r>
      <w:r>
        <w:t xml:space="preserve">Bei Erteilung einer Fahrerlaubnis an den Inhaber einer im Ausland erteilten Fahrerlaubnis ist die Zeit seit deren Erwerb auf die Probezeit anzurechnen. </w:t>
      </w:r>
      <w:r>
        <w:rPr>
          <w:rStyle w:val="Satznummer"/>
        </w:rPr>
        <w:t>3</w:t>
      </w:r>
      <w:r>
        <w:t xml:space="preserve">Die Regelungen über die Fahrerlaubnis auf Probe finden auch Anwendung auf Inhaber einer gültigen Fahrerlaubnis aus einem Mitgliedstaat der Europäischen Union oder einem anderen Vertragsstaat des Abkommens über den Europäischen Wirtschaftsraum, die ihren ordentlichen Wohnsitz in das Inland verlegt haben. </w:t>
      </w:r>
      <w:r>
        <w:rPr>
          <w:rStyle w:val="Satznummer"/>
        </w:rPr>
        <w:t>4</w:t>
      </w:r>
      <w:r>
        <w:t xml:space="preserve">Die Zeit seit dem Erwerb der Fahrerlaubnis ist auf die Probezeit anzurechnen. </w:t>
      </w:r>
      <w:r>
        <w:rPr>
          <w:rStyle w:val="Satznummer"/>
        </w:rPr>
        <w:t>5</w:t>
      </w:r>
      <w:r>
        <w:t xml:space="preserve">Die Beschlagnahme, Sicherstellung oder Verwahrung von Führerscheinen nach § 94 der Strafprozessordnung, die vorläufige Entziehung nach § 111a der Strafprozessordnung und die sofort vollziehbare Entziehung durch die Fahrerlaubnisbehörde hemmen den Ablauf der Probezeit. </w:t>
      </w:r>
      <w:r>
        <w:rPr>
          <w:rStyle w:val="Satznummer"/>
        </w:rPr>
        <w:t>6</w:t>
      </w:r>
      <w:r>
        <w:t xml:space="preserve">Die Probezeit endet vorzeitig, wenn die Fahrerlaubnis entzogen wird oder der Inhaber auf sie verzichtet. </w:t>
      </w:r>
      <w:r>
        <w:rPr>
          <w:rStyle w:val="Satznummer"/>
        </w:rPr>
        <w:t>7</w:t>
      </w:r>
      <w:r>
        <w:t>In diesem Fall beginnt mit der Erteilung einer neuen Fahrerlaubnis eine neue Probezeit, jedoch nur im Umfang der Restdauer der vorherigen Probezeit.</w:t>
      </w:r>
    </w:p>
    <w:p>
      <w:r>
        <w:t xml:space="preserve">(2) </w:t>
      </w:r>
      <w:r>
        <w:rPr>
          <w:rStyle w:val="Satznummer"/>
        </w:rPr>
        <w:t>1</w:t>
      </w:r>
      <w:r>
        <w:t xml:space="preserve">Ist gegen den Inhaber einer Fahrerlaubnis wegen einer innerhalb der Probezeit begangenen Straftat oder Ordnungswidrigkeit eine rechtskräftige Entscheidung ergangen, die nach § 28 Absatz 3 Nummer 1 oder 3 Buchstabe a oder c in das Fahreignungsregister einzutragen ist, so hat, auch wenn die Probezeit zwischenzeitlich abgelaufen oder die Fahrerlaubnis nach </w:t>
      </w:r>
      <w:hyperlink w:anchor="b31" w:history="1">
        <w:r>
          <w:rPr>
            <w:color w:val="0A3A8C"/>
            <w:u w:val="single"/>
          </w:rPr>
          <w:t xml:space="preserve">§ 6e</w:t>
        </w:r>
      </w:hyperlink>
      <w:r>
        <w:t xml:space="preserve"> Absatz 2 widerrufen worden ist, die Fahrerlaubnisbehörde</w:t>
      </w:r>
    </w:p>
    <w:p>
      <w:pPr>
        <w:tabs>
          <w:tab w:pos="567" w:val="left"/>
        </w:tabs>
        <w:ind w:left="567" w:hanging="567"/>
      </w:pPr>
      <w:r>
        <w:t>1.</w:t>
      </w:r>
      <w:r>
        <w:tab/>
      </w:r>
      <w:r>
        <w:t>seine Teilnahme an einem Aufbauseminar anzuordnen und hierfür eine Frist zu setzen, wenn er eine schwerwiegende oder zwei weniger schwerwiegende Zuwiderhandlungen begangen hat,</w:t>
      </w:r>
    </w:p>
    <w:p>
      <w:pPr>
        <w:tabs>
          <w:tab w:pos="567" w:val="left"/>
        </w:tabs>
        <w:ind w:left="567" w:hanging="567"/>
      </w:pPr>
      <w:r>
        <w:t>2.</w:t>
      </w:r>
      <w:r>
        <w:tab/>
      </w:r>
      <w:r>
        <w:t>ihn schriftlich zu verwarnen und ihm nahezulegen, innerhalb von zwei Monaten an einer verkehrspsychologischen Beratung nach Absatz 7 teilzunehmen, wenn er nach Teilnahme an einem Aufbauseminar innerhalb der Probezeit eine weitere schwerwiegende oder zwei weitere weniger schwerwiegende Zuwiderhandlungen begangen hat,</w:t>
      </w:r>
    </w:p>
    <w:p>
      <w:pPr>
        <w:tabs>
          <w:tab w:pos="567" w:val="left"/>
        </w:tabs>
        <w:ind w:left="567" w:hanging="567"/>
      </w:pPr>
      <w:r>
        <w:t>3.</w:t>
      </w:r>
      <w:r>
        <w:tab/>
      </w:r>
      <w:r>
        <w:t>ihm die Fahrerlaubnis zu entziehen, wenn er nach Ablauf der in Nummer 2 genannten Frist innerhalb der Probezeit eine weitere schwerwiegende oder zwei weitere weniger schwerwiegende Zuwiderhandlungen begangen hat.</w:t>
      </w:r>
    </w:p>
    <w:p>
      <w:r>
        <w:rPr>
          <w:rStyle w:val="Satznummer"/>
        </w:rPr>
        <w:t>2</w:t>
      </w:r>
      <w:r>
        <w:t>Die Fahrerlaubnisbehörde ist bei den Maßnahmen nach den Nummern 1 bis 3 an die rechtskräftige Entscheidung über die Straftat oder Ordnungswidrigkeit gebunden.</w:t>
      </w:r>
    </w:p>
    <w:p>
      <w:r>
        <w:t xml:space="preserve">(2a) </w:t>
      </w:r>
      <w:r>
        <w:rPr>
          <w:rStyle w:val="Satznummer"/>
        </w:rPr>
        <w:t>1</w:t>
      </w:r>
      <w:r>
        <w:t xml:space="preserve">Die Probezeit verlängert sich um zwei Jahre, wenn die Teilnahme an einem Aufbauseminar nach Absatz 2 Satz 1 Nr. 1 angeordnet worden ist. </w:t>
      </w:r>
      <w:r>
        <w:rPr>
          <w:rStyle w:val="Satznummer"/>
        </w:rPr>
        <w:t>2</w:t>
      </w:r>
      <w:r>
        <w:t>Die Probezeit verlängert sich außerdem um zwei Jahre, wenn die Anordnung nur deshalb nicht erfolgt ist, weil die Fahrerlaubnis entzogen worden ist oder der Inhaber der Fahrerlaubnis auf sie verzichtet hat.</w:t>
      </w:r>
    </w:p>
    <w:p>
      <w:r>
        <w:t>(3) Ist der Inhaber einer Fahrerlaubnis einer vollziehbaren Anordnung der zuständigen Behörde nach Absatz 2 Satz 1 Nr. 1 in der festgesetzten Frist nicht nachgekommen, so ist die Fahrerlaubnis zu entziehen.</w:t>
      </w:r>
    </w:p>
    <w:p>
      <w:r>
        <w:t xml:space="preserve">(4) </w:t>
      </w:r>
      <w:r>
        <w:rPr>
          <w:rStyle w:val="Satznummer"/>
        </w:rPr>
        <w:t>1</w:t>
      </w:r>
      <w:r>
        <w:t xml:space="preserve">Die Entziehung der Fahrerlaubnis nach </w:t>
      </w:r>
      <w:hyperlink w:anchor="b18" w:history="1">
        <w:r>
          <w:rPr>
            <w:color w:val="0A3A8C"/>
            <w:u w:val="single"/>
          </w:rPr>
          <w:t xml:space="preserve">§ 3</w:t>
        </w:r>
      </w:hyperlink>
      <w:r>
        <w:t xml:space="preserve"> bleibt unberührt; die zuständige Behörde kann insbesondere auch die Beibringung eines Gutachtens einer amtlich anerkannten Begutachtungsstelle für Fahreignung anordnen, wenn der Inhaber einer Fahrerlaubnis innerhalb der Probezeit Zuwiderhandlungen begangen hat, die nach den Umständen des Einzelfalls bereits Anlass zu der Annahme geben, dass er zum Führen von Kraftfahrzeugen ungeeignet ist. </w:t>
      </w:r>
      <w:r>
        <w:rPr>
          <w:rStyle w:val="Satznummer"/>
        </w:rPr>
        <w:t>2</w:t>
      </w:r>
      <w:r>
        <w:t xml:space="preserve">Hält die Behörde auf Grund des Gutachtens seine Nichteignung nicht für erwiesen, so hat sie die Teilnahme an einem Aufbauseminar anzuordnen, wenn der Inhaber der Fahrerlaubnis an einem solchen Kurs nicht bereits teilgenommen hatte. </w:t>
      </w:r>
      <w:r>
        <w:rPr>
          <w:rStyle w:val="Satznummer"/>
        </w:rPr>
        <w:t>3</w:t>
      </w:r>
      <w:r>
        <w:t>Absatz 3 gilt entsprechend.</w:t>
      </w:r>
    </w:p>
    <w:p>
      <w:r>
        <w:t xml:space="preserve">(5) </w:t>
      </w:r>
      <w:r>
        <w:rPr>
          <w:rStyle w:val="Satznummer"/>
        </w:rPr>
        <w:t>1</w:t>
      </w:r>
      <w:r>
        <w:t>Ist eine Fahrerlaubnis entzogen worden</w:t>
      </w:r>
    </w:p>
    <w:p>
      <w:pPr>
        <w:tabs>
          <w:tab w:pos="567" w:val="left"/>
        </w:tabs>
        <w:ind w:left="567" w:hanging="567"/>
      </w:pPr>
      <w:r>
        <w:t>1.</w:t>
      </w:r>
      <w:r>
        <w:tab/>
      </w:r>
      <w:r>
        <w:t xml:space="preserve">nach </w:t>
      </w:r>
      <w:hyperlink w:anchor="b18" w:history="1">
        <w:r>
          <w:rPr>
            <w:color w:val="0A3A8C"/>
            <w:u w:val="single"/>
          </w:rPr>
          <w:t xml:space="preserve">§ 3</w:t>
        </w:r>
      </w:hyperlink>
      <w:r>
        <w:t xml:space="preserve"> oder nach </w:t>
      </w:r>
      <w:hyperlink w:anchor="b19" w:history="1">
        <w:r>
          <w:rPr>
            <w:color w:val="0A3A8C"/>
            <w:u w:val="single"/>
          </w:rPr>
          <w:t xml:space="preserve">§ 4</w:t>
        </w:r>
      </w:hyperlink>
      <w:r>
        <w:t xml:space="preserve"> Absatz 5 Satz 1 Nummer 3 dieses Gesetzes, weil innerhalb der Probezeit Zuwiderhandlungen begangen wurden, oder nach § 69 oder § 69b des Strafgesetzbuches,</w:t>
      </w:r>
    </w:p>
    <w:p>
      <w:pPr>
        <w:tabs>
          <w:tab w:pos="567" w:val="left"/>
        </w:tabs>
        <w:ind w:left="567" w:hanging="567"/>
      </w:pPr>
      <w:r>
        <w:t>2.</w:t>
      </w:r>
      <w:r>
        <w:tab/>
      </w:r>
      <w:r>
        <w:t>nach Absatz 3, weil einer Anordnung zur Teilnahme an einem Aufbauseminar nicht nachgekommen wurde,</w:t>
      </w:r>
    </w:p>
    <w:p>
      <w:r>
        <w:t xml:space="preserve">oder wurde die Fahrerlaubnis nach </w:t>
      </w:r>
      <w:hyperlink w:anchor="b31" w:history="1">
        <w:r>
          <w:rPr>
            <w:color w:val="0A3A8C"/>
            <w:u w:val="single"/>
          </w:rPr>
          <w:t xml:space="preserve">§ 6e</w:t>
        </w:r>
      </w:hyperlink>
      <w:r>
        <w:t xml:space="preserve"> Absatz 2 widerrufen, so darf eine neue Fahrerlaubnis unbeschadet der übrigen Voraussetzungen nur erteilt werden, wenn der Antragsteller nachweist, dass er an einem Aufbauseminar teilgenommen hat. </w:t>
      </w:r>
      <w:r>
        <w:rPr>
          <w:rStyle w:val="Satznummer"/>
        </w:rPr>
        <w:t>2</w:t>
      </w:r>
      <w:r>
        <w:t xml:space="preserve">Das Gleiche gilt, wenn der Antragsteller nur deshalb nicht an einem angeordneten Aufbauseminar teilgenommen hat oder die Anordnung nur deshalb nicht erfolgt ist, weil die Fahrerlaubnis aus anderen Gründen entzogen worden ist oder er zwischenzeitlich auf die Fahrerlaubnis verzichtet hat. </w:t>
      </w:r>
      <w:r>
        <w:rPr>
          <w:rStyle w:val="Satznummer"/>
        </w:rPr>
        <w:t>3</w:t>
      </w:r>
      <w:r>
        <w:t xml:space="preserve">Ist die Fahrerlaubnis nach Absatz 2 Satz 1 Nr. 3 entzogen worden, darf eine neue Fahrerlaubnis frühestens drei Monate nach Wirksamkeit der Entziehung erteilt werden; die Frist beginnt mit der Ablieferung des Führerscheins. </w:t>
      </w:r>
      <w:r>
        <w:rPr>
          <w:rStyle w:val="Satznummer"/>
        </w:rPr>
        <w:t>4</w:t>
      </w:r>
      <w:r>
        <w:t xml:space="preserve">Auf eine mit der Erteilung einer Fahrerlaubnis nach vorangegangener Entziehung gemäß Absatz 1 Satz 7 beginnende neue Probezeit ist Absatz 2 nicht anzuwenden. </w:t>
      </w:r>
      <w:r>
        <w:rPr>
          <w:rStyle w:val="Satznummer"/>
        </w:rPr>
        <w:t>5</w:t>
      </w:r>
      <w:r>
        <w:t>Die zuständige Behörde hat in diesem Fall in der Regel die Beibringung eines Gutachtens einer amtlich anerkannten Begutachtungsstelle für Fahreignung anzuordnen, sobald der Inhaber einer Fahrerlaubnis innerhalb der neuen Probezeit erneut eine schwerwiegende oder zwei weniger schwerwiegende Zuwiderhandlungen begangen hat.</w:t>
      </w:r>
    </w:p>
    <w:p>
      <w:r>
        <w:t>(6) Widerspruch und Anfechtungsklage gegen die Anordnung des Aufbauseminars nach Absatz 2 Satz 1 Nr. 1 und Absatz 4 Satz 2 sowie die Entziehung der Fahrerlaubnis nach Absatz 2 Satz 1 Nr. 3 und Absatz 3 haben keine aufschiebende Wirkung.</w:t>
      </w:r>
    </w:p>
    <w:p>
      <w:r>
        <w:t xml:space="preserve">(7) </w:t>
      </w:r>
      <w:r>
        <w:rPr>
          <w:rStyle w:val="Satznummer"/>
        </w:rPr>
        <w:t>1</w:t>
      </w:r>
      <w:r>
        <w:t xml:space="preserve">In der verkehrspsychologischen Beratung soll der Inhaber einer Fahrerlaubnis auf Probe veranlasst werden, Mängel in seiner Einstellung zum Straßenverkehr und im verkehrssicheren Verhalten zu erkennen und die Bereitschaft zu entwickeln, diese Mängel abzubauen. </w:t>
      </w:r>
      <w:r>
        <w:rPr>
          <w:rStyle w:val="Satznummer"/>
        </w:rPr>
        <w:t>2</w:t>
      </w:r>
      <w:r>
        <w:t xml:space="preserve">Die Beratung findet in Form eines Einzelgesprächs statt. </w:t>
      </w:r>
      <w:r>
        <w:rPr>
          <w:rStyle w:val="Satznummer"/>
        </w:rPr>
        <w:t>3</w:t>
      </w:r>
      <w:r>
        <w:t xml:space="preserve">Sie kann durch eine Fahrprobe ergänzt werden, wenn der Berater dies für erforderlich hält. </w:t>
      </w:r>
      <w:r>
        <w:rPr>
          <w:rStyle w:val="Satznummer"/>
        </w:rPr>
        <w:t>4</w:t>
      </w:r>
      <w:r>
        <w:t xml:space="preserve">Der Berater soll die Ursachen der Mängel aufklären und Wege zu ihrer Beseitigung aufzeigen. </w:t>
      </w:r>
      <w:r>
        <w:rPr>
          <w:rStyle w:val="Satznummer"/>
        </w:rPr>
        <w:t>5</w:t>
      </w:r>
      <w:r>
        <w:t xml:space="preserve">Erkenntnisse aus der Beratung sind nur für den Inhaber einer Fahrerlaubnis auf Probe bestimmt und nur diesem mitzuteilen. </w:t>
      </w:r>
      <w:r>
        <w:rPr>
          <w:rStyle w:val="Satznummer"/>
        </w:rPr>
        <w:t>6</w:t>
      </w:r>
      <w:r>
        <w:t xml:space="preserve">Der Inhaber einer Fahrerlaubnis auf Probe erhält jedoch eine Bescheinigung über die Teilnahme zur Vorlage bei der nach Landesrecht zuständigen Behörde. </w:t>
      </w:r>
      <w:r>
        <w:rPr>
          <w:rStyle w:val="Satznummer"/>
        </w:rPr>
        <w:t>7</w:t>
      </w:r>
      <w:r>
        <w:t xml:space="preserve">Die Beratung darf nur von einer Person durchgeführt werden, die hierfür amtlich anerkannt ist. </w:t>
      </w:r>
      <w:r>
        <w:rPr>
          <w:rStyle w:val="Satznummer"/>
        </w:rPr>
        <w:t>8</w:t>
      </w:r>
      <w:r>
        <w:t>Die amtliche Anerkennung ist zu erteilen, wenn der Bewerber</w:t>
      </w:r>
    </w:p>
    <w:p>
      <w:pPr>
        <w:tabs>
          <w:tab w:pos="567" w:val="left"/>
        </w:tabs>
        <w:ind w:left="567" w:hanging="567"/>
      </w:pPr>
      <w:r>
        <w:t>1.</w:t>
      </w:r>
      <w:r>
        <w:tab/>
      </w:r>
      <w:r>
        <w:t>persönlich zuverlässig ist,</w:t>
      </w:r>
    </w:p>
    <w:p>
      <w:pPr>
        <w:tabs>
          <w:tab w:pos="567" w:val="left"/>
        </w:tabs>
        <w:ind w:left="567" w:hanging="567"/>
      </w:pPr>
      <w:r>
        <w:t>2.</w:t>
      </w:r>
      <w:r>
        <w:tab/>
      </w:r>
      <w:r>
        <w:t>über den Abschluss eines Hochschulstudiums als Diplom-Psychologe oder eines gleichwertigen Masterabschlusses in Psychologie verfügt und</w:t>
      </w:r>
    </w:p>
    <w:p>
      <w:pPr>
        <w:tabs>
          <w:tab w:pos="567" w:val="left"/>
        </w:tabs>
        <w:ind w:left="567" w:hanging="567"/>
      </w:pPr>
      <w:r>
        <w:t>3.</w:t>
      </w:r>
      <w:r>
        <w:tab/>
      </w:r>
      <w:r>
        <w:t>eine Ausbildung und Erfahrungen in der Verkehrspsychologie nach näherer Bestimmung durch Rechtsverordnung nach § 6 Absatz 1 Satz 1 Nummer 1 Buchstabe a und c in Verbindung mit Absatz 3 Nummer 3 nachweist.</w:t>
      </w:r>
    </w:p>
    <w:p>
      <w:pPr>
        <w:pStyle w:val="Heading2"/>
      </w:pPr>
      <w:bookmarkStart w:id="17" w:name="b16"/>
      <w:r>
        <w:t>§ 2b Aufbauseminar bei Zuwiderhandlungen innerhalb der Probezeit</w:t>
      </w:r>
      <w:r>
        <w:t xml:space="preserve"> </w:t>
      </w:r>
      <w:r>
        <w:rPr>
          <w:rStyle w:val="Suchmarke"/>
        </w:rPr>
        <w:t>#2b#</w:t>
      </w:r>
      <w:bookmarkEnd w:id="17"/>
    </w:p>
    <w:p>
      <w:r>
        <w:t xml:space="preserve">(1) </w:t>
      </w:r>
      <w:r>
        <w:rPr>
          <w:rStyle w:val="Satznummer"/>
        </w:rPr>
        <w:t>1</w:t>
      </w:r>
      <w:r>
        <w:t xml:space="preserve">Die Teilnehmer an Aufbauseminaren sollen durch Mitwirkung an Gruppengesprächen und an einer Fahrprobe veranlasst werden, eine risikobewusstere Einstellung im Straßenverkehr zu entwickeln und sich dort sicher und rücksichtsvoll zu verhalten. </w:t>
      </w:r>
      <w:r>
        <w:rPr>
          <w:rStyle w:val="Satznummer"/>
        </w:rPr>
        <w:t>2</w:t>
      </w:r>
      <w:r>
        <w:t>Auf Antrag kann die anordnende Behörde der betroffenen Person die Teilnahme an einem Einzelseminar gestatten.</w:t>
      </w:r>
    </w:p>
    <w:p>
      <w:r>
        <w:t xml:space="preserve">(2) </w:t>
      </w:r>
      <w:r>
        <w:rPr>
          <w:rStyle w:val="Satznummer"/>
        </w:rPr>
        <w:t>1</w:t>
      </w:r>
      <w:r>
        <w:t xml:space="preserve">Die Aufbauseminare dürfen nur von Fahrlehrern durchgeführt werden, die Inhaber einer entsprechenden Erlaubnis nach dem Fahrlehrergesetz sind. </w:t>
      </w:r>
      <w:r>
        <w:rPr>
          <w:rStyle w:val="Satznummer"/>
        </w:rPr>
        <w:t>2</w:t>
      </w:r>
      <w:r>
        <w:t>Besondere Aufbauseminare für Inhaber einer Fahrerlaubnis auf Probe, die unter dem Einfluss von Alkohol oder anderer berauschender Mittel am Verkehr teilgenommen haben, werden nach näherer Bestimmung durch Rechtsverordnung gemäß § 6 Absatz 1 Satz 1 Nummer 1 Buchstabe a und c und Absatz 3 Nummer 3 von hierfür amtlich anerkannten anderen Seminarleitern durchgeführt.</w:t>
      </w:r>
    </w:p>
    <w:p>
      <w:r>
        <w:t xml:space="preserve">(3) Ist der Teilnehmer an einem Aufbauseminar nicht Inhaber einer Fahrerlaubnis oder unterliegt er einem rechtskräftig angeordneten Fahrverbot, so gilt hinsichtlich der Fahrprobe </w:t>
      </w:r>
      <w:hyperlink w:anchor="b14" w:history="1">
        <w:r>
          <w:rPr>
            <w:color w:val="0A3A8C"/>
            <w:u w:val="single"/>
          </w:rPr>
          <w:t xml:space="preserve">§ 2</w:t>
        </w:r>
      </w:hyperlink>
      <w:r>
        <w:t xml:space="preserve"> Abs. 15 entsprechend.</w:t>
      </w:r>
    </w:p>
    <w:p>
      <w:pPr>
        <w:pStyle w:val="Heading2"/>
      </w:pPr>
      <w:bookmarkStart w:id="18" w:name="b17"/>
      <w:r>
        <w:t>§ 2c Unterrichtung der Fahrerlaubnisbehörden durch das Kraftfahrt-Bundesamt</w:t>
      </w:r>
      <w:r>
        <w:t xml:space="preserve"> </w:t>
      </w:r>
      <w:r>
        <w:rPr>
          <w:rStyle w:val="Suchmarke"/>
        </w:rPr>
        <w:t>#2c#</w:t>
      </w:r>
      <w:bookmarkEnd w:id="18"/>
    </w:p>
    <w:p>
      <w:r>
        <w:rPr>
          <w:rStyle w:val="Satznummer"/>
        </w:rPr>
        <w:t>1</w:t>
      </w:r>
      <w:r>
        <w:t xml:space="preserve">Das Kraftfahrt-Bundesamt hat die zuständige Behörde zu unterrichten, wenn über den Inhaber einer Fahrerlaubnis Entscheidungen in das Fahreignungsregister eingetragen werden, die zu Anordnungen nach </w:t>
      </w:r>
      <w:hyperlink w:anchor="b15" w:history="1">
        <w:r>
          <w:rPr>
            <w:color w:val="0A3A8C"/>
            <w:u w:val="single"/>
          </w:rPr>
          <w:t xml:space="preserve">§ 2a</w:t>
        </w:r>
      </w:hyperlink>
      <w:r>
        <w:t xml:space="preserve"> Abs. 2, 4 und 5 führen können. </w:t>
      </w:r>
      <w:r>
        <w:rPr>
          <w:rStyle w:val="Satznummer"/>
        </w:rPr>
        <w:t>2</w:t>
      </w:r>
      <w:r>
        <w:t xml:space="preserve">Hierzu übermittelt es die notwendigen Daten aus dem Zentralen Fahrerlaubnisregister sowie den Inhalt der Eintragungen im Fahreignungsregister über die innerhalb der Probezeit begangenen Straftaten und Ordnungswidrigkeiten. </w:t>
      </w:r>
      <w:r>
        <w:rPr>
          <w:rStyle w:val="Satznummer"/>
        </w:rPr>
        <w:t>3</w:t>
      </w:r>
      <w:r>
        <w:t>Hat bereits eine Unterrichtung nach Satz 1 stattgefunden, so hat das Kraftfahrt-Bundesamt bei weiteren Unterrichtungen auch hierauf hinzuweisen.</w:t>
      </w:r>
    </w:p>
    <w:p>
      <w:pPr>
        <w:pStyle w:val="Heading2"/>
      </w:pPr>
      <w:bookmarkStart w:id="19" w:name="b18"/>
      <w:r>
        <w:t>§ 3 Entziehung der Fahrerlaubnis</w:t>
      </w:r>
      <w:r>
        <w:t xml:space="preserve"> </w:t>
      </w:r>
      <w:r>
        <w:rPr>
          <w:rStyle w:val="Suchmarke"/>
        </w:rPr>
        <w:t>#3#</w:t>
      </w:r>
      <w:bookmarkEnd w:id="19"/>
    </w:p>
    <w:p>
      <w:r>
        <w:t xml:space="preserve">(1) </w:t>
      </w:r>
      <w:r>
        <w:rPr>
          <w:rStyle w:val="Satznummer"/>
        </w:rPr>
        <w:t>1</w:t>
      </w:r>
      <w:r>
        <w:t xml:space="preserve">Erweist sich jemand als ungeeignet oder nicht befähigt zum Führen von Kraftfahrzeugen, so hat ihm die Fahrerlaubnisbehörde die Fahrerlaubnis zu entziehen. </w:t>
      </w:r>
      <w:r>
        <w:rPr>
          <w:rStyle w:val="Satznummer"/>
        </w:rPr>
        <w:t>2</w:t>
      </w:r>
      <w:r>
        <w:t xml:space="preserve">Bei einer ausländischen Fahrerlaubnis hat die Entziehung - auch wenn sie nach anderen Vorschriften erfolgt - die Wirkung einer Aberkennung des Rechts, von der Fahrerlaubnis im Inland Gebrauch zu machen. </w:t>
      </w:r>
      <w:r>
        <w:rPr>
          <w:rStyle w:val="Satznummer"/>
        </w:rPr>
        <w:t>3</w:t>
      </w:r>
      <w:hyperlink w:anchor="b14" w:history="1">
        <w:r>
          <w:rPr>
            <w:color w:val="0A3A8C"/>
            <w:u w:val="single"/>
          </w:rPr>
          <w:t xml:space="preserve">§ 2</w:t>
        </w:r>
      </w:hyperlink>
      <w:r>
        <w:t xml:space="preserve"> Abs. 7 und 8 gilt entsprechend.</w:t>
      </w:r>
    </w:p>
    <w:p>
      <w:r>
        <w:t xml:space="preserve">(2) </w:t>
      </w:r>
      <w:r>
        <w:rPr>
          <w:rStyle w:val="Satznummer"/>
        </w:rPr>
        <w:t>1</w:t>
      </w:r>
      <w:r>
        <w:t xml:space="preserve">Mit der Entziehung erlischt die Fahrerlaubnis. </w:t>
      </w:r>
      <w:r>
        <w:rPr>
          <w:rStyle w:val="Satznummer"/>
        </w:rPr>
        <w:t>2</w:t>
      </w:r>
      <w:r>
        <w:t xml:space="preserve">Bei einer ausländischen Fahrerlaubnis erlischt das Recht zum Führen von Kraftfahrzeugen im Inland. </w:t>
      </w:r>
      <w:r>
        <w:rPr>
          <w:rStyle w:val="Satznummer"/>
        </w:rPr>
        <w:t>3</w:t>
      </w:r>
      <w:r>
        <w:t xml:space="preserve">Nach der Entziehung ist der Führerschein der Fahrerlaubnisbehörde abzuliefern oder zur Eintragung der Entscheidung vorzulegen. </w:t>
      </w:r>
      <w:r>
        <w:rPr>
          <w:rStyle w:val="Satznummer"/>
        </w:rPr>
        <w:t>4</w:t>
      </w:r>
      <w:r>
        <w:t xml:space="preserve">Satz 3 gilt nicht, sofern es sich um einen Führerschein handelt, der in einem anderen Mitgliedstaat der Europäischen Union oder einem anderen Vertragsstaat des Abkommens über den Europäischen Wirtschaftsraum ausgestellt wurde und dessen Inhaber seinen ordentlichen Wohnsitz nicht im Inland hat. </w:t>
      </w:r>
      <w:r>
        <w:rPr>
          <w:rStyle w:val="Satznummer"/>
        </w:rPr>
        <w:t>5</w:t>
      </w:r>
      <w:r>
        <w:t>Die Sätze 1 bis 4 gelten auch, wenn die Fahrerlaubnisbehörde die Fahrerlaubnis auf Grund anderer Vorschriften entzieht.</w:t>
      </w:r>
    </w:p>
    <w:p>
      <w:r>
        <w:t xml:space="preserve">(3) </w:t>
      </w:r>
      <w:r>
        <w:rPr>
          <w:rStyle w:val="Satznummer"/>
        </w:rPr>
        <w:t>1</w:t>
      </w:r>
      <w:r>
        <w:t xml:space="preserve">Solange gegen den Inhaber der Fahrerlaubnis ein Strafverfahren anhängig ist, in dem die Entziehung der Fahrerlaubnis nach § 69 des Strafgesetzbuchs in Betracht kommt, darf die Fahrerlaubnisbehörde den Sachverhalt, der Gegenstand des Strafverfahrens ist, in einem Entziehungsverfahren nicht berücksichtigen. </w:t>
      </w:r>
      <w:r>
        <w:rPr>
          <w:rStyle w:val="Satznummer"/>
        </w:rPr>
        <w:t>2</w:t>
      </w:r>
      <w:r>
        <w:t>Dies gilt nicht, wenn die Fahrerlaubnis von einer Dienststelle der Bundeswehr, der Bundespolizei oder der Polizei für Dienstfahrzeuge erteilt worden ist.</w:t>
      </w:r>
    </w:p>
    <w:p>
      <w:r>
        <w:t xml:space="preserve">(4) </w:t>
      </w:r>
      <w:r>
        <w:rPr>
          <w:rStyle w:val="Satznummer"/>
        </w:rPr>
        <w:t>1</w:t>
      </w:r>
      <w:r>
        <w:t xml:space="preserve">Will die Fahrerlaubnisbehörde in einem Entziehungsverfahren einen Sachverhalt berücksichtigen, der Gegenstand der Urteilsfindung in einem Strafverfahren gegen den Inhaber der Fahrerlaubnis gewesen ist, so kann sie zu dessen Nachteil vom Inhalt des Urteils insoweit nicht abweichen, als es sich auf die Feststellung des Sachverhalts oder die Beurteilung der Schuldfrage oder der Eignung zum Führen von Kraftfahrzeugen bezieht. </w:t>
      </w:r>
      <w:r>
        <w:rPr>
          <w:rStyle w:val="Satznummer"/>
        </w:rPr>
        <w:t>2</w:t>
      </w:r>
      <w:r>
        <w:t>Der Strafbefehl und die gerichtliche Entscheidung, durch welche die Eröffnung des Hauptverfahrens oder der Antrag auf Erlass eines Strafbefehls abgelehnt wird, stehen einem Urteil gleich; dies gilt auch für Bußgeldentscheidungen, soweit sie sich auf die Feststellung des Sachverhalts und die Beurteilung der Schuldfrage beziehen.</w:t>
      </w:r>
    </w:p>
    <w:p>
      <w:r>
        <w:t>(5) Die Fahrerlaubnisbehörde darf der Polizei die verwaltungsbehördliche oder gerichtliche Entziehung der Fahrerlaubnis oder das Bestehen eines Fahrverbots übermitteln, soweit dies im Einzelfall für die polizeiliche Überwachung im Straßenverkehr erforderlich ist.</w:t>
      </w:r>
    </w:p>
    <w:p>
      <w:r>
        <w:t>(6) Für die Erteilung des Rechts, nach vorangegangener Entziehung oder vorangegangenem Verzicht von einer ausländischen Fahrerlaubnis im Inland wieder Gebrauch zu machen, an Personen mit ordentlichem Wohnsitz im Ausland gelten die Vorschriften über die Neuerteilung einer Fahrerlaubnis nach vorangegangener Entziehung oder vorangegangenem Verzicht entsprechend.</w:t>
      </w:r>
    </w:p>
    <w:p>
      <w:r>
        <w:t xml:space="preserve">(7) Durch Rechtsverordnung auf Grund des </w:t>
      </w:r>
      <w:hyperlink w:anchor="b26" w:history="1">
        <w:r>
          <w:rPr>
            <w:color w:val="0A3A8C"/>
            <w:u w:val="single"/>
          </w:rPr>
          <w:t xml:space="preserve">§ 6</w:t>
        </w:r>
      </w:hyperlink>
      <w:r>
        <w:t xml:space="preserve"> Absatz 1 Satz 1 Nummer 1 können Fristen und Voraussetzungen</w:t>
      </w:r>
    </w:p>
    <w:p>
      <w:pPr>
        <w:tabs>
          <w:tab w:pos="567" w:val="left"/>
        </w:tabs>
        <w:ind w:left="567" w:hanging="567"/>
      </w:pPr>
      <w:r>
        <w:t>1.</w:t>
      </w:r>
      <w:r>
        <w:tab/>
      </w:r>
      <w:r>
        <w:t>für die Erteilung einer neuen Fahrerlaubnis nach vorangegangener Entziehung oder nach vorangegangenem Verzicht oder</w:t>
      </w:r>
    </w:p>
    <w:p>
      <w:pPr>
        <w:tabs>
          <w:tab w:pos="567" w:val="left"/>
        </w:tabs>
        <w:ind w:left="567" w:hanging="567"/>
      </w:pPr>
      <w:r>
        <w:t>2.</w:t>
      </w:r>
      <w:r>
        <w:tab/>
      </w:r>
      <w:r>
        <w:t>für die Erteilung des Rechts, nach vorangegangener Entziehung oder vorangegangenem Verzicht von einer ausländischen Fahrerlaubnis im Inland wieder Gebrauch zu machen, an Personen mit ordentlichem Wohnsitz im Ausland</w:t>
      </w:r>
    </w:p>
    <w:p>
      <w:r>
        <w:t>bestimmt werden.</w:t>
      </w:r>
    </w:p>
    <w:p>
      <w:pPr>
        <w:pStyle w:val="Heading2"/>
      </w:pPr>
      <w:bookmarkStart w:id="20" w:name="b19"/>
      <w:r>
        <w:t>§ 4 Fahreignungs-Bewertungssystem</w:t>
      </w:r>
      <w:r>
        <w:t xml:space="preserve"> </w:t>
      </w:r>
      <w:r>
        <w:rPr>
          <w:rStyle w:val="Suchmarke"/>
        </w:rPr>
        <w:t>#4#</w:t>
      </w:r>
      <w:bookmarkEnd w:id="20"/>
    </w:p>
    <w:p>
      <w:r>
        <w:t xml:space="preserve">(1) </w:t>
      </w:r>
      <w:r>
        <w:rPr>
          <w:rStyle w:val="Satznummer"/>
        </w:rPr>
        <w:t>1</w:t>
      </w:r>
      <w:r>
        <w:t xml:space="preserve">Zum Schutz vor Gefahren, die von Inhabern einer Fahrerlaubnis ausgehen, die wiederholt gegen die die Sicherheit des Straßenverkehrs betreffenden straßenverkehrsrechtlichen oder gefahrgutbeförderungsrechtlichen Vorschriften verstoßen, hat die nach Landesrecht zuständige Behörde die in Absatz 5 genannten Maßnahmen (Fahreignungs-Bewertungssystem) zu ergreifen. </w:t>
      </w:r>
      <w:r>
        <w:rPr>
          <w:rStyle w:val="Satznummer"/>
        </w:rPr>
        <w:t>2</w:t>
      </w:r>
      <w:r>
        <w:t>Den in Satz 1 genannten Vorschriften stehen jeweils Vorschriften gleich, die dem Schutz</w:t>
      </w:r>
    </w:p>
    <w:p>
      <w:pPr>
        <w:tabs>
          <w:tab w:pos="567" w:val="left"/>
        </w:tabs>
        <w:ind w:left="567" w:hanging="567"/>
      </w:pPr>
      <w:r>
        <w:t>1.</w:t>
      </w:r>
      <w:r>
        <w:tab/>
      </w:r>
      <w:r>
        <w:t>von Maßnahmen zur Rettung aus Gefahren für Leib und Leben von Menschen oder</w:t>
      </w:r>
    </w:p>
    <w:p>
      <w:pPr>
        <w:tabs>
          <w:tab w:pos="567" w:val="left"/>
        </w:tabs>
        <w:ind w:left="567" w:hanging="567"/>
      </w:pPr>
      <w:r>
        <w:t>2.</w:t>
      </w:r>
      <w:r>
        <w:tab/>
      </w:r>
      <w:r>
        <w:t>zivilrechtlicher Ansprüche Unfallbeteiligter</w:t>
      </w:r>
    </w:p>
    <w:p>
      <w:r>
        <w:t xml:space="preserve">dienen. </w:t>
      </w:r>
      <w:r>
        <w:rPr>
          <w:rStyle w:val="Satznummer"/>
        </w:rPr>
        <w:t>3</w:t>
      </w:r>
      <w:r>
        <w:t xml:space="preserve">Das Fahreignungs-Bewertungssystem ist nicht anzuwenden, wenn sich die Notwendigkeit früherer oder anderer die Fahreignung betreffender Maßnahmen nach den Vorschriften über die Entziehung der Fahrerlaubnis nach </w:t>
      </w:r>
      <w:hyperlink w:anchor="b18" w:history="1">
        <w:r>
          <w:rPr>
            <w:color w:val="0A3A8C"/>
            <w:u w:val="single"/>
          </w:rPr>
          <w:t xml:space="preserve">§ 3</w:t>
        </w:r>
      </w:hyperlink>
      <w:r>
        <w:t xml:space="preserve"> Absatz 1 oder einer auf Grund </w:t>
      </w:r>
      <w:hyperlink w:anchor="b26" w:history="1">
        <w:r>
          <w:rPr>
            <w:color w:val="0A3A8C"/>
            <w:u w:val="single"/>
          </w:rPr>
          <w:t xml:space="preserve">§ 6</w:t>
        </w:r>
      </w:hyperlink>
      <w:r>
        <w:t xml:space="preserve"> Absatz 1 Satz 1 Nummer 1 erlassenen Rechtsverordnung ergibt. </w:t>
      </w:r>
      <w:r>
        <w:rPr>
          <w:rStyle w:val="Satznummer"/>
        </w:rPr>
        <w:t>4</w:t>
      </w:r>
      <w:r>
        <w:t>Das Fahreignungs-Bewertungssystem und die Regelungen über die Fahrerlaubnis auf Probe sind nebeneinander anzuwenden.</w:t>
      </w:r>
    </w:p>
    <w:p>
      <w:r>
        <w:t xml:space="preserve">(2) </w:t>
      </w:r>
      <w:r>
        <w:rPr>
          <w:rStyle w:val="Satznummer"/>
        </w:rPr>
        <w:t>1</w:t>
      </w:r>
      <w:r>
        <w:t xml:space="preserve">Für die Anwendung des Fahreignungs-Bewertungssystems sind die in einer Rechtsverordnung nach § 6 Absatz 1 Satz 1 Nummer 4 Buchstabe b bezeichneten Straftaten und Ordnungswidrigkeiten maßgeblich. </w:t>
      </w:r>
      <w:r>
        <w:rPr>
          <w:rStyle w:val="Satznummer"/>
        </w:rPr>
        <w:t>2</w:t>
      </w:r>
      <w:r>
        <w:t>Sie werden nach Maßgabe der in Satz 1 genannten Rechtsverordnung wie folgt bewertet:</w:t>
      </w:r>
    </w:p>
    <w:p>
      <w:pPr>
        <w:tabs>
          <w:tab w:pos="567" w:val="left"/>
        </w:tabs>
        <w:ind w:left="567" w:hanging="567"/>
      </w:pPr>
      <w:r>
        <w:t>1.</w:t>
      </w:r>
      <w:r>
        <w:tab/>
      </w:r>
      <w:r>
        <w:t>Straftaten mit Bezug auf die Verkehrssicherheit oder gleichgestellte Straftaten, sofern in der Entscheidung über die Straftat die Entziehung der Fahrerlaubnis nach den §§ 69 und 69b des Strafgesetzbuches oder eine Sperre nach § 69a Absatz 1 Satz 3 des Strafgesetzbuches angeordnet worden ist, mit drei Punkten,</w:t>
      </w:r>
    </w:p>
    <w:p>
      <w:pPr>
        <w:tabs>
          <w:tab w:pos="567" w:val="left"/>
        </w:tabs>
        <w:ind w:left="567" w:hanging="567"/>
      </w:pPr>
      <w:r>
        <w:t>2.</w:t>
      </w:r>
      <w:r>
        <w:tab/>
      </w:r>
      <w:r>
        <w:t>Straftaten mit Bezug auf die Verkehrssicherheit oder gleichgestellte Straftaten, sofern sie nicht von Nummer 1 erfasst sind, und besonders verkehrssicherheitsbeeinträchtigende oder gleichgestellte Ordnungswidrigkeiten jeweils mit zwei Punkten und</w:t>
      </w:r>
    </w:p>
    <w:p>
      <w:pPr>
        <w:tabs>
          <w:tab w:pos="567" w:val="left"/>
        </w:tabs>
        <w:ind w:left="567" w:hanging="567"/>
      </w:pPr>
      <w:r>
        <w:t>3.</w:t>
      </w:r>
      <w:r>
        <w:tab/>
      </w:r>
      <w:r>
        <w:t>verkehrssicherheitsbeeinträchtigende oder gleichgestellte Ordnungswidrigkeiten mit einem Punkt.</w:t>
      </w:r>
    </w:p>
    <w:p>
      <w:r>
        <w:rPr>
          <w:rStyle w:val="Satznummer"/>
        </w:rPr>
        <w:t>3</w:t>
      </w:r>
      <w:r>
        <w:t xml:space="preserve">Punkte ergeben sich mit der Begehung der Straftat oder Ordnungswidrigkeit, sofern sie rechtskräftig geahndet wird. </w:t>
      </w:r>
      <w:r>
        <w:rPr>
          <w:rStyle w:val="Satznummer"/>
        </w:rPr>
        <w:t>4</w:t>
      </w:r>
      <w:r>
        <w:t>Soweit in Entscheidungen über Straftaten oder Ordnungswidrigkeiten auf Tateinheit entschieden worden ist, wird nur die Zuwiderhandlung mit der höchsten Punktzahl berücksichtigt.</w:t>
      </w:r>
    </w:p>
    <w:p>
      <w:r>
        <w:t xml:space="preserve">(3) </w:t>
      </w:r>
      <w:r>
        <w:rPr>
          <w:rStyle w:val="Satznummer"/>
        </w:rPr>
        <w:t>1</w:t>
      </w:r>
      <w:r>
        <w:t xml:space="preserve">Wird eine Fahrerlaubnis erteilt, dürfen Punkte für vor der Erteilung rechtskräftig gewordene Entscheidungen über Zuwiderhandlungen nicht mehr berücksichtigt werden. </w:t>
      </w:r>
      <w:r>
        <w:rPr>
          <w:rStyle w:val="Satznummer"/>
        </w:rPr>
        <w:t>2</w:t>
      </w:r>
      <w:r>
        <w:t xml:space="preserve">Diese Punkte werden gelöscht. </w:t>
      </w:r>
      <w:r>
        <w:rPr>
          <w:rStyle w:val="Satznummer"/>
        </w:rPr>
        <w:t>3</w:t>
      </w:r>
      <w:r>
        <w:t>Die Sätze 1 und 2 gelten auch, wenn</w:t>
      </w:r>
    </w:p>
    <w:p>
      <w:pPr>
        <w:tabs>
          <w:tab w:pos="567" w:val="left"/>
        </w:tabs>
        <w:ind w:left="567" w:hanging="567"/>
      </w:pPr>
      <w:r>
        <w:t>1.</w:t>
      </w:r>
      <w:r>
        <w:tab/>
      </w:r>
      <w:r>
        <w:t>die Fahrerlaubnis entzogen,</w:t>
      </w:r>
    </w:p>
    <w:p>
      <w:pPr>
        <w:tabs>
          <w:tab w:pos="567" w:val="left"/>
        </w:tabs>
        <w:ind w:left="567" w:hanging="567"/>
      </w:pPr>
      <w:r>
        <w:t>2.</w:t>
      </w:r>
      <w:r>
        <w:tab/>
      </w:r>
      <w:r>
        <w:t>eine Sperre nach § 69a Absatz 1 Satz 3 des Strafgesetzbuches angeordnet oder</w:t>
      </w:r>
    </w:p>
    <w:p>
      <w:pPr>
        <w:tabs>
          <w:tab w:pos="567" w:val="left"/>
        </w:tabs>
        <w:ind w:left="567" w:hanging="567"/>
      </w:pPr>
      <w:r>
        <w:t>3.</w:t>
      </w:r>
      <w:r>
        <w:tab/>
      </w:r>
      <w:r>
        <w:t>auf die Fahrerlaubnis verzichtet</w:t>
      </w:r>
    </w:p>
    <w:p>
      <w:r>
        <w:t xml:space="preserve">worden ist und die Fahrerlaubnis danach neu erteilt wird. </w:t>
      </w:r>
      <w:r>
        <w:rPr>
          <w:rStyle w:val="Satznummer"/>
        </w:rPr>
        <w:t>4</w:t>
      </w:r>
      <w:r>
        <w:t>Die Sätze 1 und 2 gelten nicht bei</w:t>
      </w:r>
    </w:p>
    <w:p>
      <w:pPr>
        <w:tabs>
          <w:tab w:pos="567" w:val="left"/>
        </w:tabs>
        <w:ind w:left="567" w:hanging="567"/>
      </w:pPr>
      <w:r>
        <w:t>1.</w:t>
      </w:r>
      <w:r>
        <w:tab/>
      </w:r>
      <w:r>
        <w:t xml:space="preserve">Entziehung der Fahrerlaubnis nach </w:t>
      </w:r>
      <w:hyperlink w:anchor="b15" w:history="1">
        <w:r>
          <w:rPr>
            <w:color w:val="0A3A8C"/>
            <w:u w:val="single"/>
          </w:rPr>
          <w:t xml:space="preserve">§ 2a</w:t>
        </w:r>
      </w:hyperlink>
      <w:r>
        <w:t xml:space="preserve"> Absatz 3,</w:t>
      </w:r>
    </w:p>
    <w:p>
      <w:pPr>
        <w:tabs>
          <w:tab w:pos="567" w:val="left"/>
        </w:tabs>
        <w:ind w:left="567" w:hanging="567"/>
      </w:pPr>
      <w:r>
        <w:t>2.</w:t>
      </w:r>
      <w:r>
        <w:tab/>
      </w:r>
      <w:r>
        <w:t>Verlängerung einer Fahrerlaubnis,</w:t>
      </w:r>
    </w:p>
    <w:p>
      <w:pPr>
        <w:tabs>
          <w:tab w:pos="567" w:val="left"/>
        </w:tabs>
        <w:ind w:left="567" w:hanging="567"/>
      </w:pPr>
      <w:r>
        <w:t>3.</w:t>
      </w:r>
      <w:r>
        <w:tab/>
      </w:r>
      <w:r>
        <w:t>Erteilung nach Erlöschen einer befristet erteilten Fahrerlaubnis,</w:t>
      </w:r>
    </w:p>
    <w:p>
      <w:pPr>
        <w:tabs>
          <w:tab w:pos="567" w:val="left"/>
        </w:tabs>
        <w:ind w:left="567" w:hanging="567"/>
      </w:pPr>
      <w:r>
        <w:t>4.</w:t>
      </w:r>
      <w:r>
        <w:tab/>
      </w:r>
      <w:r>
        <w:t>Erweiterung einer Fahrerlaubnis oder</w:t>
      </w:r>
    </w:p>
    <w:p>
      <w:pPr>
        <w:tabs>
          <w:tab w:pos="567" w:val="left"/>
        </w:tabs>
        <w:ind w:left="567" w:hanging="567"/>
      </w:pPr>
      <w:r>
        <w:t>5.</w:t>
      </w:r>
      <w:r>
        <w:tab/>
      </w:r>
      <w:r>
        <w:t>vereinfachter Erteilung einer Fahrerlaubnis an Inhaber einer Dienstfahrerlaubnis oder Inhaber einer ausländischen Fahrerlaubnis.</w:t>
      </w:r>
    </w:p>
    <w:p>
      <w:r>
        <w:t>(4) Inhaber einer Fahrerlaubnis mit einem Punktestand von einem Punkt bis zu drei Punkten sind mit der Speicherung der zugrunde liegenden Entscheidungen nach § 28 Absatz 3 Nummer 1 oder 3 Buchstabe a oder c für die Zwecke des Fahreignungs-Bewertungssystems vorgemerkt.</w:t>
      </w:r>
    </w:p>
    <w:p>
      <w:r>
        <w:t xml:space="preserve">(5) </w:t>
      </w:r>
      <w:r>
        <w:rPr>
          <w:rStyle w:val="Satznummer"/>
        </w:rPr>
        <w:t>1</w:t>
      </w:r>
      <w:r>
        <w:t>Die nach Landesrecht zuständige Behörde hat gegenüber den Inhabern einer Fahrerlaubnis folgende Maßnahmen stufenweise zu ergreifen, sobald sich in der Summe folgende Punktestände ergeben:</w:t>
      </w:r>
    </w:p>
    <w:p>
      <w:pPr>
        <w:tabs>
          <w:tab w:pos="567" w:val="left"/>
        </w:tabs>
        <w:ind w:left="567" w:hanging="567"/>
      </w:pPr>
      <w:r>
        <w:t>1.</w:t>
      </w:r>
      <w:r>
        <w:tab/>
      </w:r>
      <w:r>
        <w:t>Ergeben sich vier oder fünf Punkte, ist der Inhaber einer Fahrerlaubnis beim Erreichen eines dieser Punktestände schriftlich zu ermahnen;</w:t>
      </w:r>
    </w:p>
    <w:p>
      <w:pPr>
        <w:tabs>
          <w:tab w:pos="567" w:val="left"/>
        </w:tabs>
        <w:ind w:left="567" w:hanging="567"/>
      </w:pPr>
      <w:r>
        <w:t>2.</w:t>
      </w:r>
      <w:r>
        <w:tab/>
      </w:r>
      <w:r>
        <w:t>ergeben sich sechs oder sieben Punkte, ist der Inhaber einer Fahrerlaubnis beim Erreichen eines dieser Punktestände schriftlich zu verwarnen;</w:t>
      </w:r>
    </w:p>
    <w:p>
      <w:pPr>
        <w:tabs>
          <w:tab w:pos="567" w:val="left"/>
        </w:tabs>
        <w:ind w:left="567" w:hanging="567"/>
      </w:pPr>
      <w:r>
        <w:t>3.</w:t>
      </w:r>
      <w:r>
        <w:tab/>
      </w:r>
      <w:r>
        <w:t>ergeben sich acht oder mehr Punkte, gilt der Inhaber einer Fahrerlaubnis als ungeeignet zum Führen von Kraftfahrzeugen und die Fahrerlaubnis ist zu entziehen.</w:t>
      </w:r>
    </w:p>
    <w:p>
      <w:r>
        <w:rPr>
          <w:rStyle w:val="Satznummer"/>
        </w:rPr>
        <w:t>2</w:t>
      </w:r>
      <w:r>
        <w:t xml:space="preserve">Die Ermahnung nach Satz 1 Nummer 1 und die Verwarnung nach Satz 1 Nummer 2 enthalten daneben den Hinweis, dass ein Fahreignungsseminar nach </w:t>
      </w:r>
      <w:hyperlink w:anchor="b20" w:history="1">
        <w:r>
          <w:rPr>
            <w:color w:val="0A3A8C"/>
            <w:u w:val="single"/>
          </w:rPr>
          <w:t xml:space="preserve">§ 4a</w:t>
        </w:r>
      </w:hyperlink>
      <w:r>
        <w:t xml:space="preserve"> freiwillig besucht werden kann, um das Verkehrsverhalten zu verbessern; im Fall der Verwarnung erfolgt zusätzlich der Hinweis, dass hierfür kein Punktabzug gewährt wird. </w:t>
      </w:r>
      <w:r>
        <w:rPr>
          <w:rStyle w:val="Satznummer"/>
        </w:rPr>
        <w:t>3</w:t>
      </w:r>
      <w:r>
        <w:t xml:space="preserve">In der Verwarnung nach Satz 1 Nummer 2 ist darüber zu unterrichten, dass bei Erreichen von acht Punkten die Fahrerlaubnis entzogen wird. </w:t>
      </w:r>
      <w:r>
        <w:rPr>
          <w:rStyle w:val="Satznummer"/>
        </w:rPr>
        <w:t>4</w:t>
      </w:r>
      <w:r>
        <w:t xml:space="preserve">Die nach Landesrecht zuständige Behörde ist bei den Maßnahmen nach Satz 1 an die rechtskräftige Entscheidung über die Straftat oder die Ordnungswidrigkeit gebunden. </w:t>
      </w:r>
      <w:r>
        <w:rPr>
          <w:rStyle w:val="Satznummer"/>
        </w:rPr>
        <w:t>5</w:t>
      </w:r>
      <w:r>
        <w:t xml:space="preserve">Sie hat für das Ergreifen der Maßnahmen nach Satz 1 auf den Punktestand abzustellen, der sich zum Zeitpunkt der Begehung der letzten zur Ergreifung der Maßnahme führenden Straftat oder Ordnungswidrigkeit ergeben hat. </w:t>
      </w:r>
      <w:r>
        <w:rPr>
          <w:rStyle w:val="Satznummer"/>
        </w:rPr>
        <w:t>6</w:t>
      </w:r>
      <w:r>
        <w:t>Bei der Berechnung des Punktestandes werden Zuwiderhandlungen</w:t>
      </w:r>
    </w:p>
    <w:p>
      <w:pPr>
        <w:tabs>
          <w:tab w:pos="567" w:val="left"/>
        </w:tabs>
        <w:ind w:left="567" w:hanging="567"/>
      </w:pPr>
      <w:r>
        <w:t>1.</w:t>
      </w:r>
      <w:r>
        <w:tab/>
      </w:r>
      <w:r>
        <w:t>unabhängig davon berücksichtigt, ob nach deren Begehung bereits Maßnahmen ergriffen worden sind,</w:t>
      </w:r>
    </w:p>
    <w:p>
      <w:pPr>
        <w:tabs>
          <w:tab w:pos="567" w:val="left"/>
        </w:tabs>
        <w:ind w:left="567" w:hanging="567"/>
      </w:pPr>
      <w:r>
        <w:t>2.</w:t>
      </w:r>
      <w:r>
        <w:tab/>
      </w:r>
      <w:r>
        <w:t>nur dann berücksichtigt, wenn deren Tilgungsfrist zu dem in Satz 5 genannten Zeitpunkt noch nicht abgelaufen war.</w:t>
      </w:r>
    </w:p>
    <w:p>
      <w:r>
        <w:rPr>
          <w:rStyle w:val="Satznummer"/>
        </w:rPr>
        <w:t>7</w:t>
      </w:r>
      <w:r>
        <w:t>Spätere Verringerungen des Punktestandes auf Grund von Tilgungen bleiben unberücksichtigt.</w:t>
      </w:r>
    </w:p>
    <w:p>
      <w:r>
        <w:t xml:space="preserve">(6) </w:t>
      </w:r>
      <w:r>
        <w:rPr>
          <w:rStyle w:val="Satznummer"/>
        </w:rPr>
        <w:t>1</w:t>
      </w:r>
      <w:r>
        <w:t xml:space="preserve">Die nach Landesrecht zuständige Behörde darf eine Maßnahme nach Absatz 5 Satz 1 Nummer 2 oder 3 erst ergreifen, wenn die Maßnahme der jeweils davor liegenden Stufe nach Absatz 5 Satz 1 Nummer 1 oder 2 bereits ergriffen worden ist. </w:t>
      </w:r>
      <w:r>
        <w:rPr>
          <w:rStyle w:val="Satznummer"/>
        </w:rPr>
        <w:t>2</w:t>
      </w:r>
      <w:r>
        <w:t xml:space="preserve">Sofern die Maßnahme der davor liegenden Stufe noch nicht ergriffen worden ist, ist diese zu ergreifen. </w:t>
      </w:r>
      <w:r>
        <w:rPr>
          <w:rStyle w:val="Satznummer"/>
        </w:rPr>
        <w:t>3</w:t>
      </w:r>
      <w:r>
        <w:t>Im Fall des Satzes 2 verringert sich der Punktestand mit Wirkung vom Tag des Ausstellens der ergriffenen</w:t>
      </w:r>
    </w:p>
    <w:p>
      <w:pPr>
        <w:tabs>
          <w:tab w:pos="567" w:val="left"/>
        </w:tabs>
        <w:ind w:left="567" w:hanging="567"/>
      </w:pPr>
      <w:r>
        <w:t>1.</w:t>
      </w:r>
      <w:r>
        <w:tab/>
      </w:r>
      <w:r>
        <w:t>Ermahnung auf fünf Punkte,</w:t>
      </w:r>
    </w:p>
    <w:p>
      <w:pPr>
        <w:tabs>
          <w:tab w:pos="567" w:val="left"/>
        </w:tabs>
        <w:ind w:left="567" w:hanging="567"/>
      </w:pPr>
      <w:r>
        <w:t>2.</w:t>
      </w:r>
      <w:r>
        <w:tab/>
      </w:r>
      <w:r>
        <w:t>Verwarnung auf sieben Punkte,</w:t>
      </w:r>
    </w:p>
    <w:p>
      <w:r>
        <w:t xml:space="preserve">wenn der Punktestand zu diesem Zeitpunkt nicht bereits durch Tilgungen oder Punktabzüge niedriger ist. </w:t>
      </w:r>
      <w:r>
        <w:rPr>
          <w:rStyle w:val="Satznummer"/>
        </w:rPr>
        <w:t>4</w:t>
      </w:r>
      <w:r>
        <w:t xml:space="preserve">Punkte für Zuwiderhandlungen, die vor der Verringerung nach Satz 3 begangen worden sind und von denen die nach Landesrecht zuständige Behörde erst nach der Verringerung Kenntnis erhält, erhöhen den sich nach Satz 3 ergebenden Punktestand. </w:t>
      </w:r>
      <w:r>
        <w:rPr>
          <w:rStyle w:val="Satznummer"/>
        </w:rPr>
        <w:t>5</w:t>
      </w:r>
      <w:r>
        <w:t>Späteren Tilgungen oder Punktabzügen wird der sich nach Anwendung der Sätze 3 und 4 ergebende Punktestand zugrunde gelegt.</w:t>
      </w:r>
    </w:p>
    <w:p>
      <w:r>
        <w:t xml:space="preserve">(7) </w:t>
      </w:r>
      <w:r>
        <w:rPr>
          <w:rStyle w:val="Satznummer"/>
        </w:rPr>
        <w:t>1</w:t>
      </w:r>
      <w:r>
        <w:t xml:space="preserve">Nehmen Inhaber einer Fahrerlaubnis freiwillig an einem Fahreignungsseminar teil und legen sie hierüber der nach Landesrecht zuständigen Behörde innerhalb von zwei Wochen nach Beendigung des Seminars eine Teilnahmebescheinigung vor, wird ihnen bei einem Punktestand von ein bis fünf Punkten ein Punkt abgezogen; maßgeblich ist der Punktestand zum Zeitpunkt der Ausstellung der Teilnahmebescheinigung. </w:t>
      </w:r>
      <w:r>
        <w:rPr>
          <w:rStyle w:val="Satznummer"/>
        </w:rPr>
        <w:t>2</w:t>
      </w:r>
      <w:r>
        <w:t xml:space="preserve">Der Besuch eines Fahreignungsseminars führt jeweils nur einmal innerhalb von fünf Jahren zu einem Punktabzug. </w:t>
      </w:r>
      <w:r>
        <w:rPr>
          <w:rStyle w:val="Satznummer"/>
        </w:rPr>
        <w:t>3</w:t>
      </w:r>
      <w:r>
        <w:t>Für den zu verringernden Punktestand und die Berechnung der Fünfjahresfrist ist jeweils das Ausstellungsdatum der Teilnahmebescheinigung maßgeblich.</w:t>
      </w:r>
    </w:p>
    <w:p>
      <w:r>
        <w:t xml:space="preserve">(8) </w:t>
      </w:r>
      <w:r>
        <w:rPr>
          <w:rStyle w:val="Satznummer"/>
        </w:rPr>
        <w:t>1</w:t>
      </w:r>
      <w:r>
        <w:t xml:space="preserve">Zur Vorbereitung der Maßnahmen nach Absatz 5 hat das Kraftfahrt-Bundesamt bei Erreichen der jeweiligen Punktestände nach Absatz 5, auch in Verbindung mit den Absätzen 6 und 7, der nach Landesrecht zuständigen Behörde die vorhandenen Eintragungen aus dem Fahreignungsregister zu übermitteln. </w:t>
      </w:r>
      <w:r>
        <w:rPr>
          <w:rStyle w:val="Satznummer"/>
        </w:rPr>
        <w:t>2</w:t>
      </w:r>
      <w:r>
        <w:t>Unabhängig von Satz 1 hat das Kraftfahrt-Bundesamt bei jeder Entscheidung, die wegen einer Zuwiderhandlung nach</w:t>
      </w:r>
    </w:p>
    <w:p>
      <w:pPr>
        <w:tabs>
          <w:tab w:pos="567" w:val="left"/>
        </w:tabs>
        <w:ind w:left="567" w:hanging="567"/>
      </w:pPr>
      <w:r>
        <w:t>1.</w:t>
      </w:r>
      <w:r>
        <w:tab/>
      </w:r>
      <w:r>
        <w:t>§ 315c Absatz 1 Nummer 1 Buchstabe a des Strafgesetzbuches,</w:t>
      </w:r>
    </w:p>
    <w:p>
      <w:pPr>
        <w:tabs>
          <w:tab w:pos="567" w:val="left"/>
        </w:tabs>
        <w:ind w:left="567" w:hanging="567"/>
      </w:pPr>
      <w:r>
        <w:t>2.</w:t>
      </w:r>
      <w:r>
        <w:tab/>
      </w:r>
      <w:r>
        <w:t>den §§ 316 oder 323a des Strafgesetzbuches oder</w:t>
      </w:r>
    </w:p>
    <w:p>
      <w:pPr>
        <w:tabs>
          <w:tab w:pos="567" w:val="left"/>
        </w:tabs>
        <w:ind w:left="567" w:hanging="567"/>
      </w:pPr>
      <w:r>
        <w:t>3.</w:t>
      </w:r>
      <w:r>
        <w:tab/>
      </w:r>
      <w:r>
        <w:t>den §§ 24a oder 24c</w:t>
      </w:r>
    </w:p>
    <w:p>
      <w:r>
        <w:t>ergangen ist, der nach Landesrecht zuständigen Behörde die vorhandenen Eintragungen aus dem Fahreignungsregister zu übermitteln.</w:t>
      </w:r>
    </w:p>
    <w:p>
      <w:r>
        <w:t>(9) Widerspruch und Anfechtungsklage gegen die Entziehung nach Absatz 5 Satz 1 Nummer 3 haben keine aufschiebende Wirkung.</w:t>
      </w:r>
    </w:p>
    <w:p>
      <w:r>
        <w:t xml:space="preserve">(10) </w:t>
      </w:r>
      <w:r>
        <w:rPr>
          <w:rStyle w:val="Satznummer"/>
        </w:rPr>
        <w:t>1</w:t>
      </w:r>
      <w:r>
        <w:t xml:space="preserve">Ist die Fahrerlaubnis nach Absatz 5 Satz 1 Nummer 3 entzogen worden, darf eine neue Fahrerlaubnis frühestens sechs Monate nach Wirksamkeit der Entziehung erteilt werden. </w:t>
      </w:r>
      <w:r>
        <w:rPr>
          <w:rStyle w:val="Satznummer"/>
        </w:rPr>
        <w:t>2</w:t>
      </w:r>
      <w:r>
        <w:t xml:space="preserve">Das gilt auch bei einem Verzicht auf die Fahrerlaubnis, wenn zum Zeitpunkt der Wirksamkeit des Verzichtes mindestens zwei Entscheidungen nach § 28 Absatz 3 Nummer 1 oder 3 Buchstabe a oder c gespeichert waren. </w:t>
      </w:r>
      <w:r>
        <w:rPr>
          <w:rStyle w:val="Satznummer"/>
        </w:rPr>
        <w:t>3</w:t>
      </w:r>
      <w:r>
        <w:t>Im Fall des Satzes 1, auch in Verbindung mit Satz 2, beginnt die Frist</w:t>
      </w:r>
    </w:p>
    <w:p>
      <w:pPr>
        <w:tabs>
          <w:tab w:pos="567" w:val="left"/>
        </w:tabs>
        <w:ind w:left="567" w:hanging="567"/>
      </w:pPr>
      <w:r>
        <w:t>1.</w:t>
      </w:r>
      <w:r>
        <w:tab/>
      </w:r>
      <w:r>
        <w:t xml:space="preserve">in den Fällen, in denen der Führerschein der Fahrerlaubnisbehörde abzuliefern oder zur Eintragung der Entscheidung vorzulegen ist, mit der Ablieferung oder Vorlage des Führerscheins nach </w:t>
      </w:r>
      <w:hyperlink w:anchor="b18" w:history="1">
        <w:r>
          <w:rPr>
            <w:color w:val="0A3A8C"/>
            <w:u w:val="single"/>
          </w:rPr>
          <w:t xml:space="preserve">§ 3</w:t>
        </w:r>
      </w:hyperlink>
      <w:r>
        <w:t xml:space="preserve"> Absatz 2 Satz 3 in Verbindung mit Satz 5,</w:t>
      </w:r>
    </w:p>
    <w:p>
      <w:pPr>
        <w:tabs>
          <w:tab w:pos="567" w:val="left"/>
        </w:tabs>
        <w:ind w:left="567" w:hanging="567"/>
      </w:pPr>
      <w:r>
        <w:t>2.</w:t>
      </w:r>
      <w:r>
        <w:tab/>
      </w:r>
      <w:r>
        <w:t>in den Fällen, in denen der Führerschein weder abzuliefern noch zur Eintragung der Entscheidung vorzulegen ist, mit Wirksamkeit der Entziehung nach Absatz 5 Satz 1 Nummer 3.</w:t>
      </w:r>
    </w:p>
    <w:p>
      <w:r>
        <w:rPr>
          <w:rStyle w:val="Satznummer"/>
        </w:rPr>
        <w:t>4</w:t>
      </w:r>
      <w:r>
        <w:t>In den Fällen des Satzes 1, auch in Verbindung mit Satz 2, hat die nach Landesrecht zuständige Behörde unbeschadet der Erfüllung der sonstigen Voraussetzungen für die Erteilung der Fahrerlaubnis zum Nachweis, dass die Eignung zum Führen von Kraftfahrzeugen wiederhergestellt ist, in der Regel die Beibringung eines Gutachtens einer amtlich anerkannten Begutachtungsstelle für Fahreignung anzuordnen.</w:t>
      </w:r>
    </w:p>
    <w:p>
      <w:pPr>
        <w:pStyle w:val="Heading2"/>
      </w:pPr>
      <w:bookmarkStart w:id="21" w:name="b20"/>
      <w:r>
        <w:t>§ 4a Fahreignungsseminar</w:t>
      </w:r>
      <w:r>
        <w:t xml:space="preserve"> </w:t>
      </w:r>
      <w:r>
        <w:rPr>
          <w:rStyle w:val="Suchmarke"/>
        </w:rPr>
        <w:t>#4a#</w:t>
      </w:r>
      <w:bookmarkEnd w:id="21"/>
    </w:p>
    <w:p>
      <w:r>
        <w:t xml:space="preserve">(1) </w:t>
      </w:r>
      <w:r>
        <w:rPr>
          <w:rStyle w:val="Satznummer"/>
        </w:rPr>
        <w:t>1</w:t>
      </w:r>
      <w:r>
        <w:t xml:space="preserve">Mit dem Fahreignungsseminar soll erreicht werden, dass die Teilnehmer sicherheitsrelevante Mängel in ihrem Verkehrsverhalten und insbesondere in ihrem Fahrverhalten erkennen und abbauen. </w:t>
      </w:r>
      <w:r>
        <w:rPr>
          <w:rStyle w:val="Satznummer"/>
        </w:rPr>
        <w:t>2</w:t>
      </w:r>
      <w:r>
        <w:t>Hierzu sollen die Teilnehmer durch die Vermittlung von Kenntnissen zum Straßenverkehrsrecht, zu Gefahrenpotenzialen und zu verkehrssicherem Verhalten im Straßenverkehr, durch Analyse und Korrektur verkehrssicherheitsgefährdender Verhaltensweisen sowie durch Aufzeigen der Bedingungen und Zusammenhänge des regelwidrigen Verkehrsverhaltens veranlasst werden.</w:t>
      </w:r>
    </w:p>
    <w:p>
      <w:r>
        <w:t xml:space="preserve">(2) </w:t>
      </w:r>
      <w:r>
        <w:rPr>
          <w:rStyle w:val="Satznummer"/>
        </w:rPr>
        <w:t>1</w:t>
      </w:r>
      <w:r>
        <w:t xml:space="preserve">Das Fahreignungsseminar besteht aus einer verkehrspädagogischen und aus einer verkehrspsychologischen Teilmaßnahme, die aufeinander abzustimmen sind. </w:t>
      </w:r>
      <w:r>
        <w:rPr>
          <w:rStyle w:val="Satznummer"/>
        </w:rPr>
        <w:t>2</w:t>
      </w:r>
      <w:r>
        <w:t>Zur Durchführung sind berechtigt</w:t>
      </w:r>
    </w:p>
    <w:p>
      <w:pPr>
        <w:tabs>
          <w:tab w:pos="567" w:val="left"/>
        </w:tabs>
        <w:ind w:left="567" w:hanging="567"/>
      </w:pPr>
      <w:r>
        <w:t>1.</w:t>
      </w:r>
      <w:r>
        <w:tab/>
      </w:r>
      <w:r>
        <w:t>für die verkehrspädagogische Teilmaßnahme Fahrlehrer, die über eine Seminarerlaubnis Verkehrspädagogik nach § 46 des Fahrlehrergesetzes und</w:t>
      </w:r>
    </w:p>
    <w:p>
      <w:pPr>
        <w:tabs>
          <w:tab w:pos="567" w:val="left"/>
        </w:tabs>
        <w:ind w:left="567" w:hanging="567"/>
      </w:pPr>
      <w:r>
        <w:t>2.</w:t>
      </w:r>
      <w:r>
        <w:tab/>
      </w:r>
      <w:r>
        <w:t>für die verkehrspsychologische Teilmaßnahme Personen, die über eine Seminarerlaubnis Verkehrspsychologie nach Absatz 3</w:t>
      </w:r>
    </w:p>
    <w:p>
      <w:r>
        <w:t>verfügen.</w:t>
      </w:r>
    </w:p>
    <w:p>
      <w:r>
        <w:t xml:space="preserve">(3) </w:t>
      </w:r>
      <w:r>
        <w:rPr>
          <w:rStyle w:val="Satznummer"/>
        </w:rPr>
        <w:t>1</w:t>
      </w:r>
      <w:r>
        <w:t xml:space="preserve">Wer die verkehrspsychologische Teilmaßnahme des Fahreignungsseminars im Sinne des Absatzes 2 Satz 2 Nummer 2 durchführt, bedarf der Erlaubnis (Seminarerlaubnis Verkehrspsychologie). </w:t>
      </w:r>
      <w:r>
        <w:rPr>
          <w:rStyle w:val="Satznummer"/>
        </w:rPr>
        <w:t>2</w:t>
      </w:r>
      <w:r>
        <w:t xml:space="preserve">Die Seminarerlaubnis Verkehrspsychologie wird durch die nach Landesrecht zuständige Behörde erteilt. </w:t>
      </w:r>
      <w:r>
        <w:rPr>
          <w:rStyle w:val="Satznummer"/>
        </w:rPr>
        <w:t>3</w:t>
      </w:r>
      <w:r>
        <w:t xml:space="preserve">Die nach Landesrecht zuständige Behörde kann nachträglich Auflagen anordnen, soweit dies erforderlich ist, um die Einhaltung der Anforderungen an Fahreignungsseminare und deren ordnungsgemäße Durchführung sicherzustellen. </w:t>
      </w:r>
      <w:r>
        <w:rPr>
          <w:rStyle w:val="Satznummer"/>
        </w:rPr>
        <w:t>4</w:t>
      </w:r>
      <w:r>
        <w:t>§ 13 des Fahrlehrergesetzes gilt entsprechend.</w:t>
      </w:r>
    </w:p>
    <w:p>
      <w:r>
        <w:t xml:space="preserve">(4) </w:t>
      </w:r>
      <w:r>
        <w:rPr>
          <w:rStyle w:val="Satznummer"/>
        </w:rPr>
        <w:t>1</w:t>
      </w:r>
      <w:r>
        <w:t>Die Seminarerlaubnis Verkehrspsychologie wird auf Antrag erteilt, wenn der Bewerber</w:t>
      </w:r>
    </w:p>
    <w:p>
      <w:pPr>
        <w:tabs>
          <w:tab w:pos="567" w:val="left"/>
        </w:tabs>
        <w:ind w:left="567" w:hanging="567"/>
      </w:pPr>
      <w:r>
        <w:t>1.</w:t>
      </w:r>
      <w:r>
        <w:tab/>
      </w:r>
      <w:r>
        <w:t>über einen Abschluss eines Hochschulstudiums als Diplom-Psychologe oder einen gleichwertigen Master-Abschluss in Psychologie verfügt,</w:t>
      </w:r>
    </w:p>
    <w:p>
      <w:pPr>
        <w:tabs>
          <w:tab w:pos="567" w:val="left"/>
        </w:tabs>
        <w:ind w:left="567" w:hanging="567"/>
      </w:pPr>
      <w:r>
        <w:t>2.</w:t>
      </w:r>
      <w:r>
        <w:tab/>
      </w:r>
      <w:r>
        <w:t>eine verkehrspsychologische Ausbildung an einer Universität oder gleichgestellten Hochschule oder Stelle, die sich mit der Begutachtung oder Wiederherstellung der Kraftfahreignung befasst, oder eine fachpsychologische Qualifikation nach dem Stand der Wissenschaft durchlaufen hat,</w:t>
      </w:r>
    </w:p>
    <w:p>
      <w:pPr>
        <w:tabs>
          <w:tab w:pos="567" w:val="left"/>
        </w:tabs>
        <w:ind w:left="567" w:hanging="567"/>
      </w:pPr>
      <w:r>
        <w:t>3.</w:t>
      </w:r>
      <w:r>
        <w:tab/>
      </w:r>
      <w:r>
        <w:t>über Erfahrungen in der Verkehrspsychologie</w:t>
      </w:r>
    </w:p>
    <w:p>
      <w:pPr>
        <w:tabs>
          <w:tab w:pos="1134" w:val="left"/>
        </w:tabs>
        <w:ind w:left="1134" w:hanging="567"/>
      </w:pPr>
      <w:r>
        <w:t>a)</w:t>
      </w:r>
      <w:r>
        <w:tab/>
      </w:r>
      <w:r>
        <w:t>durch eine mindestens dreijährige Begutachtung von Kraftfahrern an einer Begutachtungsstelle für Fahreignung oder eine mindestens dreijährige Durchführung von besonderen Aufbauseminaren oder von Kursen zur Wiederherstellung der Kraftfahreignung,</w:t>
      </w:r>
    </w:p>
    <w:p>
      <w:pPr>
        <w:tabs>
          <w:tab w:pos="1134" w:val="left"/>
        </w:tabs>
        <w:ind w:left="1134" w:hanging="567"/>
      </w:pPr>
      <w:r>
        <w:t>b)</w:t>
      </w:r>
      <w:r>
        <w:tab/>
      </w:r>
      <w:r>
        <w:t>durch eine mindestens fünfjährige freiberufliche verkehrspsychologische Tätigkeit, deren Nachweis durch Bestätigungen von Behörden oder Begutachtungsstellen für Fahreignung oder durch die Dokumentation von zehn Therapiemaßnahmen für verkehrsauffällige Kraftfahrer, die mit einer positiven Begutachtung abgeschlossen wurden, erbracht werden kann, oder</w:t>
      </w:r>
    </w:p>
    <w:p>
      <w:pPr>
        <w:tabs>
          <w:tab w:pos="1134" w:val="left"/>
        </w:tabs>
        <w:ind w:left="1134" w:hanging="567"/>
      </w:pPr>
      <w:r>
        <w:t>c)</w:t>
      </w:r>
      <w:r>
        <w:tab/>
      </w:r>
      <w:r>
        <w:t>durch eine mindestens dreijährige freiberufliche verkehrspsychologische Tätigkeit nach vorherigem Erwerb einer Qualifikation als klinischer Psychologe oder Psychotherapeut nach dem Stand der Wissenschaft</w:t>
      </w:r>
    </w:p>
    <w:p>
      <w:pPr>
        <w:ind w:left="567"/>
      </w:pPr>
      <w:r>
        <w:t>verfügt,</w:t>
      </w:r>
    </w:p>
    <w:p>
      <w:pPr>
        <w:tabs>
          <w:tab w:pos="567" w:val="left"/>
        </w:tabs>
        <w:ind w:left="567" w:hanging="567"/>
      </w:pPr>
      <w:r>
        <w:t>4.</w:t>
      </w:r>
      <w:r>
        <w:tab/>
      </w:r>
      <w:r>
        <w:t>im Fahreignungsregister mit nicht mehr als zwei Punkten belastet ist und</w:t>
      </w:r>
    </w:p>
    <w:p>
      <w:pPr>
        <w:tabs>
          <w:tab w:pos="567" w:val="left"/>
        </w:tabs>
        <w:ind w:left="567" w:hanging="567"/>
      </w:pPr>
      <w:r>
        <w:t>5.</w:t>
      </w:r>
      <w:r>
        <w:tab/>
      </w:r>
      <w:r>
        <w:t>eine zur Durchführung der verkehrspsychologischen Teilmaßnahme geeignete räumliche und sachliche Ausstattung nachweist.</w:t>
      </w:r>
    </w:p>
    <w:p>
      <w:r>
        <w:rPr>
          <w:rStyle w:val="Satznummer"/>
        </w:rPr>
        <w:t>2</w:t>
      </w:r>
      <w:r>
        <w:t>Die Erlaubnis ist zu versagen, wenn Tatsachen vorliegen, die Bedenken gegen die Zuverlässigkeit des Antragstellers begründen.</w:t>
      </w:r>
    </w:p>
    <w:p>
      <w:r>
        <w:t xml:space="preserve">(5) </w:t>
      </w:r>
      <w:r>
        <w:rPr>
          <w:rStyle w:val="Satznummer"/>
        </w:rPr>
        <w:t>1</w:t>
      </w:r>
      <w:r>
        <w:t xml:space="preserve">Die Seminarerlaubnis Verkehrspsychologie ist zurückzunehmen, wenn bei ihrer Erteilung eine der Voraussetzungen des Absatzes 4 nicht vorgelegen hat. </w:t>
      </w:r>
      <w:r>
        <w:rPr>
          <w:rStyle w:val="Satznummer"/>
        </w:rPr>
        <w:t>2</w:t>
      </w:r>
      <w:r>
        <w:t xml:space="preserve">Die nach Landesrecht zuständige Behörde kann von der Rücknahme absehen, wenn der Mangel nicht mehr besteht. </w:t>
      </w:r>
      <w:r>
        <w:rPr>
          <w:rStyle w:val="Satznummer"/>
        </w:rPr>
        <w:t>3</w:t>
      </w:r>
      <w:r>
        <w:t xml:space="preserve">Die Seminarerlaubnis Verkehrspsychologie ist zu widerrufen, wenn nachträglich eine der in Absatz 4 genannten Voraussetzungen weggefallen ist. </w:t>
      </w:r>
      <w:r>
        <w:rPr>
          <w:rStyle w:val="Satznummer"/>
        </w:rPr>
        <w:t>4</w:t>
      </w:r>
      <w:r>
        <w:t>Bedenken gegen die Zuverlässigkeit bestehen insbesondere dann, wenn der Seminarleiter wiederholt die Pflichten grob verletzt hat, die ihm nach diesem Gesetz oder den auf ihm beruhenden Rechtsverordnungen obliegen.</w:t>
      </w:r>
    </w:p>
    <w:p>
      <w:r>
        <w:t xml:space="preserve">(6) </w:t>
      </w:r>
      <w:r>
        <w:rPr>
          <w:rStyle w:val="Satznummer"/>
        </w:rPr>
        <w:t>1</w:t>
      </w:r>
      <w:r>
        <w:t xml:space="preserve">Der Inhaber einer Seminarerlaubnis Verkehrspsychologie hat die personenbezogenen Daten, die ihm als Seminarleiter der verkehrspsychologischen Teilmaßnahme bekannt geworden sind, zu speichern und fünf Jahre nach der Ausstellung einer vorgeschriebenen Teilnahmebescheinigung unverzüglich zu löschen. </w:t>
      </w:r>
      <w:r>
        <w:rPr>
          <w:rStyle w:val="Satznummer"/>
        </w:rPr>
        <w:t>2</w:t>
      </w:r>
      <w:r>
        <w:t>Die Daten nach Satz 1 dürfen</w:t>
      </w:r>
    </w:p>
    <w:p>
      <w:pPr>
        <w:tabs>
          <w:tab w:pos="567" w:val="left"/>
        </w:tabs>
        <w:ind w:left="567" w:hanging="567"/>
      </w:pPr>
      <w:r>
        <w:t>1.</w:t>
      </w:r>
      <w:r>
        <w:tab/>
      </w:r>
      <w:r>
        <w:t>vom Inhaber der Seminarerlaubnis Verkehrspsychologie längstens neun Monate nach der Ausstellung der Teilnahmebescheinigung für die Durchführung des jeweiligen Fahreignungsseminars verwendet werden,</w:t>
      </w:r>
    </w:p>
    <w:p>
      <w:pPr>
        <w:tabs>
          <w:tab w:pos="567" w:val="left"/>
        </w:tabs>
        <w:ind w:left="567" w:hanging="567"/>
      </w:pPr>
      <w:r>
        <w:t>2.</w:t>
      </w:r>
      <w:r>
        <w:tab/>
      </w:r>
      <w:r>
        <w:t xml:space="preserve">vom Inhaber der Seminarerlaubnis Verkehrspsychologie der Bundesanstalt für Straßen- und Verkehrswesen übermittelt und von dieser zur Evaluierung nach </w:t>
      </w:r>
      <w:hyperlink w:anchor="b21" w:history="1">
        <w:r>
          <w:rPr>
            <w:color w:val="0A3A8C"/>
            <w:u w:val="single"/>
          </w:rPr>
          <w:t xml:space="preserve">§ 4b</w:t>
        </w:r>
      </w:hyperlink>
      <w:r>
        <w:t xml:space="preserve"> verwendet werden,</w:t>
      </w:r>
    </w:p>
    <w:p>
      <w:pPr>
        <w:tabs>
          <w:tab w:pos="567" w:val="left"/>
        </w:tabs>
        <w:ind w:left="567" w:hanging="567"/>
      </w:pPr>
      <w:r>
        <w:t>3.</w:t>
      </w:r>
      <w:r>
        <w:tab/>
      </w:r>
      <w:r>
        <w:t>von der Bundesanstalt für Straßenwesen oder in ihrem Auftrag an Dritte, die die Evaluierung nach § 4b im Auftrag der Bundesanstalt für Straßen- und Verkehrswesen durchführen oder an ihr beteiligt sind, übermittelt und von den Dritten für die Evaluierung verwendet werden,</w:t>
      </w:r>
    </w:p>
    <w:p>
      <w:pPr>
        <w:tabs>
          <w:tab w:pos="567" w:val="left"/>
        </w:tabs>
        <w:ind w:left="567" w:hanging="567"/>
      </w:pPr>
      <w:r>
        <w:t>4.</w:t>
      </w:r>
      <w:r>
        <w:tab/>
      </w:r>
      <w:r>
        <w:t>vom Inhaber der Seminarerlaubnis Verkehrspsychologie ausschließlich in Gestalt von Name, Vorname, Geburtsdatum und Anschrift des Seminarteilnehmers sowie dessen Unterschrift zur Teilnahmebestätigung</w:t>
      </w:r>
    </w:p>
    <w:p>
      <w:pPr>
        <w:tabs>
          <w:tab w:pos="1134" w:val="left"/>
        </w:tabs>
        <w:ind w:left="1134" w:hanging="567"/>
      </w:pPr>
      <w:r>
        <w:t>a)</w:t>
      </w:r>
      <w:r>
        <w:tab/>
      </w:r>
      <w:r>
        <w:t>der nach Landesrecht zuständigen Behörde übermittelt und von dieser zur Überwachung nach Absatz 8 verwendet werden,</w:t>
      </w:r>
    </w:p>
    <w:p>
      <w:pPr>
        <w:tabs>
          <w:tab w:pos="1134" w:val="left"/>
        </w:tabs>
        <w:ind w:left="1134" w:hanging="567"/>
      </w:pPr>
      <w:r>
        <w:t>b)</w:t>
      </w:r>
      <w:r>
        <w:tab/>
      </w:r>
      <w:r>
        <w:t>an Dritte, die ein von der zuständigen Behörde genehmigtes Qualitätssicherungssystem nach Absatz 8 Satz 6 betreiben und an dem der Inhaber der Seminarerlaubnis Verkehrspsychologie teilnimmt, übermittelt und im Rahmen dieses Qualitätssicherungssystems verwendet werden.</w:t>
      </w:r>
    </w:p>
    <w:p>
      <w:r>
        <w:rPr>
          <w:rStyle w:val="Satznummer"/>
        </w:rPr>
        <w:t>3</w:t>
      </w:r>
      <w:r>
        <w:t>Die Empfänger nach Satz 2 haben die Daten unverzüglich zu löschen, wenn sie nicht mehr für die in Satz 2 jeweils genannten Zwecke benötigt werden, spätestens jedoch fünf Jahre nach der Ausstellung der Teilnahmebescheinigung nach Satz 1.</w:t>
      </w:r>
    </w:p>
    <w:p>
      <w:r>
        <w:t>(7) Jeder Inhaber einer Seminarerlaubnis Verkehrspsychologie hat alle zwei Jahre an einer insbesondere die Fahreignung betreffenden verkehrspsychologischen Fortbildung von mindestens sechs Stunden teilzunehmen.</w:t>
      </w:r>
    </w:p>
    <w:p>
      <w:r>
        <w:t xml:space="preserve">(8) </w:t>
      </w:r>
      <w:r>
        <w:rPr>
          <w:rStyle w:val="Satznummer"/>
        </w:rPr>
        <w:t>1</w:t>
      </w:r>
      <w:r>
        <w:t xml:space="preserve">Die Durchführung der verkehrspsychologischen Teilmaßnahme des Fahreignungsseminars unterliegt der Überwachung der nach Landesrecht zuständigen Behörde. </w:t>
      </w:r>
      <w:r>
        <w:rPr>
          <w:rStyle w:val="Satznummer"/>
        </w:rPr>
        <w:t>2</w:t>
      </w:r>
      <w:r>
        <w:t xml:space="preserve">Die nach Landesrecht zuständige Behörde kann sich bei der Überwachung geeigneter Personen oder Stellen nach Landesrecht bedienen. </w:t>
      </w:r>
      <w:r>
        <w:rPr>
          <w:rStyle w:val="Satznummer"/>
        </w:rPr>
        <w:t>3</w:t>
      </w:r>
      <w:r>
        <w:t xml:space="preserve">Die nach Landesrecht zuständige Behörde hat mindestens alle zwei Jahre an Ort und Stelle zu prüfen, ob die gesetzlichen Anforderungen an die Durchführung der verkehrspsychologischen Teilmaßnahme eingehalten werden. </w:t>
      </w:r>
      <w:r>
        <w:rPr>
          <w:rStyle w:val="Satznummer"/>
        </w:rPr>
        <w:t>4</w:t>
      </w:r>
      <w:r>
        <w:t xml:space="preserve">Der Inhaber der Seminarerlaubnis Verkehrspsychologie hat die Prüfung zu ermöglichen. </w:t>
      </w:r>
      <w:r>
        <w:rPr>
          <w:rStyle w:val="Satznummer"/>
        </w:rPr>
        <w:t>5</w:t>
      </w:r>
      <w:r>
        <w:t xml:space="preserve">Die in Satz 3 genannte Frist kann von der nach Landesrecht zuständigen Behörde auf vier Jahre verlängert werden, wenn in zwei aufeinanderfolgenden Überprüfungen keine oder nur geringfügige Mängel festgestellt worden sind. </w:t>
      </w:r>
      <w:r>
        <w:rPr>
          <w:rStyle w:val="Satznummer"/>
        </w:rPr>
        <w:t>6</w:t>
      </w:r>
      <w:r>
        <w:t xml:space="preserve">Die nach Landesrecht zuständige Behörde kann von der wiederkehrenden Überwachung nach den Sätzen 1 bis 5 absehen, wenn der Inhaber einer Seminarerlaubnis Verkehrspsychologie sich einem von der nach Landesrecht zuständigen Behörde anerkannten Qualitätssicherungssystem angeschlossen hat. </w:t>
      </w:r>
      <w:r>
        <w:rPr>
          <w:rStyle w:val="Satznummer"/>
        </w:rPr>
        <w:t>7</w:t>
      </w:r>
      <w:r>
        <w:t xml:space="preserve">Im Fall des Satzes 6 bleibt die Befugnis der nach Landesrecht zuständigen Behörde zur Überwachung im Sinne der Sätze 1 bis 5 unberührt. </w:t>
      </w:r>
      <w:r>
        <w:rPr>
          <w:rStyle w:val="Satznummer"/>
        </w:rPr>
        <w:t>8</w:t>
      </w:r>
      <w:r>
        <w:t>Das Bundesministerium für Verkehr soll durch Rechtsverordnung mit Zustimmung des Bundesrates Anforderung an Qualitätssicherungssysteme und Regeln für die Durchführung der Qualitätssicherung bestimmen.</w:t>
      </w:r>
    </w:p>
    <w:p>
      <w:pPr>
        <w:pStyle w:val="Heading2"/>
      </w:pPr>
      <w:bookmarkStart w:id="22" w:name="b21"/>
      <w:r>
        <w:t>§ 4b Evaluierung</w:t>
      </w:r>
      <w:r>
        <w:t xml:space="preserve"> </w:t>
      </w:r>
      <w:r>
        <w:rPr>
          <w:rStyle w:val="Suchmarke"/>
        </w:rPr>
        <w:t>#4b#</w:t>
      </w:r>
      <w:bookmarkEnd w:id="22"/>
    </w:p>
    <w:p>
      <w:r>
        <w:rPr>
          <w:rStyle w:val="Satznummer"/>
        </w:rPr>
        <w:t>1</w:t>
      </w:r>
      <w:r>
        <w:t xml:space="preserve">Das Fahreignungsseminar, die Vorschriften hierzu und der Vollzug werden von der Bundesanstalt für Straßen- und Verkehrswesen wissenschaftlich begleitet und evaluiert. </w:t>
      </w:r>
      <w:r>
        <w:rPr>
          <w:rStyle w:val="Satznummer"/>
        </w:rPr>
        <w:t>2</w:t>
      </w:r>
      <w:r>
        <w:t xml:space="preserve">Die Evaluierung hat insbesondere zu untersuchen, ob das Fahreignungsseminar eine verhaltensverbessernde Wirkung im Hinblick auf die Verkehrssicherheit hat. </w:t>
      </w:r>
      <w:r>
        <w:rPr>
          <w:rStyle w:val="Satznummer"/>
        </w:rPr>
        <w:t>3</w:t>
      </w:r>
      <w:r>
        <w:t>Die Bundesanstalt für Straßen- und Verkehrswesen legt das Ergebnis der Evaluierung bis zum 1. Mai 2019 dem Bundesministerium für Verkehr in einem Bericht zur Weiterleitung an den Deutschen Bundestag vor.</w:t>
      </w:r>
    </w:p>
    <w:p>
      <w:pPr>
        <w:pStyle w:val="Heading2"/>
      </w:pPr>
      <w:bookmarkStart w:id="23" w:name="b22"/>
      <w:r>
        <w:t>§ 4c Verbot der Täuschung über den Beteiligten an einem Verkehrsverstoß</w:t>
      </w:r>
      <w:r>
        <w:t xml:space="preserve"> </w:t>
      </w:r>
      <w:r>
        <w:rPr>
          <w:rStyle w:val="Suchmarke"/>
        </w:rPr>
        <w:t>#4c#</w:t>
      </w:r>
      <w:bookmarkEnd w:id="23"/>
    </w:p>
    <w:p>
      <w:r>
        <w:t>(1) Es ist verboten, es zu unternehmen, eine Behörde über den Beteiligten an einer der in Anlage 13 der Fahrerlaubnis-Verordnung bezeichneten Ordnungswidrigkeiten zu täuschen, oder eine solche Unternehmung anzubieten.</w:t>
      </w:r>
    </w:p>
    <w:p>
      <w:r>
        <w:t>(2) Es ist verboten, den Kontakt zu einem Dritten zu vermitteln, der bereit ist, es zu unternehmen, eine Behörde über den Beteiligten an einer der in Anlage 13 der Fahrerlaubnis-Verordnung bezeichneten Ordnungswidrigkeiten zu täuschen, oder eine solche Vermittlung anzubieten.</w:t>
      </w:r>
    </w:p>
    <w:p>
      <w:pPr>
        <w:pStyle w:val="Heading2"/>
      </w:pPr>
      <w:bookmarkStart w:id="24" w:name="b23"/>
      <w:r>
        <w:t>§ 5 Verlust von Dokumenten und Kennzeichen</w:t>
      </w:r>
      <w:r>
        <w:t xml:space="preserve"> </w:t>
      </w:r>
      <w:r>
        <w:rPr>
          <w:rStyle w:val="Suchmarke"/>
        </w:rPr>
        <w:t>#5#</w:t>
      </w:r>
      <w:bookmarkEnd w:id="24"/>
    </w:p>
    <w:p>
      <w:r>
        <w:rPr>
          <w:rStyle w:val="Satznummer"/>
        </w:rPr>
        <w:t>1</w:t>
      </w:r>
      <w:r>
        <w:t xml:space="preserve">Besteht eine Verpflichtung zur Ablieferung oder Vorlage eines Führerscheins, Fahrzeugscheins, Anhängerverzeichnisses, Fahrzeugbriefs, Nachweises über die Zuteilung des amtlichen Kennzeichens oder über die Betriebserlaubnis oder EG-Typgenehmigung, eines ausländischen Führerscheins oder Zulassungsscheins oder eines internationalen Führerscheins oder Zulassungsscheins oder amtlicher Kennzeichen oder Versicherungskennzeichen und behauptet der Verpflichtete, der Ablieferungs- oder Vorlagepflicht deshalb nicht nachkommen zu können, weil ihm der Schein, das Verzeichnis, der Brief, der Nachweis oder die Kennzeichen verloren gegangen oder sonst abhanden gekommen sind, so hat er auf Verlangen der Verwaltungsbehörde eine Versicherung an Eides statt über den Verbleib des Scheins, Verzeichnisses, Briefs, Nachweises oder der Kennzeichen abzugeben. </w:t>
      </w:r>
      <w:r>
        <w:rPr>
          <w:rStyle w:val="Satznummer"/>
        </w:rPr>
        <w:t>2</w:t>
      </w:r>
      <w:r>
        <w:t>Dies gilt auch, wenn jemand für einen verloren gegangenen oder sonst abhanden gekommenen Schein, Brief oder Nachweis oder ein verloren gegangenes oder sonst abhanden gekommenes Anhängerverzeichnis oder Kennzeichen eine neue Ausfertigung oder ein neues Kennzeichen beantragt.</w:t>
      </w:r>
    </w:p>
    <w:p>
      <w:pPr>
        <w:pStyle w:val="Heading2"/>
      </w:pPr>
      <w:bookmarkStart w:id="25" w:name="b24"/>
      <w:r>
        <w:t>§ 5a</w:t>
      </w:r>
      <w:r>
        <w:t xml:space="preserve"> </w:t>
      </w:r>
      <w:r>
        <w:rPr>
          <w:rStyle w:val="Suchmarke"/>
        </w:rPr>
        <w:t>#5a#</w:t>
      </w:r>
      <w:bookmarkEnd w:id="25"/>
    </w:p>
    <w:p>
      <w:r>
        <w:t>(weggefallen)</w:t>
      </w:r>
    </w:p>
    <w:p>
      <w:pPr>
        <w:pStyle w:val="Heading2"/>
      </w:pPr>
      <w:bookmarkStart w:id="26" w:name="b25"/>
      <w:r>
        <w:t>§ 5b Unterhaltung der Verkehrszeichen</w:t>
      </w:r>
      <w:r>
        <w:t xml:space="preserve"> </w:t>
      </w:r>
      <w:r>
        <w:rPr>
          <w:rStyle w:val="Suchmarke"/>
        </w:rPr>
        <w:t>#5b#</w:t>
      </w:r>
      <w:bookmarkEnd w:id="26"/>
    </w:p>
    <w:p>
      <w:r>
        <w:t xml:space="preserve">(1) </w:t>
      </w:r>
      <w:r>
        <w:rPr>
          <w:rStyle w:val="Satznummer"/>
        </w:rPr>
        <w:t>1</w:t>
      </w:r>
      <w:r>
        <w:t xml:space="preserve">Die Kosten der Beschaffung, Anbringung, Entfernung, Unterhaltung und des Betriebs der amtlichen Verkehrszeichen und -einrichtungen sowie der sonstigen vom Bundesministerium für Verkehr zugelassenen Verkehrszeichen und -einrichtungen trägt der Träger der Straßenbaulast für diejenige Straße, in deren Verlauf sie angebracht werden oder angebracht worden sind, bei geteilter Straßenbaulast der für die durchgehende Fahrbahn zuständige Träger der Straßenbaulast. </w:t>
      </w:r>
      <w:r>
        <w:rPr>
          <w:rStyle w:val="Satznummer"/>
        </w:rPr>
        <w:t>2</w:t>
      </w:r>
      <w:r>
        <w:t>Ist ein Träger der Straßenbaulast nicht vorhanden, so trägt der Eigentümer der Straße die Kosten.</w:t>
      </w:r>
    </w:p>
    <w:p>
      <w:r>
        <w:t>(2) Diese Kosten tragen abweichend vom Absatz 1</w:t>
      </w:r>
    </w:p>
    <w:p>
      <w:pPr>
        <w:tabs>
          <w:tab w:pos="567" w:val="left"/>
        </w:tabs>
        <w:ind w:left="567" w:hanging="567"/>
      </w:pPr>
      <w:r>
        <w:t>a)</w:t>
      </w:r>
      <w:r>
        <w:tab/>
      </w:r>
      <w:r>
        <w:t>die Unternehmer der Schienenbahnen für Andreaskreuze, Schranken, Blinklichter mit oder ohne Halbschranken;</w:t>
      </w:r>
    </w:p>
    <w:p>
      <w:pPr>
        <w:tabs>
          <w:tab w:pos="567" w:val="left"/>
        </w:tabs>
        <w:ind w:left="567" w:hanging="567"/>
      </w:pPr>
      <w:r>
        <w:t>b)</w:t>
      </w:r>
      <w:r>
        <w:tab/>
      </w:r>
      <w:r>
        <w:t>die Unternehmer im Sinne des Personenbeförderungsgesetzes für Haltestellenzeichen;</w:t>
      </w:r>
    </w:p>
    <w:p>
      <w:pPr>
        <w:tabs>
          <w:tab w:pos="567" w:val="left"/>
        </w:tabs>
        <w:ind w:left="567" w:hanging="567"/>
      </w:pPr>
      <w:r>
        <w:t>c)</w:t>
      </w:r>
      <w:r>
        <w:tab/>
      </w:r>
      <w:r>
        <w:t>die Gemeinden in der Ortsdurchfahrt für Parkuhren und andere Vorrichtungen oder Einrichtungen zur Überwachung der Parkzeit, Straßenschilder, Geländer, Wegweiser zu innerörtlichen Zielen und Verkehrszeichen für Laternen, die nicht die ganze Nacht brennen;</w:t>
      </w:r>
    </w:p>
    <w:p>
      <w:pPr>
        <w:tabs>
          <w:tab w:pos="567" w:val="left"/>
        </w:tabs>
        <w:ind w:left="567" w:hanging="567"/>
      </w:pPr>
      <w:r>
        <w:t>d)</w:t>
      </w:r>
      <w:r>
        <w:tab/>
      </w:r>
      <w:r>
        <w:t>die Bauunternehmer und die sonstigen Unternehmer von Arbeiten auf und neben der Straße für Verkehrszeichen und -einrichtungen, die durch diese Arbeiten erforderlich werden;</w:t>
      </w:r>
    </w:p>
    <w:p>
      <w:pPr>
        <w:tabs>
          <w:tab w:pos="567" w:val="left"/>
        </w:tabs>
        <w:ind w:left="567" w:hanging="567"/>
      </w:pPr>
      <w:r>
        <w:t>e)</w:t>
      </w:r>
      <w:r>
        <w:tab/>
      </w:r>
      <w:r>
        <w:t>die Unternehmer von Werkstätten, Tankstellen sowie sonstigen Anlagen und Veranstaltungen für die entsprechenden amtlichen oder zugelassenen Hinweiszeichen;</w:t>
      </w:r>
    </w:p>
    <w:p>
      <w:pPr>
        <w:tabs>
          <w:tab w:pos="567" w:val="left"/>
        </w:tabs>
        <w:ind w:left="567" w:hanging="567"/>
      </w:pPr>
      <w:r>
        <w:t>f)</w:t>
      </w:r>
      <w:r>
        <w:tab/>
      </w:r>
      <w:r>
        <w:t>die Träger der Straßenbaulast der Straßen, von denen der Verkehr umgeleitet werden soll, für Wegweiser für Bedarfsumleitungen.</w:t>
      </w:r>
    </w:p>
    <w:p>
      <w:r>
        <w:t>(3) Das Bundesministerium für Verkehr wird ermächtigt, durch Rechtsverordnung mit Zustimmung des Bundesrates bei der Einführung neuer amtlicher Verkehrszeichen und -einrichtungen zu bestimmen, dass abweichend von Absatz 1 die Kosten entsprechend den Regelungen des Absatzes 2 ein anderer zu tragen hat.</w:t>
      </w:r>
    </w:p>
    <w:p>
      <w:r>
        <w:t>(4) Kostenregelungen auf Grund kreuzungsrechtlicher Vorschriften nach Bundes- und Landesrecht bleiben unberührt.</w:t>
      </w:r>
    </w:p>
    <w:p>
      <w:r>
        <w:t>(5) Diese Kostenregelung umfasst auch die Kosten für Verkehrszählungen, Lärmmessungen, Lärmberechnungen und Abgasmessungen.</w:t>
      </w:r>
    </w:p>
    <w:p>
      <w:r>
        <w:t xml:space="preserve">(6) </w:t>
      </w:r>
      <w:r>
        <w:rPr>
          <w:rStyle w:val="Satznummer"/>
        </w:rPr>
        <w:t>1</w:t>
      </w:r>
      <w:r>
        <w:t xml:space="preserve">Können Verkehrszeichen oder Verkehrseinrichtungen aus technischen Gründen oder wegen der Sicherheit und Leichtigkeit des Straßenverkehrs nicht auf der Straße angebracht werden, haben die Eigentümer der Anliegergrundstücke das Anbringen zu dulden. </w:t>
      </w:r>
      <w:r>
        <w:rPr>
          <w:rStyle w:val="Satznummer"/>
        </w:rPr>
        <w:t>2</w:t>
      </w:r>
      <w:r>
        <w:t xml:space="preserve">Schäden, die durch das Anbringen oder Entfernen der Verkehrszeichen oder Verkehrseinrichtungen entstehen, sind zu beseitigen. </w:t>
      </w:r>
      <w:r>
        <w:rPr>
          <w:rStyle w:val="Satznummer"/>
        </w:rPr>
        <w:t>3</w:t>
      </w:r>
      <w:r>
        <w:t xml:space="preserve">Wird die Benutzung eines Grundstücks oder sein Wert durch die Verkehrszeichen oder Verkehrseinrichtungen nicht unerheblich beeinträchtigt oder können Schäden, die durch das Anbringen oder Entfernen der Verkehrszeichen oder Verkehrseinrichtungen entstanden sind, nicht beseitigt werden, so ist eine angemessene Entschädigung in Geld zu leisten. </w:t>
      </w:r>
      <w:r>
        <w:rPr>
          <w:rStyle w:val="Satznummer"/>
        </w:rPr>
        <w:t>4</w:t>
      </w:r>
      <w:r>
        <w:t xml:space="preserve">Zur Schadensbeseitigung und zur Entschädigungsleistung ist derjenige verpflichtet, der die Kosten für die Verkehrszeichen und Verkehrseinrichtungen zu tragen hat. </w:t>
      </w:r>
      <w:r>
        <w:rPr>
          <w:rStyle w:val="Satznummer"/>
        </w:rPr>
        <w:t>5</w:t>
      </w:r>
      <w:r>
        <w:t xml:space="preserve">Kommt eine Einigung nicht zustande, so entscheidet die höhere Verwaltungsbehörde. </w:t>
      </w:r>
      <w:r>
        <w:rPr>
          <w:rStyle w:val="Satznummer"/>
        </w:rPr>
        <w:t>6</w:t>
      </w:r>
      <w:r>
        <w:t xml:space="preserve">Vor der Entscheidung sind die Beteiligten zu hören. </w:t>
      </w:r>
      <w:r>
        <w:rPr>
          <w:rStyle w:val="Satznummer"/>
        </w:rPr>
        <w:t>7</w:t>
      </w:r>
      <w:r>
        <w:t xml:space="preserve">Die Landesregierungen werden ermächtigt, durch Rechtsverordnung die zuständige Behörde abweichend von Satz 5 zu bestimmen. </w:t>
      </w:r>
      <w:r>
        <w:rPr>
          <w:rStyle w:val="Satznummer"/>
        </w:rPr>
        <w:t>8</w:t>
      </w:r>
      <w:r>
        <w:t>Sie können diese Ermächtigung auf oberste Landesbehörden übertragen.</w:t>
      </w:r>
    </w:p>
    <w:p>
      <w:pPr>
        <w:pStyle w:val="Heading2"/>
      </w:pPr>
      <w:bookmarkStart w:id="27" w:name="b26"/>
      <w:r>
        <w:t>§ 6 Verordnungsermächtigungen</w:t>
      </w:r>
      <w:r>
        <w:t xml:space="preserve"> </w:t>
      </w:r>
      <w:r>
        <w:rPr>
          <w:rStyle w:val="Suchmarke"/>
        </w:rPr>
        <w:t>#6#</w:t>
      </w:r>
      <w:bookmarkEnd w:id="27"/>
    </w:p>
    <w:p>
      <w:r>
        <w:t xml:space="preserve">(1) </w:t>
      </w:r>
      <w:r>
        <w:rPr>
          <w:rStyle w:val="Satznummer"/>
        </w:rPr>
        <w:t>1</w:t>
      </w:r>
      <w:r>
        <w:t>Das Bundesministerium für Verkehr wird ermächtigt, soweit es zur Abwehr von Gefahren für die Sicherheit oder Leichtigkeit des Verkehrs auf öffentlichen Straßen erforderlich ist, Rechtsverordnungen mit Zustimmung des Bundesrates über Folgendes zu erlassen:</w:t>
      </w:r>
    </w:p>
    <w:p>
      <w:pPr>
        <w:tabs>
          <w:tab w:pos="567" w:val="left"/>
        </w:tabs>
        <w:ind w:left="567" w:hanging="567"/>
      </w:pPr>
      <w:r>
        <w:t>1.</w:t>
      </w:r>
      <w:r>
        <w:tab/>
      </w:r>
      <w:r>
        <w:t>die Zulassung von Personen zum Straßenverkehr, insbesondere über</w:t>
      </w:r>
    </w:p>
    <w:p>
      <w:pPr>
        <w:tabs>
          <w:tab w:pos="1134" w:val="left"/>
        </w:tabs>
        <w:ind w:left="1134" w:hanging="567"/>
      </w:pPr>
      <w:r>
        <w:t>a)</w:t>
      </w:r>
      <w:r>
        <w:tab/>
      </w:r>
      <w:r>
        <w:t>den Inhalt und die Gültigkeitsdauer von Fahrerlaubnissen, insbesondere unterschieden nach Fahrerlaubnisklassen, über die Probezeit sowie über Auflagen und Beschränkungen zu Fahrerlaubnissen,</w:t>
      </w:r>
    </w:p>
    <w:p>
      <w:pPr>
        <w:tabs>
          <w:tab w:pos="1134" w:val="left"/>
        </w:tabs>
        <w:ind w:left="1134" w:hanging="567"/>
      </w:pPr>
      <w:r>
        <w:t>b)</w:t>
      </w:r>
      <w:r>
        <w:tab/>
      </w:r>
      <w:r>
        <w:t>die erforderliche Befähigung und Eignung von Personen für ihre Teilnahme am Straßenverkehr, das Mindestalter und die sonstigen Anforderungen und Voraussetzungen zur Teilnahme am Straßenverkehr,</w:t>
      </w:r>
    </w:p>
    <w:p>
      <w:pPr>
        <w:tabs>
          <w:tab w:pos="1134" w:val="left"/>
        </w:tabs>
        <w:ind w:left="1134" w:hanging="567"/>
      </w:pPr>
      <w:r>
        <w:t>c)</w:t>
      </w:r>
      <w:r>
        <w:tab/>
      </w:r>
      <w:r>
        <w:t>die Ausbildung und die Fortbildung von Personen zur Herstellung und zum Erhalt der Voraussetzungen nach Buchstabe b und die sonstigen Maßnahmen, um die sichere Teilnahme von Personen am Straßenverkehr zu gewährleisten, insbesondere hinsichtlich Personen, die nur bedingt geeignet oder ungeeignet oder nicht befähigt zur Teilnahme am Straßenverkehr sind,</w:t>
      </w:r>
    </w:p>
    <w:p>
      <w:pPr>
        <w:tabs>
          <w:tab w:pos="1134" w:val="left"/>
        </w:tabs>
        <w:ind w:left="1134" w:hanging="567"/>
      </w:pPr>
      <w:r>
        <w:t>d)</w:t>
      </w:r>
      <w:r>
        <w:tab/>
      </w:r>
      <w:r>
        <w:t>die Prüfung und Beurteilung des Erfüllens der Voraussetzungen nach den Buchstaben b und c,</w:t>
      </w:r>
    </w:p>
    <w:p>
      <w:pPr>
        <w:tabs>
          <w:tab w:pos="1134" w:val="left"/>
        </w:tabs>
        <w:ind w:left="1134" w:hanging="567"/>
      </w:pPr>
      <w:r>
        <w:t>e)</w:t>
      </w:r>
      <w:r>
        <w:tab/>
      </w:r>
      <w:r>
        <w:t>Ausnahmen von einzelnen Anforderungen und Inhalten der Zulassung von Personen, insbesondere von der Fahrerlaubnispflicht und von einzelnen Erteilungsvoraussetzungen,</w:t>
      </w:r>
    </w:p>
    <w:p>
      <w:pPr>
        <w:tabs>
          <w:tab w:pos="567" w:val="left"/>
        </w:tabs>
        <w:ind w:left="567" w:hanging="567"/>
      </w:pPr>
      <w:r>
        <w:t>2.</w:t>
      </w:r>
      <w:r>
        <w:tab/>
      </w:r>
      <w:r>
        <w:t>das Verhalten im Verkehr, auch im ruhenden Verkehr,</w:t>
      </w:r>
    </w:p>
    <w:p>
      <w:pPr>
        <w:tabs>
          <w:tab w:pos="567" w:val="left"/>
        </w:tabs>
        <w:ind w:left="567" w:hanging="567"/>
      </w:pPr>
      <w:r>
        <w:t>3.</w:t>
      </w:r>
      <w:r>
        <w:tab/>
      </w:r>
      <w:r>
        <w:t>das Verhalten der Beteiligten nach einem Verkehrsunfall, das geboten ist, um</w:t>
      </w:r>
    </w:p>
    <w:p>
      <w:pPr>
        <w:tabs>
          <w:tab w:pos="1134" w:val="left"/>
        </w:tabs>
        <w:ind w:left="1134" w:hanging="567"/>
      </w:pPr>
      <w:r>
        <w:t>a)</w:t>
      </w:r>
      <w:r>
        <w:tab/>
      </w:r>
      <w:r>
        <w:t>den Verkehr zu sichern und Verletzten zu helfen,</w:t>
      </w:r>
    </w:p>
    <w:p>
      <w:pPr>
        <w:tabs>
          <w:tab w:pos="1134" w:val="left"/>
        </w:tabs>
        <w:ind w:left="1134" w:hanging="567"/>
      </w:pPr>
      <w:r>
        <w:t>b)</w:t>
      </w:r>
      <w:r>
        <w:tab/>
      </w:r>
      <w:r>
        <w:t>Feststellungen zu ermöglichen, die zur Geltendmachung oder Abwehr von zivilrechtlichen Schadensersatzansprüchen erforderlich sind, insbesondere Feststellungen zur Person der Beteiligten, zur Art ihrer Beteiligung, zum Unfallhergang und zum Versicherer der unfallbeteiligten Fahrzeuge,</w:t>
      </w:r>
    </w:p>
    <w:p>
      <w:pPr>
        <w:tabs>
          <w:tab w:pos="567" w:val="left"/>
        </w:tabs>
        <w:ind w:left="567" w:hanging="567"/>
      </w:pPr>
      <w:r>
        <w:t>4.</w:t>
      </w:r>
      <w:r>
        <w:tab/>
      </w:r>
      <w:r>
        <w:t>die Bezeichnung von im Fahreignungsregister zu speichernden Straftaten und Ordnungswidrigkeiten</w:t>
      </w:r>
    </w:p>
    <w:p>
      <w:pPr>
        <w:tabs>
          <w:tab w:pos="1134" w:val="left"/>
        </w:tabs>
        <w:ind w:left="1134" w:hanging="567"/>
      </w:pPr>
      <w:r>
        <w:t>a)</w:t>
      </w:r>
      <w:r>
        <w:tab/>
      </w:r>
      <w:r>
        <w:t>für die Maßnahmen nach den Regelungen der Fahrerlaubnis auf Probe nebst der Bewertung dieser Straftaten und Ordnungswidrigkeiten als schwerwiegend oder weniger schwerwiegend,</w:t>
      </w:r>
    </w:p>
    <w:p>
      <w:pPr>
        <w:tabs>
          <w:tab w:pos="1134" w:val="left"/>
        </w:tabs>
        <w:ind w:left="1134" w:hanging="567"/>
      </w:pPr>
      <w:r>
        <w:t>b)</w:t>
      </w:r>
      <w:r>
        <w:tab/>
      </w:r>
      <w:r>
        <w:t>für die Maßnahmen des Fahreignungsbewertungssystems, wobei</w:t>
      </w:r>
    </w:p>
    <w:p>
      <w:pPr>
        <w:tabs>
          <w:tab w:pos="1701" w:val="left"/>
        </w:tabs>
        <w:ind w:left="1701" w:hanging="567"/>
      </w:pPr>
      <w:r>
        <w:t>aa)</w:t>
      </w:r>
      <w:r>
        <w:tab/>
      </w:r>
      <w:r>
        <w:t>bei der Bezeichnung von Straftaten deren Bedeutung für die Sicherheit im Straßenverkehr zugrunde zu legen ist,</w:t>
      </w:r>
    </w:p>
    <w:p>
      <w:pPr>
        <w:tabs>
          <w:tab w:pos="1701" w:val="left"/>
        </w:tabs>
        <w:ind w:left="1701" w:hanging="567"/>
      </w:pPr>
      <w:r>
        <w:t>bb)</w:t>
      </w:r>
      <w:r>
        <w:tab/>
      </w:r>
      <w:r>
        <w:t>Ordnungswidrigkeiten mit Punkten bewertet werden und bei der Bezeichnung und Bewertung von Ordnungswidrigkeiten deren jeweilige Bedeutung für die Sicherheit des Straßenverkehrs und die Höhe des angedrohten Regelsatzes der Geldbuße oder eines Regelfahrverbotes zugrunde zu legen sind,</w:t>
      </w:r>
    </w:p>
    <w:p>
      <w:pPr>
        <w:tabs>
          <w:tab w:pos="567" w:val="left"/>
        </w:tabs>
        <w:ind w:left="567" w:hanging="567"/>
      </w:pPr>
      <w:r>
        <w:t>5.</w:t>
      </w:r>
      <w:r>
        <w:tab/>
      </w:r>
      <w:r>
        <w:t>die Anforderungen an</w:t>
      </w:r>
    </w:p>
    <w:p>
      <w:pPr>
        <w:tabs>
          <w:tab w:pos="1134" w:val="left"/>
        </w:tabs>
        <w:ind w:left="1134" w:hanging="567"/>
      </w:pPr>
      <w:r>
        <w:t>a)</w:t>
      </w:r>
      <w:r>
        <w:tab/>
      </w:r>
      <w:r>
        <w:t>Bau, Einrichtung, Ausrüstung, Beschaffenheit, Prüfung und Betrieb von Fahrzeugen,</w:t>
      </w:r>
    </w:p>
    <w:p>
      <w:pPr>
        <w:tabs>
          <w:tab w:pos="1134" w:val="left"/>
        </w:tabs>
        <w:ind w:left="1134" w:hanging="567"/>
      </w:pPr>
      <w:r>
        <w:t>b)</w:t>
      </w:r>
      <w:r>
        <w:tab/>
      </w:r>
      <w:r>
        <w:t>die in oder auf Fahrzeugen einzubauenden oder zu verwendenden Fahrzeugteile, insbesondere Anlagen, Bauteile, Instrumente, Geräte und sonstige Ausrüstungsgegenstände, einschließlich deren Prüfung,</w:t>
      </w:r>
    </w:p>
    <w:p>
      <w:pPr>
        <w:tabs>
          <w:tab w:pos="567" w:val="left"/>
        </w:tabs>
        <w:ind w:left="567" w:hanging="567"/>
      </w:pPr>
      <w:r>
        <w:t>6.</w:t>
      </w:r>
      <w:r>
        <w:tab/>
      </w:r>
      <w:r>
        <w:t>die Zulassung von Fahrzeugen zum Straßenverkehr, insbesondere über</w:t>
      </w:r>
    </w:p>
    <w:p>
      <w:pPr>
        <w:tabs>
          <w:tab w:pos="1134" w:val="left"/>
        </w:tabs>
        <w:ind w:left="1134" w:hanging="567"/>
      </w:pPr>
      <w:r>
        <w:t>a)</w:t>
      </w:r>
      <w:r>
        <w:tab/>
      </w:r>
      <w:r>
        <w:t>die Voraussetzungen für die Zulassung, die Vorgaben für das Inbetriebsetzen zulassungspflichtiger und zulassungsfreier Fahrzeuge, die regelmäßige Untersuchung der Fahrzeuge sowie über die Verantwortung, die Pflichten und die Rechte der Halter,</w:t>
      </w:r>
    </w:p>
    <w:p>
      <w:pPr>
        <w:tabs>
          <w:tab w:pos="1134" w:val="left"/>
        </w:tabs>
        <w:ind w:left="1134" w:hanging="567"/>
      </w:pPr>
      <w:r>
        <w:t>b)</w:t>
      </w:r>
      <w:r>
        <w:tab/>
      </w:r>
      <w:r>
        <w:t>Ausnahmen von der Pflicht zur Zulassung sowie Ausnahmen von einzelnen Anforderungen nach Buchstabe a,</w:t>
      </w:r>
    </w:p>
    <w:p>
      <w:pPr>
        <w:tabs>
          <w:tab w:pos="567" w:val="left"/>
        </w:tabs>
        <w:ind w:left="567" w:hanging="567"/>
      </w:pPr>
      <w:r>
        <w:t>7.</w:t>
      </w:r>
      <w:r>
        <w:tab/>
      </w:r>
      <w:r>
        <w:t>die Einrichtung einer zentralen Stelle zur Erarbeitung und Evaluierung von verbindlichen Prüfvorgaben bei regelmäßigen Fahrzeuguntersuchungen,</w:t>
      </w:r>
    </w:p>
    <w:p>
      <w:pPr>
        <w:tabs>
          <w:tab w:pos="567" w:val="left"/>
        </w:tabs>
        <w:ind w:left="567" w:hanging="567"/>
      </w:pPr>
      <w:r>
        <w:t>8.</w:t>
      </w:r>
      <w:r>
        <w:tab/>
      </w:r>
      <w:r>
        <w:t>die zur Verhütung von Belästigungen anderer, zur Verhütung von schädlichen Umwelteinwirkungen im Sinne des Bundes-Immissionsschutzgesetzes oder zur Unterstützung einer geordneten städtebaulichen Entwicklung erforderlichen Maßnahmen,</w:t>
      </w:r>
    </w:p>
    <w:p>
      <w:pPr>
        <w:tabs>
          <w:tab w:pos="567" w:val="left"/>
        </w:tabs>
        <w:ind w:left="567" w:hanging="567"/>
      </w:pPr>
      <w:r>
        <w:t>9.</w:t>
      </w:r>
      <w:r>
        <w:tab/>
      </w:r>
      <w:r>
        <w:t>die Maßnahmen</w:t>
      </w:r>
    </w:p>
    <w:p>
      <w:pPr>
        <w:tabs>
          <w:tab w:pos="1134" w:val="left"/>
        </w:tabs>
        <w:ind w:left="1134" w:hanging="567"/>
      </w:pPr>
      <w:r>
        <w:t>a)</w:t>
      </w:r>
      <w:r>
        <w:tab/>
      </w:r>
      <w:r>
        <w:t>über den Straßenverkehr, die zur Erhaltung der öffentlichen Sicherheit oder zu Verteidigungszwecken erforderlich sind,</w:t>
      </w:r>
    </w:p>
    <w:p>
      <w:pPr>
        <w:tabs>
          <w:tab w:pos="1134" w:val="left"/>
        </w:tabs>
        <w:ind w:left="1134" w:hanging="567"/>
      </w:pPr>
      <w:r>
        <w:t>b)</w:t>
      </w:r>
      <w:r>
        <w:tab/>
      </w:r>
      <w:r>
        <w:t>zur Durchführung von Großraum- und Schwertransporten,</w:t>
      </w:r>
    </w:p>
    <w:p>
      <w:pPr>
        <w:tabs>
          <w:tab w:pos="1134" w:val="left"/>
        </w:tabs>
        <w:ind w:left="1134" w:hanging="567"/>
      </w:pPr>
      <w:r>
        <w:t>c)</w:t>
      </w:r>
      <w:r>
        <w:tab/>
      </w:r>
      <w:r>
        <w:t>im Übrigen, die zur Erhaltung der Sicherheit und Ordnung auf öffentlichen Straßen oder zur Verhütung einer über das verkehrsübliche Maß hinausgehenden Abnutzung der Straßen erforderlich sind, insbesondere bei Großveranstaltungen,</w:t>
      </w:r>
    </w:p>
    <w:p>
      <w:pPr>
        <w:tabs>
          <w:tab w:pos="567" w:val="left"/>
        </w:tabs>
        <w:ind w:left="567" w:hanging="567"/>
      </w:pPr>
      <w:r>
        <w:t>10.</w:t>
      </w:r>
      <w:r>
        <w:tab/>
      </w:r>
      <w:r>
        <w:t>das Anbieten zum Verkauf, das Veräußern, das Verwenden, das Erwerben oder das sonstige Inverkehrbringen von Fahrzeugen und Fahrzeugteilen,</w:t>
      </w:r>
    </w:p>
    <w:p>
      <w:pPr>
        <w:tabs>
          <w:tab w:pos="567" w:val="left"/>
        </w:tabs>
        <w:ind w:left="567" w:hanging="567"/>
      </w:pPr>
      <w:r>
        <w:t>11.</w:t>
      </w:r>
      <w:r>
        <w:tab/>
      </w:r>
      <w:r>
        <w:t>die Kennzeichnung und die Anforderungen an die Kennzeichnung von Fahrzeugen und Fahrzeugteilen,</w:t>
      </w:r>
    </w:p>
    <w:p>
      <w:pPr>
        <w:tabs>
          <w:tab w:pos="567" w:val="left"/>
        </w:tabs>
        <w:ind w:left="567" w:hanging="567"/>
      </w:pPr>
      <w:r>
        <w:t>12.</w:t>
      </w:r>
      <w:r>
        <w:tab/>
      </w:r>
      <w:r>
        <w:t>den Nachweis über die Entsorgung oder den sonstigen Verbleib von Fahrzeugen und Fahrzeugteilen, auch nach ihrer Außerbetriebsetzung,</w:t>
      </w:r>
    </w:p>
    <w:p>
      <w:pPr>
        <w:tabs>
          <w:tab w:pos="567" w:val="left"/>
        </w:tabs>
        <w:ind w:left="567" w:hanging="567"/>
      </w:pPr>
      <w:r>
        <w:t>13.</w:t>
      </w:r>
      <w:r>
        <w:tab/>
      </w:r>
      <w:r>
        <w:t>die Ermittlung, das Auffinden und die Sicherstellung von gestohlenen, verlorengegangenen oder sonst abhanden gekommenen Fahrzeugen, Fahrzeugkennzeichen sowie Führerscheinen und Fahrzeugpapieren einschließlich ihrer Vordrucke, soweit nicht die Strafverfolgungsbehörden hierfür zuständig sind,</w:t>
      </w:r>
    </w:p>
    <w:p>
      <w:pPr>
        <w:tabs>
          <w:tab w:pos="567" w:val="left"/>
        </w:tabs>
        <w:ind w:left="567" w:hanging="567"/>
      </w:pPr>
      <w:r>
        <w:t>14.</w:t>
      </w:r>
      <w:r>
        <w:tab/>
      </w:r>
      <w:r>
        <w:t>die Überwachung der gewerbsmäßigen Vermietung von Kraftfahrzeugen und Anhängern an Selbstfahrer,</w:t>
      </w:r>
    </w:p>
    <w:p>
      <w:pPr>
        <w:tabs>
          <w:tab w:pos="567" w:val="left"/>
        </w:tabs>
        <w:ind w:left="567" w:hanging="567"/>
      </w:pPr>
      <w:r>
        <w:t>15.</w:t>
      </w:r>
      <w:r>
        <w:tab/>
      </w:r>
      <w:r>
        <w:t>die Beschränkung des Straßenverkehrs einschließlich des ruhenden Verkehrs</w:t>
      </w:r>
    </w:p>
    <w:p>
      <w:pPr>
        <w:tabs>
          <w:tab w:pos="1134" w:val="left"/>
        </w:tabs>
        <w:ind w:left="1134" w:hanging="567"/>
      </w:pPr>
      <w:r>
        <w:t>a)</w:t>
      </w:r>
      <w:r>
        <w:tab/>
      </w:r>
      <w:r>
        <w:t>zugunsten schwerbehinderter Menschen mit mobilitätsbezogenen Beeinträchtigungen,</w:t>
      </w:r>
    </w:p>
    <w:p>
      <w:pPr>
        <w:tabs>
          <w:tab w:pos="1134" w:val="left"/>
        </w:tabs>
        <w:ind w:left="1134" w:hanging="567"/>
      </w:pPr>
      <w:r>
        <w:t>b)</w:t>
      </w:r>
      <w:r>
        <w:tab/>
      </w:r>
      <w:r>
        <w:t>zugunsten der Bewohner und bestimmter Personengruppen mit besonderem Gebietsbezug oder mit besonderem gebietsübergreifenden Parkraumbedarf in Gebieten mit erheblichem Parkraummangel, der nachweislich besteht oder auf Grund konkretisierter städtebaulich-verkehrsplanerischer Erwägungen zu erwarten ist,</w:t>
      </w:r>
    </w:p>
    <w:p>
      <w:pPr>
        <w:tabs>
          <w:tab w:pos="1134" w:val="left"/>
        </w:tabs>
        <w:ind w:left="1134" w:hanging="567"/>
      </w:pPr>
      <w:r>
        <w:t>c)</w:t>
      </w:r>
      <w:r>
        <w:tab/>
      </w:r>
      <w:r>
        <w:t>zur Erforschung des Unfallgeschehens, des Verkehrsverhaltens, der Verkehrsabläufe oder zur Erprobung geplanter verkehrssichernder oder verkehrsregelnder Maßnahmen,</w:t>
      </w:r>
    </w:p>
    <w:p>
      <w:pPr>
        <w:tabs>
          <w:tab w:pos="567" w:val="left"/>
        </w:tabs>
        <w:ind w:left="567" w:hanging="567"/>
      </w:pPr>
      <w:r>
        <w:t>16.</w:t>
      </w:r>
      <w:r>
        <w:tab/>
      </w:r>
      <w:r>
        <w:t>die Einrichtung von Sonderfahrspuren für Linienomnibusse und Taxen sowie zur Erprobung neuer Mobilitätsformen oder der Verringerung der Anzahl von Fahrten,</w:t>
      </w:r>
    </w:p>
    <w:p>
      <w:pPr>
        <w:tabs>
          <w:tab w:pos="567" w:val="left"/>
        </w:tabs>
        <w:ind w:left="567" w:hanging="567"/>
      </w:pPr>
      <w:r>
        <w:t>17.</w:t>
      </w:r>
      <w:r>
        <w:tab/>
      </w:r>
      <w:r>
        <w:t>die Einrichtung und Nutzung von fahrzeugführerlosen Parksystemen im niedrigen Geschwindigkeitsbereich auf Parkflächen,</w:t>
      </w:r>
    </w:p>
    <w:p>
      <w:pPr>
        <w:tabs>
          <w:tab w:pos="567" w:val="left"/>
        </w:tabs>
        <w:ind w:left="567" w:hanging="567"/>
      </w:pPr>
      <w:r>
        <w:t>18.</w:t>
      </w:r>
      <w:r>
        <w:tab/>
      </w:r>
      <w:r>
        <w:t>allgemeine Ausnahmen von den Verkehrsvorschriften nach Abschnitt I oder von auf Grund dieser Verkehrsvorschriften erlassener Rechtsverordnungen zur Durchführung von Versuchen, die eine Weiterentwicklung dieser Rechtsnormen zum Gegenstand haben,</w:t>
      </w:r>
    </w:p>
    <w:p>
      <w:pPr>
        <w:tabs>
          <w:tab w:pos="567" w:val="left"/>
        </w:tabs>
        <w:ind w:left="567" w:hanging="567"/>
      </w:pPr>
      <w:r>
        <w:t>19.</w:t>
      </w:r>
      <w:r>
        <w:tab/>
      </w:r>
      <w:r>
        <w:t>die Befugnis von Personal der Bundeswehr zur dringend gebotenen Verkehrsregelung bei Durchführung von militärisch notwendigen Verkehrsbewegungen zur Erfüllung von Aufgaben der Landes- und Bündnisverteidigung.</w:t>
      </w:r>
    </w:p>
    <w:p>
      <w:r>
        <w:rPr>
          <w:rStyle w:val="Satznummer"/>
        </w:rPr>
        <w:t>2</w:t>
      </w:r>
      <w:r>
        <w:t xml:space="preserve">Rechtsverordnungen nach Satz 1 Nummer 18 über allgemeine Ausnahmen von Verkehrsvorschriften nach diesem Gesetz sind für die Dauer von längstens fünf Jahren zu befristen; eine einmalige Verlängerung der Geltungsdauer um längstens fünf Jahre ist zulässig. </w:t>
      </w:r>
      <w:r>
        <w:rPr>
          <w:rStyle w:val="Satznummer"/>
        </w:rPr>
        <w:t>3</w:t>
      </w:r>
      <w:r>
        <w:t xml:space="preserve">Rechtsverordnungen können nicht nach Satz 1 erlassen werden über solche Regelungsgegenstände, über die Rechtsverordnungen nach Absatz 2 erlassen werden dürfen. </w:t>
      </w:r>
      <w:r>
        <w:rPr>
          <w:rStyle w:val="Satznummer"/>
        </w:rPr>
        <w:t>4</w:t>
      </w:r>
      <w:r>
        <w:t>Die Abwehr von Gefahren für die Sicherheit oder Leichtigkeit des Verkehrs auf öffentlichen Straßen nach Satz 1 umfasst auch den straßenverkehrsrechtlichen Schutz von Maßnahmen zur Rettung aus Gefahren für Leib und Leben von Menschen oder den Schutz zivilrechtlicher Schadensersatzansprüche Unfallbeteiligter.</w:t>
      </w:r>
    </w:p>
    <w:p>
      <w:r>
        <w:t>(2) Das Bundesministerium für Verkehr wird ermächtigt, soweit es zur Abwehr von Gefahren für die Sicherheit oder Leichtigkeit des Verkehrs auf öffentlichen Straßen erforderlich ist, Rechtsverordnungen ohne Zustimmung des Bundesrates über Folgendes zu erlassen:</w:t>
      </w:r>
    </w:p>
    <w:p>
      <w:pPr>
        <w:tabs>
          <w:tab w:pos="567" w:val="left"/>
        </w:tabs>
        <w:ind w:left="567" w:hanging="567"/>
      </w:pPr>
      <w:r>
        <w:t>1.</w:t>
      </w:r>
      <w:r>
        <w:tab/>
      </w:r>
      <w:r>
        <w:t>die Typgenehmigung von Fahrzeugen, Systemen, Bauteilen und selbstständigen technischen Einheiten für diese Fahrzeuge, sofern sie unionsrechtlichen Vorgaben unterliegt, über die Fahrzeugeinzelgenehmigung, sofern ihr nach Unionrecht eine Geltung in allen Mitgliedstaaten der Europäischen Union zukommt, sowie über das Anbieten zum Verkauf, das Inverkehrbringen, die Inbetriebnahme, das Veräußern oder die Einfuhr von derart genehmigten oder genehmigungspflichtigen Fahrzeugen, Systemen, Bauteilen und selbstständigen technischen Einheiten für diese Fahrzeuge, insbesondere über</w:t>
      </w:r>
    </w:p>
    <w:p>
      <w:pPr>
        <w:tabs>
          <w:tab w:pos="1134" w:val="left"/>
        </w:tabs>
        <w:ind w:left="1134" w:hanging="567"/>
      </w:pPr>
      <w:r>
        <w:t>a)</w:t>
      </w:r>
      <w:r>
        <w:tab/>
      </w:r>
      <w:r>
        <w:t>die Systematisierung von Fahrzeugen,</w:t>
      </w:r>
    </w:p>
    <w:p>
      <w:pPr>
        <w:tabs>
          <w:tab w:pos="1134" w:val="left"/>
        </w:tabs>
        <w:ind w:left="1134" w:hanging="567"/>
      </w:pPr>
      <w:r>
        <w:t>b)</w:t>
      </w:r>
      <w:r>
        <w:tab/>
      </w:r>
      <w:r>
        <w:t>die technischen und baulichen Anforderungen an Fahrzeuge, Systeme, Bauteile und selbstständige technische Einheiten, einschließlich der durchzuführenden Prüfverfahren zur Feststellung der Konformität,</w:t>
      </w:r>
    </w:p>
    <w:p>
      <w:pPr>
        <w:tabs>
          <w:tab w:pos="1134" w:val="left"/>
        </w:tabs>
        <w:ind w:left="1134" w:hanging="567"/>
      </w:pPr>
      <w:r>
        <w:t>c)</w:t>
      </w:r>
      <w:r>
        <w:tab/>
      </w:r>
      <w:r>
        <w:t>die Sicherstellung der Übereinstimmung von Fahrzeugen, Systemen, Bauteilen und selbstständigen technischen Einheiten für diese Fahrzeuge mit einem genehmigten Typ bei ihrer Herstellung,</w:t>
      </w:r>
    </w:p>
    <w:p>
      <w:pPr>
        <w:tabs>
          <w:tab w:pos="1134" w:val="left"/>
        </w:tabs>
        <w:ind w:left="1134" w:hanging="567"/>
      </w:pPr>
      <w:r>
        <w:t>d)</w:t>
      </w:r>
      <w:r>
        <w:tab/>
      </w:r>
      <w:r>
        <w:t>den Zugang zu technischen Informationen sowie zu Reparatur- und Wartungsinformationen,</w:t>
      </w:r>
    </w:p>
    <w:p>
      <w:pPr>
        <w:tabs>
          <w:tab w:pos="1134" w:val="left"/>
        </w:tabs>
        <w:ind w:left="1134" w:hanging="567"/>
      </w:pPr>
      <w:r>
        <w:t>e)</w:t>
      </w:r>
      <w:r>
        <w:tab/>
      </w:r>
      <w:r>
        <w:t>die Bewertung, Benennung und Überwachung von technischen Diensten,</w:t>
      </w:r>
    </w:p>
    <w:p>
      <w:pPr>
        <w:tabs>
          <w:tab w:pos="1134" w:val="left"/>
        </w:tabs>
        <w:ind w:left="1134" w:hanging="567"/>
      </w:pPr>
      <w:r>
        <w:t>f)</w:t>
      </w:r>
      <w:r>
        <w:tab/>
      </w:r>
      <w:r>
        <w:t>die Kennzeichnung und Verpackung von Systemen, Bauteilen und selbstständigen technischen Einheiten für Fahrzeuge oder</w:t>
      </w:r>
    </w:p>
    <w:p>
      <w:pPr>
        <w:tabs>
          <w:tab w:pos="1134" w:val="left"/>
        </w:tabs>
        <w:ind w:left="1134" w:hanging="567"/>
      </w:pPr>
      <w:r>
        <w:t>g)</w:t>
      </w:r>
      <w:r>
        <w:tab/>
      </w:r>
      <w:r>
        <w:t>die Zulassung von Teilen und Ausrüstungen, von denen eine ernste Gefahr für das einwandfreie Funktionieren wesentlicher Systeme von Fahrzeugen ausgehen kann,</w:t>
      </w:r>
    </w:p>
    <w:p>
      <w:pPr>
        <w:tabs>
          <w:tab w:pos="567" w:val="left"/>
        </w:tabs>
        <w:ind w:left="567" w:hanging="567"/>
      </w:pPr>
      <w:r>
        <w:t>2.</w:t>
      </w:r>
      <w:r>
        <w:tab/>
      </w:r>
      <w:r>
        <w:t>die Marktüberwachung von Fahrzeugen, Systemen, Bauteilen und selbstständigen technischen Einheiten für diese Fahrzeuge,</w:t>
      </w:r>
    </w:p>
    <w:p>
      <w:pPr>
        <w:tabs>
          <w:tab w:pos="567" w:val="left"/>
        </w:tabs>
        <w:ind w:left="567" w:hanging="567"/>
      </w:pPr>
      <w:r>
        <w:t>3.</w:t>
      </w:r>
      <w:r>
        <w:tab/>
      </w:r>
      <w:r>
        <w:t>die Pflichten der Hersteller und ihrer Bevollmächtigten, der Einführer sowie der Händler im Rahmen</w:t>
      </w:r>
    </w:p>
    <w:p>
      <w:pPr>
        <w:tabs>
          <w:tab w:pos="1134" w:val="left"/>
        </w:tabs>
        <w:ind w:left="1134" w:hanging="567"/>
      </w:pPr>
      <w:r>
        <w:t>a)</w:t>
      </w:r>
      <w:r>
        <w:tab/>
      </w:r>
      <w:r>
        <w:t>des Typgenehmigungsverfahrens im Sinne der Nummer 1,</w:t>
      </w:r>
    </w:p>
    <w:p>
      <w:pPr>
        <w:tabs>
          <w:tab w:pos="1134" w:val="left"/>
        </w:tabs>
        <w:ind w:left="1134" w:hanging="567"/>
      </w:pPr>
      <w:r>
        <w:t>b)</w:t>
      </w:r>
      <w:r>
        <w:tab/>
      </w:r>
      <w:r>
        <w:t>des Fahrzeugeinzelgenehmigungsverfahrens im Sinne der Nummer 1 oder</w:t>
      </w:r>
    </w:p>
    <w:p>
      <w:pPr>
        <w:tabs>
          <w:tab w:pos="1134" w:val="left"/>
        </w:tabs>
        <w:ind w:left="1134" w:hanging="567"/>
      </w:pPr>
      <w:r>
        <w:t>c)</w:t>
      </w:r>
      <w:r>
        <w:tab/>
      </w:r>
      <w:r>
        <w:t>des Anbietens zum Verkauf, des Inverkehrbringens, der Inbetriebnahme, des Veräußerns, der Einfuhr sowie der Marktüberwachung von Fahrzeugen, Systemen, Bauteilen und selbstständigen technischen Einheiten für diese Fahrzeuge oder</w:t>
      </w:r>
    </w:p>
    <w:p>
      <w:pPr>
        <w:tabs>
          <w:tab w:pos="567" w:val="left"/>
        </w:tabs>
        <w:ind w:left="567" w:hanging="567"/>
      </w:pPr>
      <w:r>
        <w:t>4.</w:t>
      </w:r>
      <w:r>
        <w:tab/>
      </w:r>
      <w:r>
        <w:t>die Technologien, Strategien und andere Mittel, für die festgestellt ist, dass</w:t>
      </w:r>
    </w:p>
    <w:p>
      <w:pPr>
        <w:tabs>
          <w:tab w:pos="1134" w:val="left"/>
        </w:tabs>
        <w:ind w:left="1134" w:hanging="567"/>
      </w:pPr>
      <w:r>
        <w:t>a)</w:t>
      </w:r>
      <w:r>
        <w:tab/>
      </w:r>
      <w:r>
        <w:t>sie die Leistungen der Fahrzeuge, Systeme, Bauteile oder selbstständigen technischen Einheiten für Fahrzeuge bei Prüfverfahren unter ordnungsgemäßen Betriebsbedingungen verfälschen oder</w:t>
      </w:r>
    </w:p>
    <w:p>
      <w:pPr>
        <w:tabs>
          <w:tab w:pos="1134" w:val="left"/>
        </w:tabs>
        <w:ind w:left="1134" w:hanging="567"/>
      </w:pPr>
      <w:r>
        <w:t>b)</w:t>
      </w:r>
      <w:r>
        <w:tab/>
      </w:r>
      <w:r>
        <w:t>ihre Verwendung im Rahmen des Typgenehmigungsverfahrens oder des Fahrzeugeinzelgenehmigungsverfahrens im Sinne der Nummer 1 aus anderen Gründen nicht zulässig ist.</w:t>
      </w:r>
    </w:p>
    <w:p>
      <w:r>
        <w:t>(3) In Rechtsverordnungen nach Absatz 1 oder Absatz 2 können hinsichtlich der dort genannten Gegenstände jeweils auch geregelt werden:</w:t>
      </w:r>
    </w:p>
    <w:p>
      <w:pPr>
        <w:tabs>
          <w:tab w:pos="567" w:val="left"/>
        </w:tabs>
        <w:ind w:left="567" w:hanging="567"/>
      </w:pPr>
      <w:r>
        <w:t>1.</w:t>
      </w:r>
      <w:r>
        <w:tab/>
      </w:r>
      <w:r>
        <w:t>die Erteilung, Beschränkung oder Entziehung von Rechten, die sonstigen Maßnahmen zur Anordnung oder Umsetzung, die Anerkennung ausländischer Berechtigungen oder Maßnahmen, die Verwaltungsverfahren einschließlich der erforderlichen Nachweise sowie die Zuständigkeiten und die Ausnahmebefugnisse der vollziehenden Behörden im Einzelfall,</w:t>
      </w:r>
    </w:p>
    <w:p>
      <w:pPr>
        <w:tabs>
          <w:tab w:pos="567" w:val="left"/>
        </w:tabs>
        <w:ind w:left="567" w:hanging="567"/>
      </w:pPr>
      <w:r>
        <w:t>2.</w:t>
      </w:r>
      <w:r>
        <w:tab/>
      </w:r>
      <w:r>
        <w:t>Art, Form, Beschaffenheit, Inhalt, Gestaltung, Gültigkeit, Herstellung, Erstellung, Lieferung, Ausfertigung, Verwendung und Überprüfung von Kennzeichen, Plaketten, Urkunden, insbesondere von Führerscheinen und Berichten, und von sonstigen Bescheinigungen, einschließlich der Verarbeitung personenbezogener Daten, soweit erforderlich, und der Beteiligung Dritter an den genannten Prozessen,</w:t>
      </w:r>
    </w:p>
    <w:p>
      <w:pPr>
        <w:tabs>
          <w:tab w:pos="567" w:val="left"/>
        </w:tabs>
        <w:ind w:left="567" w:hanging="567"/>
      </w:pPr>
      <w:r>
        <w:t>3.</w:t>
      </w:r>
      <w:r>
        <w:tab/>
      </w:r>
      <w:r>
        <w:t>die Anerkennung, Zulassung, Registrierung, Akkreditierung, Begutachtung, Beaufsichtigung oder Überwachung von natürlichen oder juristischen Personen des Privatrechts oder von sonstigen Einrichtungen im Hinblick auf ihre Tätigkeiten</w:t>
      </w:r>
    </w:p>
    <w:p>
      <w:pPr>
        <w:tabs>
          <w:tab w:pos="1134" w:val="left"/>
        </w:tabs>
        <w:ind w:left="1134" w:hanging="567"/>
      </w:pPr>
      <w:r>
        <w:t>a)</w:t>
      </w:r>
      <w:r>
        <w:tab/>
      </w:r>
      <w:r>
        <w:t>der Prüfung, Untersuchung, Beurteilung und Begutachtung von Personen, Fahrzeugen oder Fahrzeugteilen sowie der Herstellung und Lieferung nach Nummer 2,</w:t>
      </w:r>
    </w:p>
    <w:p>
      <w:pPr>
        <w:tabs>
          <w:tab w:pos="1134" w:val="left"/>
        </w:tabs>
        <w:ind w:left="1134" w:hanging="567"/>
      </w:pPr>
      <w:r>
        <w:t>b)</w:t>
      </w:r>
      <w:r>
        <w:tab/>
      </w:r>
      <w:r>
        <w:t>des Anbietens von Maßnahmen zur Herstellung oder zum Erhalt der Voraussetzungen nach Absatz 1 Satz 1 Nummer 1 Buchstabe b oder</w:t>
      </w:r>
    </w:p>
    <w:p>
      <w:pPr>
        <w:tabs>
          <w:tab w:pos="1134" w:val="left"/>
        </w:tabs>
        <w:ind w:left="1134" w:hanging="567"/>
      </w:pPr>
      <w:r>
        <w:t>c)</w:t>
      </w:r>
      <w:r>
        <w:tab/>
      </w:r>
      <w:r>
        <w:t>der Prüfung und Zertifizierung von Qualitätssicherungssystemen,</w:t>
      </w:r>
    </w:p>
    <w:p>
      <w:pPr>
        <w:ind w:left="567"/>
      </w:pPr>
      <w:r>
        <w:t>einschließlich der jeweiligen Voraussetzungen, insbesondere der Anforderungen an die natürlichen oder juristischen Personen des Privatrechts oder an die Einrichtungen, an ihre Träger und an ihre verantwortlichen oder ausführenden Personen, einschließlich der Vorgabe eines Erfahrungsaustausches sowie einschließlich der Verarbeitung von personenbezogenen Daten über die die Tätigkeiten ausführenden oder hieran teilnehmenden Personen durch die zuständigen Behörden, durch die natürlichen oder juristischen Personen des Privatrechts oder durch die Einrichtungen in dem Umfang, der für ihre jeweilige Tätigkeit und deren Qualitätssicherung erforderlich ist,</w:t>
      </w:r>
    </w:p>
    <w:p>
      <w:pPr>
        <w:tabs>
          <w:tab w:pos="567" w:val="left"/>
        </w:tabs>
        <w:ind w:left="567" w:hanging="567"/>
      </w:pPr>
      <w:r>
        <w:t>4.</w:t>
      </w:r>
      <w:r>
        <w:tab/>
      </w:r>
      <w:r>
        <w:t>Emissionsgrenzwerte unter Berücksichtigung der technischen Entwicklung zum Zeitpunkt des Erlasses der jeweiligen Rechtsverordnung,</w:t>
      </w:r>
    </w:p>
    <w:p>
      <w:pPr>
        <w:tabs>
          <w:tab w:pos="567" w:val="left"/>
        </w:tabs>
        <w:ind w:left="567" w:hanging="567"/>
      </w:pPr>
      <w:r>
        <w:t>5.</w:t>
      </w:r>
      <w:r>
        <w:tab/>
      </w:r>
      <w:r>
        <w:t>die Mitwirkung natürlicher oder juristischer Personen des Privatrechts bei der Aufgabenwahrnehmung in Form ihrer Beauftragung, bei der Durchführung von bestimmten Aufgaben zu helfen (Verwaltungshilfe), oder in Form der Übertragung bestimmter Aufgaben nach Absatz 1 Satz 1 Nummer 1, 5, 6, 7 oder 9 Buchstabe b oder Absatz 2 auf diese Personen (Beleihung), insbesondere</w:t>
      </w:r>
    </w:p>
    <w:p>
      <w:pPr>
        <w:tabs>
          <w:tab w:pos="1134" w:val="left"/>
        </w:tabs>
        <w:ind w:left="1134" w:hanging="567"/>
      </w:pPr>
      <w:r>
        <w:t>a)</w:t>
      </w:r>
      <w:r>
        <w:tab/>
      </w:r>
      <w:r>
        <w:t>die Bestimmung der Aufgaben und die Art und Weise der Aufgabenerledigung,</w:t>
      </w:r>
    </w:p>
    <w:p>
      <w:pPr>
        <w:tabs>
          <w:tab w:pos="1134" w:val="left"/>
        </w:tabs>
        <w:ind w:left="1134" w:hanging="567"/>
      </w:pPr>
      <w:r>
        <w:t>b)</w:t>
      </w:r>
      <w:r>
        <w:tab/>
      </w:r>
      <w:r>
        <w:t>die Anforderungen an diese Personen und ihre Überwachung einschließlich des Verfahrens und des Zusammenwirkens der zuständigen Behörden bei der Überwachung oder</w:t>
      </w:r>
    </w:p>
    <w:p>
      <w:pPr>
        <w:tabs>
          <w:tab w:pos="1134" w:val="left"/>
        </w:tabs>
        <w:ind w:left="1134" w:hanging="567"/>
      </w:pPr>
      <w:r>
        <w:t>c)</w:t>
      </w:r>
      <w:r>
        <w:tab/>
      </w:r>
      <w:r>
        <w:t>die Verarbeitung von personenbezogenen Daten durch diese Personen, insbesondere die Übermittlung solcher Daten an die zuständige Behörde,</w:t>
      </w:r>
    </w:p>
    <w:p>
      <w:pPr>
        <w:tabs>
          <w:tab w:pos="567" w:val="left"/>
        </w:tabs>
        <w:ind w:left="567" w:hanging="567"/>
      </w:pPr>
      <w:r>
        <w:t>6.</w:t>
      </w:r>
      <w:r>
        <w:tab/>
      </w:r>
      <w:r>
        <w:t>die Übertragung der Wahrnehmung von einzelnen Aufgaben auf die Bundesanstalt für Straßen- und Verkehrswesen oder das Kraftfahrt-Bundesamt oder</w:t>
      </w:r>
    </w:p>
    <w:p>
      <w:pPr>
        <w:tabs>
          <w:tab w:pos="567" w:val="left"/>
        </w:tabs>
        <w:ind w:left="567" w:hanging="567"/>
      </w:pPr>
      <w:r>
        <w:t>7.</w:t>
      </w:r>
      <w:r>
        <w:tab/>
      </w:r>
      <w:r>
        <w:t>die notwendige Versicherung der natürlichen oder juristischen Personen des Privatrechts oder der sonstigen Einrichtungen in den Fällen der Nummer 3 oder Nummer 5 zur Deckung aller im Zusammenhang mit den dort genannten Tätigkeiten entstehenden Ansprüche sowie die Freistellung der für die Anerkennung, Zulassung, Registrierung, Akkreditierung, Begutachtung, Beaufsichtigung, Überwachung, Beauftragung oder Aufgabenübertragung zuständigen Bundes- oder Landesbehörde von Ansprüchen Dritter wegen Schäden, die diese Personen oder Einrichtungen verursachen.</w:t>
      </w:r>
    </w:p>
    <w:p>
      <w:r>
        <w:t xml:space="preserve">(4) </w:t>
      </w:r>
      <w:r>
        <w:rPr>
          <w:rStyle w:val="Satznummer"/>
        </w:rPr>
        <w:t>1</w:t>
      </w:r>
      <w:r>
        <w:t>Rechtsverordnungen nach Absatz 1 Satz 1 Nummer 1, 2, 5 und 8 oder Absatz 2, jeweils auch in Verbindung mit Absatz 3, können auch erlassen werden</w:t>
      </w:r>
    </w:p>
    <w:p>
      <w:pPr>
        <w:tabs>
          <w:tab w:pos="567" w:val="left"/>
        </w:tabs>
        <w:ind w:left="567" w:hanging="567"/>
      </w:pPr>
      <w:r>
        <w:t>1.</w:t>
      </w:r>
      <w:r>
        <w:tab/>
      </w:r>
      <w:r>
        <w:t>zur Abwehr von Gefahren, die vom Verkehr auf öffentlichen Straßen ausgehen,</w:t>
      </w:r>
    </w:p>
    <w:p>
      <w:pPr>
        <w:tabs>
          <w:tab w:pos="567" w:val="left"/>
        </w:tabs>
        <w:ind w:left="567" w:hanging="567"/>
      </w:pPr>
      <w:r>
        <w:t>2.</w:t>
      </w:r>
      <w:r>
        <w:tab/>
      </w:r>
      <w:r>
        <w:t>zum Schutz vor schädlichen Umwelteinwirkungen, die von Fahrzeugen ausgehen, oder</w:t>
      </w:r>
    </w:p>
    <w:p>
      <w:pPr>
        <w:tabs>
          <w:tab w:pos="567" w:val="left"/>
        </w:tabs>
        <w:ind w:left="567" w:hanging="567"/>
      </w:pPr>
      <w:r>
        <w:t>3.</w:t>
      </w:r>
      <w:r>
        <w:tab/>
      </w:r>
      <w:r>
        <w:t>zum Schutz der Verbraucher.</w:t>
      </w:r>
    </w:p>
    <w:p>
      <w:r>
        <w:rPr>
          <w:rStyle w:val="Satznummer"/>
        </w:rPr>
        <w:t>2</w:t>
      </w:r>
      <w:r>
        <w:t>Rechtsverordnungen nach Absatz 1 Satz 1 Nummer 1, 2, 5 und 8, auch in Verbindung mit Absatz 3, können auch erlassen werden</w:t>
      </w:r>
    </w:p>
    <w:p>
      <w:pPr>
        <w:tabs>
          <w:tab w:pos="567" w:val="left"/>
        </w:tabs>
        <w:ind w:left="567" w:hanging="567"/>
      </w:pPr>
      <w:r>
        <w:t>1.</w:t>
      </w:r>
      <w:r>
        <w:tab/>
      </w:r>
      <w:r>
        <w:t>zum Schutz der Bevölkerung in Fußgängerbereichen oder verkehrsberuhigten Bereichen, der Wohnbevölkerung oder der Erholungssuchenden vor Emissionen, die vom Verkehr auf öffentlichen Straßen ausgehen, insbesondere zum Schutz vor Lärm oder vor Abgasen,</w:t>
      </w:r>
    </w:p>
    <w:p>
      <w:pPr>
        <w:tabs>
          <w:tab w:pos="567" w:val="left"/>
        </w:tabs>
        <w:ind w:left="567" w:hanging="567"/>
      </w:pPr>
      <w:r>
        <w:t>2.</w:t>
      </w:r>
      <w:r>
        <w:tab/>
      </w:r>
      <w:r>
        <w:t>für Sonderregelungen an Sonn- und Feiertagen oder</w:t>
      </w:r>
    </w:p>
    <w:p>
      <w:pPr>
        <w:tabs>
          <w:tab w:pos="567" w:val="left"/>
        </w:tabs>
        <w:ind w:left="567" w:hanging="567"/>
      </w:pPr>
      <w:r>
        <w:t>3.</w:t>
      </w:r>
      <w:r>
        <w:tab/>
      </w:r>
      <w:r>
        <w:t>für Sonderregelungen über das Parken in der Zeit von 22 Uhr bis 6 Uhr.</w:t>
      </w:r>
    </w:p>
    <w:p>
      <w:r>
        <w:t xml:space="preserve">(4a) </w:t>
      </w:r>
      <w:r>
        <w:rPr>
          <w:rStyle w:val="Satznummer"/>
        </w:rPr>
        <w:t>1</w:t>
      </w:r>
      <w:r>
        <w:t xml:space="preserve">Rechtsverordnungen nach Absatz 1 Satz 1 Nummer 2, 8, 15 Buchstabe b oder c, Nummer 16 oder 18 können auch erlassen werden zur Verbesserung des Schutzes der Umwelt, darunter des Klimaschutzes, zum Schutz der Gesundheit oder zur Unterstützung der städtebaulichen Entwicklung, soweit sie nicht bereits nach Absatz 4 erlassen werden können. </w:t>
      </w:r>
      <w:r>
        <w:rPr>
          <w:rStyle w:val="Satznummer"/>
        </w:rPr>
        <w:t>2</w:t>
      </w:r>
      <w:r>
        <w:t xml:space="preserve">Diese Rechtsverordnungen sollen insbesondere vorsehen, dass Gemeinden bei den nach Landesrecht für die Ausführung der Rechtsverordnungen bestimmten Behörden den Erlass von Anordnungen zur Gewährleistung der Sicherheit und Leichtigkeit des Verkehrs, zur Verbesserung des Schutzes der Umwelt, zum Schutz der Gesundheit oder zur Unterstützung der städtebaulichen Entwicklung beantragen können. </w:t>
      </w:r>
      <w:r>
        <w:rPr>
          <w:rStyle w:val="Satznummer"/>
        </w:rPr>
        <w:t>3</w:t>
      </w:r>
      <w:r>
        <w:t>Die nach Satz 1 erlassenen Rechtsverordnungen und auf ihnen beruhenden Anordnungen müssen neben der Verbesserung des Schutzes der Umwelt, des Schutzes der Gesundheit oder der Unterstützung der städtebaulichen Entwicklung die Leichtigkeit des Verkehrs berücksichtigen und dürfen die Sicherheit des Verkehrs nicht beeinträchtigen.</w:t>
      </w:r>
    </w:p>
    <w:p>
      <w:r>
        <w:t>(5) Rechtsverordnungen nach Absatz 1 oder 2 können auch zur Durchführung von Rechtsakten der Europäischen Gemeinschaft oder der Europäischen Union und zur Durchführung von zwischenstaatlichen Vereinbarungen im Anwendungsbereich dieses Gesetzes erlassen werden.</w:t>
      </w:r>
    </w:p>
    <w:p>
      <w:r>
        <w:t xml:space="preserve">(6) </w:t>
      </w:r>
      <w:r>
        <w:rPr>
          <w:rStyle w:val="Satznummer"/>
        </w:rPr>
        <w:t>1</w:t>
      </w:r>
      <w:r>
        <w:t xml:space="preserve">Rechtsverordnungen nach Absatz 1 Satz 1 Nummer 1, 5 oder 8 oder nach Absatz 2, sofern sie jeweils in Verbindung mit Absatz 4 Satz 1 Nummer 2 oder Satz 2 Nummer 1 erlassen werden, oder Rechtsverordnungen nach Absatz 1 Satz 1 Nummer 12 werden vom Bundesministerium für Verkehr und vom Bundesministerium für Umwelt, Klimaschutz, Naturschutz und nukleare Sicherheit gemeinsam erlassen. </w:t>
      </w:r>
      <w:r>
        <w:rPr>
          <w:rStyle w:val="Satznummer"/>
        </w:rPr>
        <w:t>2</w:t>
      </w:r>
      <w:r>
        <w:t xml:space="preserve">Rechtsverordnungen nach Absatz 1 Satz 1 Nummer 11, 13 oder 14 oder nach Absatz 3 Nummer 2 in Verbindung mit Absatz 1 Nummer 1 oder 6 können auch zum Zweck der Bekämpfung von Straftaten erlassen werden. </w:t>
      </w:r>
      <w:r>
        <w:rPr>
          <w:rStyle w:val="Satznummer"/>
        </w:rPr>
        <w:t>3</w:t>
      </w:r>
      <w:r>
        <w:t xml:space="preserve">Im Fall des Satzes 2 werden diese Rechtsverordnungen vom Bundesministerium für Verkehr und vom Bundesministerium des Innern gemeinsam erlassen. </w:t>
      </w:r>
      <w:r>
        <w:rPr>
          <w:rStyle w:val="Satznummer"/>
        </w:rPr>
        <w:t>4</w:t>
      </w:r>
      <w:r>
        <w:t>Rechtsverordnungen nach Absatz 1 Satz 1 Nummer 1, 2, 5 oder 8 oder nach Absatz 2, sofern sie jeweils in Verbindung mit Absatz 4 Satz 1 Nummer 3 erlassen werden, oder Rechtsverordnungen nach Absatz 1 Satz 1 Nummer 2, 8, 15 Buchstabe b oder c, Nummer 16 oder 18, sofern sie jeweils in Verbindung mit Absatz 4a erlassen werden, werden vom Bundesministerium für Verkehr und vom Bundesministerium für Umwelt, Klimaschutz, Naturschutz und nukleare Sicherheit gemeinsam erlassen.</w:t>
      </w:r>
    </w:p>
    <w:p>
      <w:r>
        <w:t xml:space="preserve">(7) </w:t>
      </w:r>
      <w:r>
        <w:rPr>
          <w:rStyle w:val="Satznummer"/>
        </w:rPr>
        <w:t>1</w:t>
      </w:r>
      <w:r>
        <w:t>Keiner Zustimmung des Bundesrates bedürfen Rechtsverordnungen</w:t>
      </w:r>
    </w:p>
    <w:p>
      <w:pPr>
        <w:tabs>
          <w:tab w:pos="567" w:val="left"/>
        </w:tabs>
        <w:ind w:left="567" w:hanging="567"/>
      </w:pPr>
      <w:r>
        <w:t>1.</w:t>
      </w:r>
      <w:r>
        <w:tab/>
      </w:r>
      <w:r>
        <w:t>zur Durchführung der Vorschriften nach Absatz 1 Satz 1 Nummer 5 in Verbindung mit Absatz 3,</w:t>
      </w:r>
    </w:p>
    <w:p>
      <w:pPr>
        <w:tabs>
          <w:tab w:pos="567" w:val="left"/>
        </w:tabs>
        <w:ind w:left="567" w:hanging="567"/>
      </w:pPr>
      <w:r>
        <w:t>2.</w:t>
      </w:r>
      <w:r>
        <w:tab/>
      </w:r>
      <w:r>
        <w:t>nach Absatz 1 zur Anpassung von Verweisungen auf amtliche Bekanntmachungen im Verkehrsblatt, wenn diese Bekanntmachungen auf Grund technischer Entwicklungen zu ändern, zu ergänzen oder aufzuheben waren, oder</w:t>
      </w:r>
    </w:p>
    <w:p>
      <w:pPr>
        <w:tabs>
          <w:tab w:pos="567" w:val="left"/>
        </w:tabs>
        <w:ind w:left="567" w:hanging="567"/>
      </w:pPr>
      <w:r>
        <w:t>3.</w:t>
      </w:r>
      <w:r>
        <w:tab/>
      </w:r>
      <w:r>
        <w:t>über allgemeine Ausnahmen nach Absatz 1 Satz 1 Nummer 18, auch in Verbindung mit den Absätzen 3 bis 6.</w:t>
      </w:r>
    </w:p>
    <w:p>
      <w:r>
        <w:rPr>
          <w:rStyle w:val="Satznummer"/>
        </w:rPr>
        <w:t>2</w:t>
      </w:r>
      <w:r>
        <w:t>Vor ihrem Erlass sind die zuständigen obersten Landesbehörden zu hören.</w:t>
      </w:r>
    </w:p>
    <w:p>
      <w:r>
        <w:t>(8) Das Bundesministerium für Verkehr wird ermächtigt, durch Rechtsverordnung ohne Zustimmung des Bundesrates, jedoch unbeschadet des Absatzes 6,</w:t>
      </w:r>
    </w:p>
    <w:p>
      <w:pPr>
        <w:tabs>
          <w:tab w:pos="567" w:val="left"/>
        </w:tabs>
        <w:ind w:left="567" w:hanging="567"/>
      </w:pPr>
      <w:r>
        <w:t>1.</w:t>
      </w:r>
      <w:r>
        <w:tab/>
      </w:r>
      <w:r>
        <w:t>sofern Verordnungen nach diesem Gesetz geändert oder abgelöst werden, Verweisungen in Gesetzen und Rechtsverordnungen auf diese geänderten oder abgelösten Vorschriften durch Verweisungen auf die jeweils inhaltsgleichen neuen Vorschriften zu ersetzen,</w:t>
      </w:r>
    </w:p>
    <w:p>
      <w:pPr>
        <w:tabs>
          <w:tab w:pos="567" w:val="left"/>
        </w:tabs>
        <w:ind w:left="567" w:hanging="567"/>
      </w:pPr>
      <w:r>
        <w:t>2.</w:t>
      </w:r>
      <w:r>
        <w:tab/>
      </w:r>
      <w:r>
        <w:t>in den auf Grund des Absatzes 1 oder 2, jeweils auch in Verbindung mit den Absätzen 3 bis 7 erlassenen Rechtsverordnungen enthaltene Verweisungen auf Vorschriften in Rechtsakten der Europäischen Gemeinschaft oder der Europäischen Union zu ändern, soweit es zur Anpassung an Änderungen jener Vorschriften erforderlich ist, oder</w:t>
      </w:r>
    </w:p>
    <w:p>
      <w:pPr>
        <w:tabs>
          <w:tab w:pos="567" w:val="left"/>
        </w:tabs>
        <w:ind w:left="567" w:hanging="567"/>
      </w:pPr>
      <w:r>
        <w:t>3.</w:t>
      </w:r>
      <w:r>
        <w:tab/>
      </w:r>
      <w:r>
        <w:t>Vorschriften der auf Grund des Absatzes 1 oder 2, jeweils auch in Verbindung mit den Absätzen 3 bis 7 erlassenen Rechtsverordnungen zu streichen oder in ihrem Wortlaut einem verbleibenden Anwendungsbereich anzupassen, sofern diese Vorschriften durch den Erlass entsprechender Vorschriften in unmittelbar im Anwendungsbereich dieses Gesetzes geltenden Rechtsakten der Europäischen Gemeinschaft oder der Europäischen Union unanwendbar geworden oder in ihrem Anwendungsbereich beschränkt worden sind.</w:t>
      </w:r>
    </w:p>
    <w:p>
      <w:r>
        <w:t xml:space="preserve">(9) </w:t>
      </w:r>
      <w:r>
        <w:rPr>
          <w:rStyle w:val="Satznummer"/>
        </w:rPr>
        <w:t>1</w:t>
      </w:r>
      <w:r>
        <w:t xml:space="preserve">In den Rechtsverordnungen nach Absatz 1, jeweils auch in Verbindung mit den Absätzen 3 bis 6, kann mit Zustimmung des Bundesrates die jeweilige Ermächtigung ganz oder teilweise auf die Landesregierungen übertragen werden, um besonderen regionalen Bedürfnissen angemessen Rechnung zu tragen. </w:t>
      </w:r>
      <w:r>
        <w:rPr>
          <w:rStyle w:val="Satznummer"/>
        </w:rPr>
        <w:t>2</w:t>
      </w:r>
      <w:r>
        <w:t>Soweit eine nach Satz 1 erlassene Rechtsverordnung die Landesregierungen zum Erlass von Rechtsverordnungen ermächtigt, sind diese befugt, die Ermächtigung durch Rechtsverordnung ganz oder teilweise auf andere Landesbehörden zu übertragen.</w:t>
      </w:r>
    </w:p>
    <w:p>
      <w:pPr>
        <w:pStyle w:val="Heading2"/>
      </w:pPr>
      <w:bookmarkStart w:id="28" w:name="b27"/>
      <w:r>
        <w:t>§ 6a Gebühren</w:t>
      </w:r>
      <w:r>
        <w:t xml:space="preserve"> </w:t>
      </w:r>
      <w:r>
        <w:rPr>
          <w:rStyle w:val="Suchmarke"/>
        </w:rPr>
        <w:t>#6a#</w:t>
      </w:r>
      <w:bookmarkEnd w:id="28"/>
    </w:p>
    <w:p>
      <w:r>
        <w:t>(1) Kosten (Gebühren und Auslagen) werden erhoben</w:t>
      </w:r>
    </w:p>
    <w:p>
      <w:pPr>
        <w:tabs>
          <w:tab w:pos="567" w:val="left"/>
        </w:tabs>
        <w:ind w:left="567" w:hanging="567"/>
      </w:pPr>
      <w:r>
        <w:t>1.</w:t>
      </w:r>
      <w:r>
        <w:tab/>
      </w:r>
      <w:r>
        <w:t>für Amtshandlungen, einschließlich Prüfungen und Überprüfungen im Rahmen der Qualitätssicherung, Abnahmen, Begutachtungen, Untersuchungen, Verwarnungen - ausgenommen Verwarnungen im Sinne des Gesetzes über Ordnungswidrigkeiten -, Informationserteilungen und Registerauskünften</w:t>
      </w:r>
    </w:p>
    <w:p>
      <w:pPr>
        <w:tabs>
          <w:tab w:pos="1134" w:val="left"/>
        </w:tabs>
        <w:ind w:left="1134" w:hanging="567"/>
      </w:pPr>
      <w:r>
        <w:t>a)</w:t>
      </w:r>
      <w:r>
        <w:tab/>
      </w:r>
      <w:r>
        <w:t>nach diesem Gesetz und nach den auf diesem Gesetz beruhenden Rechtsvorschriften,</w:t>
      </w:r>
    </w:p>
    <w:p>
      <w:pPr>
        <w:tabs>
          <w:tab w:pos="1134" w:val="left"/>
        </w:tabs>
        <w:ind w:left="1134" w:hanging="567"/>
      </w:pPr>
      <w:r>
        <w:t>b)</w:t>
      </w:r>
      <w:r>
        <w:tab/>
      </w:r>
      <w:r>
        <w:t>nach dem Gesetz zu dem Übereinkommen vom 20. März 1958 über die Annahme einheitlicher Bedingungen für die Genehmigung der Ausrüstungsgegenstände und Teile von Kraftfahrzeugen und über die gegenseitige Anerkennung der Genehmigung vom 12. Juni 1965 (BGBl. 1965 II S. 857) in der Fassung des Gesetzes vom 20. Dezember 1968 (BGBl. 1968 II S. 1224) und nach den auf diesem Gesetz beruhenden Rechtsvorschriften,</w:t>
      </w:r>
    </w:p>
    <w:p>
      <w:pPr>
        <w:tabs>
          <w:tab w:pos="1134" w:val="left"/>
        </w:tabs>
        <w:ind w:left="1134" w:hanging="567"/>
      </w:pPr>
      <w:r>
        <w:t>c)</w:t>
      </w:r>
      <w:r>
        <w:tab/>
      </w:r>
      <w:r>
        <w:t>nach dem Gesetz zu dem Europäischen Übereinkommen vom 30. September 1957 über die internationale Beförderung gefährlicher Güter auf der Straße (ADR) vom 18. August 1969 (BGBl. 1969 II S. 1489) und nach den auf diesem Gesetz beruhenden Rechtsvorschriften,</w:t>
      </w:r>
    </w:p>
    <w:p>
      <w:pPr>
        <w:tabs>
          <w:tab w:pos="1134" w:val="left"/>
        </w:tabs>
        <w:ind w:left="1134" w:hanging="567"/>
      </w:pPr>
      <w:r>
        <w:t>d)</w:t>
      </w:r>
      <w:r>
        <w:tab/>
      </w:r>
      <w:r>
        <w:t>nach dem Fahrpersonalgesetz und den darauf beruhenden Rechtsverordnungen, soweit die Amtshandlungen vom Kraftfahrt-Bundesamt vorgenommen werden,</w:t>
      </w:r>
    </w:p>
    <w:p>
      <w:pPr>
        <w:tabs>
          <w:tab w:pos="1134" w:val="left"/>
        </w:tabs>
        <w:ind w:left="1134" w:hanging="567"/>
      </w:pPr>
      <w:r>
        <w:t>e)</w:t>
      </w:r>
      <w:r>
        <w:tab/>
      </w:r>
      <w:r>
        <w:t>nach dem Berufskraftfahrerqualifikationsgesetz und den darauf beruhenden Rechtsverordnungen,</w:t>
      </w:r>
    </w:p>
    <w:p>
      <w:pPr>
        <w:tabs>
          <w:tab w:pos="567" w:val="left"/>
        </w:tabs>
        <w:ind w:left="567" w:hanging="567"/>
      </w:pPr>
      <w:r>
        <w:t>2.</w:t>
      </w:r>
      <w:r>
        <w:tab/>
      </w:r>
      <w:r>
        <w:t>für Untersuchungen von Fahrzeugen nach dem Personenbeförderungsgesetz in der im Bundesgesetzblatt Teil III, Gliederungsnummer 9240-1, veröffentlichten bereinigten Fassung, zuletzt geändert durch Artikel 7 des Gesetzes über die unentgeltliche Beförderung Schwerbehinderter im öffentlichen Personenverkehr vom 9. Juli 1979 (BGBl. I S. 989), und nach den auf diesem Gesetz beruhenden Rechtsvorschriften,</w:t>
      </w:r>
    </w:p>
    <w:p>
      <w:pPr>
        <w:tabs>
          <w:tab w:pos="567" w:val="left"/>
        </w:tabs>
        <w:ind w:left="567" w:hanging="567"/>
      </w:pPr>
      <w:r>
        <w:t>3.</w:t>
      </w:r>
      <w:r>
        <w:tab/>
      </w:r>
      <w:r>
        <w:t>für Maßnahmen im Zusammenhang mit der Außerbetriebsetzung von Kraftfahrzeugen und Kraftfahrzeuganhängern.</w:t>
      </w:r>
    </w:p>
    <w:p>
      <w:r>
        <w:t xml:space="preserve">(2) </w:t>
      </w:r>
      <w:r>
        <w:rPr>
          <w:rStyle w:val="Satznummer"/>
        </w:rPr>
        <w:t>1</w:t>
      </w:r>
      <w:r>
        <w:t xml:space="preserve">Das Bundesministerium für Verkehr wird ermächtigt, die gebührenpflichtigen Amtshandlungen sowie die Gebührensätze für die einzelnen Amtshandlungen, einschließlich Prüfungen und Überprüfungen im Rahmen der Qualitätssicherung, Abnahmen, Begutachtungen, Untersuchungen, Verwarnungen - ausgenommen Verwarnungen im Sinne des Gesetzes über Ordnungswidrigkeiten -, Informationserteilungen und Registerauskünften im Sinne des Absatzes 1 durch Rechtsverordnung zu bestimmen und dabei feste Sätze, auch in Form von Zeitgebühren, oder Rahmensätze vorzusehen. </w:t>
      </w:r>
      <w:r>
        <w:rPr>
          <w:rStyle w:val="Satznummer"/>
        </w:rPr>
        <w:t>2</w:t>
      </w:r>
      <w:r>
        <w:t xml:space="preserve">Die Gebührensätze sind so zu bemessen, dass der mit den Amtshandlungen, einschließlich Prüfungen, Abnahmen, Begutachtungen, Untersuchungen, Verwarnungen - ausgenommen Verwarnungen im Sinne des Gesetzes über Ordnungswidrigkeiten -, Informationserteilungen und Registerauskünften verbundene Personal- und Sachaufwand gedeckt wird; der Sachaufwand kann den Aufwand für eine externe Begutachtung umfassen; bei begünstigenden Amtshandlungen kann daneben die Bedeutung, der wirtschaftliche Wert oder der sonstige Nutzen für den Gebührenschuldner angemessen berücksichtigt werden. </w:t>
      </w:r>
      <w:r>
        <w:rPr>
          <w:rStyle w:val="Satznummer"/>
        </w:rPr>
        <w:t>3</w:t>
      </w:r>
      <w:r>
        <w:t xml:space="preserve">Im Bereich der Gebühren der Landesbehörden übt das Bundesministerium für Verkehr die Ermächtigung auf der Grundlage eines Antrags oder einer Stellungnahme von mindestens fünf Ländern beim Bundesministerium für Verkehr aus. </w:t>
      </w:r>
      <w:r>
        <w:rPr>
          <w:rStyle w:val="Satznummer"/>
        </w:rPr>
        <w:t>4</w:t>
      </w:r>
      <w:r>
        <w:t xml:space="preserve">Der Antrag oder die Stellungnahme sind mit einer Schätzung des Personal- und Sachaufwands zu begründen. </w:t>
      </w:r>
      <w:r>
        <w:rPr>
          <w:rStyle w:val="Satznummer"/>
        </w:rPr>
        <w:t>5</w:t>
      </w:r>
      <w:r>
        <w:t>Das Bundesministerium für Verkehr kann die übrigen Länder ebenfalls zur Beibringung einer Schätzung des Personal- und Sachaufwands auffordern.</w:t>
      </w:r>
    </w:p>
    <w:p>
      <w:r>
        <w:t xml:space="preserve">(3) </w:t>
      </w:r>
      <w:r>
        <w:rPr>
          <w:rStyle w:val="Satznummer"/>
        </w:rPr>
        <w:t>1</w:t>
      </w:r>
      <w:r>
        <w:t xml:space="preserve">Im Übrigen findet das Verwaltungskostengesetz in der bis zum 14. August 2013 geltenden Fassung Anwendung. </w:t>
      </w:r>
      <w:r>
        <w:rPr>
          <w:rStyle w:val="Satznummer"/>
        </w:rPr>
        <w:t>2</w:t>
      </w:r>
      <w:r>
        <w:t>In den Rechtsverordnungen nach Absatz 2 können jedoch die Kostenbefreiung, die Kostengläubigerschaft, die Kostenschuldnerschaft, der Umfang der zu erstattenden Auslagen und die Kostenerhebung abweichend von den Vorschriften des Verwaltungskostengesetzes geregelt werden.</w:t>
      </w:r>
    </w:p>
    <w:p>
      <w:r>
        <w:t>(4) In den Rechtsverordnungen nach Absatz 2 kann bestimmt werden, dass die für die einzelnen Amtshandlungen, einschließlich Prüfungen, Abnahmen, Begutachtungen und Untersuchungen, zulässigen Gebühren auch erhoben werden dürfen, wenn die Amtshandlungen aus Gründen, die nicht von der Stelle, die die Amtshandlungen hätte durchführen sollen, zu vertreten sind, und ohne ausreichende Entschuldigung des Adressaten der Amtshandlung am festgesetzten Termin nicht stattfinden konnten oder abgebrochen werden mussten.</w:t>
      </w:r>
    </w:p>
    <w:p>
      <w:r>
        <w:t>(5) Rechtsverordnungen über Kosten, deren Gläubiger der Bund ist, bedürfen nicht der Zustimmung des Bundesrates.</w:t>
      </w:r>
    </w:p>
    <w:p>
      <w:r>
        <w:t xml:space="preserve">(5a) </w:t>
      </w:r>
      <w:r>
        <w:rPr>
          <w:rStyle w:val="Satznummer"/>
        </w:rPr>
        <w:t>1</w:t>
      </w:r>
      <w:r>
        <w:t xml:space="preserve">Für die Erteilung von Parkberechtigungen in Gebieten nach § 6 Absatz 1 Satz 1 Nummer 15 Buchstabe b können die nach Landesrecht zuständigen Behörden Gebühren erheben. </w:t>
      </w:r>
      <w:r>
        <w:rPr>
          <w:rStyle w:val="Satznummer"/>
        </w:rPr>
        <w:t>2</w:t>
      </w:r>
      <w:r>
        <w:t xml:space="preserve">Für die Festsetzung der Gebühren werden die Landesregierungen ermächtigt, Gebührenordnungen zu erlassen. </w:t>
      </w:r>
      <w:r>
        <w:rPr>
          <w:rStyle w:val="Satznummer"/>
        </w:rPr>
        <w:t>3</w:t>
      </w:r>
      <w:r>
        <w:t xml:space="preserve">In den Gebührenordnungen können auch die Bedeutung der Parkmöglichkeiten, deren wirtschaftlicher Wert oder der sonstige Nutzen der Parkmöglichkeiten für die Inhaber der Parkberechtigung angemessen berücksichtigt werden. </w:t>
      </w:r>
      <w:r>
        <w:rPr>
          <w:rStyle w:val="Satznummer"/>
        </w:rPr>
        <w:t>4</w:t>
      </w:r>
      <w:r>
        <w:t xml:space="preserve">In den Gebührenordnungen kann auch ein Höchstsatz festgelegt werden. </w:t>
      </w:r>
      <w:r>
        <w:rPr>
          <w:rStyle w:val="Satznummer"/>
        </w:rPr>
        <w:t>5</w:t>
      </w:r>
      <w:r>
        <w:t>Die Ermächtigung kann durch Rechtsverordnung weiter übertragen werden.</w:t>
      </w:r>
    </w:p>
    <w:p>
      <w:r>
        <w:t xml:space="preserve">(6) </w:t>
      </w:r>
      <w:r>
        <w:rPr>
          <w:rStyle w:val="Satznummer"/>
        </w:rPr>
        <w:t>1</w:t>
      </w:r>
      <w:r>
        <w:t xml:space="preserve">Für das Parken auf öffentlichen Wegen und Plätzen können in Ortsdurchfahrten die Gemeinden, im Übrigen die Träger der Straßenbaulast, Gebühren erheben. </w:t>
      </w:r>
      <w:r>
        <w:rPr>
          <w:rStyle w:val="Satznummer"/>
        </w:rPr>
        <w:t>2</w:t>
      </w:r>
      <w:r>
        <w:t xml:space="preserve">Für die Festsetzung der Gebühren werden die Landesregierungen ermächtigt, Gebührenordnungen zu erlassen. </w:t>
      </w:r>
      <w:r>
        <w:rPr>
          <w:rStyle w:val="Satznummer"/>
        </w:rPr>
        <w:t>3</w:t>
      </w:r>
      <w:r>
        <w:t xml:space="preserve">In diesen kann auch ein Höchstsatz festgelegt werden. </w:t>
      </w:r>
      <w:r>
        <w:rPr>
          <w:rStyle w:val="Satznummer"/>
        </w:rPr>
        <w:t>4</w:t>
      </w:r>
      <w:r>
        <w:t>Die Ermächtigung kann durch Rechtsverordnung weiter übertragen werden.</w:t>
      </w:r>
    </w:p>
    <w:p>
      <w:r>
        <w:t>(7) Die Regelung des Absatzes 6 Satz 2 bis 4 ist auf die Erhebung von Gebühren für die Benutzung von bei Großveranstaltungen im Interesse der Ordnung und Sicherheit des Verkehrs eingerichteter gebührenpflichtiger Parkplätze entsprechend anzuwenden.</w:t>
      </w:r>
    </w:p>
    <w:p>
      <w:r>
        <w:t xml:space="preserve">(8) </w:t>
      </w:r>
      <w:r>
        <w:rPr>
          <w:rStyle w:val="Satznummer"/>
        </w:rPr>
        <w:t>1</w:t>
      </w:r>
      <w:r>
        <w:t xml:space="preserve">Die Zulassung eines Fahrzeugs oder die Zuteilung eines Kennzeichens für ein zulassungsfreies Fahrzeug kann durch Rechtsvorschriften davon abhängig gemacht werden, dass die nach Absatz 1 in Verbindung mit einer Rechtsverordnung nach Absatz 2 für die Zulassung des Fahrzeugs oder Zuteilung des Kennzeichens vorgesehenen Gebühren und Auslagen, einschließlich rückständiger Gebühren und Auslagen aus vorausgegangenen Zulassungsvorgängen, entrichtet sind. </w:t>
      </w:r>
      <w:r>
        <w:rPr>
          <w:rStyle w:val="Satznummer"/>
        </w:rPr>
        <w:t>2</w:t>
      </w:r>
      <w:r>
        <w:t>Eine solche Regelung darf</w:t>
      </w:r>
    </w:p>
    <w:p>
      <w:pPr>
        <w:tabs>
          <w:tab w:pos="567" w:val="left"/>
        </w:tabs>
        <w:ind w:left="567" w:hanging="567"/>
      </w:pPr>
      <w:r>
        <w:t>1.</w:t>
      </w:r>
      <w:r>
        <w:tab/>
      </w:r>
      <w:r>
        <w:t>für den Fall eines in bundesrechtlichen Vorschriften geregelten internetbasierten Zulassungsverfahrens vom Bundesministerium für Verkehr durch Rechtsverordnung mit Zustimmung des Bundesrates,</w:t>
      </w:r>
    </w:p>
    <w:p>
      <w:pPr>
        <w:tabs>
          <w:tab w:pos="567" w:val="left"/>
        </w:tabs>
        <w:ind w:left="567" w:hanging="567"/>
      </w:pPr>
      <w:r>
        <w:t>2.</w:t>
      </w:r>
      <w:r>
        <w:tab/>
      </w:r>
      <w:r>
        <w:t>von den Ländern in den übrigen Fällen sowie im Fall der Nummer 1, solange und soweit das Bundesministerium für Verkehr von seiner Ermächtigung nach Nummer 1 nicht Gebrauch gemacht hat,</w:t>
      </w:r>
    </w:p>
    <w:p>
      <w:r>
        <w:t>getroffen werden.</w:t>
      </w:r>
    </w:p>
    <w:p>
      <w:pPr>
        <w:pStyle w:val="Heading2"/>
      </w:pPr>
      <w:bookmarkStart w:id="29" w:name="b28"/>
      <w:r>
        <w:t>§ 6b Herstellung, Vertrieb und Ausgabe von Kennzeichen</w:t>
      </w:r>
      <w:r>
        <w:t xml:space="preserve"> </w:t>
      </w:r>
      <w:r>
        <w:rPr>
          <w:rStyle w:val="Suchmarke"/>
        </w:rPr>
        <w:t>#6b#</w:t>
      </w:r>
      <w:bookmarkEnd w:id="29"/>
    </w:p>
    <w:p>
      <w:r>
        <w:t>(1) Wer Kennzeichen für Fahrzeuge herstellen, vertreiben oder ausgeben will, hat dies der Zulassungsbehörde vorher anzuzeigen.</w:t>
      </w:r>
    </w:p>
    <w:p>
      <w:r>
        <w:t>(2) (weggefallen)</w:t>
      </w:r>
    </w:p>
    <w:p>
      <w:r>
        <w:t>(3) Über die Herstellung, den Vertrieb und die Ausgabe von Kennzeichen sind nach näherer Bestimmung (</w:t>
      </w:r>
      <w:hyperlink w:anchor="b26" w:history="1">
        <w:r>
          <w:rPr>
            <w:color w:val="0A3A8C"/>
            <w:u w:val="single"/>
          </w:rPr>
          <w:t xml:space="preserve">§ 6</w:t>
        </w:r>
      </w:hyperlink>
      <w:r>
        <w:t xml:space="preserve"> Absatz 1 Satz 1 Nummer 6 in Verbindung mit Absatz 3 Nummer 2) Einzelnachweise zu führen, aufzubewahren und zuständigen Personen auf Verlangen zur Prüfung auszuhändigen.</w:t>
      </w:r>
    </w:p>
    <w:p>
      <w:r>
        <w:t>(4) Die Herstellung, der Vertrieb oder die Ausgabe von Kennzeichen ist zu untersagen, wenn diese ohne die vorherige Anzeige hergestellt, vertrieben oder ausgegeben werden.</w:t>
      </w:r>
    </w:p>
    <w:p>
      <w:r>
        <w:t>(5) Die Herstellung, der Vertrieb oder die Ausgabe von Kennzeichen kann untersagt werden, wenn</w:t>
      </w:r>
    </w:p>
    <w:p>
      <w:pPr>
        <w:tabs>
          <w:tab w:pos="567" w:val="left"/>
        </w:tabs>
        <w:ind w:left="567" w:hanging="567"/>
      </w:pPr>
      <w:r>
        <w:t>1.</w:t>
      </w:r>
      <w:r>
        <w:tab/>
      </w:r>
      <w:r>
        <w:t>Tatsachen vorliegen, aus denen sich die Unzuverlässigkeit des Verantwortlichen oder der von ihm mit Herstellung, Vertrieb oder Ausgabe von Kennzeichen beauftragten Personen ergibt, oder</w:t>
      </w:r>
    </w:p>
    <w:p>
      <w:pPr>
        <w:tabs>
          <w:tab w:pos="567" w:val="left"/>
        </w:tabs>
        <w:ind w:left="567" w:hanging="567"/>
      </w:pPr>
      <w:r>
        <w:t>2.</w:t>
      </w:r>
      <w:r>
        <w:tab/>
      </w:r>
      <w:r>
        <w:t>gegen die Vorschriften über die Führung, Aufbewahrung oder Aushändigung von Nachweisen über die Herstellung, den Vertrieb oder die Ausgabe von Kennzeichen verstoßen wird.</w:t>
      </w:r>
    </w:p>
    <w:p>
      <w:pPr>
        <w:pStyle w:val="Heading2"/>
      </w:pPr>
      <w:bookmarkStart w:id="30" w:name="b29"/>
      <w:r>
        <w:t>§ 6c Herstellung, Vertrieb und Ausgabe von Kennzeichenvorprodukten</w:t>
      </w:r>
      <w:r>
        <w:t xml:space="preserve"> </w:t>
      </w:r>
      <w:r>
        <w:rPr>
          <w:rStyle w:val="Suchmarke"/>
        </w:rPr>
        <w:t>#6c#</w:t>
      </w:r>
      <w:bookmarkEnd w:id="30"/>
    </w:p>
    <w:p>
      <w:hyperlink w:anchor="b28" w:history="1">
        <w:r>
          <w:rPr>
            <w:color w:val="0A3A8C"/>
            <w:u w:val="single"/>
          </w:rPr>
          <w:t xml:space="preserve">§ 6b</w:t>
        </w:r>
      </w:hyperlink>
      <w:r>
        <w:t xml:space="preserve"> Abs. 1, 3, 4 Nr. 1 sowie Abs. 5 gilt entsprechend für die Herstellung, den Vertrieb oder die Ausgabe von bestimmten - nach näherer Bestimmung durch das Bundesministerium für Verkehr festzulegenden (</w:t>
      </w:r>
      <w:hyperlink w:anchor="b26" w:history="1">
        <w:r>
          <w:rPr>
            <w:color w:val="0A3A8C"/>
            <w:u w:val="single"/>
          </w:rPr>
          <w:t xml:space="preserve">§ 6</w:t>
        </w:r>
      </w:hyperlink>
      <w:r>
        <w:t xml:space="preserve"> Absatz 1 Satz 1 Nummer 6 in Verbindung mit Absatz 3 Nummer 2) - Kennzeichenvorprodukten, bei denen nur noch die Beschriftung fehlt.</w:t>
      </w:r>
    </w:p>
    <w:p>
      <w:pPr>
        <w:pStyle w:val="Heading2"/>
      </w:pPr>
      <w:bookmarkStart w:id="31" w:name="b30"/>
      <w:r>
        <w:t>§ 6d Auskunft und Prüfung</w:t>
      </w:r>
      <w:r>
        <w:t xml:space="preserve"> </w:t>
      </w:r>
      <w:r>
        <w:rPr>
          <w:rStyle w:val="Suchmarke"/>
        </w:rPr>
        <w:t>#6d#</w:t>
      </w:r>
      <w:bookmarkEnd w:id="31"/>
    </w:p>
    <w:p>
      <w:r>
        <w:t xml:space="preserve">(1) Die mit der Herstellung, dem Vertrieb oder der Ausgabe von Kennzeichen befassten Personen haben den zuständigen Behörden oder den von ihnen beauftragten Personen über die Beachtung der in </w:t>
      </w:r>
      <w:hyperlink w:anchor="b28" w:history="1">
        <w:r>
          <w:rPr>
            <w:color w:val="0A3A8C"/>
            <w:u w:val="single"/>
          </w:rPr>
          <w:t xml:space="preserve">§ 6b</w:t>
        </w:r>
      </w:hyperlink>
      <w:r>
        <w:t xml:space="preserve"> Abs. 1 bis 3 bezeichneten Pflichten die erforderlichen Auskünfte unverzüglich zu erteilen.</w:t>
      </w:r>
    </w:p>
    <w:p>
      <w:r>
        <w:t xml:space="preserve">(2) Die mit der Herstellung, dem Vertrieb oder der Ausgabe von Kennzeichenvorprodukten im Sinne des </w:t>
      </w:r>
      <w:hyperlink w:anchor="b29" w:history="1">
        <w:r>
          <w:rPr>
            <w:color w:val="0A3A8C"/>
            <w:u w:val="single"/>
          </w:rPr>
          <w:t xml:space="preserve">§ 6c</w:t>
        </w:r>
      </w:hyperlink>
      <w:r>
        <w:t xml:space="preserve"> befassten Personen haben den zuständigen Behörden oder den von ihnen beauftragten Personen über die Beachtung der in </w:t>
      </w:r>
      <w:hyperlink w:anchor="b28" w:history="1">
        <w:r>
          <w:rPr>
            <w:color w:val="0A3A8C"/>
            <w:u w:val="single"/>
          </w:rPr>
          <w:t xml:space="preserve">§ 6b</w:t>
        </w:r>
      </w:hyperlink>
      <w:r>
        <w:t xml:space="preserve"> Abs. 1 und 3 bezeichneten Pflichten die erforderlichen Auskünfte unverzüglich zu erteilen.</w:t>
      </w:r>
    </w:p>
    <w:p>
      <w:r>
        <w:t>(3) Die von der zuständigen Behörde beauftragten Personen dürfen im Rahmen der Absätze 1 und 2 Grundstücke, Geschäftsräume, Betriebsräume und Transportmittel der Auskunftspflichtigen während der Betriebs- oder Geschäftszeit zum Zwecke der Prüfung und Besichtigung betreten.</w:t>
      </w:r>
    </w:p>
    <w:p>
      <w:pPr>
        <w:pStyle w:val="Heading2"/>
      </w:pPr>
      <w:bookmarkStart w:id="32" w:name="b31"/>
      <w:r>
        <w:t>§ 6e Führen von Kraftfahrzeugen in Begleitung</w:t>
      </w:r>
      <w:r>
        <w:t xml:space="preserve"> </w:t>
      </w:r>
      <w:r>
        <w:rPr>
          <w:rStyle w:val="Suchmarke"/>
        </w:rPr>
        <w:t>#6e#</w:t>
      </w:r>
      <w:bookmarkEnd w:id="32"/>
    </w:p>
    <w:p>
      <w:r>
        <w:t>(1) Das Bundesministerium für Verkehr wird ermächtigt, durch Rechtsverordnung mit Zustimmung des Bundesrates zur Senkung des Unfallrisikos junger Fahranfänger die erforderlichen Vorschriften zu erlassen, insbesondere über</w:t>
      </w:r>
    </w:p>
    <w:p>
      <w:pPr>
        <w:tabs>
          <w:tab w:pos="567" w:val="left"/>
        </w:tabs>
        <w:ind w:left="567" w:hanging="567"/>
      </w:pPr>
      <w:r>
        <w:t>1.</w:t>
      </w:r>
      <w:r>
        <w:tab/>
      </w:r>
      <w:r>
        <w:t>das Herabsetzen des allgemein vorgeschriebenen Mindestalters zum Führen von Kraftfahrzeugen mit einer Fahrerlaubnis der Klassen B und BE,</w:t>
      </w:r>
    </w:p>
    <w:p>
      <w:pPr>
        <w:tabs>
          <w:tab w:pos="567" w:val="left"/>
        </w:tabs>
        <w:ind w:left="567" w:hanging="567"/>
      </w:pPr>
      <w:r>
        <w:t>2.</w:t>
      </w:r>
      <w:r>
        <w:tab/>
      </w:r>
      <w:r>
        <w:t>die zur Erhaltung der Sicherheit und Ordnung auf den öffentlichen Straßen notwendigen Auflagen, insbesondere dass der Fahrerlaubnisinhaber während des Führens eines Kraftfahrzeuges von mindestens einer namentlich benannten Person begleitet sein muss,</w:t>
      </w:r>
    </w:p>
    <w:p>
      <w:pPr>
        <w:tabs>
          <w:tab w:pos="567" w:val="left"/>
        </w:tabs>
        <w:ind w:left="567" w:hanging="567"/>
      </w:pPr>
      <w:r>
        <w:t>3.</w:t>
      </w:r>
      <w:r>
        <w:tab/>
      </w:r>
      <w:r>
        <w:t>die Aufgaben und Befugnisse der begleitenden Person nach Nummer 2, insbesondere über die Möglichkeit, dem Fahrerlaubnisinhaber als Ansprechpartner beratend zur Verfügung zu stehen,</w:t>
      </w:r>
    </w:p>
    <w:p>
      <w:pPr>
        <w:tabs>
          <w:tab w:pos="567" w:val="left"/>
        </w:tabs>
        <w:ind w:left="567" w:hanging="567"/>
      </w:pPr>
      <w:r>
        <w:t>4.</w:t>
      </w:r>
      <w:r>
        <w:tab/>
      </w:r>
      <w:r>
        <w:t>die Anforderungen an die begleitende Person nach Nummer 2, insbesondere über</w:t>
      </w:r>
    </w:p>
    <w:p>
      <w:pPr>
        <w:tabs>
          <w:tab w:pos="1134" w:val="left"/>
        </w:tabs>
        <w:ind w:left="1134" w:hanging="567"/>
      </w:pPr>
      <w:r>
        <w:t>a)</w:t>
      </w:r>
      <w:r>
        <w:tab/>
      </w:r>
      <w:r>
        <w:t>das Lebensalter,</w:t>
      </w:r>
    </w:p>
    <w:p>
      <w:pPr>
        <w:tabs>
          <w:tab w:pos="1134" w:val="left"/>
        </w:tabs>
        <w:ind w:left="1134" w:hanging="567"/>
      </w:pPr>
      <w:r>
        <w:t>b)</w:t>
      </w:r>
      <w:r>
        <w:tab/>
      </w:r>
      <w:r>
        <w:t>den Besitz einer Fahrerlaubnis sowie über deren Mitführen und Aushändigung an zur Überwachung zuständige Personen,</w:t>
      </w:r>
    </w:p>
    <w:p>
      <w:pPr>
        <w:tabs>
          <w:tab w:pos="1134" w:val="left"/>
        </w:tabs>
        <w:ind w:left="1134" w:hanging="567"/>
      </w:pPr>
      <w:r>
        <w:t>c)</w:t>
      </w:r>
      <w:r>
        <w:tab/>
      </w:r>
      <w:r>
        <w:t>ihre Belastung mit Eintragungen im Fahreignungsregister sowie</w:t>
      </w:r>
    </w:p>
    <w:p>
      <w:pPr>
        <w:tabs>
          <w:tab w:pos="1134" w:val="left"/>
        </w:tabs>
        <w:ind w:left="1134" w:hanging="567"/>
      </w:pPr>
      <w:r>
        <w:t>d)</w:t>
      </w:r>
      <w:r>
        <w:tab/>
      </w:r>
      <w:r>
        <w:t>über Beschränkungen oder das Verbot des Genusses alkoholischer Getränke und berauschender Mittel,</w:t>
      </w:r>
    </w:p>
    <w:p>
      <w:pPr>
        <w:tabs>
          <w:tab w:pos="567" w:val="left"/>
        </w:tabs>
        <w:ind w:left="567" w:hanging="567"/>
      </w:pPr>
      <w:r>
        <w:t>5.</w:t>
      </w:r>
      <w:r>
        <w:tab/>
      </w:r>
      <w:r>
        <w:t xml:space="preserve">die Ausstellung einer Prüfungsbescheinigung, die abweichend von </w:t>
      </w:r>
      <w:hyperlink w:anchor="b14" w:history="1">
        <w:r>
          <w:rPr>
            <w:color w:val="0A3A8C"/>
            <w:u w:val="single"/>
          </w:rPr>
          <w:t xml:space="preserve">§ 2</w:t>
        </w:r>
      </w:hyperlink>
      <w:r>
        <w:t xml:space="preserve"> Abs. 1 Satz 3 ausschließlich im Inland längstens bis drei Monate nach Erreichen des allgemein vorgeschriebenen Mindestalters zum Nachweis der Fahrberechtigung dient, sowie über deren Mitführen und Aushändigung an zur Überwachung des Straßenverkehrs berechtigte Personen,</w:t>
      </w:r>
    </w:p>
    <w:p>
      <w:pPr>
        <w:tabs>
          <w:tab w:pos="567" w:val="left"/>
        </w:tabs>
        <w:ind w:left="567" w:hanging="567"/>
      </w:pPr>
      <w:r>
        <w:t>6.</w:t>
      </w:r>
      <w:r>
        <w:tab/>
      </w:r>
      <w:r>
        <w:t xml:space="preserve">die Kosten in entsprechender Anwendung des </w:t>
      </w:r>
      <w:hyperlink w:anchor="b27" w:history="1">
        <w:r>
          <w:rPr>
            <w:color w:val="0A3A8C"/>
            <w:u w:val="single"/>
          </w:rPr>
          <w:t xml:space="preserve">§ 6a</w:t>
        </w:r>
      </w:hyperlink>
      <w:r>
        <w:t xml:space="preserve"> Abs. 2 in Verbindung mit Abs. 4 und</w:t>
      </w:r>
    </w:p>
    <w:p>
      <w:pPr>
        <w:tabs>
          <w:tab w:pos="567" w:val="left"/>
        </w:tabs>
        <w:ind w:left="567" w:hanging="567"/>
      </w:pPr>
      <w:r>
        <w:t>7.</w:t>
      </w:r>
      <w:r>
        <w:tab/>
      </w:r>
      <w:r>
        <w:t>das Verfahren.</w:t>
      </w:r>
    </w:p>
    <w:p>
      <w:r>
        <w:t xml:space="preserve">(2) </w:t>
      </w:r>
      <w:r>
        <w:rPr>
          <w:rStyle w:val="Satznummer"/>
        </w:rPr>
        <w:t>1</w:t>
      </w:r>
      <w:r>
        <w:t xml:space="preserve">Eine auf der Grundlage der Rechtsverordnung nach Absatz 1 erteilte Fahrerlaubnis der Klassen B und BE ist zu widerrufen, wenn der Fahrerlaubnisinhaber entgegen einer vollziehbaren Auflage nach Absatz 1 Nummer 2 ein Kraftfahrzeug ohne Begleitung durch eine namentlich benannte Person führt. </w:t>
      </w:r>
      <w:r>
        <w:rPr>
          <w:rStyle w:val="Satznummer"/>
        </w:rPr>
        <w:t>2</w:t>
      </w:r>
      <w:r>
        <w:t xml:space="preserve">Die Erteilung einer neuen Fahrerlaubnis erfolgt unbeschadet der übrigen Voraussetzungen nach den Vorschriften des </w:t>
      </w:r>
      <w:hyperlink w:anchor="b15" w:history="1">
        <w:r>
          <w:rPr>
            <w:color w:val="0A3A8C"/>
            <w:u w:val="single"/>
          </w:rPr>
          <w:t xml:space="preserve">§ 2a</w:t>
        </w:r>
      </w:hyperlink>
      <w:r>
        <w:t>.</w:t>
      </w:r>
    </w:p>
    <w:p>
      <w:r>
        <w:t xml:space="preserve">(3) </w:t>
      </w:r>
      <w:r>
        <w:rPr>
          <w:rStyle w:val="Satznummer"/>
        </w:rPr>
        <w:t>1</w:t>
      </w:r>
      <w:r>
        <w:t xml:space="preserve">Im Übrigen gelten die allgemeinen Vorschriften über die Fahrerlaubnispflicht, die Erteilung, die Entziehung oder die Neuerteilung der Fahrerlaubnis, die Regelungen für die Fahrerlaubnis auf Probe, das Fahrerlaubnisregister und die Zulassung von Personen zum Straßenverkehr. </w:t>
      </w:r>
      <w:r>
        <w:rPr>
          <w:rStyle w:val="Satznummer"/>
        </w:rPr>
        <w:t>2</w:t>
      </w:r>
      <w:r>
        <w:t>Für die Prüfungsbescheinigung nach Absatz 1 Nr. 5 gelten im Übrigen die Vorschriften über den Führerschein entsprechend.</w:t>
      </w:r>
    </w:p>
    <w:p>
      <w:pPr>
        <w:pStyle w:val="Heading2"/>
      </w:pPr>
      <w:bookmarkStart w:id="33" w:name="b32"/>
      <w:r>
        <w:t>§ 6f Entgelte für Begutachtungsstellen für Fahreignung</w:t>
      </w:r>
      <w:r>
        <w:t xml:space="preserve"> </w:t>
      </w:r>
      <w:r>
        <w:rPr>
          <w:rStyle w:val="Suchmarke"/>
        </w:rPr>
        <w:t>#6f#</w:t>
      </w:r>
      <w:bookmarkEnd w:id="33"/>
    </w:p>
    <w:p>
      <w:r>
        <w:rPr>
          <w:rStyle w:val="Satznummer"/>
        </w:rPr>
        <w:t>1</w:t>
      </w:r>
      <w:r>
        <w:t>Das Bundesministerium für Verkehr kann durch Rechtsverordnung mit Zustimmung des Bundesrates die Entgelte der Begutachtungsstellen für Fahreignung festsetzen, soweit</w:t>
      </w:r>
    </w:p>
    <w:p>
      <w:pPr>
        <w:tabs>
          <w:tab w:pos="567" w:val="left"/>
        </w:tabs>
        <w:ind w:left="567" w:hanging="567"/>
      </w:pPr>
      <w:r>
        <w:t>1.</w:t>
      </w:r>
      <w:r>
        <w:tab/>
      </w:r>
      <w:r>
        <w:t>die Begutachtungsstellen aus Anlass von Verwaltungsverfahren nach straßenverkehrsrechtlichen Vorschriften medizinisch-psychologische Untersuchungen durchführen und</w:t>
      </w:r>
    </w:p>
    <w:p>
      <w:pPr>
        <w:tabs>
          <w:tab w:pos="567" w:val="left"/>
        </w:tabs>
        <w:ind w:left="567" w:hanging="567"/>
      </w:pPr>
      <w:r>
        <w:t>2.</w:t>
      </w:r>
      <w:r>
        <w:tab/>
      </w:r>
      <w:r>
        <w:t>die Festsetzung erforderlich ist, um die Qualität der Begutachtung zu fördern.</w:t>
      </w:r>
    </w:p>
    <w:p>
      <w:r>
        <w:rPr>
          <w:rStyle w:val="Satznummer"/>
        </w:rPr>
        <w:t>2</w:t>
      </w:r>
      <w:r>
        <w:t xml:space="preserve">Bei der Festsetzung der Entgelte ist den berechtigten Interessen der Leistungsbringer und der zur Zahlung der Entgelte Verpflichteten Rechnung zu tragen. </w:t>
      </w:r>
      <w:r>
        <w:rPr>
          <w:rStyle w:val="Satznummer"/>
        </w:rPr>
        <w:t>3</w:t>
      </w:r>
      <w:r>
        <w:t>Soweit der Leistungsumfang nicht einheitlich geregelt ist, sind dabei Mindest- und Höchstsätze festzusetzen.</w:t>
      </w:r>
    </w:p>
    <w:p>
      <w:pPr>
        <w:pStyle w:val="Heading2"/>
      </w:pPr>
      <w:bookmarkStart w:id="34" w:name="b33"/>
      <w:r>
        <w:t>§ 6g Internetbasierte Zulassungsverfahren bei Kraftfahrzeugen</w:t>
      </w:r>
      <w:r>
        <w:t xml:space="preserve"> </w:t>
      </w:r>
      <w:r>
        <w:rPr>
          <w:rStyle w:val="Suchmarke"/>
        </w:rPr>
        <w:t>#6g#</w:t>
      </w:r>
      <w:bookmarkEnd w:id="34"/>
    </w:p>
    <w:p>
      <w:r>
        <w:t xml:space="preserve">(1) </w:t>
      </w:r>
      <w:r>
        <w:rPr>
          <w:rStyle w:val="Satznummer"/>
        </w:rPr>
        <w:t>1</w:t>
      </w:r>
      <w:r>
        <w:t xml:space="preserve">In Ergänzung der allgemeinen Vorschriften über die Zulassung von Fahrzeugen zum Straßenverkehr, die Zuteilung von Kennzeichen für zulassungsfreie Fahrzeuge und die Außerbetriebsetzung von Fahrzeugen können diese Verwaltungsverfahren nach Maßgabe der nachstehenden Vorschriften internetbasiert durchgeführt werden (internetbasierte Zulassung). </w:t>
      </w:r>
      <w:r>
        <w:rPr>
          <w:rStyle w:val="Satznummer"/>
        </w:rPr>
        <w:t>2</w:t>
      </w:r>
      <w:r>
        <w:t>Für dieses Verwaltungsverfahren ist das Verwaltungsverfahrensgesetz anzuwenden.</w:t>
      </w:r>
    </w:p>
    <w:p>
      <w:r>
        <w:t xml:space="preserve">(2) </w:t>
      </w:r>
      <w:r>
        <w:rPr>
          <w:rStyle w:val="Satznummer"/>
        </w:rPr>
        <w:t>1</w:t>
      </w:r>
      <w:r>
        <w:t>Ein Verwaltungsakt kann nach näherer Bestimmung einer Rechtsverordnung nach Absatz 4 Satz 1 Nummer 1 vollständig durch automatische Einrichtungen erlassen werden, wenn</w:t>
      </w:r>
    </w:p>
    <w:p>
      <w:pPr>
        <w:tabs>
          <w:tab w:pos="567" w:val="left"/>
        </w:tabs>
        <w:ind w:left="567" w:hanging="567"/>
      </w:pPr>
      <w:r>
        <w:t>1.</w:t>
      </w:r>
      <w:r>
        <w:tab/>
      </w:r>
      <w:r>
        <w:t>die maschinelle Prüfung der Entscheidungsvoraussetzungen auf der Grundlage eines automatisierten Prüfprogrammes erfolgt, das bei der zuständigen Behörde eingerichtet ist und ausschließlich von ihr betrieben wird, und</w:t>
      </w:r>
    </w:p>
    <w:p>
      <w:pPr>
        <w:tabs>
          <w:tab w:pos="567" w:val="left"/>
        </w:tabs>
        <w:ind w:left="567" w:hanging="567"/>
      </w:pPr>
      <w:r>
        <w:t>2.</w:t>
      </w:r>
      <w:r>
        <w:tab/>
      </w:r>
      <w:r>
        <w:t>sichergestellt ist, dass das Ergebnis der Prüfung nur die antragsgemäße Bescheidung oder die Ablehnung des Antrages sein kann.</w:t>
      </w:r>
    </w:p>
    <w:p>
      <w:r>
        <w:rPr>
          <w:rStyle w:val="Satznummer"/>
        </w:rPr>
        <w:t>2</w:t>
      </w:r>
      <w:r>
        <w:t xml:space="preserve">Ein nach Satz 1 erlassener Verwaltungsakt steht einen Monat, beginnend mit dem Tag, an dem der Verwaltungsakt wirksam wird, unter dem Vorbehalt der Nachprüfung. </w:t>
      </w:r>
      <w:r>
        <w:rPr>
          <w:rStyle w:val="Satznummer"/>
        </w:rPr>
        <w:t>3</w:t>
      </w:r>
      <w:r>
        <w:t>Solange der Vorbehalt wirksam ist, kann der Verwaltungsakt jederzeit aufgehoben oder geändert werden.</w:t>
      </w:r>
    </w:p>
    <w:p>
      <w:r>
        <w:t xml:space="preserve">(3) </w:t>
      </w:r>
      <w:r>
        <w:rPr>
          <w:rStyle w:val="Satznummer"/>
        </w:rPr>
        <w:t>1</w:t>
      </w:r>
      <w:r>
        <w:t>Nach näherer Bestimmung einer Rechtsverordnung nach Absatz 4 Satz 1 Nummer 3 bis 5 können</w:t>
      </w:r>
    </w:p>
    <w:p>
      <w:pPr>
        <w:tabs>
          <w:tab w:pos="567" w:val="left"/>
        </w:tabs>
        <w:ind w:left="567" w:hanging="567"/>
      </w:pPr>
      <w:r>
        <w:t>1.</w:t>
      </w:r>
      <w:r>
        <w:tab/>
      </w:r>
      <w:r>
        <w:t>natürlichen oder juristischen Personen des Privatrechts bestimmte Aufgaben eines internetbasierten Zulassungsverfahrens, ausgenommen die Entscheidung über den Antrag, oder bei der Inbetriebnahme derart zugelassener Fahrzeuge übertragen werden (Beleihung) oder</w:t>
      </w:r>
    </w:p>
    <w:p>
      <w:pPr>
        <w:tabs>
          <w:tab w:pos="567" w:val="left"/>
        </w:tabs>
        <w:ind w:left="567" w:hanging="567"/>
      </w:pPr>
      <w:r>
        <w:t>2.</w:t>
      </w:r>
      <w:r>
        <w:tab/>
      </w:r>
      <w:r>
        <w:t>natürliche oder juristische Personen des Privatrechts beauftragt werden, an der Durchführung von Aufgaben im Sinne der Nummer 1 mitzuwirken (Verwaltungshilfe).</w:t>
      </w:r>
    </w:p>
    <w:p>
      <w:r>
        <w:rPr>
          <w:rStyle w:val="Satznummer"/>
        </w:rPr>
        <w:t>2</w:t>
      </w:r>
      <w:r>
        <w:t>Personen im Sinne des Satzes 1 müssen fachlich geeignet, zuverlässig, auch hinsichtlich ihrer Finanzen, und unabhängig von den Interessen der sonstigen Beteiligten sein.</w:t>
      </w:r>
    </w:p>
    <w:p>
      <w:r>
        <w:t xml:space="preserve">(4) </w:t>
      </w:r>
      <w:r>
        <w:rPr>
          <w:rStyle w:val="Satznummer"/>
        </w:rPr>
        <w:t>1</w:t>
      </w:r>
      <w:r>
        <w:t>Das Bundesministerium für Verkehr wird ermächtigt, durch Rechtsverordnung mit Zustimmung des Bundesrates</w:t>
      </w:r>
    </w:p>
    <w:p>
      <w:pPr>
        <w:tabs>
          <w:tab w:pos="567" w:val="left"/>
        </w:tabs>
        <w:ind w:left="567" w:hanging="567"/>
      </w:pPr>
      <w:r>
        <w:t>1.</w:t>
      </w:r>
      <w:r>
        <w:tab/>
      </w:r>
      <w:r>
        <w:t>die Einzelheiten des Erlasses und der Aufhebung eines Verwaltungsaktes im Sinne des Absatzes 2 zu regeln, insbesondere</w:t>
      </w:r>
    </w:p>
    <w:p>
      <w:pPr>
        <w:tabs>
          <w:tab w:pos="1134" w:val="left"/>
        </w:tabs>
        <w:ind w:left="1134" w:hanging="567"/>
      </w:pPr>
      <w:r>
        <w:t>a)</w:t>
      </w:r>
      <w:r>
        <w:tab/>
      </w:r>
      <w:r>
        <w:t>die Anforderungen an das Prüfprogramm,</w:t>
      </w:r>
    </w:p>
    <w:p>
      <w:pPr>
        <w:tabs>
          <w:tab w:pos="1134" w:val="left"/>
        </w:tabs>
        <w:ind w:left="1134" w:hanging="567"/>
      </w:pPr>
      <w:r>
        <w:t>b)</w:t>
      </w:r>
      <w:r>
        <w:tab/>
      </w:r>
      <w:r>
        <w:t>besondere Bestimmungen zur Bekanntgabe, zur Wirksamkeit sowie zur Rücknahme und zum Widerruf des Verwaltungsaktes,</w:t>
      </w:r>
    </w:p>
    <w:p>
      <w:pPr>
        <w:tabs>
          <w:tab w:pos="567" w:val="left"/>
        </w:tabs>
        <w:ind w:left="567" w:hanging="567"/>
      </w:pPr>
      <w:r>
        <w:t>2.</w:t>
      </w:r>
      <w:r>
        <w:tab/>
      </w:r>
      <w:r>
        <w:t>das für die Identifizierung von Antragstellern zu wahrende Vertrauensniveau zu regeln,</w:t>
      </w:r>
    </w:p>
    <w:p>
      <w:pPr>
        <w:tabs>
          <w:tab w:pos="567" w:val="left"/>
        </w:tabs>
        <w:ind w:left="567" w:hanging="567"/>
      </w:pPr>
      <w:r>
        <w:t>3.</w:t>
      </w:r>
      <w:r>
        <w:tab/>
      </w:r>
      <w:r>
        <w:t>die Aufgaben im Sinne des Absatzes 3 zu bestimmen,</w:t>
      </w:r>
    </w:p>
    <w:p>
      <w:pPr>
        <w:tabs>
          <w:tab w:pos="1134" w:val="left"/>
        </w:tabs>
        <w:ind w:left="1134" w:hanging="567"/>
      </w:pPr>
      <w:r>
        <w:t>a)</w:t>
      </w:r>
      <w:r>
        <w:tab/>
      </w:r>
      <w:r>
        <w:t>mit denen Personen beliehen oder</w:t>
      </w:r>
    </w:p>
    <w:p>
      <w:pPr>
        <w:tabs>
          <w:tab w:pos="1134" w:val="left"/>
        </w:tabs>
        <w:ind w:left="1134" w:hanging="567"/>
      </w:pPr>
      <w:r>
        <w:t>b)</w:t>
      </w:r>
      <w:r>
        <w:tab/>
      </w:r>
      <w:r>
        <w:t>an deren Durchführung Verwaltungshelfer beteiligt</w:t>
      </w:r>
    </w:p>
    <w:p>
      <w:pPr>
        <w:ind w:left="567"/>
      </w:pPr>
      <w:r>
        <w:t>werden können, sowie die Art und Weise der Aufgabenerledigung,</w:t>
      </w:r>
    </w:p>
    <w:p>
      <w:pPr>
        <w:tabs>
          <w:tab w:pos="567" w:val="left"/>
        </w:tabs>
        <w:ind w:left="567" w:hanging="567"/>
      </w:pPr>
      <w:r>
        <w:t>4.</w:t>
      </w:r>
      <w:r>
        <w:tab/>
      </w:r>
      <w:r>
        <w:t>die näheren Anforderungen an Personen im Sinne des Absatzes 3 zu bestimmen, einschließlich deren Überwachung, des Verfahrens und des Zusammenwirkens der zuständigen Behörden bei der Überwachung,</w:t>
      </w:r>
    </w:p>
    <w:p>
      <w:pPr>
        <w:tabs>
          <w:tab w:pos="567" w:val="left"/>
        </w:tabs>
        <w:ind w:left="567" w:hanging="567"/>
      </w:pPr>
      <w:r>
        <w:t>5.</w:t>
      </w:r>
      <w:r>
        <w:tab/>
      </w:r>
      <w:r>
        <w:t>die notwendige Haftpflichtversicherung der beliehenen oder beauftragten Person zur Deckung aller im Zusammenhang mit der Wahrnehmung der übertragenen Aufgabe oder der Hilfe zur Erfüllung der Aufgabe entstandenen Schäden sowie die Freistellung der für Übertragung oder Beauftragung und Aufsicht zuständigen Bundesbehörde oder Landesbehörde von Ansprüchen Dritter wegen etwaiger Schäden, die die beliehene oder beauftragte Person verursacht, zu regeln,</w:t>
      </w:r>
    </w:p>
    <w:p>
      <w:pPr>
        <w:tabs>
          <w:tab w:pos="567" w:val="left"/>
        </w:tabs>
        <w:ind w:left="567" w:hanging="567"/>
      </w:pPr>
      <w:r>
        <w:t>6.</w:t>
      </w:r>
      <w:r>
        <w:tab/>
      </w:r>
      <w:r>
        <w:t>bestimmte Aufgaben eines internetbasierten Zulassungsverfahrens dem Kraftfahrt-Bundesamt zu übertragen, soweit die Aufgaben eine bundeseinheitliche Durchführung erfordern, und das Zusammenwirken mit den für die Zulassung zuständigen Behörden zu regeln,</w:t>
      </w:r>
    </w:p>
    <w:p>
      <w:pPr>
        <w:tabs>
          <w:tab w:pos="567" w:val="left"/>
        </w:tabs>
        <w:ind w:left="567" w:hanging="567"/>
      </w:pPr>
      <w:r>
        <w:t>7.</w:t>
      </w:r>
      <w:r>
        <w:tab/>
      </w:r>
      <w:r>
        <w:t>besondere Anforderungen an die Inbetriebnahme von Fahrzeugen, die internetbasiert zugelassen sind, zu regeln, insbesondere hinsichtlich</w:t>
      </w:r>
    </w:p>
    <w:p>
      <w:pPr>
        <w:tabs>
          <w:tab w:pos="1134" w:val="left"/>
        </w:tabs>
        <w:ind w:left="1134" w:hanging="567"/>
      </w:pPr>
      <w:r>
        <w:t>a)</w:t>
      </w:r>
      <w:r>
        <w:tab/>
      </w:r>
      <w:r>
        <w:t>des Verwendens befristet gültiger Kennzeichenschilder einschließlich deren Herstellung, Ausstellung, Anbringung und Gültigkeitsdauer,</w:t>
      </w:r>
    </w:p>
    <w:p>
      <w:pPr>
        <w:tabs>
          <w:tab w:pos="1134" w:val="left"/>
        </w:tabs>
        <w:ind w:left="1134" w:hanging="567"/>
      </w:pPr>
      <w:r>
        <w:t>b)</w:t>
      </w:r>
      <w:r>
        <w:tab/>
      </w:r>
      <w:r>
        <w:t>des Versandes von Zulassungsunterlagen und der endgültigen Kennzeichenschilder,</w:t>
      </w:r>
    </w:p>
    <w:p>
      <w:pPr>
        <w:tabs>
          <w:tab w:pos="567" w:val="left"/>
        </w:tabs>
        <w:ind w:left="567" w:hanging="567"/>
      </w:pPr>
      <w:r>
        <w:t>8.</w:t>
      </w:r>
      <w:r>
        <w:tab/>
      </w:r>
      <w:r>
        <w:t>die Errichtung und den Betrieb eines zentralen Dateisystems beim Kraftfahrt-Bundesamt</w:t>
      </w:r>
    </w:p>
    <w:p>
      <w:pPr>
        <w:tabs>
          <w:tab w:pos="1134" w:val="left"/>
        </w:tabs>
        <w:ind w:left="1134" w:hanging="567"/>
      </w:pPr>
      <w:r>
        <w:t>a)</w:t>
      </w:r>
      <w:r>
        <w:tab/>
      </w:r>
      <w:r>
        <w:t>mit fahrzeugbezogenen Daten, die für die Prüfung der Zulassungsfähigkeit der Fahrzeuge erforderlich sind, insbesondere mit den Daten der unionsrechtlich vorgeschriebenen Übereinstimmungsbescheinigungen einschließlich der Fahrzeug-Identifizierungsnummer,</w:t>
      </w:r>
    </w:p>
    <w:p>
      <w:pPr>
        <w:tabs>
          <w:tab w:pos="1134" w:val="left"/>
        </w:tabs>
        <w:ind w:left="1134" w:hanging="567"/>
      </w:pPr>
      <w:r>
        <w:t>b)</w:t>
      </w:r>
      <w:r>
        <w:tab/>
      </w:r>
      <w:r>
        <w:t>mit den Daten der Fahrzeuge, die Auskunft über nach oder auf Grund von Unionsrecht einzuhaltende Fahrzeugeigenschaften geben,</w:t>
      </w:r>
    </w:p>
    <w:p>
      <w:pPr>
        <w:ind w:left="567"/>
      </w:pPr>
      <w:r>
        <w:t>sowie die Pflicht zur Übermittlung dieser Daten durch die Hersteller oder Einführer der Fahrzeuge zu regeln,</w:t>
      </w:r>
    </w:p>
    <w:p>
      <w:pPr>
        <w:tabs>
          <w:tab w:pos="567" w:val="left"/>
        </w:tabs>
        <w:ind w:left="567" w:hanging="567"/>
      </w:pPr>
      <w:r>
        <w:t>9.</w:t>
      </w:r>
      <w:r>
        <w:tab/>
      </w:r>
      <w:r>
        <w:t>die Durchführung anderer als straßenverkehrsrechtlicher Rechtsvorschriften bei einer internetbasierten Zulassung zu regeln.</w:t>
      </w:r>
    </w:p>
    <w:p>
      <w:r>
        <w:rPr>
          <w:rStyle w:val="Satznummer"/>
        </w:rPr>
        <w:t>2</w:t>
      </w:r>
      <w:r>
        <w:t>Das in Satz 1 Nummer 8 vorgesehene Dateisystem darf weder mit dem Zentralen Fahrzeugregister des Kraftfahrt-Bundesamtes noch mit den örtlichen Fahrzeugregistern der Zulassungsbehörden verknüpft werden.</w:t>
      </w:r>
    </w:p>
    <w:p>
      <w:r>
        <w:t xml:space="preserve">(5) </w:t>
      </w:r>
      <w:r>
        <w:rPr>
          <w:rStyle w:val="Satznummer"/>
        </w:rPr>
        <w:t>1</w:t>
      </w:r>
      <w:r>
        <w:t xml:space="preserve">Für Vorschriften des Verwaltungsverfahrens in den Absätzen 1 bis 3 und in Rechtsverordnungen auf Grund des Absatzes 4 kann durch Rechtsverordnung des Bundesministeriums für Verkehr mit Zustimmung des Bundesrates vorgeschrieben werden, dass von diesen Vorschriften durch Landesrecht nicht abgewichen werden kann. </w:t>
      </w:r>
      <w:r>
        <w:rPr>
          <w:rStyle w:val="Satznummer"/>
        </w:rPr>
        <w:t>2</w:t>
      </w:r>
      <w:r>
        <w:t>Die Vorschriften, von denen durch Landesrecht nicht abgewichen werden kann, sind dabei zu nennen.</w:t>
      </w:r>
    </w:p>
    <w:p>
      <w:pPr>
        <w:pStyle w:val="Heading1"/>
      </w:pPr>
      <w:bookmarkStart w:id="35" w:name="b34"/>
      <w:r>
        <w:t>II. Haftpflicht</w:t>
      </w:r>
      <w:bookmarkEnd w:id="35"/>
    </w:p>
    <w:p>
      <w:pPr>
        <w:pStyle w:val="Heading2"/>
      </w:pPr>
      <w:bookmarkStart w:id="36" w:name="b35"/>
      <w:r>
        <w:t>§ 7 Haftung des Halters, Schwarzfahrt</w:t>
      </w:r>
      <w:r>
        <w:t xml:space="preserve"> </w:t>
      </w:r>
      <w:r>
        <w:rPr>
          <w:rStyle w:val="Suchmarke"/>
        </w:rPr>
        <w:t>#7#</w:t>
      </w:r>
      <w:bookmarkEnd w:id="36"/>
    </w:p>
    <w:p>
      <w:r>
        <w:t>(1) Wird bei dem Betrieb eines Kraftfahrzeugs ein Mensch getötet, der Körper oder die Gesundheit eines Menschen verletzt oder eine Sache beschädigt, so ist der Halter verpflichtet, dem Verletzten den daraus entstehenden Schaden zu ersetzen.</w:t>
      </w:r>
    </w:p>
    <w:p>
      <w:r>
        <w:t>(2) Die Ersatzpflicht ist ausgeschlossen, wenn der Unfall durch höhere Gewalt verursacht wird.</w:t>
      </w:r>
    </w:p>
    <w:p>
      <w:r>
        <w:t xml:space="preserve">(3) </w:t>
      </w:r>
      <w:r>
        <w:rPr>
          <w:rStyle w:val="Satznummer"/>
        </w:rPr>
        <w:t>1</w:t>
      </w:r>
      <w:r>
        <w:t xml:space="preserve">Benutzt jemand das Kraftfahrzeug ohne Wissen und Willen des Fahrzeughalters, so ist er anstelle des Halters zum Ersatz des Schadens verpflichtet; daneben bleibt der Halter zum Ersatz des Schadens verpflichtet, wenn die Benutzung des Kraftfahrzeugs durch sein Verschulden ermöglicht worden ist. </w:t>
      </w:r>
      <w:r>
        <w:rPr>
          <w:rStyle w:val="Satznummer"/>
        </w:rPr>
        <w:t>2</w:t>
      </w:r>
      <w:r>
        <w:t>Satz 1 findet keine Anwendung, wenn der Benutzer vom Fahrzeughalter für den Betrieb des Kraftfahrzeugs angestellt ist oder wenn ihm das Kraftfahrzeug vom Halter überlassen worden ist.</w:t>
      </w:r>
    </w:p>
    <w:p>
      <w:pPr>
        <w:pStyle w:val="Heading2"/>
      </w:pPr>
      <w:bookmarkStart w:id="37" w:name="b36"/>
      <w:r>
        <w:t>§ 8 Ausnahmen</w:t>
      </w:r>
      <w:r>
        <w:t xml:space="preserve"> </w:t>
      </w:r>
      <w:r>
        <w:rPr>
          <w:rStyle w:val="Suchmarke"/>
        </w:rPr>
        <w:t>#8#</w:t>
      </w:r>
      <w:bookmarkEnd w:id="37"/>
    </w:p>
    <w:p>
      <w:r>
        <w:t xml:space="preserve">Die Vorschriften des </w:t>
      </w:r>
      <w:hyperlink w:anchor="b35" w:history="1">
        <w:r>
          <w:rPr>
            <w:color w:val="0A3A8C"/>
            <w:u w:val="single"/>
          </w:rPr>
          <w:t xml:space="preserve">§ 7</w:t>
        </w:r>
      </w:hyperlink>
      <w:r>
        <w:t xml:space="preserve"> gelten nicht,</w:t>
      </w:r>
    </w:p>
    <w:p>
      <w:pPr>
        <w:tabs>
          <w:tab w:pos="567" w:val="left"/>
        </w:tabs>
        <w:ind w:left="567" w:hanging="567"/>
      </w:pPr>
      <w:r>
        <w:t>1.</w:t>
      </w:r>
      <w:r>
        <w:tab/>
      </w:r>
      <w:r>
        <w:t xml:space="preserve">wenn der Unfall durch ein Kraftfahrzeug verursacht wurde, das auf ebener Bahn mit keiner höheren Geschwindigkeit als 20 Kilometer in der Stunde fahren kann, es sei denn, es handelt sich um ein Kraftfahrzeug mit autonomer Fahrfunktion im Sinne des </w:t>
      </w:r>
      <w:hyperlink w:anchor="b5" w:history="1">
        <w:r>
          <w:rPr>
            <w:color w:val="0A3A8C"/>
            <w:u w:val="single"/>
          </w:rPr>
          <w:t xml:space="preserve">§ 1d</w:t>
        </w:r>
      </w:hyperlink>
      <w:r>
        <w:t xml:space="preserve"> Absatz 1 und 2, das sich im autonomen Betrieb befindet, oder um ein Kraftfahrzeug im Sinne des § 1 Absatz 1 der Elektrokleinstfahrzeuge-Verordnung,</w:t>
      </w:r>
    </w:p>
    <w:p>
      <w:pPr>
        <w:tabs>
          <w:tab w:pos="567" w:val="left"/>
        </w:tabs>
        <w:ind w:left="567" w:hanging="567"/>
      </w:pPr>
      <w:r>
        <w:t>2.</w:t>
      </w:r>
      <w:r>
        <w:tab/>
      </w:r>
      <w:r>
        <w:t>wenn der Verletzte bei dem Betrieb des Kraftfahrzeugs tätig war oder</w:t>
      </w:r>
    </w:p>
    <w:p>
      <w:pPr>
        <w:tabs>
          <w:tab w:pos="567" w:val="left"/>
        </w:tabs>
        <w:ind w:left="567" w:hanging="567"/>
      </w:pPr>
      <w:r>
        <w:t>3.</w:t>
      </w:r>
      <w:r>
        <w:tab/>
      </w:r>
      <w:r>
        <w:t>wenn eine Sache beschädigt worden ist, die durch das Kraftfahrzeug befördert worden ist, es sei denn, dass eine beförderte Person die Sache an sich trägt oder mit sich führt.</w:t>
      </w:r>
    </w:p>
    <w:p>
      <w:pPr>
        <w:pStyle w:val="Heading2"/>
      </w:pPr>
      <w:bookmarkStart w:id="38" w:name="b37"/>
      <w:r>
        <w:t>§ 8a Entgeltliche Personenbeförderung, Verbot des Haftungsausschlusses</w:t>
      </w:r>
      <w:r>
        <w:t xml:space="preserve"> </w:t>
      </w:r>
      <w:r>
        <w:rPr>
          <w:rStyle w:val="Suchmarke"/>
        </w:rPr>
        <w:t>#8a#</w:t>
      </w:r>
      <w:bookmarkEnd w:id="38"/>
    </w:p>
    <w:p>
      <w:r>
        <w:rPr>
          <w:rStyle w:val="Satznummer"/>
        </w:rPr>
        <w:t>1</w:t>
      </w:r>
      <w:r>
        <w:t xml:space="preserve">Im Fall einer entgeltlichen, geschäftsmäßigen Personenbeförderung darf die Verpflichtung des Halters, wegen Tötung oder Verletzung beförderter Personen Schadensersatz nach </w:t>
      </w:r>
      <w:hyperlink w:anchor="b35" w:history="1">
        <w:r>
          <w:rPr>
            <w:color w:val="0A3A8C"/>
            <w:u w:val="single"/>
          </w:rPr>
          <w:t xml:space="preserve">§ 7</w:t>
        </w:r>
      </w:hyperlink>
      <w:r>
        <w:t xml:space="preserve"> zu leisten, weder ausgeschlossen noch beschränkt werden. </w:t>
      </w:r>
      <w:r>
        <w:rPr>
          <w:rStyle w:val="Satznummer"/>
        </w:rPr>
        <w:t>2</w:t>
      </w:r>
      <w:r>
        <w:t>Die Geschäftsmäßigkeit einer Personenbeförderung wird nicht dadurch ausgeschlossen, dass die Beförderung von einer Körperschaft oder Anstalt des öffentlichen Rechts betrieben wird.</w:t>
      </w:r>
    </w:p>
    <w:p>
      <w:pPr>
        <w:pStyle w:val="Heading2"/>
      </w:pPr>
      <w:bookmarkStart w:id="39" w:name="b38"/>
      <w:r>
        <w:t>§ 9 Mitverschulden</w:t>
      </w:r>
      <w:r>
        <w:t xml:space="preserve"> </w:t>
      </w:r>
      <w:r>
        <w:rPr>
          <w:rStyle w:val="Suchmarke"/>
        </w:rPr>
        <w:t>#9#</w:t>
      </w:r>
      <w:bookmarkEnd w:id="39"/>
    </w:p>
    <w:p>
      <w:r>
        <w:t>Hat bei der Entstehung des Schadens ein Verschulden des Verletzten mitgewirkt, so finden die Vorschriften des § 254 des Bürgerlichen Gesetzbuchs mit der Maßgabe Anwendung, dass im Fall der Beschädigung einer Sache das Verschulden desjenigen, welcher die tatsächliche Gewalt über die Sache ausübt, dem Verschulden des Verletzten gleichsteht.</w:t>
      </w:r>
    </w:p>
    <w:p>
      <w:pPr>
        <w:pStyle w:val="Heading2"/>
      </w:pPr>
      <w:bookmarkStart w:id="40" w:name="b39"/>
      <w:r>
        <w:t>§ 10 Umfang der Ersatzpflicht bei Tötung</w:t>
      </w:r>
      <w:r>
        <w:t xml:space="preserve"> </w:t>
      </w:r>
      <w:r>
        <w:rPr>
          <w:rStyle w:val="Suchmarke"/>
        </w:rPr>
        <w:t>#10#</w:t>
      </w:r>
      <w:bookmarkEnd w:id="40"/>
    </w:p>
    <w:p>
      <w:r>
        <w:t xml:space="preserve">(1) </w:t>
      </w:r>
      <w:r>
        <w:rPr>
          <w:rStyle w:val="Satznummer"/>
        </w:rPr>
        <w:t>1</w:t>
      </w:r>
      <w:r>
        <w:t xml:space="preserve">Im Fall der Tötung ist der Schadensersatz durch Ersatz der Kosten einer versuchten Heilung sowie des Vermögensnachteils zu leisten, den der Getötete dadurch erlitten hat, dass während der Krankheit seine Erwerbsfähigkeit aufgehoben oder gemindert oder eine Vermehrung seiner Bedürfnisse eingetreten war. </w:t>
      </w:r>
      <w:r>
        <w:rPr>
          <w:rStyle w:val="Satznummer"/>
        </w:rPr>
        <w:t>2</w:t>
      </w:r>
      <w:r>
        <w:t>Der Ersatzpflichtige hat außerdem die Kosten der Beerdigung demjenigen zu ersetzen, dem die Verpflichtung obliegt, diese Kosten zu tragen.</w:t>
      </w:r>
    </w:p>
    <w:p>
      <w:r>
        <w:t xml:space="preserve">(2) </w:t>
      </w:r>
      <w:r>
        <w:rPr>
          <w:rStyle w:val="Satznummer"/>
        </w:rPr>
        <w:t>1</w:t>
      </w:r>
      <w:r>
        <w:t xml:space="preserve">Stand der Getötete zur Zeit der Verletzung zu einem Dritten in einem Verhältnis, vermöge dessen er diesem gegenüber kraft Gesetzes unterhaltspflichtig war oder unterhaltspflichtig werden konnte, und ist dem Dritten infolge der Tötung das Recht auf Unterhalt entzogen, so hat der Ersatzpflichtige dem Dritten insoweit Schadensersatz zu leisten, als der Getötete während der mutmaßlichen Dauer seines Lebens zur Gewährung des Unterhalts verpflichtet gewesen sein würde. </w:t>
      </w:r>
      <w:r>
        <w:rPr>
          <w:rStyle w:val="Satznummer"/>
        </w:rPr>
        <w:t>2</w:t>
      </w:r>
      <w:r>
        <w:t>Die Ersatzpflicht tritt auch dann ein, wenn der Dritte zur Zeit der Verletzung gezeugt, aber noch nicht geboren war.</w:t>
      </w:r>
    </w:p>
    <w:p>
      <w:r>
        <w:t xml:space="preserve">(3) </w:t>
      </w:r>
      <w:r>
        <w:rPr>
          <w:rStyle w:val="Satznummer"/>
        </w:rPr>
        <w:t>1</w:t>
      </w:r>
      <w:r>
        <w:t xml:space="preserve">Der Ersatzpflichtige hat dem Hinterbliebenen, der zur Zeit der Verletzung zu dem Getöteten in einem besonderen persönlichen Näheverhältnis stand, für das dem Hinterbliebenen zugefügte seelische Leid eine angemessene Entschädigung in Geld zu leisten. </w:t>
      </w:r>
      <w:r>
        <w:rPr>
          <w:rStyle w:val="Satznummer"/>
        </w:rPr>
        <w:t>2</w:t>
      </w:r>
      <w:r>
        <w:t>Ein besonderes persönliches Näheverhältnis wird vermutet, wenn der Hinterbliebene der Ehegatte, der Lebenspartner, ein Elternteil oder ein Kind des Getöteten war.</w:t>
      </w:r>
    </w:p>
    <w:p>
      <w:pPr>
        <w:pStyle w:val="Heading2"/>
      </w:pPr>
      <w:bookmarkStart w:id="41" w:name="b40"/>
      <w:r>
        <w:t>§ 11 Umfang der Ersatzpflicht bei Körperverletzung</w:t>
      </w:r>
      <w:r>
        <w:t xml:space="preserve"> </w:t>
      </w:r>
      <w:r>
        <w:rPr>
          <w:rStyle w:val="Suchmarke"/>
        </w:rPr>
        <w:t>#11#</w:t>
      </w:r>
      <w:bookmarkEnd w:id="41"/>
    </w:p>
    <w:p>
      <w:r>
        <w:rPr>
          <w:rStyle w:val="Satznummer"/>
        </w:rPr>
        <w:t>1</w:t>
      </w:r>
      <w:r>
        <w:t xml:space="preserve">Im Fall der Verletzung des Körpers oder der Gesundheit ist der Schadensersatz durch Ersatz der Kosten der Heilung sowie des Vermögensnachteils zu leisten, den der Verletzte dadurch erleidet, dass infolge der Verletzung zeitweise oder dauernd seine Erwerbsfähigkeit aufgehoben oder gemindert oder eine Vermehrung seiner Bedürfnisse eingetreten ist. </w:t>
      </w:r>
      <w:r>
        <w:rPr>
          <w:rStyle w:val="Satznummer"/>
        </w:rPr>
        <w:t>2</w:t>
      </w:r>
      <w:r>
        <w:t>Wegen des Schadens, der nicht Vermögensschaden ist, kann auch eine billige Entschädigung in Geld gefordert werden.</w:t>
      </w:r>
    </w:p>
    <w:p>
      <w:pPr>
        <w:pStyle w:val="Heading2"/>
      </w:pPr>
      <w:bookmarkStart w:id="42" w:name="b41"/>
      <w:r>
        <w:t>§ 12 Höchstbeträge</w:t>
      </w:r>
      <w:r>
        <w:t xml:space="preserve"> </w:t>
      </w:r>
      <w:r>
        <w:rPr>
          <w:rStyle w:val="Suchmarke"/>
        </w:rPr>
        <w:t>#12#</w:t>
      </w:r>
      <w:bookmarkEnd w:id="42"/>
    </w:p>
    <w:p>
      <w:r>
        <w:t xml:space="preserve">(1) </w:t>
      </w:r>
      <w:r>
        <w:rPr>
          <w:rStyle w:val="Satznummer"/>
        </w:rPr>
        <w:t>1</w:t>
      </w:r>
      <w:r>
        <w:t>Der Ersatzpflichtige haftet</w:t>
      </w:r>
    </w:p>
    <w:p>
      <w:pPr>
        <w:tabs>
          <w:tab w:pos="567" w:val="left"/>
        </w:tabs>
        <w:ind w:left="567" w:hanging="567"/>
      </w:pPr>
      <w:r>
        <w:t>1.</w:t>
      </w:r>
      <w:r>
        <w:tab/>
      </w:r>
      <w:r>
        <w:t xml:space="preserve">im Fall der Tötung oder Verletzung eines oder mehrerer Menschen durch dasselbe Ereignis nur bis zu einem Betrag von insgesamt fünf Millionen Euro, bei Verursachung des Schadens auf Grund der Verwendung einer automatisierten Fahrfunktion gemäß </w:t>
      </w:r>
      <w:hyperlink w:anchor="b2" w:history="1">
        <w:r>
          <w:rPr>
            <w:color w:val="0A3A8C"/>
            <w:u w:val="single"/>
          </w:rPr>
          <w:t xml:space="preserve">§ 1a</w:t>
        </w:r>
      </w:hyperlink>
      <w:r>
        <w:t xml:space="preserve"> oder beim Betrieb einer autonomen Fahrfunktion gemäß </w:t>
      </w:r>
      <w:hyperlink w:anchor="b6" w:history="1">
        <w:r>
          <w:rPr>
            <w:color w:val="0A3A8C"/>
            <w:u w:val="single"/>
          </w:rPr>
          <w:t xml:space="preserve">§ 1e</w:t>
        </w:r>
      </w:hyperlink>
      <w:r>
        <w:t xml:space="preserve"> nur bis zu einem Betrag von insgesamt zehn Millionen Euro; im Fall einer entgeltlichen, geschäftsmäßigen Personenbeförderung erhöht sich für den ersatzpflichtigen Halter des befördernden Kraftfahrzeugs bei der Tötung oder Verletzung von mehr als acht beförderten Personen dieser Betrag um 600 000 Euro für jede weitere getötete oder verletzte beförderte Person;</w:t>
      </w:r>
    </w:p>
    <w:p>
      <w:pPr>
        <w:tabs>
          <w:tab w:pos="567" w:val="left"/>
        </w:tabs>
        <w:ind w:left="567" w:hanging="567"/>
      </w:pPr>
      <w:r>
        <w:t>2.</w:t>
      </w:r>
      <w:r>
        <w:tab/>
      </w:r>
      <w:r>
        <w:t xml:space="preserve">im Fall der Sachbeschädigung, auch wenn durch dasselbe Ereignis mehrere Sachen beschädigt werden, nur bis zu einem Betrag von insgesamt einer Million Euro, bei Verursachung des Schadens auf Grund der Verwendung einer automatisierten Fahrfunktion gemäß </w:t>
      </w:r>
      <w:hyperlink w:anchor="b2" w:history="1">
        <w:r>
          <w:rPr>
            <w:color w:val="0A3A8C"/>
            <w:u w:val="single"/>
          </w:rPr>
          <w:t xml:space="preserve">§ 1a</w:t>
        </w:r>
      </w:hyperlink>
      <w:r>
        <w:t xml:space="preserve"> oder beim Betrieb einer autonomen Fahrfunktion gemäß </w:t>
      </w:r>
      <w:hyperlink w:anchor="b6" w:history="1">
        <w:r>
          <w:rPr>
            <w:color w:val="0A3A8C"/>
            <w:u w:val="single"/>
          </w:rPr>
          <w:t xml:space="preserve">§ 1e</w:t>
        </w:r>
      </w:hyperlink>
      <w:r>
        <w:t>, nur bis zu einem Betrag von insgesamt zwei Millionen Euro.</w:t>
      </w:r>
    </w:p>
    <w:p>
      <w:r>
        <w:rPr>
          <w:rStyle w:val="Satznummer"/>
        </w:rPr>
        <w:t>2</w:t>
      </w:r>
      <w:r>
        <w:t>Die Höchstbeträge nach Satz 1 Nr. 1 gelten auch für den Kapitalwert einer als Schadensersatz zu leistenden Rente.</w:t>
      </w:r>
    </w:p>
    <w:p>
      <w:r>
        <w:t>(2) Übersteigen die Entschädigungen, die mehreren auf Grund desselben Ereignisses zu leisten sind, insgesamt die in Absatz 1 bezeichneten Höchstbeträge, so verringern sich die einzelnen Entschädigungen in dem Verhältnis, in welchem ihr Gesamtbetrag zu dem Höchstbetrag steht.</w:t>
      </w:r>
    </w:p>
    <w:p>
      <w:pPr>
        <w:pStyle w:val="Heading2"/>
      </w:pPr>
      <w:bookmarkStart w:id="43" w:name="b42"/>
      <w:r>
        <w:t>§ 12a Höchstbeträge bei Beförderung gefährlicher Güter</w:t>
      </w:r>
      <w:r>
        <w:t xml:space="preserve"> </w:t>
      </w:r>
      <w:r>
        <w:rPr>
          <w:rStyle w:val="Suchmarke"/>
        </w:rPr>
        <w:t>#12a#</w:t>
      </w:r>
      <w:bookmarkEnd w:id="43"/>
    </w:p>
    <w:p>
      <w:r>
        <w:t xml:space="preserve">(1) </w:t>
      </w:r>
      <w:r>
        <w:rPr>
          <w:rStyle w:val="Satznummer"/>
        </w:rPr>
        <w:t>1</w:t>
      </w:r>
      <w:r>
        <w:t>Werden gefährliche Güter befördert, haftet der Ersatzpflichtige</w:t>
      </w:r>
    </w:p>
    <w:p>
      <w:pPr>
        <w:tabs>
          <w:tab w:pos="567" w:val="left"/>
        </w:tabs>
        <w:ind w:left="567" w:hanging="567"/>
      </w:pPr>
      <w:r>
        <w:t>1.</w:t>
      </w:r>
      <w:r>
        <w:tab/>
      </w:r>
      <w:r>
        <w:t>im Fall der Tötung oder Verletzung eines oder mehrerer Menschen durch dasselbe Ereignis nur bis zu einem Betrag von insgesamt zehn Millionen Euro,</w:t>
      </w:r>
    </w:p>
    <w:p>
      <w:pPr>
        <w:tabs>
          <w:tab w:pos="567" w:val="left"/>
        </w:tabs>
        <w:ind w:left="567" w:hanging="567"/>
      </w:pPr>
      <w:r>
        <w:t>2.</w:t>
      </w:r>
      <w:r>
        <w:tab/>
      </w:r>
      <w:r>
        <w:t>im Fall der Sachbeschädigung an unbeweglichen Sachen, auch wenn durch dasselbe Ereignis mehrere Sachen beschädigt werden, nur bis zu einem Betrag von insgesamt zehn Millionen Euro,</w:t>
      </w:r>
    </w:p>
    <w:p>
      <w:r>
        <w:t xml:space="preserve">sofern der Schaden durch die die Gefährlichkeit der beförderten Güter begründenden Eigenschaften verursacht wird. </w:t>
      </w:r>
      <w:r>
        <w:rPr>
          <w:rStyle w:val="Satznummer"/>
        </w:rPr>
        <w:t>2</w:t>
      </w:r>
      <w:r>
        <w:t xml:space="preserve">Im Übrigen bleibt </w:t>
      </w:r>
      <w:hyperlink w:anchor="b41" w:history="1">
        <w:r>
          <w:rPr>
            <w:color w:val="0A3A8C"/>
            <w:u w:val="single"/>
          </w:rPr>
          <w:t xml:space="preserve">§ 12</w:t>
        </w:r>
      </w:hyperlink>
      <w:r>
        <w:t xml:space="preserve"> Abs. 1 unberührt.</w:t>
      </w:r>
    </w:p>
    <w:p>
      <w:r>
        <w:t>(2) Gefährliche Güter im Sinne dieses Gesetzes sind Stoffe und Gegenstände, deren Beförderung auf der Straße nach den Anlagen A und B zu dem Europäischen Übereinkommen vom 30. September 1957 über die internationale Beförderung gefährlicher Güter auf der Straße (ADR) (BGBl. 1969 II S. 1489) in der jeweils geltenden Fassung verboten oder nur unter bestimmten Bedingungen gestattet ist.</w:t>
      </w:r>
    </w:p>
    <w:p>
      <w:r>
        <w:t>(3) Absatz 1 ist nicht anzuwenden, wenn es sich um freigestellte Beförderungen gefährlicher Güter oder um Beförderungen in begrenzten Mengen unterhalb der im Unterabschnitt 1.1.3.6. zu dem in Absatz 2 genannten Übereinkommen festgelegten Grenzen handelt.</w:t>
      </w:r>
    </w:p>
    <w:p>
      <w:r>
        <w:t>(4) Absatz 1 ist nicht anzuwenden, wenn der Schaden bei der Beförderung innerhalb eines Betriebs entstanden ist, in dem gefährliche Güter hergestellt, bearbeitet, verarbeitet, gelagert, verwendet oder vernichtet werden, soweit die Beförderung auf einem abgeschlossenen Gelände stattfindet.</w:t>
      </w:r>
    </w:p>
    <w:p>
      <w:r>
        <w:t xml:space="preserve">(5) </w:t>
      </w:r>
      <w:hyperlink w:anchor="b41" w:history="1">
        <w:r>
          <w:rPr>
            <w:color w:val="0A3A8C"/>
            <w:u w:val="single"/>
          </w:rPr>
          <w:t xml:space="preserve">§ 12</w:t>
        </w:r>
      </w:hyperlink>
      <w:r>
        <w:t xml:space="preserve"> Abs. 2 gilt entsprechend.</w:t>
      </w:r>
    </w:p>
    <w:p>
      <w:pPr>
        <w:pStyle w:val="Heading2"/>
      </w:pPr>
      <w:bookmarkStart w:id="44" w:name="b43"/>
      <w:r>
        <w:t>§ 12b Nichtanwendbarkeit der Höchstbeträge</w:t>
      </w:r>
      <w:r>
        <w:t xml:space="preserve"> </w:t>
      </w:r>
      <w:r>
        <w:rPr>
          <w:rStyle w:val="Suchmarke"/>
        </w:rPr>
        <w:t>#12b#</w:t>
      </w:r>
      <w:bookmarkEnd w:id="44"/>
    </w:p>
    <w:p>
      <w:r>
        <w:t xml:space="preserve">Die </w:t>
      </w:r>
      <w:hyperlink w:anchor="b41" w:history="1">
        <w:r>
          <w:rPr>
            <w:color w:val="0A3A8C"/>
            <w:u w:val="single"/>
          </w:rPr>
          <w:t xml:space="preserve">§§ 12</w:t>
        </w:r>
      </w:hyperlink>
      <w:r>
        <w:t xml:space="preserve"> und </w:t>
      </w:r>
      <w:hyperlink w:anchor="b42" w:history="1">
        <w:r>
          <w:rPr>
            <w:color w:val="0A3A8C"/>
            <w:u w:val="single"/>
          </w:rPr>
          <w:t xml:space="preserve">12a</w:t>
        </w:r>
      </w:hyperlink>
      <w:r>
        <w:t xml:space="preserve"> sind nicht anzuwenden, wenn ein Schaden bei dem Betrieb eines gepanzerten Gleiskettenfahrzeugs verursacht wird.</w:t>
      </w:r>
    </w:p>
    <w:p>
      <w:pPr>
        <w:pStyle w:val="Heading2"/>
      </w:pPr>
      <w:bookmarkStart w:id="45" w:name="b44"/>
      <w:r>
        <w:t>§ 13 Geldrente</w:t>
      </w:r>
      <w:r>
        <w:t xml:space="preserve"> </w:t>
      </w:r>
      <w:r>
        <w:rPr>
          <w:rStyle w:val="Suchmarke"/>
        </w:rPr>
        <w:t>#13#</w:t>
      </w:r>
      <w:bookmarkEnd w:id="45"/>
    </w:p>
    <w:p>
      <w:r>
        <w:t xml:space="preserve">(1) Der Schadensersatz wegen Aufhebung oder Minderung der Erwerbsfähigkeit und wegen Vermehrung der Bedürfnisse des Verletzten sowie der nach </w:t>
      </w:r>
      <w:hyperlink w:anchor="b39" w:history="1">
        <w:r>
          <w:rPr>
            <w:color w:val="0A3A8C"/>
            <w:u w:val="single"/>
          </w:rPr>
          <w:t xml:space="preserve">§ 10</w:t>
        </w:r>
      </w:hyperlink>
      <w:r>
        <w:t xml:space="preserve"> Abs. 2 einem Dritten zu gewährende Schadensersatz ist für die Zukunft durch Entrichtung einer Geldrente zu leisten.</w:t>
      </w:r>
    </w:p>
    <w:p>
      <w:r>
        <w:t>(2) Die Vorschriften des § 843 Abs. 2 bis 4 des Bürgerlichen Gesetzbuchs finden entsprechende Anwendung.</w:t>
      </w:r>
    </w:p>
    <w:p>
      <w:r>
        <w:t>(3) Ist bei der Verurteilung des Verpflichteten zur Entrichtung einer Geldrente nicht auf Sicherheitsleistung erkannt worden, so kann der Berechtigte gleichwohl Sicherheitsleistung verlangen, wenn die Vermögensverhältnisse des Verpflichteten sich erheblich verschlechtert haben; unter der gleichen Voraussetzung kann er eine Erhöhung der in dem Urteil bestimmten Sicherheit verlangen.</w:t>
      </w:r>
    </w:p>
    <w:p>
      <w:pPr>
        <w:pStyle w:val="Heading2"/>
      </w:pPr>
      <w:bookmarkStart w:id="46" w:name="b45"/>
      <w:r>
        <w:t>§ 14 Verjährung</w:t>
      </w:r>
      <w:r>
        <w:t xml:space="preserve"> </w:t>
      </w:r>
      <w:r>
        <w:rPr>
          <w:rStyle w:val="Suchmarke"/>
        </w:rPr>
        <w:t>#14#</w:t>
      </w:r>
      <w:bookmarkEnd w:id="46"/>
    </w:p>
    <w:p>
      <w:r>
        <w:t>Auf die Verjährung finden die für unerlaubte Handlungen geltenden Verjährungsvorschriften des Bürgerlichen Gesetzbuchs entsprechende Anwendung.</w:t>
      </w:r>
    </w:p>
    <w:p>
      <w:pPr>
        <w:pStyle w:val="Heading2"/>
      </w:pPr>
      <w:bookmarkStart w:id="47" w:name="b46"/>
      <w:r>
        <w:t>§ 15 Verwirkung</w:t>
      </w:r>
      <w:r>
        <w:t xml:space="preserve"> </w:t>
      </w:r>
      <w:r>
        <w:rPr>
          <w:rStyle w:val="Suchmarke"/>
        </w:rPr>
        <w:t>#15#</w:t>
      </w:r>
      <w:bookmarkEnd w:id="47"/>
    </w:p>
    <w:p>
      <w:r>
        <w:rPr>
          <w:rStyle w:val="Satznummer"/>
        </w:rPr>
        <w:t>1</w:t>
      </w:r>
      <w:r>
        <w:t xml:space="preserve">Der Ersatzberechtigte verliert die ihm auf Grund der Vorschriften dieses Gesetzes zustehenden Rechte, wenn er nicht spätestens innerhalb zweier Monate, nachdem er von dem Schaden und der Person des Ersatzpflichtigen Kenntnis erhalten hat, dem Ersatzpflichtigen den Unfall anzeigt. </w:t>
      </w:r>
      <w:r>
        <w:rPr>
          <w:rStyle w:val="Satznummer"/>
        </w:rPr>
        <w:t>2</w:t>
      </w:r>
      <w:r>
        <w:t>Der Rechtsverlust tritt nicht ein, wenn die Anzeige infolge eines von dem Ersatzberechtigten nicht zu vertretenden Umstands unterblieben ist oder der Ersatzpflichtige innerhalb der bezeichneten Frist auf andere Weise von dem Unfall Kenntnis erhalten hat.</w:t>
      </w:r>
    </w:p>
    <w:p>
      <w:pPr>
        <w:pStyle w:val="Heading2"/>
      </w:pPr>
      <w:bookmarkStart w:id="48" w:name="b47"/>
      <w:r>
        <w:t>§ 16 Sonstige Gesetze</w:t>
      </w:r>
      <w:r>
        <w:t xml:space="preserve"> </w:t>
      </w:r>
      <w:r>
        <w:rPr>
          <w:rStyle w:val="Suchmarke"/>
        </w:rPr>
        <w:t>#16#</w:t>
      </w:r>
      <w:bookmarkEnd w:id="48"/>
    </w:p>
    <w:p>
      <w:r>
        <w:t>Unberührt bleiben die bundesrechtlichen Vorschriften, nach welchen der Fahrzeughalter für den durch das Fahrzeug verursachten Schaden in weiterem Umfang als nach den Vorschriften dieses Gesetzes haftet oder nach welchen ein anderer für den Schaden verantwortlich ist.</w:t>
      </w:r>
    </w:p>
    <w:p>
      <w:pPr>
        <w:pStyle w:val="Heading2"/>
      </w:pPr>
      <w:bookmarkStart w:id="49" w:name="b48"/>
      <w:r>
        <w:t>§ 17 Schadensverursachung durch mehrere Kraftfahrzeuge</w:t>
      </w:r>
      <w:r>
        <w:t xml:space="preserve"> </w:t>
      </w:r>
      <w:r>
        <w:rPr>
          <w:rStyle w:val="Suchmarke"/>
        </w:rPr>
        <w:t>#17#</w:t>
      </w:r>
      <w:bookmarkEnd w:id="49"/>
    </w:p>
    <w:p>
      <w:r>
        <w:t>(1) Wird ein Schaden durch mehrere Kraftfahrzeuge verursacht und sind die beteiligten Fahrzeughalter einem Dritten kraft Gesetzes zum Ersatz des Schadens verpflichtet, so hängt im Verhältnis der Fahrzeughalter zueinander die Verpflichtung zum Ersatz sowie der Umfang des zu leistenden Ersatzes von den Umständen, insbesondere davon ab, inwieweit der Schaden vorwiegend von dem einen oder dem anderen Teil verursacht worden ist.</w:t>
      </w:r>
    </w:p>
    <w:p>
      <w:r>
        <w:t>(2) Wenn der Schaden einem der beteiligten Fahrzeughalter entstanden ist, gilt Absatz 1 auch für die Haftung der Fahrzeughalter untereinander.</w:t>
      </w:r>
    </w:p>
    <w:p>
      <w:r>
        <w:t xml:space="preserve">(3) </w:t>
      </w:r>
      <w:r>
        <w:rPr>
          <w:rStyle w:val="Satznummer"/>
        </w:rPr>
        <w:t>1</w:t>
      </w:r>
      <w:r>
        <w:t xml:space="preserve">Die Verpflichtung zum Ersatz nach den Absätzen 1 und 2 ist ausgeschlossen, wenn der Unfall durch ein unabwendbares Ereignis verursacht wird, das weder auf einem Fehler in der Beschaffenheit des Kraftfahrzeugs noch auf einem Versagen seiner Vorrichtungen beruht. </w:t>
      </w:r>
      <w:r>
        <w:rPr>
          <w:rStyle w:val="Satznummer"/>
        </w:rPr>
        <w:t>2</w:t>
      </w:r>
      <w:r>
        <w:t xml:space="preserve">Als unabwendbar gilt ein Ereignis nur dann, wenn sowohl der Halter als auch der Führer des Kraftfahrzeugs jede nach den Umständen des Falles gebotene Sorgfalt beobachtet hat. </w:t>
      </w:r>
      <w:r>
        <w:rPr>
          <w:rStyle w:val="Satznummer"/>
        </w:rPr>
        <w:t>3</w:t>
      </w:r>
      <w:r>
        <w:t>Der Ausschluss gilt auch für die Ersatzpflicht gegenüber dem Eigentümer eines Kraftfahrzeugs, der nicht Halter ist.</w:t>
      </w:r>
    </w:p>
    <w:p>
      <w:r>
        <w:t>(4) Die Vorschriften der Absätze 1 bis 3 sind entsprechend anzuwenden, wenn der Schaden durch ein Kraftfahrzeug und ein Tier oder durch ein Kraftfahrzeug und eine Eisenbahn verursacht wird.</w:t>
      </w:r>
    </w:p>
    <w:p>
      <w:pPr>
        <w:pStyle w:val="Heading2"/>
      </w:pPr>
      <w:bookmarkStart w:id="50" w:name="b49"/>
      <w:r>
        <w:t>§ 18 Ersatzpflicht des Fahrzeugführers</w:t>
      </w:r>
      <w:r>
        <w:t xml:space="preserve"> </w:t>
      </w:r>
      <w:r>
        <w:rPr>
          <w:rStyle w:val="Suchmarke"/>
        </w:rPr>
        <w:t>#18#</w:t>
      </w:r>
      <w:bookmarkEnd w:id="50"/>
    </w:p>
    <w:p>
      <w:r>
        <w:t xml:space="preserve">(1) </w:t>
      </w:r>
      <w:r>
        <w:rPr>
          <w:rStyle w:val="Satznummer"/>
        </w:rPr>
        <w:t>1</w:t>
      </w:r>
      <w:r>
        <w:t xml:space="preserve">In den Fällen des </w:t>
      </w:r>
      <w:hyperlink w:anchor="b35" w:history="1">
        <w:r>
          <w:rPr>
            <w:color w:val="0A3A8C"/>
            <w:u w:val="single"/>
          </w:rPr>
          <w:t xml:space="preserve">§ 7</w:t>
        </w:r>
      </w:hyperlink>
      <w:r>
        <w:t xml:space="preserve"> Abs. 1 ist auch der Führer des Kraftfahrzeugs zum Ersatz des Schadens nach den Vorschriften der </w:t>
      </w:r>
      <w:hyperlink w:anchor="b36" w:history="1">
        <w:r>
          <w:rPr>
            <w:color w:val="0A3A8C"/>
            <w:u w:val="single"/>
          </w:rPr>
          <w:t xml:space="preserve">§§ 8</w:t>
        </w:r>
      </w:hyperlink>
      <w:r>
        <w:t xml:space="preserve"> bis </w:t>
      </w:r>
      <w:hyperlink w:anchor="b46" w:history="1">
        <w:r>
          <w:rPr>
            <w:color w:val="0A3A8C"/>
            <w:u w:val="single"/>
          </w:rPr>
          <w:t xml:space="preserve">15</w:t>
        </w:r>
      </w:hyperlink>
      <w:r>
        <w:t xml:space="preserve"> verpflichtet. </w:t>
      </w:r>
      <w:r>
        <w:rPr>
          <w:rStyle w:val="Satznummer"/>
        </w:rPr>
        <w:t>2</w:t>
      </w:r>
      <w:r>
        <w:t>Die Ersatzpflicht ist ausgeschlossen, wenn der Schaden nicht durch ein Verschulden des Führers verursacht ist.</w:t>
      </w:r>
    </w:p>
    <w:p>
      <w:r>
        <w:t xml:space="preserve">(2) Die Vorschrift des </w:t>
      </w:r>
      <w:hyperlink w:anchor="b47" w:history="1">
        <w:r>
          <w:rPr>
            <w:color w:val="0A3A8C"/>
            <w:u w:val="single"/>
          </w:rPr>
          <w:t xml:space="preserve">§ 16</w:t>
        </w:r>
      </w:hyperlink>
      <w:r>
        <w:t xml:space="preserve"> findet entsprechende Anwendung.</w:t>
      </w:r>
    </w:p>
    <w:p>
      <w:r>
        <w:t xml:space="preserve">(3) Ist in den Fällen des </w:t>
      </w:r>
      <w:hyperlink w:anchor="b48" w:history="1">
        <w:r>
          <w:rPr>
            <w:color w:val="0A3A8C"/>
            <w:u w:val="single"/>
          </w:rPr>
          <w:t xml:space="preserve">§ 17</w:t>
        </w:r>
      </w:hyperlink>
      <w:r>
        <w:t xml:space="preserve"> auch der Führer eines Kraftfahrzeugs zum Ersatz des Schadens verpflichtet, so sind auf diese Verpflichtung in seinem Verhältnis zu den Haltern und Führern der anderen beteiligten Kraftfahrzeuge, zu dem Tierhalter oder Eisenbahnunternehmer die Vorschriften des </w:t>
      </w:r>
      <w:hyperlink w:anchor="b48" w:history="1">
        <w:r>
          <w:rPr>
            <w:color w:val="0A3A8C"/>
            <w:u w:val="single"/>
          </w:rPr>
          <w:t xml:space="preserve">§ 17</w:t>
        </w:r>
      </w:hyperlink>
      <w:r>
        <w:t xml:space="preserve"> entsprechend anzuwenden.</w:t>
      </w:r>
    </w:p>
    <w:p>
      <w:pPr>
        <w:pStyle w:val="Heading2"/>
      </w:pPr>
      <w:bookmarkStart w:id="51" w:name="b50"/>
      <w:r>
        <w:t>§ 19 Haftung des Halters bei Unfällen mit Anhängern und Gespannen</w:t>
      </w:r>
      <w:r>
        <w:t xml:space="preserve"> </w:t>
      </w:r>
      <w:r>
        <w:rPr>
          <w:rStyle w:val="Suchmarke"/>
        </w:rPr>
        <w:t>#19#</w:t>
      </w:r>
      <w:bookmarkEnd w:id="51"/>
    </w:p>
    <w:p>
      <w:r>
        <w:t xml:space="preserve">(1) </w:t>
      </w:r>
      <w:r>
        <w:rPr>
          <w:rStyle w:val="Satznummer"/>
        </w:rPr>
        <w:t>1</w:t>
      </w:r>
      <w:r>
        <w:t xml:space="preserve">Wird bei dem Betrieb eines Anhängers, der dazu bestimmt ist, von einem Kraftfahrzeug (Zugfahrzeug) gezogen zu werden, ein Mensch getötet, der Körper oder die Gesundheit eines Menschen verletzt oder eine Sache beschädigt, ist der Halter des Anhängers verpflichtet, dem Verletzten den daraus entstehenden Schaden zu ersetzen. </w:t>
      </w:r>
      <w:r>
        <w:rPr>
          <w:rStyle w:val="Satznummer"/>
        </w:rPr>
        <w:t>2</w:t>
      </w:r>
      <w:r>
        <w:t xml:space="preserve">Die Regelungen zur Haftung des Halters eines Kraftfahrzeugs nach </w:t>
      </w:r>
      <w:hyperlink w:anchor="b35" w:history="1">
        <w:r>
          <w:rPr>
            <w:color w:val="0A3A8C"/>
            <w:u w:val="single"/>
          </w:rPr>
          <w:t xml:space="preserve">§ 7</w:t>
        </w:r>
      </w:hyperlink>
      <w:r>
        <w:t xml:space="preserve"> Absatz 2 und 3, </w:t>
      </w:r>
      <w:hyperlink w:anchor="b36" w:history="1">
        <w:r>
          <w:rPr>
            <w:color w:val="0A3A8C"/>
            <w:u w:val="single"/>
          </w:rPr>
          <w:t xml:space="preserve">§ 8</w:t>
        </w:r>
      </w:hyperlink>
      <w:r>
        <w:t xml:space="preserve"> Nummer 2 und 3 sowie den </w:t>
      </w:r>
      <w:hyperlink w:anchor="b37" w:history="1">
        <w:r>
          <w:rPr>
            <w:color w:val="0A3A8C"/>
            <w:u w:val="single"/>
          </w:rPr>
          <w:t xml:space="preserve">§§ 8a</w:t>
        </w:r>
      </w:hyperlink>
      <w:r>
        <w:t xml:space="preserve"> bis </w:t>
      </w:r>
      <w:hyperlink w:anchor="b47" w:history="1">
        <w:r>
          <w:rPr>
            <w:color w:val="0A3A8C"/>
            <w:u w:val="single"/>
          </w:rPr>
          <w:t xml:space="preserve">16</w:t>
        </w:r>
      </w:hyperlink>
      <w:r>
        <w:t xml:space="preserve"> gelten entsprechend. </w:t>
      </w:r>
      <w:r>
        <w:rPr>
          <w:rStyle w:val="Satznummer"/>
        </w:rPr>
        <w:t>3</w:t>
      </w:r>
      <w:r>
        <w:t xml:space="preserve">Die Sätze 1 und 2 gelten nicht, wenn der Unfall durch einen Anhänger verursacht wurde, der im Unfallzeitpunkt mit einem Kraftfahrzeug verbunden war, das auf ebener Bahn mit keiner höheren Geschwindigkeit als 20 Kilometer in der Stunde fahren kann, es sei denn, es handelt sich um ein Kraftfahrzeug mit autonomer Fahrfunktion im Sinne des </w:t>
      </w:r>
      <w:hyperlink w:anchor="b5" w:history="1">
        <w:r>
          <w:rPr>
            <w:color w:val="0A3A8C"/>
            <w:u w:val="single"/>
          </w:rPr>
          <w:t xml:space="preserve">§ 1d</w:t>
        </w:r>
      </w:hyperlink>
      <w:r>
        <w:t xml:space="preserve"> Absatz 1 und 2, das sich im autonomen Betrieb befindet.</w:t>
      </w:r>
    </w:p>
    <w:p>
      <w:r>
        <w:t xml:space="preserve">(2) </w:t>
      </w:r>
      <w:r>
        <w:rPr>
          <w:rStyle w:val="Satznummer"/>
        </w:rPr>
        <w:t>1</w:t>
      </w:r>
      <w:r>
        <w:t xml:space="preserve">Wird der Schaden eines anderen durch ein Zugfahrzeug mit Anhänger (Gespann) verursacht, haftet der Halter jedes dieser Fahrzeuge dem anderen für die Betriebsgefahr des gesamten Gespanns als Gesamtschuldner. </w:t>
      </w:r>
      <w:r>
        <w:rPr>
          <w:rStyle w:val="Satznummer"/>
        </w:rPr>
        <w:t>2</w:t>
      </w:r>
      <w:r>
        <w:t xml:space="preserve">Die Ersatzpflicht des gesamtschuldnerisch haftenden Halters ist auf die Höchstbeträge der </w:t>
      </w:r>
      <w:hyperlink w:anchor="b41" w:history="1">
        <w:r>
          <w:rPr>
            <w:color w:val="0A3A8C"/>
            <w:u w:val="single"/>
          </w:rPr>
          <w:t xml:space="preserve">§§ 12</w:t>
        </w:r>
      </w:hyperlink>
      <w:r>
        <w:t xml:space="preserve"> und </w:t>
      </w:r>
      <w:hyperlink w:anchor="b42" w:history="1">
        <w:r>
          <w:rPr>
            <w:color w:val="0A3A8C"/>
            <w:u w:val="single"/>
          </w:rPr>
          <w:t xml:space="preserve">12a</w:t>
        </w:r>
      </w:hyperlink>
      <w:r>
        <w:t xml:space="preserve"> beschränkt.</w:t>
      </w:r>
    </w:p>
    <w:p>
      <w:r>
        <w:t xml:space="preserve">(3) Wird ein Schaden durch ein Gespann und ein weiteres Kraftfahrzeug verursacht und sind die beteiligten Fahrzeughalter einem Dritten kraft Gesetzes zum Ersatz des Schadens verpflichtet oder ist der Schaden einem der beteiligten Fahrzeughalter entstanden, gilt für die Ersatzpflichten im Verhältnis der Halter von Zugfahrzeug und Anhänger zu dem Halter des weiteren beteiligten Kraftfahrzeugs </w:t>
      </w:r>
      <w:hyperlink w:anchor="b48" w:history="1">
        <w:r>
          <w:rPr>
            <w:color w:val="0A3A8C"/>
            <w:u w:val="single"/>
          </w:rPr>
          <w:t xml:space="preserve">§ 17</w:t>
        </w:r>
      </w:hyperlink>
      <w:r>
        <w:t xml:space="preserve"> Absatz 1 bis 3 entsprechend.</w:t>
      </w:r>
    </w:p>
    <w:p>
      <w:r>
        <w:t xml:space="preserve">(4) </w:t>
      </w:r>
      <w:r>
        <w:rPr>
          <w:rStyle w:val="Satznummer"/>
        </w:rPr>
        <w:t>1</w:t>
      </w:r>
      <w:r>
        <w:t xml:space="preserve">Ist in den Fällen der Absätze 2 und 3 der Halter des Zugfahrzeugs oder des Anhängers zum Ersatz des Schadens verpflichtet, kann er nach § 426 des Bürgerlichen Gesetzbuchs von dem Halter des zu dem Gespann verbundenen anderen Fahrzeugs Ausgleich verlangen. </w:t>
      </w:r>
      <w:r>
        <w:rPr>
          <w:rStyle w:val="Satznummer"/>
        </w:rPr>
        <w:t>2</w:t>
      </w:r>
      <w:r>
        <w:t xml:space="preserve">Im Verhältnis dieser Halter zueinander ist nur der Halter des Zugfahrzeugs verpflichtet. </w:t>
      </w:r>
      <w:r>
        <w:rPr>
          <w:rStyle w:val="Satznummer"/>
        </w:rPr>
        <w:t>3</w:t>
      </w:r>
      <w:r>
        <w:t xml:space="preserve">Satz 2 gilt nicht, soweit sich durch den Anhänger eine höhere Gefahr verwirklicht hat als durch das Zugfahrzeug allein; in diesem Fall hängt die Verpflichtung zum Ausgleich davon ab, inwieweit der Schaden vorwiegend von dem Zugfahrzeug oder dem Anhänger verursacht worden ist. </w:t>
      </w:r>
      <w:r>
        <w:rPr>
          <w:rStyle w:val="Satznummer"/>
        </w:rPr>
        <w:t>4</w:t>
      </w:r>
      <w:r>
        <w:t xml:space="preserve">Das Ziehen des Anhängers allein verwirklicht im Regelfall keine höhere Gefahr. </w:t>
      </w:r>
      <w:r>
        <w:rPr>
          <w:rStyle w:val="Satznummer"/>
        </w:rPr>
        <w:t>5</w:t>
      </w:r>
      <w:r>
        <w:t>Der Ersatz für Schäden der Halter des Zugfahrzeugs und des Anhängers richtet sich im Verhältnis zueinander nach den allgemeinen Vorschriften.</w:t>
      </w:r>
    </w:p>
    <w:p>
      <w:r>
        <w:t>(5) Die Absätze 3 und 4 sind entsprechend anzuwenden, wenn der Schaden durch ein Gespann und ein Tier oder durch ein Gespann und eine Eisenbahn verursacht wird.</w:t>
      </w:r>
    </w:p>
    <w:p>
      <w:r>
        <w:t xml:space="preserve">(6) Wird ein Schaden eines Dritten oder eines beteiligten Kraftfahrzeughalters durch einen Anhänger verursacht, der im Unfallzeitpunkt nicht mit einem Zugfahrzeug verbunden war, oder ist der Schaden an einem solchen Anhänger entstanden, ist </w:t>
      </w:r>
      <w:hyperlink w:anchor="b48" w:history="1">
        <w:r>
          <w:rPr>
            <w:color w:val="0A3A8C"/>
            <w:u w:val="single"/>
          </w:rPr>
          <w:t xml:space="preserve">§ 17</w:t>
        </w:r>
      </w:hyperlink>
      <w:r>
        <w:t xml:space="preserve"> entsprechend anzuwenden.</w:t>
      </w:r>
    </w:p>
    <w:p>
      <w:pPr>
        <w:pStyle w:val="Heading2"/>
      </w:pPr>
      <w:bookmarkStart w:id="52" w:name="b51"/>
      <w:r>
        <w:t>§ 19a Ersatzpflicht des Führers von Anhängern und Gespannen</w:t>
      </w:r>
      <w:r>
        <w:t xml:space="preserve"> </w:t>
      </w:r>
      <w:r>
        <w:rPr>
          <w:rStyle w:val="Suchmarke"/>
        </w:rPr>
        <w:t>#19a#</w:t>
      </w:r>
      <w:bookmarkEnd w:id="52"/>
    </w:p>
    <w:p>
      <w:r>
        <w:t xml:space="preserve">(1) </w:t>
      </w:r>
      <w:r>
        <w:rPr>
          <w:rStyle w:val="Satznummer"/>
        </w:rPr>
        <w:t>1</w:t>
      </w:r>
      <w:r>
        <w:t xml:space="preserve">Der Führer eines Gespanns haftet wie der Führer eines Kraftfahrzeugs. </w:t>
      </w:r>
      <w:r>
        <w:rPr>
          <w:rStyle w:val="Satznummer"/>
        </w:rPr>
        <w:t>2</w:t>
      </w:r>
      <w:hyperlink w:anchor="b49" w:history="1">
        <w:r>
          <w:rPr>
            <w:color w:val="0A3A8C"/>
            <w:u w:val="single"/>
          </w:rPr>
          <w:t xml:space="preserve">§ 18</w:t>
        </w:r>
      </w:hyperlink>
      <w:r>
        <w:t xml:space="preserve"> Absatz 1 und 2 ist entsprechend anzuwenden.</w:t>
      </w:r>
    </w:p>
    <w:p>
      <w:r>
        <w:t xml:space="preserve">(2) </w:t>
      </w:r>
      <w:r>
        <w:rPr>
          <w:rStyle w:val="Satznummer"/>
        </w:rPr>
        <w:t>1</w:t>
      </w:r>
      <w:r>
        <w:t xml:space="preserve">Ist in den Fällen des </w:t>
      </w:r>
      <w:hyperlink w:anchor="b50" w:history="1">
        <w:r>
          <w:rPr>
            <w:color w:val="0A3A8C"/>
            <w:u w:val="single"/>
          </w:rPr>
          <w:t xml:space="preserve">§ 19</w:t>
        </w:r>
      </w:hyperlink>
      <w:r>
        <w:t xml:space="preserve"> Absatz 3 und 5 auch der Führer des Gespanns zum Ersatz des Schadens verpflichtet, ist im Verhältnis zu den Haltern und Führern der weiteren beteiligten Kraftfahrzeuge, zu dem Tierhalter oder zu dem Eisenbahnunternehmer </w:t>
      </w:r>
      <w:hyperlink w:anchor="b48" w:history="1">
        <w:r>
          <w:rPr>
            <w:color w:val="0A3A8C"/>
            <w:u w:val="single"/>
          </w:rPr>
          <w:t xml:space="preserve">§ 17</w:t>
        </w:r>
      </w:hyperlink>
      <w:r>
        <w:t xml:space="preserve"> entsprechend anzuwenden. </w:t>
      </w:r>
      <w:r>
        <w:rPr>
          <w:rStyle w:val="Satznummer"/>
        </w:rPr>
        <w:t>2</w:t>
      </w:r>
      <w:r>
        <w:t xml:space="preserve">Ist der Führer des Gespanns in den Fällen des § 19 Absatz 2, 3 und 5 zum Ersatz des Schadens verpflichtet, kann er von den Haltern des Zugfahrzeugs und des Anhängers nach § 426 des Bürgerlichen Gesetzbuchs Ausgleich verlangen. </w:t>
      </w:r>
      <w:r>
        <w:rPr>
          <w:rStyle w:val="Satznummer"/>
        </w:rPr>
        <w:t>3</w:t>
      </w:r>
      <w:r>
        <w:t>Der Ersatz für Schäden des Führers des Gespanns richtet sich im Verhältnis zu den Haltern des Zugfahrzeugs und des Anhängers nach den allgemeinen Vorschriften.</w:t>
      </w:r>
    </w:p>
    <w:p>
      <w:r>
        <w:t xml:space="preserve">(3) Im Fall des </w:t>
      </w:r>
      <w:hyperlink w:anchor="b50" w:history="1">
        <w:r>
          <w:rPr>
            <w:color w:val="0A3A8C"/>
            <w:u w:val="single"/>
          </w:rPr>
          <w:t xml:space="preserve">§ 19</w:t>
        </w:r>
      </w:hyperlink>
      <w:r>
        <w:t xml:space="preserve"> Absatz 6 haftet der Führer eines Anhängers wie der Führer eines Kraftfahrzeugs.</w:t>
      </w:r>
    </w:p>
    <w:p>
      <w:pPr>
        <w:pStyle w:val="Heading2"/>
      </w:pPr>
      <w:bookmarkStart w:id="53" w:name="b52"/>
      <w:r>
        <w:t>§ 20 Örtliche Zuständigkeit</w:t>
      </w:r>
      <w:r>
        <w:t xml:space="preserve"> </w:t>
      </w:r>
      <w:r>
        <w:rPr>
          <w:rStyle w:val="Suchmarke"/>
        </w:rPr>
        <w:t>#20#</w:t>
      </w:r>
      <w:bookmarkEnd w:id="53"/>
    </w:p>
    <w:p>
      <w:r>
        <w:t>Für Klagen, die auf Grund dieses Gesetzes erhoben werden, ist auch das Gericht zuständig, in dessen Bezirk das schädigende Ereignis stattgefunden hat.</w:t>
      </w:r>
    </w:p>
    <w:p>
      <w:pPr>
        <w:pStyle w:val="Heading1"/>
      </w:pPr>
      <w:bookmarkStart w:id="54" w:name="b53"/>
      <w:r>
        <w:t>III. Straf- und Bußgeldvorschriften</w:t>
      </w:r>
      <w:bookmarkEnd w:id="54"/>
    </w:p>
    <w:p>
      <w:pPr>
        <w:pStyle w:val="Heading2"/>
      </w:pPr>
      <w:bookmarkStart w:id="55" w:name="b54"/>
      <w:r>
        <w:t>§ 21 Fahren ohne Fahrerlaubnis</w:t>
      </w:r>
      <w:r>
        <w:t xml:space="preserve"> </w:t>
      </w:r>
      <w:r>
        <w:rPr>
          <w:rStyle w:val="Suchmarke"/>
        </w:rPr>
        <w:t>#21#</w:t>
      </w:r>
      <w:bookmarkEnd w:id="55"/>
    </w:p>
    <w:p>
      <w:r>
        <w:t>(1) Mit Freiheitsstrafe bis zu einem Jahr oder mit Geldstrafe wird bestraft, wer</w:t>
      </w:r>
    </w:p>
    <w:p>
      <w:pPr>
        <w:tabs>
          <w:tab w:pos="567" w:val="left"/>
        </w:tabs>
        <w:ind w:left="567" w:hanging="567"/>
      </w:pPr>
      <w:r>
        <w:t>1.</w:t>
      </w:r>
      <w:r>
        <w:tab/>
      </w:r>
      <w:r>
        <w:t xml:space="preserve">ein Kraftfahrzeug führt, obwohl er die dazu erforderliche Fahrerlaubnis nicht hat oder ihm das Führen des Fahrzeugs nach § 44 des Strafgesetzbuchs oder nach </w:t>
      </w:r>
      <w:hyperlink w:anchor="b63" w:history="1">
        <w:r>
          <w:rPr>
            <w:color w:val="0A3A8C"/>
            <w:u w:val="single"/>
          </w:rPr>
          <w:t xml:space="preserve">§ 25</w:t>
        </w:r>
      </w:hyperlink>
      <w:r>
        <w:t xml:space="preserve"> dieses Gesetzes verboten ist, oder</w:t>
      </w:r>
    </w:p>
    <w:p>
      <w:pPr>
        <w:tabs>
          <w:tab w:pos="567" w:val="left"/>
        </w:tabs>
        <w:ind w:left="567" w:hanging="567"/>
      </w:pPr>
      <w:r>
        <w:t>2.</w:t>
      </w:r>
      <w:r>
        <w:tab/>
      </w:r>
      <w:r>
        <w:t xml:space="preserve">als Halter eines Kraftfahrzeugs anordnet oder zulässt, dass jemand das Fahrzeug führt, der die dazu erforderliche Fahrerlaubnis nicht hat oder dem das Führen des Fahrzeugs nach § 44 des Strafgesetzbuchs oder nach </w:t>
      </w:r>
      <w:hyperlink w:anchor="b63" w:history="1">
        <w:r>
          <w:rPr>
            <w:color w:val="0A3A8C"/>
            <w:u w:val="single"/>
          </w:rPr>
          <w:t xml:space="preserve">§ 25</w:t>
        </w:r>
      </w:hyperlink>
      <w:r>
        <w:t xml:space="preserve"> dieses Gesetzes verboten ist.</w:t>
      </w:r>
    </w:p>
    <w:p>
      <w:r>
        <w:t>(2) Mit Freiheitsstrafe bis zu sechs Monaten oder mit Geldstrafe bis zu 180 Tagessätzen wird bestraft, wer</w:t>
      </w:r>
    </w:p>
    <w:p>
      <w:pPr>
        <w:tabs>
          <w:tab w:pos="567" w:val="left"/>
        </w:tabs>
        <w:ind w:left="567" w:hanging="567"/>
      </w:pPr>
      <w:r>
        <w:t>1.</w:t>
      </w:r>
      <w:r>
        <w:tab/>
      </w:r>
      <w:r>
        <w:t>eine Tat nach Absatz 1 fahrlässig begeht,</w:t>
      </w:r>
    </w:p>
    <w:p>
      <w:pPr>
        <w:tabs>
          <w:tab w:pos="567" w:val="left"/>
        </w:tabs>
        <w:ind w:left="567" w:hanging="567"/>
      </w:pPr>
      <w:r>
        <w:t>2.</w:t>
      </w:r>
      <w:r>
        <w:tab/>
      </w:r>
      <w:r>
        <w:t>vorsätzlich oder fahrlässig ein Kraftfahrzeug führt, obwohl der vorgeschriebene Führerschein nach § 94 der Strafprozessordnung in Verwahrung genommen, sichergestellt oder beschlagnahmt ist, oder</w:t>
      </w:r>
    </w:p>
    <w:p>
      <w:pPr>
        <w:tabs>
          <w:tab w:pos="567" w:val="left"/>
        </w:tabs>
        <w:ind w:left="567" w:hanging="567"/>
      </w:pPr>
      <w:r>
        <w:t>3.</w:t>
      </w:r>
      <w:r>
        <w:tab/>
      </w:r>
      <w:r>
        <w:t>vorsätzlich oder fahrlässig als Halter eines Kraftfahrzeugs anordnet oder zulässt, dass jemand das Fahrzeug führt, obwohl der vorgeschriebene Führerschein nach § 94 der Strafprozessordnung in Verwahrung genommen, sichergestellt oder beschlagnahmt ist.</w:t>
      </w:r>
    </w:p>
    <w:p>
      <w:r>
        <w:t>(3) In den Fällen des Absatzes 1 kann das Kraftfahrzeug, auf das sich die Tat bezieht, eingezogen werden, wenn der Täter</w:t>
      </w:r>
    </w:p>
    <w:p>
      <w:pPr>
        <w:tabs>
          <w:tab w:pos="567" w:val="left"/>
        </w:tabs>
        <w:ind w:left="567" w:hanging="567"/>
      </w:pPr>
      <w:r>
        <w:t>1.</w:t>
      </w:r>
      <w:r>
        <w:tab/>
      </w:r>
      <w:r>
        <w:t xml:space="preserve">das Fahrzeug geführt hat, obwohl ihm die Fahrerlaubnis entzogen oder das Führen des Fahrzeugs nach § 44 des Strafgesetzbuchs oder nach </w:t>
      </w:r>
      <w:hyperlink w:anchor="b63" w:history="1">
        <w:r>
          <w:rPr>
            <w:color w:val="0A3A8C"/>
            <w:u w:val="single"/>
          </w:rPr>
          <w:t xml:space="preserve">§ 25</w:t>
        </w:r>
      </w:hyperlink>
      <w:r>
        <w:t xml:space="preserve"> dieses Gesetzes verboten war oder obwohl eine Sperre nach § 69a Abs. 1 Satz 3 des Strafgesetzbuchs gegen ihn angeordnet war,</w:t>
      </w:r>
    </w:p>
    <w:p>
      <w:pPr>
        <w:tabs>
          <w:tab w:pos="567" w:val="left"/>
        </w:tabs>
        <w:ind w:left="567" w:hanging="567"/>
      </w:pPr>
      <w:r>
        <w:t>2.</w:t>
      </w:r>
      <w:r>
        <w:tab/>
      </w:r>
      <w:r>
        <w:t xml:space="preserve">als Halter des Fahrzeugs angeordnet oder zugelassen hat, dass jemand das Fahrzeug führte, dem die Fahrerlaubnis entzogen oder das Führen des Fahrzeugs nach § 44 des Strafgesetzbuchs oder nach </w:t>
      </w:r>
      <w:hyperlink w:anchor="b63" w:history="1">
        <w:r>
          <w:rPr>
            <w:color w:val="0A3A8C"/>
            <w:u w:val="single"/>
          </w:rPr>
          <w:t xml:space="preserve">§ 25</w:t>
        </w:r>
      </w:hyperlink>
      <w:r>
        <w:t xml:space="preserve"> dieses Gesetzes verboten war oder gegen den eine Sperre nach § 69a Abs. 1 Satz 3 des Strafgesetzbuchs angeordnet war, oder</w:t>
      </w:r>
    </w:p>
    <w:p>
      <w:pPr>
        <w:tabs>
          <w:tab w:pos="567" w:val="left"/>
        </w:tabs>
        <w:ind w:left="567" w:hanging="567"/>
      </w:pPr>
      <w:r>
        <w:t>3.</w:t>
      </w:r>
      <w:r>
        <w:tab/>
      </w:r>
      <w:r>
        <w:t>in den letzten drei Jahren vor der Tat schon einmal wegen einer Tat nach Absatz 1 verurteilt worden ist.</w:t>
      </w:r>
    </w:p>
    <w:p>
      <w:pPr>
        <w:pStyle w:val="Heading2"/>
      </w:pPr>
      <w:bookmarkStart w:id="56" w:name="b55"/>
      <w:r>
        <w:t>§ 22 Kennzeichenmissbrauch</w:t>
      </w:r>
      <w:r>
        <w:t xml:space="preserve"> </w:t>
      </w:r>
      <w:r>
        <w:rPr>
          <w:rStyle w:val="Suchmarke"/>
        </w:rPr>
        <w:t>#22#</w:t>
      </w:r>
      <w:bookmarkEnd w:id="56"/>
    </w:p>
    <w:p>
      <w:r>
        <w:t>(1) Wer in rechtswidriger Absicht</w:t>
      </w:r>
    </w:p>
    <w:p>
      <w:pPr>
        <w:tabs>
          <w:tab w:pos="567" w:val="left"/>
        </w:tabs>
        <w:ind w:left="567" w:hanging="567"/>
      </w:pPr>
      <w:r>
        <w:t>1.</w:t>
      </w:r>
      <w:r>
        <w:tab/>
      </w:r>
      <w:r>
        <w:t>ein Kraftfahrzeug oder einen Kraftfahrzeuganhänger, für die ein amtliches Kennzeichen nicht ausgegeben oder zugelassen worden ist, mit einem Zeichen versieht, das geeignet ist, den Anschein amtlicher Kennzeichnung hervorzurufen,</w:t>
      </w:r>
    </w:p>
    <w:p>
      <w:pPr>
        <w:tabs>
          <w:tab w:pos="567" w:val="left"/>
        </w:tabs>
        <w:ind w:left="567" w:hanging="567"/>
      </w:pPr>
      <w:r>
        <w:t>2.</w:t>
      </w:r>
      <w:r>
        <w:tab/>
      </w:r>
      <w:r>
        <w:t>ein Kraftfahrzeug oder einen Kraftfahrzeuganhänger mit einer anderen als der amtlich für das Fahrzeug ausgegebenen oder zugelassenen Kennzeichnung versieht,</w:t>
      </w:r>
    </w:p>
    <w:p>
      <w:pPr>
        <w:tabs>
          <w:tab w:pos="567" w:val="left"/>
        </w:tabs>
        <w:ind w:left="567" w:hanging="567"/>
      </w:pPr>
      <w:r>
        <w:t>3.</w:t>
      </w:r>
      <w:r>
        <w:tab/>
      </w:r>
      <w:r>
        <w:t>das an einem Kraftfahrzeug oder einem Kraftfahrzeuganhänger angebrachte amtliche Kennzeichen verändert, beseitigt, verdeckt oder sonst in seiner Erkennbarkeit beeinträchtigt,</w:t>
      </w:r>
    </w:p>
    <w:p>
      <w:r>
        <w:t>wird, wenn die Tat nicht in anderen Vorschriften mit schwererer Strafe bedroht ist, mit Freiheitsstrafe bis zu einem Jahr oder mit Geldstrafe bestraft.</w:t>
      </w:r>
    </w:p>
    <w:p>
      <w:r>
        <w:t>(2) Die gleiche Strafe trifft Personen, welche auf öffentlichen Wegen oder Plätzen von einem Kraftfahrzeug oder einem Kraftfahrzeuganhänger Gebrauch machen, von denen sie wissen, dass die Kennzeichnung in der in Absatz 1 Nr. 1 bis 3 bezeichneten Art gefälscht, verfälscht oder unterdrückt worden ist.</w:t>
      </w:r>
    </w:p>
    <w:p>
      <w:pPr>
        <w:pStyle w:val="Heading2"/>
      </w:pPr>
      <w:bookmarkStart w:id="57" w:name="b56"/>
      <w:r>
        <w:t>§ 22a Missbräuchliches Herstellen, Vertreiben oder Ausgeben von Kennzeichen</w:t>
      </w:r>
      <w:r>
        <w:t xml:space="preserve"> </w:t>
      </w:r>
      <w:r>
        <w:rPr>
          <w:rStyle w:val="Suchmarke"/>
        </w:rPr>
        <w:t>#22a#</w:t>
      </w:r>
      <w:bookmarkEnd w:id="57"/>
    </w:p>
    <w:p>
      <w:r>
        <w:t>(1) Mit Freiheitsstrafe bis zu einem Jahr oder mit Geldstrafe wird bestraft, wer</w:t>
      </w:r>
    </w:p>
    <w:p>
      <w:pPr>
        <w:tabs>
          <w:tab w:pos="567" w:val="left"/>
        </w:tabs>
        <w:ind w:left="567" w:hanging="567"/>
      </w:pPr>
      <w:r>
        <w:t>1.</w:t>
      </w:r>
      <w:r>
        <w:tab/>
      </w:r>
      <w:r>
        <w:t>Kennzeichen ohne vorherige Anzeige bei der zuständigen Behörde herstellt, vertreibt oder ausgibt, oder</w:t>
      </w:r>
    </w:p>
    <w:p>
      <w:pPr>
        <w:tabs>
          <w:tab w:pos="567" w:val="left"/>
        </w:tabs>
        <w:ind w:left="567" w:hanging="567"/>
      </w:pPr>
      <w:r>
        <w:t>2.</w:t>
      </w:r>
      <w:r>
        <w:tab/>
      </w:r>
      <w:r>
        <w:t>(weggefallen)</w:t>
      </w:r>
    </w:p>
    <w:p>
      <w:pPr>
        <w:tabs>
          <w:tab w:pos="567" w:val="left"/>
        </w:tabs>
        <w:ind w:left="567" w:hanging="567"/>
      </w:pPr>
      <w:r>
        <w:t>3.</w:t>
      </w:r>
      <w:r>
        <w:tab/>
      </w:r>
      <w:r>
        <w:t>Kennzeichen in der Absicht nachmacht, dass sie als amtlich zugelassene Kennzeichen verwendet oder in Verkehr gebracht werden oder dass ein solches Verwenden oder Inverkehrbringen ermöglicht werde, oder Kennzeichen in dieser Absicht so verfälscht, dass der Anschein der Echtheit hervorgerufen wird, oder</w:t>
      </w:r>
    </w:p>
    <w:p>
      <w:pPr>
        <w:tabs>
          <w:tab w:pos="567" w:val="left"/>
        </w:tabs>
        <w:ind w:left="567" w:hanging="567"/>
      </w:pPr>
      <w:r>
        <w:t>4.</w:t>
      </w:r>
      <w:r>
        <w:tab/>
      </w:r>
      <w:r>
        <w:t>nachgemachte oder verfälschte Kennzeichen feilhält oder in den Verkehr bringt.</w:t>
      </w:r>
    </w:p>
    <w:p>
      <w:r>
        <w:t xml:space="preserve">(2) </w:t>
      </w:r>
      <w:r>
        <w:rPr>
          <w:rStyle w:val="Satznummer"/>
        </w:rPr>
        <w:t>1</w:t>
      </w:r>
      <w:r>
        <w:t xml:space="preserve">Nachgemachte oder verfälschte Kennzeichen, auf die sich eine Straftat nach Absatz 1 bezieht, können eingezogen werden. </w:t>
      </w:r>
      <w:r>
        <w:rPr>
          <w:rStyle w:val="Satznummer"/>
        </w:rPr>
        <w:t>2</w:t>
      </w:r>
      <w:r>
        <w:t>§ 74a des Strafgesetzbuchs ist anzuwenden.</w:t>
      </w:r>
    </w:p>
    <w:p>
      <w:pPr>
        <w:pStyle w:val="Heading2"/>
      </w:pPr>
      <w:bookmarkStart w:id="58" w:name="b57"/>
      <w:r>
        <w:t>§ 22b Missbrauch von Wegstreckenzählern und Geschwindigkeitsbegrenzern</w:t>
      </w:r>
      <w:r>
        <w:t xml:space="preserve"> </w:t>
      </w:r>
      <w:r>
        <w:rPr>
          <w:rStyle w:val="Suchmarke"/>
        </w:rPr>
        <w:t>#22b#</w:t>
      </w:r>
      <w:bookmarkEnd w:id="58"/>
    </w:p>
    <w:p>
      <w:r>
        <w:t>(1) Mit Freiheitsstrafe bis zu einem Jahr oder mit Geldstrafe wird bestraft, wer</w:t>
      </w:r>
    </w:p>
    <w:p>
      <w:pPr>
        <w:tabs>
          <w:tab w:pos="567" w:val="left"/>
        </w:tabs>
        <w:ind w:left="567" w:hanging="567"/>
      </w:pPr>
      <w:r>
        <w:t>1.</w:t>
      </w:r>
      <w:r>
        <w:tab/>
      </w:r>
      <w:r>
        <w:t>die Messung eines Wegstreckenzählers, mit dem ein Kraftfahrzeug ausgerüstet ist, dadurch verfälscht, dass er durch Einwirkung auf das Gerät oder den Messvorgang das Ergebnis der Messung beeinflusst,</w:t>
      </w:r>
    </w:p>
    <w:p>
      <w:pPr>
        <w:tabs>
          <w:tab w:pos="567" w:val="left"/>
        </w:tabs>
        <w:ind w:left="567" w:hanging="567"/>
      </w:pPr>
      <w:r>
        <w:t>2.</w:t>
      </w:r>
      <w:r>
        <w:tab/>
      </w:r>
      <w:r>
        <w:t>die bestimmungsgemäße Funktion eines Geschwindigkeitsbegrenzers, mit dem ein Kraftfahrzeug ausgerüstet ist, durch Einwirkung auf diese Einrichtung aufhebt oder beeinträchtigt oder</w:t>
      </w:r>
    </w:p>
    <w:p>
      <w:pPr>
        <w:tabs>
          <w:tab w:pos="567" w:val="left"/>
        </w:tabs>
        <w:ind w:left="567" w:hanging="567"/>
      </w:pPr>
      <w:r>
        <w:t>3.</w:t>
      </w:r>
      <w:r>
        <w:tab/>
      </w:r>
      <w:r>
        <w:t>eine Straftat nach Nummer 1 oder 2 vorbereitet, indem er Computerprogramme, deren Zweck die Begehung einer solchen Tat ist, herstellt, sich oder einem anderen verschafft, feilhält oder einem anderen überlässt.</w:t>
      </w:r>
    </w:p>
    <w:p>
      <w:r>
        <w:t>(2) In den Fällen des Absatzes 1 Nr. 3 gilt § 149 Abs. 2 und 3 des Strafgesetzbuches entsprechend.</w:t>
      </w:r>
    </w:p>
    <w:p>
      <w:r>
        <w:t xml:space="preserve">(3) </w:t>
      </w:r>
      <w:r>
        <w:rPr>
          <w:rStyle w:val="Satznummer"/>
        </w:rPr>
        <w:t>1</w:t>
      </w:r>
      <w:r>
        <w:t xml:space="preserve">Gegenstände, auf die sich die Straftat nach Absatz 1 bezieht, können eingezogen werden. </w:t>
      </w:r>
      <w:r>
        <w:rPr>
          <w:rStyle w:val="Satznummer"/>
        </w:rPr>
        <w:t>2</w:t>
      </w:r>
      <w:r>
        <w:t>§ 74a des Strafgesetzbuches ist anzuwenden.</w:t>
      </w:r>
    </w:p>
    <w:p>
      <w:pPr>
        <w:pStyle w:val="Heading2"/>
      </w:pPr>
      <w:bookmarkStart w:id="59" w:name="b58"/>
      <w:r>
        <w:t>§ 23 Bußgeldvorschrift zum Verbot der Täuschung über den Beteiligten an einem Verkehrsverstoß</w:t>
      </w:r>
      <w:r>
        <w:t xml:space="preserve"> </w:t>
      </w:r>
      <w:r>
        <w:rPr>
          <w:rStyle w:val="Suchmarke"/>
        </w:rPr>
        <w:t>#23#</w:t>
      </w:r>
      <w:bookmarkEnd w:id="59"/>
    </w:p>
    <w:p>
      <w:r>
        <w:t xml:space="preserve">(1) Ordnungswidrig handelt, wer entgegen </w:t>
      </w:r>
      <w:hyperlink w:anchor="b22" w:history="1">
        <w:r>
          <w:rPr>
            <w:color w:val="0A3A8C"/>
            <w:u w:val="single"/>
          </w:rPr>
          <w:t xml:space="preserve">§ 4c</w:t>
        </w:r>
      </w:hyperlink>
      <w:r>
        <w:t xml:space="preserve"> eine dort genannte Unternehmung oder Vermittlung durchführt oder ein dort genanntes Angebot macht.</w:t>
      </w:r>
    </w:p>
    <w:p>
      <w:r>
        <w:t>(2) Die Ordnungswidrigkeit kann mit einer Geldbuße bis zu dreißigtausend Euro geahndet werden.</w:t>
      </w:r>
    </w:p>
    <w:p>
      <w:pPr>
        <w:pStyle w:val="Heading2"/>
      </w:pPr>
      <w:bookmarkStart w:id="60" w:name="b59"/>
      <w:r>
        <w:t>§ 24 Bußgeldvorschriften</w:t>
      </w:r>
      <w:r>
        <w:t xml:space="preserve"> </w:t>
      </w:r>
      <w:r>
        <w:rPr>
          <w:rStyle w:val="Suchmarke"/>
        </w:rPr>
        <w:t>#24#</w:t>
      </w:r>
      <w:bookmarkEnd w:id="60"/>
    </w:p>
    <w:p>
      <w:r>
        <w:t xml:space="preserve">(1) Ordnungswidrig handelt, wer vorsätzlich oder fahrlässig einer Rechtsverordnung nach § 1j Absatz 1 Nummer 1, 2, 4, 5 oder 6, § 6 Absatz 1 Satz 1 Nummer 1 Buchstabe a bis c oder d, Nummer 2, 3, 5, 6 Buchstabe a, Nummer 8 bis 16 oder 17, jeweils auch in Verbindung mit </w:t>
      </w:r>
      <w:hyperlink w:anchor="b26" w:history="1">
        <w:r>
          <w:rPr>
            <w:color w:val="0A3A8C"/>
            <w:u w:val="single"/>
          </w:rPr>
          <w:t xml:space="preserve">§ 6</w:t>
        </w:r>
      </w:hyperlink>
      <w:r>
        <w:t xml:space="preserve"> Absatz 3 Nummer 1 bis 5 oder 7, nach </w:t>
      </w:r>
      <w:hyperlink w:anchor="b31" w:history="1">
        <w:r>
          <w:rPr>
            <w:color w:val="0A3A8C"/>
            <w:u w:val="single"/>
          </w:rPr>
          <w:t xml:space="preserve">§ 6e</w:t>
        </w:r>
      </w:hyperlink>
      <w:r>
        <w:t xml:space="preserve"> Absatz 1 Nummer 1 bis 5 oder 7 oder nach </w:t>
      </w:r>
      <w:hyperlink w:anchor="b33" w:history="1">
        <w:r>
          <w:rPr>
            <w:color w:val="0A3A8C"/>
            <w:u w:val="single"/>
          </w:rPr>
          <w:t xml:space="preserve">§ 6g</w:t>
        </w:r>
      </w:hyperlink>
      <w:r>
        <w:t xml:space="preserve"> Absatz 4 Satz 1 Nummer 3, 5, 7 oder 8 oder einer vollziehbaren Anordnung auf Grund einer solchen Rechtsverordnung zuwiderhandelt, soweit die Rechtsverordnung für einen bestimmten Tatbestand auf diese Bußgeldvorschrift verweist.</w:t>
      </w:r>
    </w:p>
    <w:p>
      <w:r>
        <w:t xml:space="preserve">(2) </w:t>
      </w:r>
      <w:r>
        <w:rPr>
          <w:rStyle w:val="Satznummer"/>
        </w:rPr>
        <w:t>1</w:t>
      </w:r>
      <w:r>
        <w:t>Ordnungswidrig handelt, wer vorsätzlich oder fahrlässig</w:t>
      </w:r>
    </w:p>
    <w:p>
      <w:pPr>
        <w:tabs>
          <w:tab w:pos="567" w:val="left"/>
        </w:tabs>
        <w:ind w:left="567" w:hanging="567"/>
      </w:pPr>
      <w:r>
        <w:t>1.</w:t>
      </w:r>
      <w:r>
        <w:tab/>
      </w:r>
      <w:r>
        <w:t>einer Rechtsverordnung nach § 6 Absatz 2</w:t>
      </w:r>
    </w:p>
    <w:p>
      <w:pPr>
        <w:tabs>
          <w:tab w:pos="1134" w:val="left"/>
        </w:tabs>
        <w:ind w:left="1134" w:hanging="567"/>
      </w:pPr>
      <w:r>
        <w:t>a)</w:t>
      </w:r>
      <w:r>
        <w:tab/>
      </w:r>
      <w:r>
        <w:t>Nummer 1 Buchstabe a bis e oder g,</w:t>
      </w:r>
    </w:p>
    <w:p>
      <w:pPr>
        <w:tabs>
          <w:tab w:pos="1134" w:val="left"/>
        </w:tabs>
        <w:ind w:left="1134" w:hanging="567"/>
      </w:pPr>
      <w:r>
        <w:t>b)</w:t>
      </w:r>
      <w:r>
        <w:tab/>
      </w:r>
      <w:r>
        <w:t>Nummer 1 Buchstabe f, Nummer 2 oder 3 Buchstabe b,</w:t>
      </w:r>
    </w:p>
    <w:p>
      <w:pPr>
        <w:tabs>
          <w:tab w:pos="1134" w:val="left"/>
        </w:tabs>
        <w:ind w:left="1134" w:hanging="567"/>
      </w:pPr>
      <w:r>
        <w:t>c)</w:t>
      </w:r>
      <w:r>
        <w:tab/>
      </w:r>
      <w:r>
        <w:t>Nummer 3 Buchstabe a oder c oder</w:t>
      </w:r>
    </w:p>
    <w:p>
      <w:pPr>
        <w:tabs>
          <w:tab w:pos="1134" w:val="left"/>
        </w:tabs>
        <w:ind w:left="1134" w:hanging="567"/>
      </w:pPr>
      <w:r>
        <w:t>d)</w:t>
      </w:r>
      <w:r>
        <w:tab/>
      </w:r>
      <w:r>
        <w:t>Nummer 4,</w:t>
      </w:r>
    </w:p>
    <w:p>
      <w:pPr>
        <w:ind w:left="567"/>
      </w:pPr>
      <w:r>
        <w:t>jeweils auch in Verbindung mit § 6 Absatz 3 Nummer 1, 2, 3 Buchstabe a oder c, Nummer 4, 5 oder 7 oder einer vollziehbaren Anordnung auf Grund einer solchen Rechtsverordnung zuwiderhandelt, soweit die Rechtsverordnung für einen bestimmten Tatbestand auf diese Bußgeldvorschrift verweist, oder</w:t>
      </w:r>
    </w:p>
    <w:p>
      <w:pPr>
        <w:tabs>
          <w:tab w:pos="567" w:val="left"/>
        </w:tabs>
        <w:ind w:left="567" w:hanging="567"/>
      </w:pPr>
      <w:r>
        <w:t>2.</w:t>
      </w:r>
      <w:r>
        <w:tab/>
      </w:r>
      <w:r>
        <w:t>einer unmittelbar geltenden Vorschrift in Rechtsakten der Europäischen Gemeinschaft oder der Europäischen Union zuwiderhandelt, die inhaltlich einer Regelung entspricht, zu der die in Nummer 1</w:t>
      </w:r>
    </w:p>
    <w:p>
      <w:pPr>
        <w:tabs>
          <w:tab w:pos="1134" w:val="left"/>
        </w:tabs>
        <w:ind w:left="1134" w:hanging="567"/>
      </w:pPr>
      <w:r>
        <w:t>a)</w:t>
      </w:r>
      <w:r>
        <w:tab/>
      </w:r>
      <w:r>
        <w:t>Buchstabe a,</w:t>
      </w:r>
    </w:p>
    <w:p>
      <w:pPr>
        <w:tabs>
          <w:tab w:pos="1134" w:val="left"/>
        </w:tabs>
        <w:ind w:left="1134" w:hanging="567"/>
      </w:pPr>
      <w:r>
        <w:t>b)</w:t>
      </w:r>
      <w:r>
        <w:tab/>
      </w:r>
      <w:r>
        <w:t>Buchstabe b,</w:t>
      </w:r>
    </w:p>
    <w:p>
      <w:pPr>
        <w:tabs>
          <w:tab w:pos="1134" w:val="left"/>
        </w:tabs>
        <w:ind w:left="1134" w:hanging="567"/>
      </w:pPr>
      <w:r>
        <w:t>c)</w:t>
      </w:r>
      <w:r>
        <w:tab/>
      </w:r>
      <w:r>
        <w:t>Buchstabe c oder</w:t>
      </w:r>
    </w:p>
    <w:p>
      <w:pPr>
        <w:tabs>
          <w:tab w:pos="1134" w:val="left"/>
        </w:tabs>
        <w:ind w:left="1134" w:hanging="567"/>
      </w:pPr>
      <w:r>
        <w:t>d)</w:t>
      </w:r>
      <w:r>
        <w:tab/>
      </w:r>
      <w:r>
        <w:t>Buchstabe d</w:t>
      </w:r>
    </w:p>
    <w:p>
      <w:pPr>
        <w:ind w:left="567"/>
      </w:pPr>
      <w:r>
        <w:t>genannten Vorschriften ermächtigen, soweit eine Rechtsverordnung nach Satz 2 für einen bestimmten Tatbestand auf diese Bußgeldvorschrift verweist.</w:t>
      </w:r>
    </w:p>
    <w:p>
      <w:r>
        <w:rPr>
          <w:rStyle w:val="Satznummer"/>
        </w:rPr>
        <w:t>2</w:t>
      </w:r>
      <w:r>
        <w:t>Das Bundesministerium für Verkehr wird ermächtigt, soweit dies zur Durchsetzung der Rechtsakte der Europäischen Gemeinschaft oder der Europäischen Union erforderlich ist, durch Rechtsverordnung ohne Zustimmung des Bundesrates die Tatbestände zu bezeichnen, die als Ordnungswidrigkeit nach Satz 1 Nummer 2 geahndet werden können.</w:t>
      </w:r>
    </w:p>
    <w:p>
      <w:r>
        <w:t>(3) Die Ordnungswidrigkeit kann in den Fällen</w:t>
      </w:r>
    </w:p>
    <w:p>
      <w:pPr>
        <w:tabs>
          <w:tab w:pos="567" w:val="left"/>
        </w:tabs>
        <w:ind w:left="567" w:hanging="567"/>
      </w:pPr>
      <w:r>
        <w:t>1.</w:t>
      </w:r>
      <w:r>
        <w:tab/>
      </w:r>
      <w:r>
        <w:t>des Absatzes 2 Satz 1 Nummer 1 Buchstabe d und Nummer 2 Buchstabe d mit einer Geldbuße bis zu fünfhunderttausend Euro,</w:t>
      </w:r>
    </w:p>
    <w:p>
      <w:pPr>
        <w:tabs>
          <w:tab w:pos="567" w:val="left"/>
        </w:tabs>
        <w:ind w:left="567" w:hanging="567"/>
      </w:pPr>
      <w:r>
        <w:t>2.</w:t>
      </w:r>
      <w:r>
        <w:tab/>
      </w:r>
      <w:r>
        <w:t>des Absatzes 2 Satz 1 Nummer 1 Buchstabe c und Nummer 2 Buchstabe c mit einer Geldbuße bis zu dreihunderttausend Euro,</w:t>
      </w:r>
    </w:p>
    <w:p>
      <w:pPr>
        <w:tabs>
          <w:tab w:pos="567" w:val="left"/>
        </w:tabs>
        <w:ind w:left="567" w:hanging="567"/>
      </w:pPr>
      <w:r>
        <w:t>3.</w:t>
      </w:r>
      <w:r>
        <w:tab/>
      </w:r>
      <w:r>
        <w:t>des Absatzes 2 Satz 1 Nummer 1 Buchstabe a und Nummer 2 Buchstabe a mit einer Geldbuße bis zu hunderttausend Euro,</w:t>
      </w:r>
    </w:p>
    <w:p>
      <w:pPr>
        <w:tabs>
          <w:tab w:pos="567" w:val="left"/>
        </w:tabs>
        <w:ind w:left="567" w:hanging="567"/>
      </w:pPr>
      <w:r>
        <w:t>4.</w:t>
      </w:r>
      <w:r>
        <w:tab/>
      </w:r>
      <w:r>
        <w:t>des Absatzes 2 Satz 1 Nummer 1 Buchstabe b und Nummer 2 Buchstabe b mit einer Geldbuße bis zu fünfzigtausend Euro,</w:t>
      </w:r>
    </w:p>
    <w:p>
      <w:pPr>
        <w:tabs>
          <w:tab w:pos="567" w:val="left"/>
        </w:tabs>
        <w:ind w:left="567" w:hanging="567"/>
      </w:pPr>
      <w:r>
        <w:t>5.</w:t>
      </w:r>
      <w:r>
        <w:tab/>
      </w:r>
      <w:r>
        <w:t>des Absatzes 1 mit einer Geldbuße bis zu zweitausend Euro</w:t>
      </w:r>
    </w:p>
    <w:p>
      <w:r>
        <w:t>geahndet werden.</w:t>
      </w:r>
    </w:p>
    <w:p>
      <w:r>
        <w:t>(4) In den Fällen des Absatzes 3 Nummer 1 und 2 ist § 30 Absatz 2 Satz 3 des Gesetzes über Ordnungswidrigkeiten anzuwenden.</w:t>
      </w:r>
    </w:p>
    <w:p>
      <w:r>
        <w:t xml:space="preserve">(5) Fahrzeuge, Fahrzeugteile und Ausrüstungen, auf die sich eine Ordnungswidrigkeit nach Absatz 1 in Verbindung mit </w:t>
      </w:r>
      <w:hyperlink w:anchor="b26" w:history="1">
        <w:r>
          <w:rPr>
            <w:color w:val="0A3A8C"/>
            <w:u w:val="single"/>
          </w:rPr>
          <w:t xml:space="preserve">§ 6</w:t>
        </w:r>
      </w:hyperlink>
      <w:r>
        <w:t xml:space="preserve"> Absatz 1 Satz 1 Nummer 5 oder 10 oder eine Ordnungswidrigkeit nach Absatz 2 Satz 1 bezieht, können eingezogen werden.</w:t>
      </w:r>
    </w:p>
    <w:p>
      <w:pPr>
        <w:pStyle w:val="Heading2"/>
      </w:pPr>
      <w:bookmarkStart w:id="61" w:name="b60"/>
      <w:r>
        <w:t>§ 24a 0,5 Promille-Grenze, Tetrahydrocannabinol-Grenzwert</w:t>
      </w:r>
      <w:r>
        <w:t xml:space="preserve"> </w:t>
      </w:r>
      <w:r>
        <w:rPr>
          <w:rStyle w:val="Suchmarke"/>
        </w:rPr>
        <w:t>#24a#</w:t>
      </w:r>
      <w:bookmarkEnd w:id="61"/>
    </w:p>
    <w:p>
      <w:r>
        <w:t>(1) Ordnungswidrig handelt, wer vorsätzlich oder fahrlässig im Straßenverkehr ein Kraftfahrzeug führt, obwohl er 0,25 mg/l oder mehr Alkohol in der Atemluft oder 0,5 Promille oder mehr Alkohol im Blut oder eine Alkoholmenge im Körper hat, die zu einer solchen Atem- oder Blutalkoholkonzentration führt.</w:t>
      </w:r>
    </w:p>
    <w:p>
      <w:r>
        <w:t>(1a) Ordnungswidrig handelt, wer vorsätzlich oder fahrlässig im Straßenverkehr ein Kraftfahrzeug führt, obwohl er 3,5 ng/ml oder mehr Tetrahydrocannabinol im Blutserum hat.</w:t>
      </w:r>
    </w:p>
    <w:p>
      <w:r>
        <w:t xml:space="preserve">(2) </w:t>
      </w:r>
      <w:r>
        <w:rPr>
          <w:rStyle w:val="Satznummer"/>
        </w:rPr>
        <w:t>1</w:t>
      </w:r>
      <w:r>
        <w:t xml:space="preserve">Ordnungswidrig handelt, wer vorsätzlich oder fahrlässig unter der Wirkung eines in der Anlage zu dieser Vorschrift genannten berauschenden Mittels im Straßenverkehr ein Kraftfahrzeug führt. </w:t>
      </w:r>
      <w:r>
        <w:rPr>
          <w:rStyle w:val="Satznummer"/>
        </w:rPr>
        <w:t>2</w:t>
      </w:r>
      <w:r>
        <w:t>Eine solche Wirkung liegt vor, wenn eine in dieser Anlage genannte Substanz im Blutserum nachgewiesen wird.</w:t>
      </w:r>
    </w:p>
    <w:p>
      <w:r>
        <w:t>(2a) Ordnungswidrig handelt, wer vorsätzlich oder fahrlässig eine in Absatz 1a genannte Handlung begeht und</w:t>
      </w:r>
    </w:p>
    <w:p>
      <w:pPr>
        <w:tabs>
          <w:tab w:pos="567" w:val="left"/>
        </w:tabs>
        <w:ind w:left="567" w:hanging="567"/>
      </w:pPr>
      <w:r>
        <w:t>1.</w:t>
      </w:r>
      <w:r>
        <w:tab/>
      </w:r>
      <w:r>
        <w:t>ein alkoholisches Getränk zu sich nimmt oder</w:t>
      </w:r>
    </w:p>
    <w:p>
      <w:pPr>
        <w:tabs>
          <w:tab w:pos="567" w:val="left"/>
        </w:tabs>
        <w:ind w:left="567" w:hanging="567"/>
      </w:pPr>
      <w:r>
        <w:t>2.</w:t>
      </w:r>
      <w:r>
        <w:tab/>
      </w:r>
      <w:r>
        <w:t>die Fahrt antritt, obwohl er unter der Wirkung eines alkoholischen Getränks steht.</w:t>
      </w:r>
    </w:p>
    <w:p>
      <w:r>
        <w:t>(3) Die Ordnungswidrigkeit kann in den Fällen der Absätze 1, 1a und 2 Satz 1 mit einer Geldbuße bis zu dreitausend Euro und in den Fällen des Absatzes 2a mit einer Geldbuße bis zu fünftausend Euro geahndet werden.</w:t>
      </w:r>
    </w:p>
    <w:p>
      <w:r>
        <w:t>(4) Die Absätze 1a, 2 Satz 1 und Absatz 2a sind nicht anzuwenden, wenn eine dort oder in der Anlage zu dieser Vorschrift genannte Substanz aus der bestimmungsgemäßen Einnahme eines für einen konkreten Krankheitsfall verschriebenen Arzneimittels herrührt.</w:t>
      </w:r>
    </w:p>
    <w:p>
      <w:r>
        <w:t>(5) Das Bundesministerium für Verkehr wird ermächtigt, durch Rechtsverordnung im Einvernehmen mit dem Bundesministerium für Gesundheit und dem Bundesministerium der Justiz und für Verbraucherschutz mit Zustimmung des Bundesrates die Liste der berauschenden Mittel und Substanzen in der Anlage zu dieser Vorschrift zu ändern oder zu ergänzen, wenn dies nach wissenschaftlicher Erkenntnis im Hinblick auf die Sicherheit des Straßenverkehrs erforderlich ist.</w:t>
      </w:r>
    </w:p>
    <w:p>
      <w:pPr>
        <w:pStyle w:val="Heading2"/>
      </w:pPr>
      <w:bookmarkStart w:id="62" w:name="b61"/>
      <w:r>
        <w:t>§ 24b (weggefallen)</w:t>
      </w:r>
      <w:r>
        <w:t xml:space="preserve"> </w:t>
      </w:r>
      <w:r>
        <w:rPr>
          <w:rStyle w:val="Suchmarke"/>
        </w:rPr>
        <w:t>#24b#</w:t>
      </w:r>
      <w:bookmarkEnd w:id="62"/>
    </w:p>
    <w:p>
      <w:pPr>
        <w:pStyle w:val="Heading2"/>
      </w:pPr>
      <w:bookmarkStart w:id="63" w:name="b62"/>
      <w:r>
        <w:t>§ 24c Alkohol- und Cannabisverbot für Fahranfänger und Fahranfängerinnen</w:t>
      </w:r>
      <w:r>
        <w:t xml:space="preserve"> </w:t>
      </w:r>
      <w:r>
        <w:rPr>
          <w:rStyle w:val="Suchmarke"/>
        </w:rPr>
        <w:t>#24c#</w:t>
      </w:r>
      <w:bookmarkEnd w:id="63"/>
    </w:p>
    <w:p>
      <w:r>
        <w:t xml:space="preserve">(1) Ordnungswidrig handelt, wer vorsätzlich oder fahrlässig in der Probezeit nach </w:t>
      </w:r>
      <w:hyperlink w:anchor="b15" w:history="1">
        <w:r>
          <w:rPr>
            <w:color w:val="0A3A8C"/>
            <w:u w:val="single"/>
          </w:rPr>
          <w:t xml:space="preserve">§ 2a</w:t>
        </w:r>
      </w:hyperlink>
      <w:r>
        <w:t xml:space="preserve"> oder vor Vollendung des 21. Lebensjahres als Führer eines Kraftfahrzeugs im Straßenverkehr</w:t>
      </w:r>
    </w:p>
    <w:p>
      <w:pPr>
        <w:tabs>
          <w:tab w:pos="567" w:val="left"/>
        </w:tabs>
        <w:ind w:left="567" w:hanging="567"/>
      </w:pPr>
      <w:r>
        <w:t>1.</w:t>
      </w:r>
      <w:r>
        <w:tab/>
      </w:r>
      <w:r>
        <w:t>ein alkoholisches Getränk oder die Substanz Tetrahydrocannabinol zu sich nimmt oder</w:t>
      </w:r>
    </w:p>
    <w:p>
      <w:pPr>
        <w:tabs>
          <w:tab w:pos="567" w:val="left"/>
        </w:tabs>
        <w:ind w:left="567" w:hanging="567"/>
      </w:pPr>
      <w:r>
        <w:t>2.</w:t>
      </w:r>
      <w:r>
        <w:tab/>
      </w:r>
      <w:r>
        <w:t>die Fahrt antritt, obwohl er unter der Wirkung eines alkoholischen Getränks oder der Substanz Tetrahydrocannabinol steht.</w:t>
      </w:r>
    </w:p>
    <w:p>
      <w:r>
        <w:t>(2) Die Ordnungswidrigkeit kann mit einer Geldbuße geahndet werden.</w:t>
      </w:r>
    </w:p>
    <w:p>
      <w:r>
        <w:t>(3) Absatz 1 ist nicht anzuwenden, wenn die Substanz Tetrahydrocannabinol aus der bestimmungsgemäßen Einnahme eines für einen konkreten Krankheitsfall verschriebenen Arzneimittels herrührt.</w:t>
      </w:r>
    </w:p>
    <w:p>
      <w:pPr>
        <w:pStyle w:val="Heading2"/>
      </w:pPr>
      <w:bookmarkStart w:id="64" w:name="b63"/>
      <w:r>
        <w:t>§ 25 Fahrverbot</w:t>
      </w:r>
      <w:r>
        <w:t xml:space="preserve"> </w:t>
      </w:r>
      <w:r>
        <w:rPr>
          <w:rStyle w:val="Suchmarke"/>
        </w:rPr>
        <w:t>#25#</w:t>
      </w:r>
      <w:bookmarkEnd w:id="64"/>
    </w:p>
    <w:p>
      <w:r>
        <w:t xml:space="preserve">(1) </w:t>
      </w:r>
      <w:r>
        <w:rPr>
          <w:rStyle w:val="Satznummer"/>
        </w:rPr>
        <w:t>1</w:t>
      </w:r>
      <w:r>
        <w:t xml:space="preserve">Wird gegen die betroffene Person wegen einer Ordnungswidrigkeit nach </w:t>
      </w:r>
      <w:hyperlink w:anchor="b59" w:history="1">
        <w:r>
          <w:rPr>
            <w:color w:val="0A3A8C"/>
            <w:u w:val="single"/>
          </w:rPr>
          <w:t xml:space="preserve">§ 24</w:t>
        </w:r>
      </w:hyperlink>
      <w:r>
        <w:t xml:space="preserve"> Absatz 1, die sie unter grober oder beharrlicher Verletzung der Pflichten eines Kraftfahrzeugführers begangen hat, eine Geldbuße festgesetzt, so kann ihr die Verwaltungsbehörde oder das Gericht in der Bußgeldentscheidung für die Dauer von einem Monat bis zu drei Monaten verbieten, im Straßenverkehr Kraftfahrzeuge jeder oder einer bestimmten Art zu führen. </w:t>
      </w:r>
      <w:r>
        <w:rPr>
          <w:rStyle w:val="Satznummer"/>
        </w:rPr>
        <w:t>2</w:t>
      </w:r>
      <w:r>
        <w:t xml:space="preserve">Wird gegen die betroffene Person wegen einer Ordnungswidrigkeit nach </w:t>
      </w:r>
      <w:hyperlink w:anchor="b60" w:history="1">
        <w:r>
          <w:rPr>
            <w:color w:val="0A3A8C"/>
            <w:u w:val="single"/>
          </w:rPr>
          <w:t xml:space="preserve">§ 24a</w:t>
        </w:r>
      </w:hyperlink>
      <w:r>
        <w:t xml:space="preserve"> Absatz 1 bis 2a eine Geldbuße festgesetzt, so ist in der Regel auch ein Fahrverbot anzuordnen.</w:t>
      </w:r>
    </w:p>
    <w:p>
      <w:r>
        <w:t>(2) Das Fahrverbot wird wirksam, wenn der Führerschein nach Rechtskraft der Bußgeldentscheidung in amtliche Verwahrung gelangt oder das Fahrverbot im Inland in ihm vermerkt ist, spätestens jedoch einen Monat nach Eintritt der Rechtskraft der Bußgeldentscheidung.</w:t>
      </w:r>
    </w:p>
    <w:p>
      <w:r>
        <w:t xml:space="preserve">(2a) </w:t>
      </w:r>
      <w:r>
        <w:rPr>
          <w:rStyle w:val="Satznummer"/>
        </w:rPr>
        <w:t>1</w:t>
      </w:r>
      <w:r>
        <w:t xml:space="preserve">Für die Dauer des Fahrverbots werden von einer deutschen Behörde ausgestellte nationale und internationale Führerscheine amtlich verwahrt. </w:t>
      </w:r>
      <w:r>
        <w:rPr>
          <w:rStyle w:val="Satznummer"/>
        </w:rPr>
        <w:t>2</w:t>
      </w:r>
      <w:r>
        <w:t xml:space="preserve">Dies gilt auch, wenn der Führerschein von einer Behörde eines Mitgliedstaates der Europäischen Union oder eines anderen Vertragsstaates des Abkommens über den Europäischen Wirtschaftsraum ausgestellt wurde, sofern der Inhaber seinen ordentlichen Wohnsitz im Inland hat. </w:t>
      </w:r>
      <w:r>
        <w:rPr>
          <w:rStyle w:val="Satznummer"/>
        </w:rPr>
        <w:t>3</w:t>
      </w:r>
      <w:r>
        <w:t xml:space="preserve">In einem ausländischen Führerschein, der weder von einem Mitgliedstaat der Europäischen Union noch von einem anderen Vertragsstaat des Abkommens über den Europäischen Wirtschaftsraum ausgestellt wurde, wird das Fahrverbot vermerkt. </w:t>
      </w:r>
      <w:r>
        <w:rPr>
          <w:rStyle w:val="Satznummer"/>
        </w:rPr>
        <w:t>4</w:t>
      </w:r>
      <w:r>
        <w:t>Wird der Führerschein für die Zwecke der amtlichen Verwahrung oder der Eintragung des Vermerks nicht freiwillig herausgegeben, so ist er zu beschlagnahmen.</w:t>
      </w:r>
    </w:p>
    <w:p>
      <w:r>
        <w:t>(3) Ist in den zwei Jahren vor Begehen der Ordnungswidrigkeit nicht die Rechtskraft einer Entscheidung über ein gegen die betroffene Person verhängtes Fahrverbot eingetreten und tritt diese bis zur Entscheidung nach Absatz 1 auch nicht ein, so hat die Verwaltungsbehörde oder das Gericht,</w:t>
      </w:r>
    </w:p>
    <w:p>
      <w:pPr>
        <w:tabs>
          <w:tab w:pos="567" w:val="left"/>
        </w:tabs>
        <w:ind w:left="567" w:hanging="567"/>
      </w:pPr>
      <w:r>
        <w:t>1.</w:t>
      </w:r>
      <w:r>
        <w:tab/>
      </w:r>
      <w:r>
        <w:t>wenn der Führerschein amtlich zu verwahren oder das Fahrverbot auf dem Führerschein zu vermerken ist, zu bestimmen, dass abweichend von der in Absatz 2 genannten Frist von einem Monat nach Eintritt der Rechtskraft der Bußgeldentscheidung das Fahrverbot spätestens vier Monate nach Eintritt der Rechtskraft der Bußgeldentscheidung wirksam wird,</w:t>
      </w:r>
    </w:p>
    <w:p>
      <w:pPr>
        <w:tabs>
          <w:tab w:pos="567" w:val="left"/>
        </w:tabs>
        <w:ind w:left="567" w:hanging="567"/>
      </w:pPr>
      <w:r>
        <w:t>2.</w:t>
      </w:r>
      <w:r>
        <w:tab/>
      </w:r>
      <w:r>
        <w:t>in den in Nummer 1 nicht genannten Fällen abweichend von Absatz 2,</w:t>
      </w:r>
    </w:p>
    <w:p>
      <w:pPr>
        <w:tabs>
          <w:tab w:pos="1134" w:val="left"/>
        </w:tabs>
        <w:ind w:left="1134" w:hanging="567"/>
      </w:pPr>
      <w:r>
        <w:t>a)</w:t>
      </w:r>
      <w:r>
        <w:tab/>
      </w:r>
      <w:r>
        <w:t>wenn der Betroffene in einer schriftlichen oder elektronischen Erklärung einen Zeitpunkt abstrakt nach Tagen, Wochen oder Monaten nach Eintritt der Rechtskraft der Bußgeldentscheidung für den Beginn der Wirksamkeit des Fahrverbots benannt hat, der innerhalb eines Zeitraums von einem bis vier Monaten nach Eintritt der Rechtskraft der Bußgeldentscheidung liegt, diesen Zeitpunkt für den Beginn der Wirksamkeit des Fahrverbots festzulegen oder</w:t>
      </w:r>
    </w:p>
    <w:p>
      <w:pPr>
        <w:tabs>
          <w:tab w:pos="1134" w:val="left"/>
        </w:tabs>
        <w:ind w:left="1134" w:hanging="567"/>
      </w:pPr>
      <w:r>
        <w:t>b)</w:t>
      </w:r>
      <w:r>
        <w:tab/>
      </w:r>
      <w:r>
        <w:t>wenn der Betroffene keine Erklärung im Sinne des Buchstabens a abgegeben hat, zu bestimmen, dass das Fahrverbot mit Ablauf von vier Monaten nach Eintritt der Rechtskraft der Bußgeldentscheidung wirksam wird.</w:t>
      </w:r>
    </w:p>
    <w:p>
      <w:r>
        <w:t xml:space="preserve">(4) </w:t>
      </w:r>
      <w:r>
        <w:rPr>
          <w:rStyle w:val="Satznummer"/>
        </w:rPr>
        <w:t>1</w:t>
      </w:r>
      <w:r>
        <w:t xml:space="preserve">Werden gegen die betroffene Person mehrere Fahrverbote rechtskräftig verhängt, so sind die Verbotsfristen nacheinander zu berechnen. </w:t>
      </w:r>
      <w:r>
        <w:rPr>
          <w:rStyle w:val="Satznummer"/>
        </w:rPr>
        <w:t>2</w:t>
      </w:r>
      <w:r>
        <w:t xml:space="preserve">Die Verbotsfrist auf Grund des früher wirksam gewordenen Fahrverbots läuft zuerst. </w:t>
      </w:r>
      <w:r>
        <w:rPr>
          <w:rStyle w:val="Satznummer"/>
        </w:rPr>
        <w:t>3</w:t>
      </w:r>
      <w:r>
        <w:t>Werden Fahrverbote gleichzeitig wirksam, so läuft die Verbotsfrist auf Grund des früher angeordneten Fahrverbots zuerst; bei gleichzeitiger Anordnung ist die frühere Tat maßgebend.</w:t>
      </w:r>
    </w:p>
    <w:p>
      <w:r>
        <w:t xml:space="preserve">(5) </w:t>
      </w:r>
      <w:r>
        <w:rPr>
          <w:rStyle w:val="Satznummer"/>
        </w:rPr>
        <w:t>1</w:t>
      </w:r>
      <w:r>
        <w:t xml:space="preserve">Wird der Führerschein in den Fällen Absatzes 2a Satz 4 bei der betroffenen Person nicht vorgefunden, so hat sie auf Antrag der Vollstreckungsbehörde (§ 92 des Gesetzes über Ordnungswidrigkeiten) bei dem Amtsgericht eine eidesstattliche Versicherung über den Verbleib des Führerscheins abzugeben. </w:t>
      </w:r>
      <w:r>
        <w:rPr>
          <w:rStyle w:val="Satznummer"/>
        </w:rPr>
        <w:t>2</w:t>
      </w:r>
      <w:r>
        <w:t>§ 883 Abs. 2 und 3 der Zivilprozessordnung gilt entsprechend.</w:t>
      </w:r>
    </w:p>
    <w:p>
      <w:r>
        <w:t xml:space="preserve">(6) </w:t>
      </w:r>
      <w:r>
        <w:rPr>
          <w:rStyle w:val="Satznummer"/>
        </w:rPr>
        <w:t>1</w:t>
      </w:r>
      <w:r>
        <w:t xml:space="preserve">Ist ein Führerschein amtlich zu verwahren oder das Fahrverbot in einem ausländischen Führerschein zu vermerken, so wird die Verbotsfrist erst von dem Tag an gerechnet, an dem dies geschieht. </w:t>
      </w:r>
      <w:r>
        <w:rPr>
          <w:rStyle w:val="Satznummer"/>
        </w:rPr>
        <w:t>2</w:t>
      </w:r>
      <w:r>
        <w:t xml:space="preserve">In den übrigen Fällen wird die Verbotsfrist ab dem Tag des Eintritts der Wirksamkeit des Fahrverbots gerechnet. </w:t>
      </w:r>
      <w:r>
        <w:rPr>
          <w:rStyle w:val="Satznummer"/>
        </w:rPr>
        <w:t>3</w:t>
      </w:r>
      <w:r>
        <w:t>In die Verbotsfrist wird die Zeit nicht eingerechnet, in welcher der Täter auf behördliche Anordnung in einer Anstalt verwahrt wird.</w:t>
      </w:r>
    </w:p>
    <w:p>
      <w:r>
        <w:t xml:space="preserve">(7) </w:t>
      </w:r>
      <w:r>
        <w:rPr>
          <w:rStyle w:val="Satznummer"/>
        </w:rPr>
        <w:t>1</w:t>
      </w:r>
      <w:r>
        <w:t xml:space="preserve">Die Dauer einer vorläufigen Entziehung der Fahrerlaubnis (§ 111a der Strafprozessordnung) wird auf das Fahrverbot angerechnet. </w:t>
      </w:r>
      <w:r>
        <w:rPr>
          <w:rStyle w:val="Satznummer"/>
        </w:rPr>
        <w:t>2</w:t>
      </w:r>
      <w:r>
        <w:t xml:space="preserve">Es kann jedoch angeordnet werden, dass die Anrechnung ganz oder zum Teil unterbleibt, wenn sie im Hinblick auf das Verhalten der betroffenen Person nach Begehung der Ordnungswidrigkeit nicht gerechtfertigt ist. </w:t>
      </w:r>
      <w:r>
        <w:rPr>
          <w:rStyle w:val="Satznummer"/>
        </w:rPr>
        <w:t>3</w:t>
      </w:r>
      <w:r>
        <w:t>Der vorläufigen Entziehung der Fahrerlaubnis steht die Verwahrung, Sicherstellung oder Beschlagnahme des Führerscheins (§ 94 der Strafprozessordnung) gleich.</w:t>
      </w:r>
    </w:p>
    <w:p>
      <w:r>
        <w:t xml:space="preserve">(8) </w:t>
      </w:r>
      <w:r>
        <w:rPr>
          <w:rStyle w:val="Satznummer"/>
        </w:rPr>
        <w:t>1</w:t>
      </w:r>
      <w:r>
        <w:t xml:space="preserve">Wird das Fahrverbot nach Absatz 1 im Strafverfahren angeordnet (§ 82 des Gesetzes über Ordnungswidrigkeiten), so kann die Rückgabe eines in Verwahrung genommenen, sichergestellten oder beschlagnahmten Führerscheins aufgeschoben werden, wenn die betroffene Person nicht widerspricht. </w:t>
      </w:r>
      <w:r>
        <w:rPr>
          <w:rStyle w:val="Satznummer"/>
        </w:rPr>
        <w:t>2</w:t>
      </w:r>
      <w:r>
        <w:t>In diesem Fall ist die Zeit nach dem Urteil unverkürzt auf das Fahrverbot anzurechnen.</w:t>
      </w:r>
    </w:p>
    <w:p>
      <w:r>
        <w:t>(9) Über den Zeitpunkt der Wirksamkeit des Fahrverbots nach Absatz 2 oder 3 und über den Beginn der Verbotsfrist nach Absatz 6 Satz 1 oder 2 ist die betroffene Person bei der Zustellung der Bußgeldentscheidung oder im Anschluss an deren Verkündung zu belehren.</w:t>
      </w:r>
    </w:p>
    <w:p>
      <w:pPr>
        <w:pStyle w:val="Heading2"/>
      </w:pPr>
      <w:bookmarkStart w:id="65" w:name="b64"/>
      <w:r>
        <w:t>§ 25a Kostentragungspflicht des Halters</w:t>
      </w:r>
      <w:r>
        <w:t xml:space="preserve"> </w:t>
      </w:r>
      <w:r>
        <w:rPr>
          <w:rStyle w:val="Suchmarke"/>
        </w:rPr>
        <w:t>#25a#</w:t>
      </w:r>
      <w:bookmarkEnd w:id="65"/>
    </w:p>
    <w:p>
      <w:r>
        <w:t xml:space="preserve">(1) </w:t>
      </w:r>
      <w:r>
        <w:rPr>
          <w:rStyle w:val="Satznummer"/>
        </w:rPr>
        <w:t>1</w:t>
      </w:r>
      <w:r>
        <w:t xml:space="preserve">Kann in einem Bußgeldverfahren wegen eines Halt- oder Parkverstoßes der Führer des Kraftfahrzeugs, der den Verstoß begangen hat, nicht vor Eintritt der Verfolgungsverjährung ermittelt werden oder würde seine Ermittlung einen unangemessenen Aufwand erfordern, so werden dem Halter des Kraftfahrzeugs oder seinem Beauftragten die Kosten des Verfahrens auferlegt; er hat dann auch seine Auslagen zu tragen. </w:t>
      </w:r>
      <w:r>
        <w:rPr>
          <w:rStyle w:val="Satznummer"/>
        </w:rPr>
        <w:t>2</w:t>
      </w:r>
      <w:r>
        <w:t xml:space="preserve">Entsprechendes gilt für den Halter eines Kraftfahrzeuganhängers, wenn mit diesem Kraftfahrzeuganhänger, ohne dass dieser an ein Kraftfahrzeug angehängt ist, ein Halt- oder Parkverstoß begangen wurde und derjenige, der den Verstoß begangen hat, nicht vor Eintritt der Verfolgungsverjährung ermittelt werden kann oder seine Ermittlung einen unangemessenen Aufwand erfordern würde. </w:t>
      </w:r>
      <w:r>
        <w:rPr>
          <w:rStyle w:val="Satznummer"/>
        </w:rPr>
        <w:t>3</w:t>
      </w:r>
      <w:r>
        <w:t>Von einer Entscheidung nach Satz 1 oder 2 wird abgesehen, wenn es unbillig wäre, den Halter oder seinen Beauftragten mit den Kosten zu belasten.</w:t>
      </w:r>
    </w:p>
    <w:p>
      <w:r>
        <w:t>(2) Die Kostenentscheidung ergeht mit der Entscheidung, die das Verfahren abschließt; vor der Entscheidung ist derjenige zu hören, dem die Kosten auferlegt werden sollen.</w:t>
      </w:r>
    </w:p>
    <w:p>
      <w:r>
        <w:t xml:space="preserve">(3) </w:t>
      </w:r>
      <w:r>
        <w:rPr>
          <w:rStyle w:val="Satznummer"/>
        </w:rPr>
        <w:t>1</w:t>
      </w:r>
      <w:r>
        <w:t xml:space="preserve">Gegen die Kostenentscheidung der Verwaltungsbehörde und der Staatsanwaltschaft kann innerhalb von zwei Wochen nach Zustellung gerichtliche Entscheidung beantragt werden. </w:t>
      </w:r>
      <w:r>
        <w:rPr>
          <w:rStyle w:val="Satznummer"/>
        </w:rPr>
        <w:t>2</w:t>
      </w:r>
      <w:r>
        <w:t xml:space="preserve">§ 62 Abs. 2 des Gesetzes über Ordnungswidrigkeiten gilt entsprechend; für die Kostenentscheidung der Staatsanwaltschaft gelten auch § 50 Abs. 2 und § 52 des Gesetzes über Ordnungswidrigkeiten entsprechend. </w:t>
      </w:r>
      <w:r>
        <w:rPr>
          <w:rStyle w:val="Satznummer"/>
        </w:rPr>
        <w:t>3</w:t>
      </w:r>
      <w:r>
        <w:t>Die Kostenentscheidung des Gerichts ist nicht anfechtbar.</w:t>
      </w:r>
    </w:p>
    <w:p>
      <w:pPr>
        <w:pStyle w:val="Heading2"/>
      </w:pPr>
      <w:bookmarkStart w:id="66" w:name="b65"/>
      <w:r>
        <w:t>§ 26 Zuständige Verwaltungsbehörde; Verjährung</w:t>
      </w:r>
      <w:r>
        <w:t xml:space="preserve"> </w:t>
      </w:r>
      <w:r>
        <w:rPr>
          <w:rStyle w:val="Suchmarke"/>
        </w:rPr>
        <w:t>#26#</w:t>
      </w:r>
      <w:bookmarkEnd w:id="66"/>
    </w:p>
    <w:p>
      <w:r>
        <w:t xml:space="preserve">(1) </w:t>
      </w:r>
      <w:r>
        <w:rPr>
          <w:rStyle w:val="Satznummer"/>
        </w:rPr>
        <w:t>1</w:t>
      </w:r>
      <w:r>
        <w:t xml:space="preserve">Verwaltungsbehörde im Sinne des § 36 Absatz 1 Nummer 1 des Gesetzes über Ordnungswidrigkeiten ist in den Fällen des </w:t>
      </w:r>
      <w:hyperlink w:anchor="b58" w:history="1">
        <w:r>
          <w:rPr>
            <w:color w:val="0A3A8C"/>
            <w:u w:val="single"/>
          </w:rPr>
          <w:t xml:space="preserve">§ 23</w:t>
        </w:r>
      </w:hyperlink>
      <w:r>
        <w:t xml:space="preserve"> Absatz 1, </w:t>
      </w:r>
      <w:hyperlink w:anchor="b59" w:history="1">
        <w:r>
          <w:rPr>
            <w:color w:val="0A3A8C"/>
            <w:u w:val="single"/>
          </w:rPr>
          <w:t xml:space="preserve">§ 24</w:t>
        </w:r>
      </w:hyperlink>
      <w:r>
        <w:t xml:space="preserve"> Absatz 1, </w:t>
      </w:r>
      <w:hyperlink w:anchor="b60" w:history="1">
        <w:r>
          <w:rPr>
            <w:color w:val="0A3A8C"/>
            <w:u w:val="single"/>
          </w:rPr>
          <w:t xml:space="preserve">§ 24a</w:t>
        </w:r>
      </w:hyperlink>
      <w:r>
        <w:t xml:space="preserve"> Absatz 1 bis 2a und </w:t>
      </w:r>
      <w:hyperlink w:anchor="b62" w:history="1">
        <w:r>
          <w:rPr>
            <w:color w:val="0A3A8C"/>
            <w:u w:val="single"/>
          </w:rPr>
          <w:t xml:space="preserve">§ 24c</w:t>
        </w:r>
      </w:hyperlink>
      <w:r>
        <w:t xml:space="preserve"> Absatz 1 die Behörde oder Dienststelle der Polizei, die von der Landesregierung durch Rechtsverordnung näher bestimmt wird. </w:t>
      </w:r>
      <w:r>
        <w:rPr>
          <w:rStyle w:val="Satznummer"/>
        </w:rPr>
        <w:t>2</w:t>
      </w:r>
      <w:r>
        <w:t>Die Landesregierung kann die Ermächtigung auf die zuständige oberste Landesbehörde übertragen.</w:t>
      </w:r>
    </w:p>
    <w:p>
      <w:r>
        <w:t>(2) Verwaltungsbehörde im Sinne des § 36 Absatz 1 Nummer 1 des Gesetzes über Ordnungswidrigkeiten ist das Kraftfahrt-Bundesamt</w:t>
      </w:r>
    </w:p>
    <w:p>
      <w:pPr>
        <w:tabs>
          <w:tab w:pos="567" w:val="left"/>
        </w:tabs>
        <w:ind w:left="567" w:hanging="567"/>
      </w:pPr>
      <w:r>
        <w:t>1.</w:t>
      </w:r>
      <w:r>
        <w:tab/>
      </w:r>
      <w:r>
        <w:t xml:space="preserve">abweichend von Absatz 1 bei Ordnungswidrigkeiten nach </w:t>
      </w:r>
      <w:hyperlink w:anchor="b59" w:history="1">
        <w:r>
          <w:rPr>
            <w:color w:val="0A3A8C"/>
            <w:u w:val="single"/>
          </w:rPr>
          <w:t xml:space="preserve">§ 24</w:t>
        </w:r>
      </w:hyperlink>
      <w:r>
        <w:t xml:space="preserve"> Absatz 1, soweit es für den Vollzug der bewehrten Vorschriften zuständig ist, oder</w:t>
      </w:r>
    </w:p>
    <w:p>
      <w:pPr>
        <w:tabs>
          <w:tab w:pos="567" w:val="left"/>
        </w:tabs>
        <w:ind w:left="567" w:hanging="567"/>
      </w:pPr>
      <w:r>
        <w:t>2.</w:t>
      </w:r>
      <w:r>
        <w:tab/>
      </w:r>
      <w:r>
        <w:t xml:space="preserve">bei Ordnungswidrigkeiten nach </w:t>
      </w:r>
      <w:hyperlink w:anchor="b59" w:history="1">
        <w:r>
          <w:rPr>
            <w:color w:val="0A3A8C"/>
            <w:u w:val="single"/>
          </w:rPr>
          <w:t xml:space="preserve">§ 24</w:t>
        </w:r>
      </w:hyperlink>
      <w:r>
        <w:t xml:space="preserve"> Absatz 2 Satz 1.</w:t>
      </w:r>
    </w:p>
    <w:p>
      <w:r>
        <w:t xml:space="preserve">(3) </w:t>
      </w:r>
      <w:r>
        <w:rPr>
          <w:rStyle w:val="Satznummer"/>
        </w:rPr>
        <w:t>1</w:t>
      </w:r>
      <w:r>
        <w:t xml:space="preserve">Die Frist der Verfolgungsverjährung beträgt bei Ordnungswidrigkeiten nach </w:t>
      </w:r>
      <w:hyperlink w:anchor="b59" w:history="1">
        <w:r>
          <w:rPr>
            <w:color w:val="0A3A8C"/>
            <w:u w:val="single"/>
          </w:rPr>
          <w:t xml:space="preserve">§ 24</w:t>
        </w:r>
      </w:hyperlink>
      <w:r>
        <w:t xml:space="preserve"> Absatz 1 sechs Monate. </w:t>
      </w:r>
      <w:r>
        <w:rPr>
          <w:rStyle w:val="Satznummer"/>
        </w:rPr>
        <w:t>2</w:t>
      </w:r>
      <w:r>
        <w:t xml:space="preserve">Abweichend von Satz 1 beträgt die Frist der Verfolgungsverjährung bei Ordnungswidrigkeiten nach </w:t>
      </w:r>
      <w:hyperlink w:anchor="b59" w:history="1">
        <w:r>
          <w:rPr>
            <w:color w:val="0A3A8C"/>
            <w:u w:val="single"/>
          </w:rPr>
          <w:t xml:space="preserve">§ 24</w:t>
        </w:r>
      </w:hyperlink>
      <w:r>
        <w:t xml:space="preserve"> Absatz 1 in Verbindung mit </w:t>
      </w:r>
      <w:hyperlink w:anchor="b26" w:history="1">
        <w:r>
          <w:rPr>
            <w:color w:val="0A3A8C"/>
            <w:u w:val="single"/>
          </w:rPr>
          <w:t xml:space="preserve">§ 6</w:t>
        </w:r>
      </w:hyperlink>
      <w:r>
        <w:t xml:space="preserve"> Absatz 1 Satz 1 Nummer 5 oder 10 zwei Jahre, soweit diese Ordnungswidrigkeiten Zuwiderhandlungen gegen Vorschriften mit Anforderungen an Fahrzeuge oder Fahrzeugteile betreffen, die der Genehmigung ihrer Bauart bedürfen. </w:t>
      </w:r>
      <w:r>
        <w:rPr>
          <w:rStyle w:val="Satznummer"/>
        </w:rPr>
        <w:t>3</w:t>
      </w:r>
      <w:r>
        <w:t>Die Frist der Verfolgungsverjährung beträgt bei Ordnungswidrigkeiten nach § 24 Absatz 2 Satz 1 Nummer 1 Buchstabe c und d und Nummer 2 Buchstabe c und d fünf Jahre.</w:t>
      </w:r>
    </w:p>
    <w:p>
      <w:pPr>
        <w:pStyle w:val="Heading2"/>
      </w:pPr>
      <w:bookmarkStart w:id="67" w:name="b66"/>
      <w:r>
        <w:t>§ 26a Bußgeldkatalog</w:t>
      </w:r>
      <w:r>
        <w:t xml:space="preserve"> </w:t>
      </w:r>
      <w:r>
        <w:rPr>
          <w:rStyle w:val="Suchmarke"/>
        </w:rPr>
        <w:t>#26a#</w:t>
      </w:r>
      <w:bookmarkEnd w:id="67"/>
    </w:p>
    <w:p>
      <w:r>
        <w:t>(1) Das Bundesministerium für Verkehr wird ermächtigt, durch Rechtsverordnung mit Zustimmung des Bundesrates Vorschriften zu erlassen über</w:t>
      </w:r>
    </w:p>
    <w:p>
      <w:pPr>
        <w:tabs>
          <w:tab w:pos="567" w:val="left"/>
        </w:tabs>
        <w:ind w:left="567" w:hanging="567"/>
      </w:pPr>
      <w:r>
        <w:t>1.</w:t>
      </w:r>
      <w:r>
        <w:tab/>
      </w:r>
      <w:r>
        <w:t xml:space="preserve">die Erteilung einer Verwarnung (§ 56 des Gesetzes über Ordnungswidrigkeiten) wegen einer Ordnungswidrigkeit nach </w:t>
      </w:r>
      <w:hyperlink w:anchor="b59" w:history="1">
        <w:r>
          <w:rPr>
            <w:color w:val="0A3A8C"/>
            <w:u w:val="single"/>
          </w:rPr>
          <w:t xml:space="preserve">§ 24</w:t>
        </w:r>
      </w:hyperlink>
      <w:r>
        <w:t xml:space="preserve"> Absatz 1,</w:t>
      </w:r>
    </w:p>
    <w:p>
      <w:pPr>
        <w:tabs>
          <w:tab w:pos="567" w:val="left"/>
        </w:tabs>
        <w:ind w:left="567" w:hanging="567"/>
      </w:pPr>
      <w:r>
        <w:t>2.</w:t>
      </w:r>
      <w:r>
        <w:tab/>
      </w:r>
      <w:r>
        <w:t xml:space="preserve">Regelsätze für Geldbußen wegen einer Ordnungswidrigkeit nach den </w:t>
      </w:r>
      <w:hyperlink w:anchor="b59" w:history="1">
        <w:r>
          <w:rPr>
            <w:color w:val="0A3A8C"/>
            <w:u w:val="single"/>
          </w:rPr>
          <w:t xml:space="preserve">§ 24</w:t>
        </w:r>
      </w:hyperlink>
      <w:r>
        <w:t xml:space="preserve"> Absatz 1, </w:t>
      </w:r>
      <w:hyperlink w:anchor="b60" w:history="1">
        <w:r>
          <w:rPr>
            <w:color w:val="0A3A8C"/>
            <w:u w:val="single"/>
          </w:rPr>
          <w:t xml:space="preserve">§ 24a</w:t>
        </w:r>
      </w:hyperlink>
      <w:r>
        <w:t xml:space="preserve"> Absatz 1 bis 2a und </w:t>
      </w:r>
      <w:hyperlink w:anchor="b62" w:history="1">
        <w:r>
          <w:rPr>
            <w:color w:val="0A3A8C"/>
            <w:u w:val="single"/>
          </w:rPr>
          <w:t xml:space="preserve">§ 24c</w:t>
        </w:r>
      </w:hyperlink>
      <w:r>
        <w:t xml:space="preserve"> Absatz 1,</w:t>
      </w:r>
    </w:p>
    <w:p>
      <w:pPr>
        <w:tabs>
          <w:tab w:pos="567" w:val="left"/>
        </w:tabs>
        <w:ind w:left="567" w:hanging="567"/>
      </w:pPr>
      <w:r>
        <w:t>3.</w:t>
      </w:r>
      <w:r>
        <w:tab/>
      </w:r>
      <w:r>
        <w:t xml:space="preserve">die Anordnung des Fahrverbots nach </w:t>
      </w:r>
      <w:hyperlink w:anchor="b63" w:history="1">
        <w:r>
          <w:rPr>
            <w:color w:val="0A3A8C"/>
            <w:u w:val="single"/>
          </w:rPr>
          <w:t xml:space="preserve">§ 25</w:t>
        </w:r>
      </w:hyperlink>
      <w:r>
        <w:t>.</w:t>
      </w:r>
    </w:p>
    <w:p>
      <w:r>
        <w:t>(2) Die Vorschriften nach Absatz 1 bestimmen unter Berücksichtigung der Bedeutung der Ordnungswidrigkeit, in welchen Fällen, unter welchen Voraussetzungen und in welcher Höhe das Verwarnungsgeld erhoben, die Geldbuße festgesetzt und für welche Dauer das Fahrverbot angeordnet werden soll.</w:t>
      </w:r>
    </w:p>
    <w:p>
      <w:pPr>
        <w:pStyle w:val="Heading2"/>
      </w:pPr>
      <w:bookmarkStart w:id="68" w:name="b67"/>
      <w:r>
        <w:t>§ 27 Informationsschreiben</w:t>
      </w:r>
      <w:r>
        <w:t xml:space="preserve"> </w:t>
      </w:r>
      <w:r>
        <w:rPr>
          <w:rStyle w:val="Suchmarke"/>
        </w:rPr>
        <w:t>#27#</w:t>
      </w:r>
      <w:bookmarkEnd w:id="68"/>
    </w:p>
    <w:p>
      <w:r>
        <w:t xml:space="preserve">(1) </w:t>
      </w:r>
      <w:r>
        <w:rPr>
          <w:rStyle w:val="Satznummer"/>
        </w:rPr>
        <w:t>1</w:t>
      </w:r>
      <w:r>
        <w:t xml:space="preserve">Hat die Verwaltungsbehörde in einem Bußgeldverfahren den Halter oder Eigentümer eines Kraftfahrzeugs auf Grund einer Abfrage im Sinne des Artikels 4 der Richtlinie (EU) 2015/413 des Europäischen Parlaments und des Rates vom 11. März 2015 zur Erleichterung des grenzüberschreitenden Austauschs von Informationen über die Straßenverkehrssicherheit gefährdende Verkehrsdelikte (ABl. L 68 vom 13.3.2015, S. 9) ermittelt, übersendet sie der ermittelten Person ein Informationsschreiben. </w:t>
      </w:r>
      <w:r>
        <w:rPr>
          <w:rStyle w:val="Satznummer"/>
        </w:rPr>
        <w:t>2</w:t>
      </w:r>
      <w:r>
        <w:t xml:space="preserve">In diesem Schreiben werden die Art des Verstoßes, Zeit und Ort seiner Begehung, das gegebenenfalls verwendete Überwachungsgerät, die anwendbaren Bußgeldvorschriften sowie die für einen solchen Verstoß vorgesehene Sanktion angegeben. </w:t>
      </w:r>
      <w:r>
        <w:rPr>
          <w:rStyle w:val="Satznummer"/>
        </w:rPr>
        <w:t>3</w:t>
      </w:r>
      <w:r>
        <w:t>Das Informationsschreiben ist in der Sprache des Zulassungsdokuments des Kraftfahrzeugs oder in einer der Amtssprachen des Mitgliedstaates zu übermitteln, in dem das Kraftfahrzeug zugelassen ist.</w:t>
      </w:r>
    </w:p>
    <w:p>
      <w:r>
        <w:t>(2) Absatz 1 gilt nicht, wenn die ermittelte Person ihren ordentlichen Wohnsitz im Inland hat.</w:t>
      </w:r>
    </w:p>
    <w:p>
      <w:pPr>
        <w:pStyle w:val="Heading1"/>
      </w:pPr>
      <w:bookmarkStart w:id="69" w:name="b68"/>
      <w:r>
        <w:t>IV. Fahreignungsregister</w:t>
      </w:r>
      <w:bookmarkEnd w:id="69"/>
    </w:p>
    <w:p>
      <w:pPr>
        <w:pStyle w:val="Heading2"/>
      </w:pPr>
      <w:bookmarkStart w:id="70" w:name="b69"/>
      <w:r>
        <w:t>§ 28 Führung und Inhalt des Fahreignungsregisters</w:t>
      </w:r>
      <w:r>
        <w:t xml:space="preserve"> </w:t>
      </w:r>
      <w:r>
        <w:rPr>
          <w:rStyle w:val="Suchmarke"/>
        </w:rPr>
        <w:t>#28#</w:t>
      </w:r>
      <w:bookmarkEnd w:id="70"/>
    </w:p>
    <w:p>
      <w:r>
        <w:t>(1) Das Kraftfahrt-Bundesamt führt das Fahreignungsregister nach den Vorschriften dieses Abschnitts.</w:t>
      </w:r>
    </w:p>
    <w:p>
      <w:r>
        <w:t>(2) Das Fahreignungsregister wird geführt zur Speicherung von Daten, die erforderlich sind</w:t>
      </w:r>
    </w:p>
    <w:p>
      <w:pPr>
        <w:tabs>
          <w:tab w:pos="567" w:val="left"/>
        </w:tabs>
        <w:ind w:left="567" w:hanging="567"/>
      </w:pPr>
      <w:r>
        <w:t>1.</w:t>
      </w:r>
      <w:r>
        <w:tab/>
      </w:r>
      <w:r>
        <w:t xml:space="preserve">für die Beurteilung der Eignung und der Befähigung von Personen zum Führen von Kraftfahrzeugen oder zum Begleiten eines Kraftfahrzeugführers entsprechend einer nach </w:t>
      </w:r>
      <w:hyperlink w:anchor="b31" w:history="1">
        <w:r>
          <w:rPr>
            <w:color w:val="0A3A8C"/>
            <w:u w:val="single"/>
          </w:rPr>
          <w:t xml:space="preserve">§ 6e</w:t>
        </w:r>
      </w:hyperlink>
      <w:r>
        <w:t xml:space="preserve"> Abs. 1 erlassenen Rechtsverordnung,</w:t>
      </w:r>
    </w:p>
    <w:p>
      <w:pPr>
        <w:tabs>
          <w:tab w:pos="567" w:val="left"/>
        </w:tabs>
        <w:ind w:left="567" w:hanging="567"/>
      </w:pPr>
      <w:r>
        <w:t>2.</w:t>
      </w:r>
      <w:r>
        <w:tab/>
      </w:r>
      <w:r>
        <w:t>für die Prüfung der Berechtigung zum Führen von Fahrzeugen,</w:t>
      </w:r>
    </w:p>
    <w:p>
      <w:pPr>
        <w:tabs>
          <w:tab w:pos="567" w:val="left"/>
        </w:tabs>
        <w:ind w:left="567" w:hanging="567"/>
      </w:pPr>
      <w:r>
        <w:t>3.</w:t>
      </w:r>
      <w:r>
        <w:tab/>
      </w:r>
      <w:r>
        <w:t>für die Ahndung der Verstöße von Personen, die wiederholt Straftaten oder Ordnungswidrigkeiten, die im Zusammenhang mit dem Straßenverkehr stehen, begehen oder</w:t>
      </w:r>
    </w:p>
    <w:p>
      <w:pPr>
        <w:tabs>
          <w:tab w:pos="567" w:val="left"/>
        </w:tabs>
        <w:ind w:left="567" w:hanging="567"/>
      </w:pPr>
      <w:r>
        <w:t>4.</w:t>
      </w:r>
      <w:r>
        <w:tab/>
      </w:r>
      <w:r>
        <w:t>für die Beurteilung von Personen im Hinblick auf ihre Zuverlässigkeit bei der Wahrnehmung der ihnen durch Gesetz, Satzung oder Vertrag übertragenen Verantwortung für die Einhaltung der zur Sicherheit im Straßenverkehr bestehenden Vorschriften.</w:t>
      </w:r>
    </w:p>
    <w:p>
      <w:r>
        <w:t>(3) Im Fahreignungsregister werden Daten gespeichert über</w:t>
      </w:r>
    </w:p>
    <w:p>
      <w:pPr>
        <w:tabs>
          <w:tab w:pos="567" w:val="left"/>
        </w:tabs>
        <w:ind w:left="567" w:hanging="567"/>
      </w:pPr>
      <w:r>
        <w:t>1.</w:t>
      </w:r>
      <w:r>
        <w:tab/>
      </w:r>
      <w:r>
        <w:t xml:space="preserve">rechtskräftige Entscheidungen der Strafgerichte wegen einer Straftat, die in der Rechtsverordnung nach </w:t>
      </w:r>
      <w:hyperlink w:anchor="b26" w:history="1">
        <w:r>
          <w:rPr>
            <w:color w:val="0A3A8C"/>
            <w:u w:val="single"/>
          </w:rPr>
          <w:t xml:space="preserve">§ 6</w:t>
        </w:r>
      </w:hyperlink>
      <w:r>
        <w:t xml:space="preserve"> Absatz 1 Satz 1 Nummer 4 bezeichnet ist, soweit sie auf Strafe, Verwarnung mit Strafvorbehalt erkennen oder einen Schuldspruch enthalten,</w:t>
      </w:r>
    </w:p>
    <w:p>
      <w:pPr>
        <w:tabs>
          <w:tab w:pos="567" w:val="left"/>
        </w:tabs>
        <w:ind w:left="567" w:hanging="567"/>
      </w:pPr>
      <w:r>
        <w:t>2.</w:t>
      </w:r>
      <w:r>
        <w:tab/>
      </w:r>
      <w:r>
        <w:t>rechtskräftige Entscheidungen der Strafgerichte, die die Entziehung der Fahrerlaubnis, eine isolierte Sperre oder ein Fahrverbot anordnen, sofern sie nicht von Nummer 1 erfasst sind, sowie Entscheidungen der Strafgerichte, die die vorläufige Entziehung der Fahrerlaubnis anordnen,</w:t>
      </w:r>
    </w:p>
    <w:p>
      <w:pPr>
        <w:tabs>
          <w:tab w:pos="567" w:val="left"/>
        </w:tabs>
        <w:ind w:left="567" w:hanging="567"/>
      </w:pPr>
      <w:r>
        <w:t>3.</w:t>
      </w:r>
      <w:r>
        <w:tab/>
      </w:r>
      <w:r>
        <w:t>rechtskräftige Entscheidungen wegen einer Ordnungswidrigkeit</w:t>
      </w:r>
    </w:p>
    <w:p>
      <w:pPr>
        <w:tabs>
          <w:tab w:pos="1134" w:val="left"/>
        </w:tabs>
        <w:ind w:left="1134" w:hanging="567"/>
      </w:pPr>
      <w:r>
        <w:t>a)</w:t>
      </w:r>
      <w:r>
        <w:tab/>
      </w:r>
      <w:r>
        <w:t xml:space="preserve">nach den </w:t>
      </w:r>
      <w:hyperlink w:anchor="b59" w:history="1">
        <w:r>
          <w:rPr>
            <w:color w:val="0A3A8C"/>
            <w:u w:val="single"/>
          </w:rPr>
          <w:t xml:space="preserve">§ 24</w:t>
        </w:r>
      </w:hyperlink>
      <w:r>
        <w:t xml:space="preserve"> Absatz 1, </w:t>
      </w:r>
      <w:hyperlink w:anchor="b60" w:history="1">
        <w:r>
          <w:rPr>
            <w:color w:val="0A3A8C"/>
            <w:u w:val="single"/>
          </w:rPr>
          <w:t xml:space="preserve">§ 24a</w:t>
        </w:r>
      </w:hyperlink>
      <w:r>
        <w:t xml:space="preserve"> oder </w:t>
      </w:r>
      <w:hyperlink w:anchor="b62" w:history="1">
        <w:r>
          <w:rPr>
            <w:color w:val="0A3A8C"/>
            <w:u w:val="single"/>
          </w:rPr>
          <w:t xml:space="preserve">§ 24c</w:t>
        </w:r>
      </w:hyperlink>
      <w:r>
        <w:t xml:space="preserve">, soweit sie in der Rechtsverordnung nach </w:t>
      </w:r>
      <w:hyperlink w:anchor="b26" w:history="1">
        <w:r>
          <w:rPr>
            <w:color w:val="0A3A8C"/>
            <w:u w:val="single"/>
          </w:rPr>
          <w:t xml:space="preserve">§ 6</w:t>
        </w:r>
      </w:hyperlink>
      <w:r>
        <w:t xml:space="preserve"> Absatz 1 Satz 1 Nummer 4 bezeichnet ist und gegen die betroffene Person</w:t>
      </w:r>
    </w:p>
    <w:p>
      <w:pPr>
        <w:tabs>
          <w:tab w:pos="1701" w:val="left"/>
        </w:tabs>
        <w:ind w:left="1701" w:hanging="567"/>
      </w:pPr>
      <w:r>
        <w:t>aa)</w:t>
      </w:r>
      <w:r>
        <w:tab/>
      </w:r>
      <w:r>
        <w:t xml:space="preserve">ein Fahrverbot nach </w:t>
      </w:r>
      <w:hyperlink w:anchor="b63" w:history="1">
        <w:r>
          <w:rPr>
            <w:color w:val="0A3A8C"/>
            <w:u w:val="single"/>
          </w:rPr>
          <w:t xml:space="preserve">§ 25</w:t>
        </w:r>
      </w:hyperlink>
      <w:r>
        <w:t xml:space="preserve"> angeordnet worden ist oder</w:t>
      </w:r>
    </w:p>
    <w:p>
      <w:pPr>
        <w:tabs>
          <w:tab w:pos="1701" w:val="left"/>
        </w:tabs>
        <w:ind w:left="1701" w:hanging="567"/>
      </w:pPr>
      <w:r>
        <w:t>bb)</w:t>
      </w:r>
      <w:r>
        <w:tab/>
      </w:r>
      <w:r>
        <w:t xml:space="preserve">eine Geldbuße von mindestens sechzig Euro festgesetzt worden ist und </w:t>
      </w:r>
      <w:hyperlink w:anchor="b70" w:history="1">
        <w:r>
          <w:rPr>
            <w:color w:val="0A3A8C"/>
            <w:u w:val="single"/>
          </w:rPr>
          <w:t xml:space="preserve">§ 28a</w:t>
        </w:r>
      </w:hyperlink>
      <w:r>
        <w:t xml:space="preserve"> nichts anderes bestimmt,</w:t>
      </w:r>
    </w:p>
    <w:p>
      <w:pPr>
        <w:tabs>
          <w:tab w:pos="1134" w:val="left"/>
        </w:tabs>
        <w:ind w:left="1134" w:hanging="567"/>
      </w:pPr>
      <w:r>
        <w:t>b)</w:t>
      </w:r>
      <w:r>
        <w:tab/>
      </w:r>
      <w:r>
        <w:t xml:space="preserve">nach den </w:t>
      </w:r>
      <w:hyperlink w:anchor="b59" w:history="1">
        <w:r>
          <w:rPr>
            <w:color w:val="0A3A8C"/>
            <w:u w:val="single"/>
          </w:rPr>
          <w:t xml:space="preserve">§ 24</w:t>
        </w:r>
      </w:hyperlink>
      <w:r>
        <w:t xml:space="preserve"> Absatz 1, </w:t>
      </w:r>
      <w:hyperlink w:anchor="b60" w:history="1">
        <w:r>
          <w:rPr>
            <w:color w:val="0A3A8C"/>
            <w:u w:val="single"/>
          </w:rPr>
          <w:t xml:space="preserve">§ 24a</w:t>
        </w:r>
      </w:hyperlink>
      <w:r>
        <w:t xml:space="preserve"> oder </w:t>
      </w:r>
      <w:hyperlink w:anchor="b62" w:history="1">
        <w:r>
          <w:rPr>
            <w:color w:val="0A3A8C"/>
            <w:u w:val="single"/>
          </w:rPr>
          <w:t xml:space="preserve">§ 24c</w:t>
        </w:r>
      </w:hyperlink>
      <w:r>
        <w:t>, soweit kein Fall des Buchstaben a vorliegt und ein Fahrverbot angeordnet worden ist,</w:t>
      </w:r>
    </w:p>
    <w:p>
      <w:pPr>
        <w:tabs>
          <w:tab w:pos="1134" w:val="left"/>
        </w:tabs>
        <w:ind w:left="1134" w:hanging="567"/>
      </w:pPr>
      <w:r>
        <w:t>c)</w:t>
      </w:r>
      <w:r>
        <w:tab/>
      </w:r>
      <w:r>
        <w:t xml:space="preserve">nach § 10 des Gefahrgutbeförderungsgesetzes, soweit sie in der Rechtsverordnung nach </w:t>
      </w:r>
      <w:hyperlink w:anchor="b26" w:history="1">
        <w:r>
          <w:rPr>
            <w:color w:val="0A3A8C"/>
            <w:u w:val="single"/>
          </w:rPr>
          <w:t xml:space="preserve">§ 6</w:t>
        </w:r>
      </w:hyperlink>
      <w:r>
        <w:t xml:space="preserve"> Absatz 1 Satz 1 Nummer 4 bezeichnet ist,</w:t>
      </w:r>
    </w:p>
    <w:p>
      <w:pPr>
        <w:tabs>
          <w:tab w:pos="567" w:val="left"/>
        </w:tabs>
        <w:ind w:left="567" w:hanging="567"/>
      </w:pPr>
      <w:r>
        <w:t>4.</w:t>
      </w:r>
      <w:r>
        <w:tab/>
      </w:r>
      <w:r>
        <w:t>unanfechtbare oder sofort vollziehbare Verbote oder Beschränkungen, ein fahrerlaubnisfreies Fahrzeug zu führen,</w:t>
      </w:r>
    </w:p>
    <w:p>
      <w:pPr>
        <w:tabs>
          <w:tab w:pos="567" w:val="left"/>
        </w:tabs>
        <w:ind w:left="567" w:hanging="567"/>
      </w:pPr>
      <w:r>
        <w:t>5.</w:t>
      </w:r>
      <w:r>
        <w:tab/>
      </w:r>
      <w:r>
        <w:t>unanfechtbare Versagungen einer Fahrerlaubnis,</w:t>
      </w:r>
    </w:p>
    <w:p>
      <w:pPr>
        <w:tabs>
          <w:tab w:pos="567" w:val="left"/>
        </w:tabs>
        <w:ind w:left="567" w:hanging="567"/>
      </w:pPr>
      <w:r>
        <w:t>6.</w:t>
      </w:r>
      <w:r>
        <w:tab/>
      </w:r>
      <w:r>
        <w:t>unanfechtbare oder sofort vollziehbare</w:t>
      </w:r>
    </w:p>
    <w:p>
      <w:pPr>
        <w:tabs>
          <w:tab w:pos="1134" w:val="left"/>
        </w:tabs>
        <w:ind w:left="1134" w:hanging="567"/>
      </w:pPr>
      <w:r>
        <w:t>a)</w:t>
      </w:r>
      <w:r>
        <w:tab/>
      </w:r>
      <w:r>
        <w:t>Entziehungen, Widerrufe oder Rücknahmen einer Fahrerlaubnis,</w:t>
      </w:r>
    </w:p>
    <w:p>
      <w:pPr>
        <w:tabs>
          <w:tab w:pos="1134" w:val="left"/>
        </w:tabs>
        <w:ind w:left="1134" w:hanging="567"/>
      </w:pPr>
      <w:r>
        <w:t>b)</w:t>
      </w:r>
      <w:r>
        <w:tab/>
      </w:r>
      <w:r>
        <w:t>Feststellungen über die fehlende Berechtigung, von einer ausländischen Fahrerlaubnis im Inland Gebrauch zu machen,</w:t>
      </w:r>
    </w:p>
    <w:p>
      <w:pPr>
        <w:tabs>
          <w:tab w:pos="567" w:val="left"/>
        </w:tabs>
        <w:ind w:left="567" w:hanging="567"/>
      </w:pPr>
      <w:r>
        <w:t>7.</w:t>
      </w:r>
      <w:r>
        <w:tab/>
      </w:r>
      <w:r>
        <w:t>Verzichte auf die Fahrerlaubnis,</w:t>
      </w:r>
    </w:p>
    <w:p>
      <w:pPr>
        <w:tabs>
          <w:tab w:pos="567" w:val="left"/>
        </w:tabs>
        <w:ind w:left="567" w:hanging="567"/>
      </w:pPr>
      <w:r>
        <w:t>8.</w:t>
      </w:r>
      <w:r>
        <w:tab/>
      </w:r>
      <w:r>
        <w:t>unanfechtbare Ablehnungen eines Antrags auf Verlängerung der Geltungsdauer einer Fahrerlaubnis,</w:t>
      </w:r>
    </w:p>
    <w:p>
      <w:pPr>
        <w:tabs>
          <w:tab w:pos="567" w:val="left"/>
        </w:tabs>
        <w:ind w:left="567" w:hanging="567"/>
      </w:pPr>
      <w:r>
        <w:t>9.</w:t>
      </w:r>
      <w:r>
        <w:tab/>
      </w:r>
      <w:r>
        <w:t>die Beschlagnahme, Sicherstellung oder Verwahrung von Führerscheinen nach § 94 der Strafprozessordnung,</w:t>
      </w:r>
    </w:p>
    <w:p>
      <w:pPr>
        <w:tabs>
          <w:tab w:pos="567" w:val="left"/>
        </w:tabs>
        <w:ind w:left="567" w:hanging="567"/>
      </w:pPr>
      <w:r>
        <w:t>10.</w:t>
      </w:r>
      <w:r>
        <w:tab/>
      </w:r>
      <w:r>
        <w:t>(weggefallen)</w:t>
      </w:r>
    </w:p>
    <w:p>
      <w:pPr>
        <w:tabs>
          <w:tab w:pos="567" w:val="left"/>
        </w:tabs>
        <w:ind w:left="567" w:hanging="567"/>
      </w:pPr>
      <w:r>
        <w:t>11.</w:t>
      </w:r>
      <w:r>
        <w:tab/>
      </w:r>
      <w:r>
        <w:t xml:space="preserve">Maßnahmen der Fahrerlaubnisbehörde nach </w:t>
      </w:r>
      <w:hyperlink w:anchor="b15" w:history="1">
        <w:r>
          <w:rPr>
            <w:color w:val="0A3A8C"/>
            <w:u w:val="single"/>
          </w:rPr>
          <w:t xml:space="preserve">§ 2a</w:t>
        </w:r>
      </w:hyperlink>
      <w:r>
        <w:t xml:space="preserve"> Abs. 2 Satz 1 Nr. 1 und 2 und </w:t>
      </w:r>
      <w:hyperlink w:anchor="b19" w:history="1">
        <w:r>
          <w:rPr>
            <w:color w:val="0A3A8C"/>
            <w:u w:val="single"/>
          </w:rPr>
          <w:t xml:space="preserve">§ 4</w:t>
        </w:r>
      </w:hyperlink>
      <w:r>
        <w:t xml:space="preserve"> Absatz 5 Satz 1 Nr. 1 und 2,</w:t>
      </w:r>
    </w:p>
    <w:p>
      <w:pPr>
        <w:tabs>
          <w:tab w:pos="567" w:val="left"/>
        </w:tabs>
        <w:ind w:left="567" w:hanging="567"/>
      </w:pPr>
      <w:r>
        <w:t>12.</w:t>
      </w:r>
      <w:r>
        <w:tab/>
      </w:r>
      <w:r>
        <w:t>die Teilnahme an einem Aufbauseminar, an einem besonderen Aufbauseminar und an einer verkehrspsychologischen Beratung, soweit dies für die Anwendung der Regelungen der Fahrerlaubnis auf Probe (</w:t>
      </w:r>
      <w:hyperlink w:anchor="b15" w:history="1">
        <w:r>
          <w:rPr>
            <w:color w:val="0A3A8C"/>
            <w:u w:val="single"/>
          </w:rPr>
          <w:t xml:space="preserve">§ 2a</w:t>
        </w:r>
      </w:hyperlink>
      <w:r>
        <w:t>) erforderlich ist,</w:t>
      </w:r>
    </w:p>
    <w:p>
      <w:pPr>
        <w:tabs>
          <w:tab w:pos="567" w:val="left"/>
        </w:tabs>
        <w:ind w:left="567" w:hanging="567"/>
      </w:pPr>
      <w:r>
        <w:t>13.</w:t>
      </w:r>
      <w:r>
        <w:tab/>
      </w:r>
      <w:r>
        <w:t>die Teilnahme an einem Fahreignungsseminar, soweit dies für die Anwendung der Regelungen des Fahreignungs-Bewertungssystems (</w:t>
      </w:r>
      <w:hyperlink w:anchor="b19" w:history="1">
        <w:r>
          <w:rPr>
            <w:color w:val="0A3A8C"/>
            <w:u w:val="single"/>
          </w:rPr>
          <w:t xml:space="preserve">§ 4</w:t>
        </w:r>
      </w:hyperlink>
      <w:r>
        <w:t>) erforderlich ist,</w:t>
      </w:r>
    </w:p>
    <w:p>
      <w:pPr>
        <w:tabs>
          <w:tab w:pos="567" w:val="left"/>
        </w:tabs>
        <w:ind w:left="567" w:hanging="567"/>
      </w:pPr>
      <w:r>
        <w:t>14.</w:t>
      </w:r>
      <w:r>
        <w:tab/>
      </w:r>
      <w:r>
        <w:t>Entscheidungen oder Änderungen, die sich auf eine der in den Nummern 1 bis 13 genannten Eintragungen beziehen.</w:t>
      </w:r>
    </w:p>
    <w:p>
      <w:r>
        <w:t xml:space="preserve">(4) </w:t>
      </w:r>
      <w:r>
        <w:rPr>
          <w:rStyle w:val="Satznummer"/>
        </w:rPr>
        <w:t>1</w:t>
      </w:r>
      <w:r>
        <w:t xml:space="preserve">Die Gerichte, Staatsanwaltschaften und anderen Behörden teilen dem Kraftfahrt-Bundesamt unverzüglich die nach Absatz 3 zu speichernden oder zu einer Änderung oder Löschung einer Eintragung führenden Daten mit. </w:t>
      </w:r>
      <w:r>
        <w:rPr>
          <w:rStyle w:val="Satznummer"/>
        </w:rPr>
        <w:t>2</w:t>
      </w:r>
      <w:r>
        <w:t xml:space="preserve">Die Datenübermittlung nach Satz 1 kann auch im Wege der Datenfernübertragung durch Direkteinstellung unter Beachtung des </w:t>
      </w:r>
      <w:hyperlink w:anchor="b74" w:history="1">
        <w:r>
          <w:rPr>
            <w:color w:val="0A3A8C"/>
            <w:u w:val="single"/>
          </w:rPr>
          <w:t xml:space="preserve">§ 30a</w:t>
        </w:r>
      </w:hyperlink>
      <w:r>
        <w:t xml:space="preserve"> Absatz 2 bis 4 erfolgen.</w:t>
      </w:r>
    </w:p>
    <w:p>
      <w:r>
        <w:t xml:space="preserve">(5) </w:t>
      </w:r>
      <w:r>
        <w:rPr>
          <w:rStyle w:val="Satznummer"/>
        </w:rPr>
        <w:t>1</w:t>
      </w:r>
      <w:r>
        <w:t xml:space="preserve">Bei Zweifeln an der Identität einer eingetragenen Person mit der Person, auf die sich eine Mitteilung nach Absatz 4 bezieht, dürfen die Datenbestände des Zentralen Fahrerlaubnisregisters und des Zentralen Fahrzeugregisters zur Identifizierung dieser Personen verwendet werden. </w:t>
      </w:r>
      <w:r>
        <w:rPr>
          <w:rStyle w:val="Satznummer"/>
        </w:rPr>
        <w:t>2</w:t>
      </w:r>
      <w:r>
        <w:t xml:space="preserve">Ist die Feststellung der Identität der betreffenden Personen auf diese Weise nicht möglich, dürfen die auf Anfrage aus den Melderegistern übermittelten Daten zur Behebung der Zweifel verwendet werden. </w:t>
      </w:r>
      <w:r>
        <w:rPr>
          <w:rStyle w:val="Satznummer"/>
        </w:rPr>
        <w:t>3</w:t>
      </w:r>
      <w:r>
        <w:t xml:space="preserve">Die Zulässigkeit der Übermittlung durch die Meldebehörden richtet sich nach den Meldegesetzen der Länder. </w:t>
      </w:r>
      <w:r>
        <w:rPr>
          <w:rStyle w:val="Satznummer"/>
        </w:rPr>
        <w:t>4</w:t>
      </w:r>
      <w:r>
        <w:t>Können die Zweifel an der Identität der betreffenden Personen nicht ausgeräumt werden, werden die Eintragungen über beide Personen mit einem Hinweis auf die Zweifel an deren Identität versehen.</w:t>
      </w:r>
    </w:p>
    <w:p>
      <w:r>
        <w:t>(6) Die regelmäßige Verwendung der auf Grund des § 50 Abs. 1 im Zentralen Fahrerlaubnisregister gespeicherten Daten ist zulässig, um Fehler und Abweichungen bei den Personendaten sowie den Daten über Fahrerlaubnisse und Führerscheine der betreffenden Person im Fahreignungsregister festzustellen und zu beseitigen und um das Fahreignungsregister zu vervollständigen.</w:t>
      </w:r>
    </w:p>
    <w:p>
      <w:pPr>
        <w:pStyle w:val="Heading2"/>
      </w:pPr>
      <w:bookmarkStart w:id="71" w:name="b70"/>
      <w:r>
        <w:t>§ 28a Eintragung beim Abweichen vom Bußgeldkatalog</w:t>
      </w:r>
      <w:r>
        <w:t xml:space="preserve"> </w:t>
      </w:r>
      <w:r>
        <w:rPr>
          <w:rStyle w:val="Suchmarke"/>
        </w:rPr>
        <w:t>#28a#</w:t>
      </w:r>
      <w:bookmarkEnd w:id="71"/>
    </w:p>
    <w:p>
      <w:r>
        <w:rPr>
          <w:rStyle w:val="Satznummer"/>
        </w:rPr>
        <w:t>1</w:t>
      </w:r>
      <w:r>
        <w:t xml:space="preserve">Wird die Geldbuße wegen einer Ordnungswidrigkeit nach den </w:t>
      </w:r>
      <w:hyperlink w:anchor="b59" w:history="1">
        <w:r>
          <w:rPr>
            <w:color w:val="0A3A8C"/>
            <w:u w:val="single"/>
          </w:rPr>
          <w:t xml:space="preserve">§ 24</w:t>
        </w:r>
      </w:hyperlink>
      <w:r>
        <w:t xml:space="preserve"> Absatz 1, </w:t>
      </w:r>
      <w:hyperlink w:anchor="b60" w:history="1">
        <w:r>
          <w:rPr>
            <w:color w:val="0A3A8C"/>
            <w:u w:val="single"/>
          </w:rPr>
          <w:t xml:space="preserve">§ 24a</w:t>
        </w:r>
      </w:hyperlink>
      <w:r>
        <w:t xml:space="preserve"> und </w:t>
      </w:r>
      <w:hyperlink w:anchor="b62" w:history="1">
        <w:r>
          <w:rPr>
            <w:color w:val="0A3A8C"/>
            <w:u w:val="single"/>
          </w:rPr>
          <w:t xml:space="preserve">§ 24c</w:t>
        </w:r>
      </w:hyperlink>
      <w:r>
        <w:t xml:space="preserve"> lediglich mit Rücksicht auf die wirtschaftlichen Verhältnisse der betroffenen Person abweichend von dem Regelsatz der Geldbuße festgesetzt, der für die zugrunde liegende Ordnungswidrigkeit im Bußgeldkatalog (</w:t>
      </w:r>
      <w:hyperlink w:anchor="b66" w:history="1">
        <w:r>
          <w:rPr>
            <w:color w:val="0A3A8C"/>
            <w:u w:val="single"/>
          </w:rPr>
          <w:t xml:space="preserve">§ 26a</w:t>
        </w:r>
      </w:hyperlink>
      <w:r>
        <w:t>) vorgesehen ist, so ist in der Entscheidung dieser Paragraph bei den angewendeten Bußgeldvorschriften aufzuführen, wenn der Regelsatz der Geldbuße</w:t>
      </w:r>
    </w:p>
    <w:p>
      <w:pPr>
        <w:tabs>
          <w:tab w:pos="567" w:val="left"/>
        </w:tabs>
        <w:ind w:left="567" w:hanging="567"/>
      </w:pPr>
      <w:r>
        <w:t>1.</w:t>
      </w:r>
      <w:r>
        <w:tab/>
      </w:r>
      <w:r>
        <w:t>sechzig Euro oder mehr beträgt und eine geringere Geldbuße festgesetzt wird oder</w:t>
      </w:r>
    </w:p>
    <w:p>
      <w:pPr>
        <w:tabs>
          <w:tab w:pos="567" w:val="left"/>
        </w:tabs>
        <w:ind w:left="567" w:hanging="567"/>
      </w:pPr>
      <w:r>
        <w:t>2.</w:t>
      </w:r>
      <w:r>
        <w:tab/>
      </w:r>
      <w:r>
        <w:t>weniger als sechzig Euro beträgt und eine Geldbuße von sechzig Euro oder mehr festgesetzt wird.</w:t>
      </w:r>
    </w:p>
    <w:p>
      <w:r>
        <w:rPr>
          <w:rStyle w:val="Satznummer"/>
        </w:rPr>
        <w:t>2</w:t>
      </w:r>
      <w:r>
        <w:t>In diesen Fällen ist für die Eintragung in das Fahreignungsregister der im Bußgeldkatalog vorgesehene Regelsatz maßgebend.</w:t>
      </w:r>
    </w:p>
    <w:p>
      <w:pPr>
        <w:pStyle w:val="Heading2"/>
      </w:pPr>
      <w:bookmarkStart w:id="72" w:name="b71"/>
      <w:r>
        <w:t>§ 28b</w:t>
      </w:r>
      <w:r>
        <w:t xml:space="preserve"> </w:t>
      </w:r>
      <w:r>
        <w:rPr>
          <w:rStyle w:val="Suchmarke"/>
        </w:rPr>
        <w:t>#28b#</w:t>
      </w:r>
      <w:bookmarkEnd w:id="72"/>
    </w:p>
    <w:p>
      <w:r>
        <w:t>(weggefallen)</w:t>
      </w:r>
    </w:p>
    <w:p>
      <w:pPr>
        <w:pStyle w:val="Heading2"/>
      </w:pPr>
      <w:bookmarkStart w:id="73" w:name="b72"/>
      <w:r>
        <w:t>§ 29 Tilgung der Eintragungen</w:t>
      </w:r>
      <w:r>
        <w:t xml:space="preserve"> </w:t>
      </w:r>
      <w:r>
        <w:rPr>
          <w:rStyle w:val="Suchmarke"/>
        </w:rPr>
        <w:t>#29#</w:t>
      </w:r>
      <w:bookmarkEnd w:id="73"/>
    </w:p>
    <w:p>
      <w:r>
        <w:t xml:space="preserve">(1) </w:t>
      </w:r>
      <w:r>
        <w:rPr>
          <w:rStyle w:val="Satznummer"/>
        </w:rPr>
        <w:t>1</w:t>
      </w:r>
      <w:r>
        <w:t xml:space="preserve">Die im Register gespeicherten Eintragungen werden nach Ablauf der in Satz 2 bestimmten Fristen getilgt. </w:t>
      </w:r>
      <w:r>
        <w:rPr>
          <w:rStyle w:val="Satznummer"/>
        </w:rPr>
        <w:t>2</w:t>
      </w:r>
      <w:r>
        <w:t>Die Tilgungsfristen betragen</w:t>
      </w:r>
    </w:p>
    <w:p>
      <w:pPr>
        <w:tabs>
          <w:tab w:pos="567" w:val="left"/>
        </w:tabs>
        <w:ind w:left="567" w:hanging="567"/>
      </w:pPr>
      <w:r>
        <w:t>1.</w:t>
      </w:r>
      <w:r>
        <w:tab/>
      </w:r>
      <w:r>
        <w:t>zwei Jahre und sechs Monate</w:t>
      </w:r>
    </w:p>
    <w:p>
      <w:pPr>
        <w:ind w:left="567"/>
      </w:pPr>
      <w:r>
        <w:t>bei Entscheidungen über eine Ordnungswidrigkeit,</w:t>
      </w:r>
    </w:p>
    <w:p>
      <w:pPr>
        <w:tabs>
          <w:tab w:pos="1134" w:val="left"/>
        </w:tabs>
        <w:ind w:left="1134" w:hanging="567"/>
      </w:pPr>
      <w:r>
        <w:t>a)</w:t>
      </w:r>
      <w:r>
        <w:tab/>
      </w:r>
      <w:r>
        <w:t>die in der Rechtsverordnung nach § 6 Absatz 1 Satz 1 Nummer 4 Buchstabe b als verkehrssicherheitsbeeinträchtigende oder gleichgestellte Ordnungswidrigkeit mit einem Punkt bewertet ist oder</w:t>
      </w:r>
    </w:p>
    <w:p>
      <w:pPr>
        <w:tabs>
          <w:tab w:pos="1134" w:val="left"/>
        </w:tabs>
        <w:ind w:left="1134" w:hanging="567"/>
      </w:pPr>
      <w:r>
        <w:t>b)</w:t>
      </w:r>
      <w:r>
        <w:tab/>
      </w:r>
      <w:r>
        <w:t>soweit weder ein Fall des Buchstaben a noch der Nummer 2 Buchstabe b vorliegt und in der Entscheidung ein Fahrverbot angeordnet worden ist,</w:t>
      </w:r>
    </w:p>
    <w:p>
      <w:pPr>
        <w:tabs>
          <w:tab w:pos="567" w:val="left"/>
        </w:tabs>
        <w:ind w:left="567" w:hanging="567"/>
      </w:pPr>
      <w:r>
        <w:t>2.</w:t>
      </w:r>
      <w:r>
        <w:tab/>
      </w:r>
      <w:r>
        <w:t>fünf Jahre</w:t>
      </w:r>
    </w:p>
    <w:p>
      <w:pPr>
        <w:tabs>
          <w:tab w:pos="1134" w:val="left"/>
        </w:tabs>
        <w:ind w:left="1134" w:hanging="567"/>
      </w:pPr>
      <w:r>
        <w:t>a)</w:t>
      </w:r>
      <w:r>
        <w:tab/>
      </w:r>
      <w:r>
        <w:t>bei Entscheidungen über eine Straftat, vorbehaltlich der Nummer 3 Buchstabe a,</w:t>
      </w:r>
    </w:p>
    <w:p>
      <w:pPr>
        <w:tabs>
          <w:tab w:pos="1134" w:val="left"/>
        </w:tabs>
        <w:ind w:left="1134" w:hanging="567"/>
      </w:pPr>
      <w:r>
        <w:t>b)</w:t>
      </w:r>
      <w:r>
        <w:tab/>
      </w:r>
      <w:r>
        <w:t>bei Entscheidungen über eine Ordnungswidrigkeit, die in der Rechtsverordnung nach § 6 Absatz 1 Satz 1 Nummer 4 Buchstabe b als besonders verkehrssicherheitsbeeinträchtigende oder gleichgestellte Ordnungswidrigkeit mit zwei Punkten bewertet ist,</w:t>
      </w:r>
    </w:p>
    <w:p>
      <w:pPr>
        <w:tabs>
          <w:tab w:pos="1134" w:val="left"/>
        </w:tabs>
        <w:ind w:left="1134" w:hanging="567"/>
      </w:pPr>
      <w:r>
        <w:t>c)</w:t>
      </w:r>
      <w:r>
        <w:tab/>
      </w:r>
      <w:r>
        <w:t>bei von der nach Landesrecht zuständigen Behörde verhängten Verboten oder Beschränkungen, ein fahrerlaubnisfreies Fahrzeug zu führen,</w:t>
      </w:r>
    </w:p>
    <w:p>
      <w:pPr>
        <w:tabs>
          <w:tab w:pos="1134" w:val="left"/>
        </w:tabs>
        <w:ind w:left="1134" w:hanging="567"/>
      </w:pPr>
      <w:r>
        <w:t>d)</w:t>
      </w:r>
      <w:r>
        <w:tab/>
      </w:r>
      <w:r>
        <w:t>bei Mitteilungen über die Teilnahme an einem Fahreignungsseminar, einem Aufbauseminar, einem besonderen Aufbauseminar oder einer verkehrspsychologischen Beratung,</w:t>
      </w:r>
    </w:p>
    <w:p>
      <w:pPr>
        <w:tabs>
          <w:tab w:pos="567" w:val="left"/>
        </w:tabs>
        <w:ind w:left="567" w:hanging="567"/>
      </w:pPr>
      <w:r>
        <w:t>3.</w:t>
      </w:r>
      <w:r>
        <w:tab/>
      </w:r>
      <w:r>
        <w:t>zehn Jahre</w:t>
      </w:r>
    </w:p>
    <w:p>
      <w:pPr>
        <w:tabs>
          <w:tab w:pos="1134" w:val="left"/>
        </w:tabs>
        <w:ind w:left="1134" w:hanging="567"/>
      </w:pPr>
      <w:r>
        <w:t>a)</w:t>
      </w:r>
      <w:r>
        <w:tab/>
      </w:r>
      <w:r>
        <w:t>bei Entscheidungen über eine Straftat, in denen die Fahrerlaubnis entzogen oder eine isolierte Sperre angeordnet worden ist,</w:t>
      </w:r>
    </w:p>
    <w:p>
      <w:pPr>
        <w:tabs>
          <w:tab w:pos="1134" w:val="left"/>
        </w:tabs>
        <w:ind w:left="1134" w:hanging="567"/>
      </w:pPr>
      <w:r>
        <w:t>b)</w:t>
      </w:r>
      <w:r>
        <w:tab/>
      </w:r>
      <w:r>
        <w:t xml:space="preserve">bei Entscheidungen über Maßnahmen oder Verzichte nach </w:t>
      </w:r>
      <w:hyperlink w:anchor="b69" w:history="1">
        <w:r>
          <w:rPr>
            <w:color w:val="0A3A8C"/>
            <w:u w:val="single"/>
          </w:rPr>
          <w:t xml:space="preserve">§ 28</w:t>
        </w:r>
      </w:hyperlink>
      <w:r>
        <w:t xml:space="preserve"> Absatz 3 Nummer 5 bis 8.</w:t>
      </w:r>
    </w:p>
    <w:p>
      <w:r>
        <w:rPr>
          <w:rStyle w:val="Satznummer"/>
        </w:rPr>
        <w:t>3</w:t>
      </w:r>
      <w:r>
        <w:t xml:space="preserve">Eintragungen über Maßnahmen der nach Landesrecht zuständigen Behörde nach </w:t>
      </w:r>
      <w:hyperlink w:anchor="b15" w:history="1">
        <w:r>
          <w:rPr>
            <w:color w:val="0A3A8C"/>
            <w:u w:val="single"/>
          </w:rPr>
          <w:t xml:space="preserve">§ 2a</w:t>
        </w:r>
      </w:hyperlink>
      <w:r>
        <w:t xml:space="preserve"> Absatz 2 Satz 1 Nummer 1 und 2 und </w:t>
      </w:r>
      <w:hyperlink w:anchor="b19" w:history="1">
        <w:r>
          <w:rPr>
            <w:color w:val="0A3A8C"/>
            <w:u w:val="single"/>
          </w:rPr>
          <w:t xml:space="preserve">§ 4</w:t>
        </w:r>
      </w:hyperlink>
      <w:r>
        <w:t xml:space="preserve"> Absatz 5 Satz 1 Nummer 1 und 2 werden getilgt, wenn dem Inhaber einer Fahrerlaubnis die Fahrerlaubnis entzogen wird. </w:t>
      </w:r>
      <w:r>
        <w:rPr>
          <w:rStyle w:val="Satznummer"/>
        </w:rPr>
        <w:t>4</w:t>
      </w:r>
      <w:r>
        <w:t xml:space="preserve">Sonst erfolgt eine Tilgung bei den Maßnahmen nach </w:t>
      </w:r>
      <w:hyperlink w:anchor="b15" w:history="1">
        <w:r>
          <w:rPr>
            <w:color w:val="0A3A8C"/>
            <w:u w:val="single"/>
          </w:rPr>
          <w:t xml:space="preserve">§ 2a</w:t>
        </w:r>
      </w:hyperlink>
      <w:r>
        <w:t xml:space="preserve"> Absatz 2 Satz 1 Nummer 1 und 2 ein Jahr nach Ablauf der Probezeit und bei Maßnahmen nach </w:t>
      </w:r>
      <w:hyperlink w:anchor="b19" w:history="1">
        <w:r>
          <w:rPr>
            <w:color w:val="0A3A8C"/>
            <w:u w:val="single"/>
          </w:rPr>
          <w:t xml:space="preserve">§ 4</w:t>
        </w:r>
      </w:hyperlink>
      <w:r>
        <w:t xml:space="preserve"> Absatz 5 Satz 1 Nummer 1 und 2 dann, wenn die letzte Eintragung wegen einer Straftat oder Ordnungswidrigkeit getilgt ist.Verkürzungen der Tilgungsfristen nach Absatz 1 können durch Rechtsverordnung gemäß </w:t>
      </w:r>
      <w:hyperlink w:anchor="b76" w:history="1">
        <w:r>
          <w:rPr>
            <w:color w:val="0A3A8C"/>
            <w:u w:val="single"/>
          </w:rPr>
          <w:t xml:space="preserve">§ 30c</w:t>
        </w:r>
      </w:hyperlink>
      <w:r>
        <w:t xml:space="preserve"> Abs. 1 Nr. 2 zugelassen werden, wenn die eingetragene Entscheidung auf körperlichen oder geistigen Mängeln oder fehlender Befähigung beruht.</w:t>
      </w:r>
    </w:p>
    <w:p>
      <w:r>
        <w:t>(2) Die Tilgungsfristen gelten nicht, wenn die Erteilung einer Fahrerlaubnis oder die Erteilung des Rechts, von einer ausländischen Fahrerlaubnis wieder Gebrauch zu machen, für immer untersagt ist.</w:t>
      </w:r>
    </w:p>
    <w:p>
      <w:r>
        <w:t>(3) Ohne Rücksicht auf den Lauf der Fristen nach Absatz 1 und das Tilgungsverbot nach Absatz 2 werden getilgt</w:t>
      </w:r>
    </w:p>
    <w:p>
      <w:pPr>
        <w:tabs>
          <w:tab w:pos="567" w:val="left"/>
        </w:tabs>
        <w:ind w:left="567" w:hanging="567"/>
      </w:pPr>
      <w:r>
        <w:t>1.</w:t>
      </w:r>
      <w:r>
        <w:tab/>
      </w:r>
      <w:r>
        <w:t>Eintragungen über Entscheidungen, wenn ihre Tilgung im Bundeszentralregister angeordnet oder wenn die Entscheidung im Wiederaufnahmeverfahren oder nach den §§ 86, 102 Abs. 2 des Gesetzes über Ordnungswidrigkeiten rechtskräftig aufgehoben wird,</w:t>
      </w:r>
    </w:p>
    <w:p>
      <w:pPr>
        <w:tabs>
          <w:tab w:pos="567" w:val="left"/>
        </w:tabs>
        <w:ind w:left="567" w:hanging="567"/>
      </w:pPr>
      <w:r>
        <w:t>2.</w:t>
      </w:r>
      <w:r>
        <w:tab/>
      </w:r>
      <w:r>
        <w:t>Eintragungen, die in das Bundeszentralregister nicht aufzunehmen sind, wenn ihre Tilgung durch die nach Landesrecht zuständige Behörde angeordnet wird, wobei die Anordnung nur ergehen darf, wenn dies zur Vermeidung ungerechtfertigter Härten erforderlich ist und öffentliche Interessen nicht gefährdet werden,</w:t>
      </w:r>
    </w:p>
    <w:p>
      <w:pPr>
        <w:tabs>
          <w:tab w:pos="567" w:val="left"/>
        </w:tabs>
        <w:ind w:left="567" w:hanging="567"/>
      </w:pPr>
      <w:r>
        <w:t>3.</w:t>
      </w:r>
      <w:r>
        <w:tab/>
      </w:r>
      <w:r>
        <w:t xml:space="preserve">Eintragungen, bei denen die zugrundeliegende Entscheidung aufgehoben wird oder bei denen nach näherer Bestimmung durch Rechtsverordnung gemäß </w:t>
      </w:r>
      <w:hyperlink w:anchor="b76" w:history="1">
        <w:r>
          <w:rPr>
            <w:color w:val="0A3A8C"/>
            <w:u w:val="single"/>
          </w:rPr>
          <w:t xml:space="preserve">§ 30c</w:t>
        </w:r>
      </w:hyperlink>
      <w:r>
        <w:t xml:space="preserve"> Abs. 1 Nr. 2 eine Änderung der zugrundeliegenden Entscheidung Anlass gibt,</w:t>
      </w:r>
    </w:p>
    <w:p>
      <w:pPr>
        <w:tabs>
          <w:tab w:pos="567" w:val="left"/>
        </w:tabs>
        <w:ind w:left="567" w:hanging="567"/>
      </w:pPr>
      <w:r>
        <w:t>4.</w:t>
      </w:r>
      <w:r>
        <w:tab/>
      </w:r>
      <w:r>
        <w:t>sämtliche Eintragungen, wenn eine amtliche Mitteilung über den Tod der betroffenen Person eingeht.</w:t>
      </w:r>
    </w:p>
    <w:p>
      <w:r>
        <w:t>(4) Die Tilgungsfrist (Absatz 1) beginnt</w:t>
      </w:r>
    </w:p>
    <w:p>
      <w:pPr>
        <w:tabs>
          <w:tab w:pos="567" w:val="left"/>
        </w:tabs>
        <w:ind w:left="567" w:hanging="567"/>
      </w:pPr>
      <w:r>
        <w:t>1.</w:t>
      </w:r>
      <w:r>
        <w:tab/>
      </w:r>
      <w:r>
        <w:t>bei strafgerichtlichen Verurteilungen und bei Strafbefehlen mit dem Tag der Rechtskraft, wobei dieser Tag auch dann maßgebend bleibt, wenn eine Gesamtstrafe oder eine einheitliche Jugendstrafe gebildet oder nach § 30 Abs. 1 des Jugendgerichtsgesetzes auf Jugendstrafe erkannt wird oder eine Entscheidung im Wiederaufnahmeverfahren ergeht, die eine registerpflichtige Verurteilung enthält,</w:t>
      </w:r>
    </w:p>
    <w:p>
      <w:pPr>
        <w:tabs>
          <w:tab w:pos="567" w:val="left"/>
        </w:tabs>
        <w:ind w:left="567" w:hanging="567"/>
      </w:pPr>
      <w:r>
        <w:t>2.</w:t>
      </w:r>
      <w:r>
        <w:tab/>
      </w:r>
      <w:r>
        <w:t>bei Entscheidungen der Gerichte nach den §§ 59, 60 des Strafgesetzbuchs und § 27 des Jugendgerichtsgesetzes mit dem Tag der Rechtskraft,</w:t>
      </w:r>
    </w:p>
    <w:p>
      <w:pPr>
        <w:tabs>
          <w:tab w:pos="567" w:val="left"/>
        </w:tabs>
        <w:ind w:left="567" w:hanging="567"/>
      </w:pPr>
      <w:r>
        <w:t>3.</w:t>
      </w:r>
      <w:r>
        <w:tab/>
      </w:r>
      <w:r>
        <w:t>bei gerichtlichen und verwaltungsbehördlichen Bußgeldentscheidungen sowie bei anderen Verwaltungsentscheidungen mit dem Tag der Rechtskraft oder Unanfechtbarkeit der beschwerenden Entscheidung,</w:t>
      </w:r>
    </w:p>
    <w:p>
      <w:pPr>
        <w:tabs>
          <w:tab w:pos="567" w:val="left"/>
        </w:tabs>
        <w:ind w:left="567" w:hanging="567"/>
      </w:pPr>
      <w:r>
        <w:t>4.</w:t>
      </w:r>
      <w:r>
        <w:tab/>
      </w:r>
      <w:r>
        <w:t xml:space="preserve">bei Aufbauseminaren nach </w:t>
      </w:r>
      <w:hyperlink w:anchor="b15" w:history="1">
        <w:r>
          <w:rPr>
            <w:color w:val="0A3A8C"/>
            <w:u w:val="single"/>
          </w:rPr>
          <w:t xml:space="preserve">§ 2a</w:t>
        </w:r>
      </w:hyperlink>
      <w:r>
        <w:t xml:space="preserve"> Absatz 2 Satz 1 Nummer 1, verkehrspsychologischen Beratungen nach </w:t>
      </w:r>
      <w:hyperlink w:anchor="b15" w:history="1">
        <w:r>
          <w:rPr>
            <w:color w:val="0A3A8C"/>
            <w:u w:val="single"/>
          </w:rPr>
          <w:t xml:space="preserve">§ 2a</w:t>
        </w:r>
      </w:hyperlink>
      <w:r>
        <w:t xml:space="preserve"> Absatz 2 Satz 1 Nummer 2 und Fahreignungsseminaren nach </w:t>
      </w:r>
      <w:hyperlink w:anchor="b19" w:history="1">
        <w:r>
          <w:rPr>
            <w:color w:val="0A3A8C"/>
            <w:u w:val="single"/>
          </w:rPr>
          <w:t xml:space="preserve">§ 4</w:t>
        </w:r>
      </w:hyperlink>
      <w:r>
        <w:t xml:space="preserve"> Absatz 7 mit dem Tag der Ausstellung der Teilnahmebescheinigung.</w:t>
      </w:r>
    </w:p>
    <w:p>
      <w:r>
        <w:t xml:space="preserve">(5) </w:t>
      </w:r>
      <w:r>
        <w:rPr>
          <w:rStyle w:val="Satznummer"/>
        </w:rPr>
        <w:t>1</w:t>
      </w:r>
      <w:r>
        <w:t xml:space="preserve">Bei der Versagung oder Entziehung der Fahrerlaubnis wegen mangelnder Eignung, der Anordnung einer Sperre nach § 69a Abs. 1 Satz 3 des Strafgesetzbuchs oder bei einem Verzicht auf die Fahrerlaubnis beginnt die Tilgungsfrist erst mit der Erteilung oder Neuerteilung der Fahrerlaubnis, spätestens jedoch fünf Jahre nach der Rechtskraft der beschwerenden Entscheidung oder dem Tag des Zugangs der Verzichtserklärung bei der zuständigen Behörde. </w:t>
      </w:r>
      <w:r>
        <w:rPr>
          <w:rStyle w:val="Satznummer"/>
        </w:rPr>
        <w:t>2</w:t>
      </w:r>
      <w:r>
        <w:t>Bei von der nach Landesrecht zuständigen Behörde verhängten Verboten oder Beschränkungen, ein fahrerlaubnisfreies Fahrzeug zu führen, beginnt die Tilgungsfrist fünf Jahre nach Ablauf oder Aufhebung des Verbots oder der Beschränkung.</w:t>
      </w:r>
    </w:p>
    <w:p>
      <w:r>
        <w:t xml:space="preserve">(6) </w:t>
      </w:r>
      <w:r>
        <w:rPr>
          <w:rStyle w:val="Satznummer"/>
        </w:rPr>
        <w:t>1</w:t>
      </w:r>
      <w:r>
        <w:t xml:space="preserve">Nach Eintritt der Tilgungsreife wird eine Eintragung vorbehaltlich der Sätze 2 und 4 gelöscht. </w:t>
      </w:r>
      <w:r>
        <w:rPr>
          <w:rStyle w:val="Satznummer"/>
        </w:rPr>
        <w:t>2</w:t>
      </w:r>
      <w:r>
        <w:t xml:space="preserve">Eine Eintragung nach § 28 Absatz 3 Nummer 1 oder 3 Buchstabe a oder c wird nach Eintritt der Tilgungsreife erst nach einer Überliegefrist von einem Jahr gelöscht. </w:t>
      </w:r>
      <w:r>
        <w:rPr>
          <w:rStyle w:val="Satznummer"/>
        </w:rPr>
        <w:t>3</w:t>
      </w:r>
      <w:r>
        <w:t>Während dieser Überliegefrist darf der Inhalt dieser Eintragung nur noch zu folgenden Zwecken übermittelt, verwendet oder über ihn eine Auskunft erteilt werden:</w:t>
      </w:r>
    </w:p>
    <w:p>
      <w:pPr>
        <w:tabs>
          <w:tab w:pos="567" w:val="left"/>
        </w:tabs>
        <w:ind w:left="567" w:hanging="567"/>
      </w:pPr>
      <w:r>
        <w:t>1.</w:t>
      </w:r>
      <w:r>
        <w:tab/>
      </w:r>
      <w:r>
        <w:t xml:space="preserve">zur Übermittlung an die nach Landesrecht zuständige Behörde zur dortigen Verwendung zur Anordnung von Maßnahmen im Rahmen der Fahrerlaubnis auf Probe nach </w:t>
      </w:r>
      <w:hyperlink w:anchor="b15" w:history="1">
        <w:r>
          <w:rPr>
            <w:color w:val="0A3A8C"/>
            <w:u w:val="single"/>
          </w:rPr>
          <w:t xml:space="preserve">§ 2a</w:t>
        </w:r>
      </w:hyperlink>
      <w:r>
        <w:t>,</w:t>
      </w:r>
    </w:p>
    <w:p>
      <w:pPr>
        <w:tabs>
          <w:tab w:pos="567" w:val="left"/>
        </w:tabs>
        <w:ind w:left="567" w:hanging="567"/>
      </w:pPr>
      <w:r>
        <w:t>2.</w:t>
      </w:r>
      <w:r>
        <w:tab/>
      </w:r>
      <w:r>
        <w:t xml:space="preserve">zur Übermittlung an die nach Landesrecht zuständige Behörde zur dortigen Verwendung zum Ergreifen von Maßnahmen nach dem Fahreignungs-Bewertungssystem nach </w:t>
      </w:r>
      <w:hyperlink w:anchor="b19" w:history="1">
        <w:r>
          <w:rPr>
            <w:color w:val="0A3A8C"/>
            <w:u w:val="single"/>
          </w:rPr>
          <w:t xml:space="preserve">§ 4</w:t>
        </w:r>
      </w:hyperlink>
      <w:r>
        <w:t xml:space="preserve"> Absatz 5,</w:t>
      </w:r>
    </w:p>
    <w:p>
      <w:pPr>
        <w:tabs>
          <w:tab w:pos="567" w:val="left"/>
        </w:tabs>
        <w:ind w:left="567" w:hanging="567"/>
      </w:pPr>
      <w:r>
        <w:t>3.</w:t>
      </w:r>
      <w:r>
        <w:tab/>
      </w:r>
      <w:r>
        <w:t xml:space="preserve">zur Auskunftserteilung an die betroffene Person nach </w:t>
      </w:r>
      <w:hyperlink w:anchor="b73" w:history="1">
        <w:r>
          <w:rPr>
            <w:color w:val="0A3A8C"/>
            <w:u w:val="single"/>
          </w:rPr>
          <w:t xml:space="preserve">§ 30</w:t>
        </w:r>
      </w:hyperlink>
      <w:r>
        <w:t xml:space="preserve"> Absatz 8,</w:t>
      </w:r>
    </w:p>
    <w:p>
      <w:pPr>
        <w:tabs>
          <w:tab w:pos="567" w:val="left"/>
        </w:tabs>
        <w:ind w:left="567" w:hanging="567"/>
      </w:pPr>
      <w:r>
        <w:t>4.</w:t>
      </w:r>
      <w:r>
        <w:tab/>
      </w:r>
      <w:r>
        <w:t xml:space="preserve">zur Verwendung für die Durchführung anderer als der in den Nummern 1 oder 2 genannten Verfahren zur Erteilung oder Entziehung einer Fahrerlaubnis, wenn die Tat als Grundlage in einer noch gespeicherten Maßnahme nach </w:t>
      </w:r>
      <w:hyperlink w:anchor="b69" w:history="1">
        <w:r>
          <w:rPr>
            <w:color w:val="0A3A8C"/>
            <w:u w:val="single"/>
          </w:rPr>
          <w:t xml:space="preserve">§ 28</w:t>
        </w:r>
      </w:hyperlink>
      <w:r>
        <w:t xml:space="preserve"> Absatz 3 Nummer 5, 6 oder 8 genannt ist.</w:t>
      </w:r>
    </w:p>
    <w:p>
      <w:r>
        <w:rPr>
          <w:rStyle w:val="Satznummer"/>
        </w:rPr>
        <w:t>4</w:t>
      </w:r>
      <w:r>
        <w:t>Die Löschung einer Eintragung nach § 28 Absatz 3 Nummer 3 Buchstabe a oder c unterbleibt in jedem Fall so lange, wie die betroffene Person im Zentralen Fahrerlaubnisregister als Inhaber einer Fahrerlaubnis auf Probe gespeichert ist; während dieser Zeit gilt Satz 3 Nummer 1, 3 und 4 nach Ablauf der Überliegefrist entsprechend.</w:t>
      </w:r>
    </w:p>
    <w:p>
      <w:r>
        <w:t xml:space="preserve">(7) </w:t>
      </w:r>
      <w:r>
        <w:rPr>
          <w:rStyle w:val="Satznummer"/>
        </w:rPr>
        <w:t>1</w:t>
      </w:r>
      <w:r>
        <w:t xml:space="preserve">Ist eine Eintragung im Fahreignungsregister gelöscht, dürfen die Tat und die Entscheidung der betroffenen Person für die Zwecke des </w:t>
      </w:r>
      <w:hyperlink w:anchor="b69" w:history="1">
        <w:r>
          <w:rPr>
            <w:color w:val="0A3A8C"/>
            <w:u w:val="single"/>
          </w:rPr>
          <w:t xml:space="preserve">§ 28</w:t>
        </w:r>
      </w:hyperlink>
      <w:r>
        <w:t xml:space="preserve"> Absatz 2 nicht mehr vorgehalten und nicht zu ihrem Nachteil verwertet werden. </w:t>
      </w:r>
      <w:r>
        <w:rPr>
          <w:rStyle w:val="Satznummer"/>
        </w:rPr>
        <w:t>2</w:t>
      </w:r>
      <w:r>
        <w:t xml:space="preserve">Abweichend von Satz 1 darf eine Tat und die hierauf bezogene Entscheidung trotz ihrer Löschung aus dem Fahreignungsregister für die Durchführung anderer als der in Absatz 6 Satz 3 Nummer 4 genannten Verfahren zur Erteilung oder Entziehung einer Fahrerlaubnis verwendet werden, solange die Tat als Grundlage in einer noch gespeicherten Maßnahme nach </w:t>
      </w:r>
      <w:hyperlink w:anchor="b69" w:history="1">
        <w:r>
          <w:rPr>
            <w:color w:val="0A3A8C"/>
            <w:u w:val="single"/>
          </w:rPr>
          <w:t xml:space="preserve">§ 28</w:t>
        </w:r>
      </w:hyperlink>
      <w:r>
        <w:t xml:space="preserve"> Absatz 3 Nummer 5, 6 oder 8 genannt ist. </w:t>
      </w:r>
      <w:r>
        <w:rPr>
          <w:rStyle w:val="Satznummer"/>
        </w:rPr>
        <w:t>3</w:t>
      </w:r>
      <w:r>
        <w:t>Unterliegt eine Eintragung im Fahreignungsregister über eine gerichtliche Entscheidung nach Absatz 1 Satz 2 Nummer 3 Buchstabe a einer zehnjährigen Tilgungsfrist, darf sie nach Ablauf eines Zeitraums, der einer fünfjährigen Tilgungsfrist nach den vorstehenden Vorschriften entspricht, nur noch für folgende Zwecke an die nach Landesrecht zuständige Behörde übermittelt und dort verwendet werden:</w:t>
      </w:r>
    </w:p>
    <w:p>
      <w:pPr>
        <w:tabs>
          <w:tab w:pos="567" w:val="left"/>
        </w:tabs>
        <w:ind w:left="567" w:hanging="567"/>
      </w:pPr>
      <w:r>
        <w:t>1.</w:t>
      </w:r>
      <w:r>
        <w:tab/>
      </w:r>
      <w:r>
        <w:t>zur Durchführung von Verfahren, die eine Erteilung oder Entziehung einer Fahrerlaubnis zum Gegenstand haben,</w:t>
      </w:r>
    </w:p>
    <w:p>
      <w:pPr>
        <w:tabs>
          <w:tab w:pos="567" w:val="left"/>
        </w:tabs>
        <w:ind w:left="567" w:hanging="567"/>
      </w:pPr>
      <w:r>
        <w:t>2.</w:t>
      </w:r>
      <w:r>
        <w:tab/>
      </w:r>
      <w:r>
        <w:t xml:space="preserve">zum Ergreifen von Maßnahmen nach dem Fahreignungs-Bewertungssystem nach </w:t>
      </w:r>
      <w:hyperlink w:anchor="b19" w:history="1">
        <w:r>
          <w:rPr>
            <w:color w:val="0A3A8C"/>
            <w:u w:val="single"/>
          </w:rPr>
          <w:t xml:space="preserve">§ 4</w:t>
        </w:r>
      </w:hyperlink>
      <w:r>
        <w:t xml:space="preserve"> Absatz 5.</w:t>
      </w:r>
    </w:p>
    <w:p>
      <w:r>
        <w:rPr>
          <w:rStyle w:val="Satznummer"/>
        </w:rPr>
        <w:t>4</w:t>
      </w:r>
      <w:r>
        <w:t xml:space="preserve">Außerdem dürfen für die Prüfung der Berechtigung zum Führen von Kraftfahrzeugen Entscheidungen der Gerichte nach den §§ 69 bis 69b des Strafgesetzbuches an die nach Landesrecht zuständige Behörde übermittelt und dort verwendet werden. </w:t>
      </w:r>
      <w:r>
        <w:rPr>
          <w:rStyle w:val="Satznummer"/>
        </w:rPr>
        <w:t>5</w:t>
      </w:r>
      <w:r>
        <w:t xml:space="preserve">Die Sätze 1 bis 3 gelten nicht für Eintragungen wegen strafgerichtlicher Entscheidungen, die für die Ahndung von Straftaten herangezogen werden. </w:t>
      </w:r>
      <w:r>
        <w:rPr>
          <w:rStyle w:val="Satznummer"/>
        </w:rPr>
        <w:t>6</w:t>
      </w:r>
      <w:r>
        <w:t>Insoweit gelten die Regelungen des Bundeszentralregistergesetzes.</w:t>
      </w:r>
    </w:p>
    <w:p>
      <w:pPr>
        <w:pStyle w:val="Heading2"/>
      </w:pPr>
      <w:bookmarkStart w:id="74" w:name="b73"/>
      <w:r>
        <w:t>§ 30 Übermittlung</w:t>
      </w:r>
      <w:r>
        <w:t xml:space="preserve"> </w:t>
      </w:r>
      <w:r>
        <w:rPr>
          <w:rStyle w:val="Suchmarke"/>
        </w:rPr>
        <w:t>#30#</w:t>
      </w:r>
      <w:bookmarkEnd w:id="74"/>
    </w:p>
    <w:p>
      <w:r>
        <w:t>(1) Die Eintragungen im Fahreignungsregister dürfen an die Stellen, die</w:t>
      </w:r>
    </w:p>
    <w:p>
      <w:pPr>
        <w:tabs>
          <w:tab w:pos="567" w:val="left"/>
        </w:tabs>
        <w:ind w:left="567" w:hanging="567"/>
      </w:pPr>
      <w:r>
        <w:t>1.</w:t>
      </w:r>
      <w:r>
        <w:tab/>
      </w:r>
      <w:r>
        <w:t>für die Verfolgung von Straftaten, zur Vollstreckung oder zum Vollzug von Strafen,</w:t>
      </w:r>
    </w:p>
    <w:p>
      <w:pPr>
        <w:tabs>
          <w:tab w:pos="567" w:val="left"/>
        </w:tabs>
        <w:ind w:left="567" w:hanging="567"/>
      </w:pPr>
      <w:r>
        <w:t>2.</w:t>
      </w:r>
      <w:r>
        <w:tab/>
      </w:r>
      <w:r>
        <w:t>für die Verfolgung von Ordnungswidrigkeiten und die Vollstreckung von Bußgeldbescheiden und ihren Nebenfolgen nach diesem Gesetz und dem Gesetz über das Fahrpersonal im Straßenverkehr oder</w:t>
      </w:r>
    </w:p>
    <w:p>
      <w:pPr>
        <w:tabs>
          <w:tab w:pos="567" w:val="left"/>
        </w:tabs>
        <w:ind w:left="567" w:hanging="567"/>
      </w:pPr>
      <w:r>
        <w:t>3.</w:t>
      </w:r>
      <w:r>
        <w:tab/>
      </w:r>
      <w:r>
        <w:t>für Verwaltungsmaßnahmen auf Grund dieses Gesetzes oder der auf ihm beruhenden Rechtsvorschriften</w:t>
      </w:r>
    </w:p>
    <w:p>
      <w:r>
        <w:t xml:space="preserve">zuständig sind, übermittelt werden, soweit dies für die Erfüllung der diesen Stellen obliegenden Aufgaben zu den in </w:t>
      </w:r>
      <w:hyperlink w:anchor="b69" w:history="1">
        <w:r>
          <w:rPr>
            <w:color w:val="0A3A8C"/>
            <w:u w:val="single"/>
          </w:rPr>
          <w:t xml:space="preserve">§ 28</w:t>
        </w:r>
      </w:hyperlink>
      <w:r>
        <w:t xml:space="preserve"> Abs. 2 genannten Zwecken jeweils erforderlich ist.</w:t>
      </w:r>
    </w:p>
    <w:p>
      <w:r>
        <w:t xml:space="preserve">(2) Die Eintragungen im Fahreignungsregister dürfen an die Stellen, die für Verwaltungsmaßnahmen auf Grund des Gesetzes über die Beförderung gefährlicher Güter, des Kraftfahrsachverständigengesetzes, des Fahrlehrergesetzes, des Personenbeförderungsgesetzes, der gesetzlichen Bestimmungen über die Notfallrettung und den Krankentransport, des Güterkraftverkehrsgesetzes einschließlich der Verordnung (EWG) Nr. 881/92 des Rates vom 26. März 1992 über den Zugang zum Güterkraftverkehrsmarkt in der Gemeinschaft für Beförderungen aus oder nach einem Mitgliedstaat oder durch einen oder mehrere Mitgliedstaaten (ABl. EG Nr. L 95 S. 1), des Gesetzes über das Fahrpersonal im Straßenverkehr oder der auf Grund dieser Gesetze erlassenen Rechtsvorschriften zuständig sind, übermittelt werden, soweit dies für die Erfüllung der diesen Stellen obliegenden Aufgaben zu den in </w:t>
      </w:r>
      <w:hyperlink w:anchor="b69" w:history="1">
        <w:r>
          <w:rPr>
            <w:color w:val="0A3A8C"/>
            <w:u w:val="single"/>
          </w:rPr>
          <w:t xml:space="preserve">§ 28</w:t>
        </w:r>
      </w:hyperlink>
      <w:r>
        <w:t xml:space="preserve"> Abs. 2 Nr. 2 und 4 genannten Zwecken jeweils erforderlich ist.</w:t>
      </w:r>
    </w:p>
    <w:p>
      <w:r>
        <w:t xml:space="preserve">(3) Die Eintragungen im Fahreignungsregister dürfen an die für Verkehrs- und Grenzkontrollen zuständigen Stellen übermittelt werden, soweit dies zu dem in </w:t>
      </w:r>
      <w:hyperlink w:anchor="b69" w:history="1">
        <w:r>
          <w:rPr>
            <w:color w:val="0A3A8C"/>
            <w:u w:val="single"/>
          </w:rPr>
          <w:t xml:space="preserve">§ 28</w:t>
        </w:r>
      </w:hyperlink>
      <w:r>
        <w:t xml:space="preserve"> Abs. 2 Nr. 2 genannten Zweck erforderlich ist.</w:t>
      </w:r>
    </w:p>
    <w:p>
      <w:r>
        <w:t>(4) Die Eintragungen im Fahreignungsregister dürfen außerdem für die Erteilung, Verlängerung, Erneuerung, Rücknahme oder den Widerruf einer Erlaubnis für Luftfahrer oder sonstiges Luftfahrpersonal nach den Vorschriften des Luftverkehrsgesetzes oder der auf Grund dieses Gesetzes erlassenen Rechtsvorschriften an die hierfür zuständigen Stellen übermittelt werden, soweit dies für die genannten Maßnahmen erforderlich ist.</w:t>
      </w:r>
    </w:p>
    <w:p>
      <w:r>
        <w:t>(4a) Die Eintragungen im Fahreignungsregister dürfen außerdem an die hierfür zuständigen Stellen übermittelt werden für die Erteilung, den Entzug oder das Anordnen des Ruhens von Befähigungszeugnissen und Erlaubnissen für Kapitäne, Schiffsoffiziere oder sonstige Seeleute nach den Vorschriften des Seeaufgabengesetzes und für Schiffs- und Sportbootführer und sonstige Besatzungsmitglieder nach dem Seeaufgabengesetz oder dem Binnenschifffahrtsaufgabengesetz oder der aufgrund dieser Gesetze erlassenen Rechtsvorschriften, soweit dies für die genannten Maßnahmen erforderlich ist.</w:t>
      </w:r>
    </w:p>
    <w:p>
      <w:r>
        <w:t>(4b) Die Eintragungen im Fahreignungsregister dürfen außerdem für die Erteilung, Aussetzung, Einschränkung und Entziehung des Triebfahrzeugführerscheins auf Grund des Allgemeinen Eisenbahngesetzes oder der auf Grund dieses Gesetzes erlassenen Rechtsvorschriften an die hierfür zuständigen Stellen übermittelt werden, soweit die Eintragungen für die dortige Prüfung der Voraussetzungen für die Erteilung, Aussetzung, Einschränkung und Entziehung des Triebfahrzeugführerscheins erforderlich sind.</w:t>
      </w:r>
    </w:p>
    <w:p>
      <w:r>
        <w:t xml:space="preserve">(5) </w:t>
      </w:r>
      <w:r>
        <w:rPr>
          <w:rStyle w:val="Satznummer"/>
        </w:rPr>
        <w:t>1</w:t>
      </w:r>
      <w:r>
        <w:t xml:space="preserve">Die Eintragungen im Fahreignungsregister dürfen für die wissenschaftliche Forschung entsprechend </w:t>
      </w:r>
      <w:hyperlink w:anchor="b90" w:history="1">
        <w:r>
          <w:rPr>
            <w:color w:val="0A3A8C"/>
            <w:u w:val="single"/>
          </w:rPr>
          <w:t xml:space="preserve">§ 38</w:t>
        </w:r>
      </w:hyperlink>
      <w:r>
        <w:t xml:space="preserve"> und für statistische Zwecke entsprechend </w:t>
      </w:r>
      <w:hyperlink w:anchor="b91" w:history="1">
        <w:r>
          <w:rPr>
            <w:color w:val="0A3A8C"/>
            <w:u w:val="single"/>
          </w:rPr>
          <w:t xml:space="preserve">§ 38a</w:t>
        </w:r>
      </w:hyperlink>
      <w:r>
        <w:t xml:space="preserve"> übermittelt und verwendet werden. </w:t>
      </w:r>
      <w:r>
        <w:rPr>
          <w:rStyle w:val="Satznummer"/>
        </w:rPr>
        <w:t>2</w:t>
      </w:r>
      <w:r>
        <w:t xml:space="preserve">Zur Vorbereitung von Rechts- und allgemeinen Verwaltungsvorschriften auf dem Gebiet des Straßenverkehrs dürfen die Eintragungen entsprechend </w:t>
      </w:r>
      <w:hyperlink w:anchor="b92" w:history="1">
        <w:r>
          <w:rPr>
            <w:color w:val="0A3A8C"/>
            <w:u w:val="single"/>
          </w:rPr>
          <w:t xml:space="preserve">§ 38b</w:t>
        </w:r>
      </w:hyperlink>
      <w:r>
        <w:t xml:space="preserve"> übermittelt und verwendet werden.</w:t>
      </w:r>
    </w:p>
    <w:p>
      <w:r>
        <w:t xml:space="preserve">(6) </w:t>
      </w:r>
      <w:r>
        <w:rPr>
          <w:rStyle w:val="Satznummer"/>
        </w:rPr>
        <w:t>1</w:t>
      </w:r>
      <w:r>
        <w:t xml:space="preserve">Der Empfänger darf die übermittelten Daten nur zu dem Zweck verarbeiten, zu dessen Erfüllung sie ihm übermittelt worden sind. </w:t>
      </w:r>
      <w:r>
        <w:rPr>
          <w:rStyle w:val="Satznummer"/>
        </w:rPr>
        <w:t>2</w:t>
      </w:r>
      <w:r>
        <w:t xml:space="preserve">Der Empfänger darf die übermittelten Daten auch für andere Zwecke verarbeiten, soweit sie ihm auch für diese Zwecke hätten übermittelt werden dürfen. </w:t>
      </w:r>
      <w:r>
        <w:rPr>
          <w:rStyle w:val="Satznummer"/>
        </w:rPr>
        <w:t>3</w:t>
      </w:r>
      <w:r>
        <w:t xml:space="preserve">Ist der Empfänger eine nichtöffentliche Stelle, hat die übermittelnde Stelle ihn darauf hinzuweisen. </w:t>
      </w:r>
      <w:r>
        <w:rPr>
          <w:rStyle w:val="Satznummer"/>
        </w:rPr>
        <w:t>4</w:t>
      </w:r>
      <w:r>
        <w:t>Eine Verarbeitung für andere Zwecke durch nichtöffentliche Stellen bedarf der Zustimmung der übermittelnden Stelle.</w:t>
      </w:r>
    </w:p>
    <w:p>
      <w:r>
        <w:t xml:space="preserve">(7) </w:t>
      </w:r>
      <w:r>
        <w:rPr>
          <w:rStyle w:val="Satznummer"/>
        </w:rPr>
        <w:t>1</w:t>
      </w:r>
      <w:r>
        <w:t>Die Eintragungen im Fahreignungsregister dürfen an die zuständigen Stellen anderer Staaten übermittelt werden, soweit dies</w:t>
      </w:r>
    </w:p>
    <w:p>
      <w:pPr>
        <w:tabs>
          <w:tab w:pos="567" w:val="left"/>
        </w:tabs>
        <w:ind w:left="567" w:hanging="567"/>
      </w:pPr>
      <w:r>
        <w:t>1.</w:t>
      </w:r>
      <w:r>
        <w:tab/>
      </w:r>
      <w:r>
        <w:t>für Verwaltungsmaßnahmen auf dem Gebiet des Straßenverkehrs,</w:t>
      </w:r>
    </w:p>
    <w:p>
      <w:pPr>
        <w:tabs>
          <w:tab w:pos="567" w:val="left"/>
        </w:tabs>
        <w:ind w:left="567" w:hanging="567"/>
      </w:pPr>
      <w:r>
        <w:t>2.</w:t>
      </w:r>
      <w:r>
        <w:tab/>
      </w:r>
      <w:r>
        <w:t>zur Verfolgung von Zuwiderhandlungen gegen Rechtsvorschriften auf dem Gebiet des Straßenverkehrs oder</w:t>
      </w:r>
    </w:p>
    <w:p>
      <w:pPr>
        <w:tabs>
          <w:tab w:pos="567" w:val="left"/>
        </w:tabs>
        <w:ind w:left="567" w:hanging="567"/>
      </w:pPr>
      <w:r>
        <w:t>3.</w:t>
      </w:r>
      <w:r>
        <w:tab/>
      </w:r>
      <w:r>
        <w:t>zur Verfolgung von Straftaten, die im Zusammenhang mit dem Straßenverkehr oder sonst mit Kraftfahrzeugen, Anhängern oder Fahrzeugpapieren, Fahrerlaubnissen oder Führerscheinen stehen,</w:t>
      </w:r>
    </w:p>
    <w:p>
      <w:r>
        <w:t xml:space="preserve">erforderlich ist. </w:t>
      </w:r>
      <w:r>
        <w:rPr>
          <w:rStyle w:val="Satznummer"/>
        </w:rPr>
        <w:t>2</w:t>
      </w:r>
      <w:r>
        <w:t xml:space="preserve">Der Empfänger ist darauf hinzuweisen, dass die übermittelten Daten nur zu dem Zweck verarbeitet werden dürfen, zu dessen Erfüllung sie ihm übermittelt werden. </w:t>
      </w:r>
      <w:r>
        <w:rPr>
          <w:rStyle w:val="Satznummer"/>
        </w:rPr>
        <w:t>3</w:t>
      </w:r>
      <w:r>
        <w:t>Die Übermittlung unterbleibt, wenn durch sie schutzwürdige Interessen der betroffenen Person beeinträchtigt würden, insbesondere wenn im Empfängerland ein angemessener Datenschutzstandard nicht gewährleistet ist.</w:t>
      </w:r>
    </w:p>
    <w:p>
      <w:r>
        <w:t xml:space="preserve">(8) </w:t>
      </w:r>
      <w:r>
        <w:rPr>
          <w:rStyle w:val="Satznummer"/>
        </w:rPr>
        <w:t>1</w:t>
      </w:r>
      <w:r>
        <w:t xml:space="preserve">Der betroffenen Person wird auf Antrag schriftlich über den sie betreffenden Inhalt des Fahreignungsregisters und über die Anzahl der Punkte unentgeltlich Auskunft erteilt. </w:t>
      </w:r>
      <w:r>
        <w:rPr>
          <w:rStyle w:val="Satznummer"/>
        </w:rPr>
        <w:t>2</w:t>
      </w:r>
      <w:r>
        <w:t xml:space="preserve">Der Antragsteller hat dem Antrag einen Identitätsnachweis beizufügen und den Antrag, wenn er schriftlich gestellt wird, eigenhändig zu unterschreiben. </w:t>
      </w:r>
      <w:r>
        <w:rPr>
          <w:rStyle w:val="Satznummer"/>
        </w:rPr>
        <w:t>3</w:t>
      </w:r>
      <w:r>
        <w:t xml:space="preserve">Die Auskunft kann elektronisch erteilt werden, wenn der Antrag unter Nutzung des elektronischen Identitätsnachweises nach § 18 des Personalausweisgesetzes, nach § 12 des eID-Karte-Gesetzes oder nach § 78 Absatz 5 des Aufenthaltsgesetzes gestellt wird. </w:t>
      </w:r>
      <w:r>
        <w:rPr>
          <w:rStyle w:val="Satznummer"/>
        </w:rPr>
        <w:t>4</w:t>
      </w:r>
      <w:r>
        <w:t xml:space="preserve">Hinsichtlich der Protokollierung gilt </w:t>
      </w:r>
      <w:hyperlink w:anchor="b74" w:history="1">
        <w:r>
          <w:rPr>
            <w:color w:val="0A3A8C"/>
            <w:u w:val="single"/>
          </w:rPr>
          <w:t xml:space="preserve">§ 30a</w:t>
        </w:r>
      </w:hyperlink>
      <w:r>
        <w:t xml:space="preserve"> Absatz 3 entsprechend.</w:t>
      </w:r>
    </w:p>
    <w:p>
      <w:r>
        <w:t xml:space="preserve">(9) </w:t>
      </w:r>
      <w:r>
        <w:rPr>
          <w:rStyle w:val="Satznummer"/>
        </w:rPr>
        <w:t>1</w:t>
      </w:r>
      <w:r>
        <w:t xml:space="preserve">Übermittlungen von Daten aus dem Fahreignungsregister sind nur auf Ersuchen zulässig, es sei denn, auf Grund besonderer Rechtsvorschrift wird bestimmt, dass die Registerbehörde bestimmte Daten von Amts wegen zu übermitteln hat. </w:t>
      </w:r>
      <w:r>
        <w:rPr>
          <w:rStyle w:val="Satznummer"/>
        </w:rPr>
        <w:t>2</w:t>
      </w:r>
      <w:r>
        <w:t xml:space="preserve">Die Verantwortung für die Zulässigkeit der Übermittlung trägt die übermittelnde Stelle. </w:t>
      </w:r>
      <w:r>
        <w:rPr>
          <w:rStyle w:val="Satznummer"/>
        </w:rPr>
        <w:t>3</w:t>
      </w:r>
      <w:r>
        <w:t xml:space="preserve">Erfolgt die Übermittlung auf Ersuchen des Empfängers, trägt dieser die Verantwortung. </w:t>
      </w:r>
      <w:r>
        <w:rPr>
          <w:rStyle w:val="Satznummer"/>
        </w:rPr>
        <w:t>4</w:t>
      </w:r>
      <w:r>
        <w:t xml:space="preserve">In diesem Fall prüft die übermittelnde Stelle nur, ob das Übermittlungsersuchen im Rahmen der Aufgaben des Empfängers liegt, es sei denn, dass besonderer Anlass zur Prüfung der Zulässigkeit der Übermittlung besteht. </w:t>
      </w:r>
      <w:r>
        <w:rPr>
          <w:rStyle w:val="Satznummer"/>
        </w:rPr>
        <w:t>5</w:t>
      </w:r>
      <w:r>
        <w:t xml:space="preserve">Begründet sich der besondere Anlass nach Satz 4 in Zweifeln an der Identität einer Person, auf die sich ein Ersuchen auf Datenübermittlung bezieht, gilt </w:t>
      </w:r>
      <w:hyperlink w:anchor="b69" w:history="1">
        <w:r>
          <w:rPr>
            <w:color w:val="0A3A8C"/>
            <w:u w:val="single"/>
          </w:rPr>
          <w:t xml:space="preserve">§ 28</w:t>
        </w:r>
      </w:hyperlink>
      <w:r>
        <w:t xml:space="preserve"> Absatz 5 Satz 1 bis 3 entsprechend.</w:t>
      </w:r>
    </w:p>
    <w:p>
      <w:r>
        <w:t xml:space="preserve">(10) </w:t>
      </w:r>
      <w:r>
        <w:rPr>
          <w:rStyle w:val="Satznummer"/>
        </w:rPr>
        <w:t>1</w:t>
      </w:r>
      <w:r>
        <w:t xml:space="preserve">Die Eintragungen über rechtskräftige oder unanfechtbare Entscheidungen nach </w:t>
      </w:r>
      <w:hyperlink w:anchor="b69" w:history="1">
        <w:r>
          <w:rPr>
            <w:color w:val="0A3A8C"/>
            <w:u w:val="single"/>
          </w:rPr>
          <w:t xml:space="preserve">§ 28</w:t>
        </w:r>
      </w:hyperlink>
      <w:r>
        <w:t xml:space="preserve"> Absatz 3 Nummer 1 bis 3 und 6, in denen Inhabern ausländischer Fahrerlaubnisse die Fahrerlaubnis entzogen oder ein Fahrverbot angeordnet wird oder die fehlende Berechtigung von der Fahrerlaubnis im Inland Gebrauch zu machen festgestellt wird, werden vom Kraftfahrt-Bundesamt an die zuständigen Stellen der Mitgliedstaaten der Europäischen Union oder der Vertragsstaaten des Abkommens über den Europäischen Wirtschaftsraum übermittelt, um ihnen die Einleitung eigener Maßnahmen zu ermöglichen. </w:t>
      </w:r>
      <w:r>
        <w:rPr>
          <w:rStyle w:val="Satznummer"/>
        </w:rPr>
        <w:t>2</w:t>
      </w:r>
      <w:r>
        <w:t>Der Umfang der zu übermittelnden Daten wird durch Rechtsverordnung bestimmt (</w:t>
      </w:r>
      <w:hyperlink w:anchor="b76" w:history="1">
        <w:r>
          <w:rPr>
            <w:color w:val="0A3A8C"/>
            <w:u w:val="single"/>
          </w:rPr>
          <w:t xml:space="preserve">§ 30c</w:t>
        </w:r>
      </w:hyperlink>
      <w:r>
        <w:t xml:space="preserve"> Absatz 1 Nummer 3).</w:t>
      </w:r>
    </w:p>
    <w:p>
      <w:pPr>
        <w:pStyle w:val="Heading2"/>
      </w:pPr>
      <w:bookmarkStart w:id="75" w:name="b74"/>
      <w:r>
        <w:t>§ 30a Direkteinstellung und Abruf im automatisierten Verfahren</w:t>
      </w:r>
      <w:r>
        <w:t xml:space="preserve"> </w:t>
      </w:r>
      <w:r>
        <w:rPr>
          <w:rStyle w:val="Suchmarke"/>
        </w:rPr>
        <w:t>#30a#</w:t>
      </w:r>
      <w:bookmarkEnd w:id="75"/>
    </w:p>
    <w:p>
      <w:r>
        <w:t xml:space="preserve">(1) Den Stellen, denen die Aufgaben nach </w:t>
      </w:r>
      <w:hyperlink w:anchor="b73" w:history="1">
        <w:r>
          <w:rPr>
            <w:color w:val="0A3A8C"/>
            <w:u w:val="single"/>
          </w:rPr>
          <w:t xml:space="preserve">§ 30</w:t>
        </w:r>
      </w:hyperlink>
      <w:r>
        <w:t xml:space="preserve"> Absatz 1 bis 4b obliegen, dürfen die für die Erfüllung dieser Aufgaben jeweils erforderlichen Daten aus dem Fahreignungsregister durch Abruf im automatisierten Verfahren übermittelt werden.</w:t>
      </w:r>
    </w:p>
    <w:p>
      <w:r>
        <w:t>(2) Die Einrichtung von Anlagen zur Datenfernübertragung durch Direkteinstellung oder zum Abruf im automatisierten Verfahren ist nur zulässig, wenn nach näherer Bestimmung durch Rechtsverordnung (</w:t>
      </w:r>
      <w:hyperlink w:anchor="b76" w:history="1">
        <w:r>
          <w:rPr>
            <w:color w:val="0A3A8C"/>
            <w:u w:val="single"/>
          </w:rPr>
          <w:t xml:space="preserve">§ 30c</w:t>
        </w:r>
      </w:hyperlink>
      <w:r>
        <w:t xml:space="preserve"> Absatz 1 Nummer 5) gewährleistet ist, dass</w:t>
      </w:r>
    </w:p>
    <w:p>
      <w:pPr>
        <w:tabs>
          <w:tab w:pos="567" w:val="left"/>
        </w:tabs>
        <w:ind w:left="567" w:hanging="567"/>
      </w:pPr>
      <w:r>
        <w:t>1.</w:t>
      </w:r>
      <w:r>
        <w:tab/>
      </w:r>
      <w:r>
        <w:t>die erforderlichen technischen und organisatorischen Maßnahmen nach den Artikeln 24, 25 und 32 der Verordnung (EU) 2016/679 des Europäischen Parlaments und des Rates vom 27. April 2016 zum Schutz natürlicher Personen bei der Verarbeitung personenbezogener Daten, zum freien Datenverkehr und zur Aufhebung der Richtlinie 95/46/EG (Datenschutz-Grundverordnung) (ABl. L 119 vom 4.5.2016, S. 1; L 314 vom 22.11.2016, S. 72; L 127 vom 23.5.2018, S. 2) in der jeweils geltenden Fassung zur Sicherstellung des Datenschutzes und der Datensicherheit getroffen werden und</w:t>
      </w:r>
    </w:p>
    <w:p>
      <w:pPr>
        <w:tabs>
          <w:tab w:pos="567" w:val="left"/>
        </w:tabs>
        <w:ind w:left="567" w:hanging="567"/>
      </w:pPr>
      <w:r>
        <w:t>2.</w:t>
      </w:r>
      <w:r>
        <w:tab/>
      </w:r>
      <w:r>
        <w:t>die Zulässigkeit der Direkteinstellungen oder der Abrufe nach Maßgabe des Absatzes 3 kontrolliert werden kann.</w:t>
      </w:r>
    </w:p>
    <w:p>
      <w:r>
        <w:t xml:space="preserve">(3) </w:t>
      </w:r>
      <w:r>
        <w:rPr>
          <w:rStyle w:val="Satznummer"/>
        </w:rPr>
        <w:t>1</w:t>
      </w:r>
      <w:r>
        <w:t xml:space="preserve">Das Kraftfahrt-Bundesamt fertigt über die Direkteinstellungen und die Abrufe Aufzeichnungen an, die die bei der Durchführung der Direkteinstellungen oder Abrufe verwendeten Daten, den Tag und die Uhrzeit der Direkteinstellungen oder Abrufe, die Kennung der einstellenden oder abrufenden Dienststelle und die eingestellten oder abgerufenen Daten enthalten müssen. </w:t>
      </w:r>
      <w:r>
        <w:rPr>
          <w:rStyle w:val="Satznummer"/>
        </w:rPr>
        <w:t>2</w:t>
      </w:r>
      <w:r>
        <w:t xml:space="preserve">Die Zulässigkeit der Direkteinstellungen und Abrufe personenbezogener Daten wird durch Stichproben durch das Kraftfahrt-Bundesamt festgestellt und überprüft. </w:t>
      </w:r>
      <w:r>
        <w:rPr>
          <w:rStyle w:val="Satznummer"/>
        </w:rPr>
        <w:t>3</w:t>
      </w:r>
      <w:r>
        <w:t xml:space="preserve">Die Protokolldaten nach Satz 1 dürfen nur für Zwecke der Datenschutzkontrolle, der Datensicherung oder zur Sicherstellung eines ordnungsgemäßen Betriebs der Datenverarbeitungsanlage verwendet werden. </w:t>
      </w:r>
      <w:r>
        <w:rPr>
          <w:rStyle w:val="Satznummer"/>
        </w:rPr>
        <w:t>4</w:t>
      </w:r>
      <w:r>
        <w:t xml:space="preserve">Liegen Anhaltspunkte dafür vor, dass ohne ihre Verwendung die Verhinderung oder Verfolgung einer schwerwiegenden Straftat gegen Leib, Leben oder Freiheit einer Person aussichtslos oder wesentlich erschwert wäre, dürfen die Protokolldaten auch für diesen Zweck verwendet werden, sofern das Ersuchen der Strafverfolgungsbehörde unter Verwendung von Personendaten einer bestimmten Person gestellt wird. </w:t>
      </w:r>
      <w:r>
        <w:rPr>
          <w:rStyle w:val="Satznummer"/>
        </w:rPr>
        <w:t>5</w:t>
      </w:r>
      <w:r>
        <w:t>Die Protokolldaten sind durch geeignete Vorkehrungen gegen zweckfremde Verwendung und gegen sonstigen Missbrauch zu schützen und nach sechs Monaten zu löschen.</w:t>
      </w:r>
    </w:p>
    <w:p>
      <w:r>
        <w:t xml:space="preserve">(4) </w:t>
      </w:r>
      <w:r>
        <w:rPr>
          <w:rStyle w:val="Satznummer"/>
        </w:rPr>
        <w:t>1</w:t>
      </w:r>
      <w:r>
        <w:t xml:space="preserve">Das Kraftfahrt-Bundesamt fertigt weitere Aufzeichnungen, die sich auf den Anlass der Direkteinstellung oder des Abrufs erstrecken und die Feststellung der für die Direkteinstellung oder den Abruf verantwortlichen Person ermöglichen. </w:t>
      </w:r>
      <w:r>
        <w:rPr>
          <w:rStyle w:val="Satznummer"/>
        </w:rPr>
        <w:t>2</w:t>
      </w:r>
      <w:r>
        <w:t>Das Nähere wird durch Rechtsverordnung (</w:t>
      </w:r>
      <w:hyperlink w:anchor="b76" w:history="1">
        <w:r>
          <w:rPr>
            <w:color w:val="0A3A8C"/>
            <w:u w:val="single"/>
          </w:rPr>
          <w:t xml:space="preserve">§ 30c</w:t>
        </w:r>
      </w:hyperlink>
      <w:r>
        <w:t xml:space="preserve"> Absatz 1 Nummer 5) bestimmt.</w:t>
      </w:r>
    </w:p>
    <w:p>
      <w:r>
        <w:t xml:space="preserve">(5) </w:t>
      </w:r>
      <w:r>
        <w:rPr>
          <w:rStyle w:val="Satznummer"/>
        </w:rPr>
        <w:t>1</w:t>
      </w:r>
      <w:r>
        <w:t xml:space="preserve">Durch Abruf im automatisierten Verfahren dürfen aus dem Fahreignungsregister für die in </w:t>
      </w:r>
      <w:hyperlink w:anchor="b73" w:history="1">
        <w:r>
          <w:rPr>
            <w:color w:val="0A3A8C"/>
            <w:u w:val="single"/>
          </w:rPr>
          <w:t xml:space="preserve">§ 30</w:t>
        </w:r>
      </w:hyperlink>
      <w:r>
        <w:t xml:space="preserve"> Abs. 7 genannten Maßnahmen an die hierfür zuständigen öffentlichen Stellen in einem Mitgliedstaat der Europäischen Union oder einem anderen Vertragsstaat des Abkommens über den Europäischen Wirtschaftsraum übermittelt werden:</w:t>
      </w:r>
    </w:p>
    <w:p>
      <w:pPr>
        <w:tabs>
          <w:tab w:pos="567" w:val="left"/>
        </w:tabs>
        <w:ind w:left="567" w:hanging="567"/>
      </w:pPr>
      <w:r>
        <w:t>1.</w:t>
      </w:r>
      <w:r>
        <w:tab/>
      </w:r>
      <w:r>
        <w:t>die Tatsache folgender Entscheidungen der Verwaltungsbehörden:</w:t>
      </w:r>
    </w:p>
    <w:p>
      <w:pPr>
        <w:tabs>
          <w:tab w:pos="1134" w:val="left"/>
        </w:tabs>
        <w:ind w:left="1134" w:hanging="567"/>
      </w:pPr>
      <w:r>
        <w:t>a)</w:t>
      </w:r>
      <w:r>
        <w:tab/>
      </w:r>
      <w:r>
        <w:t>die unanfechtbare Versagung einer Fahrerlaubnis, einschließlich der Ablehnung der Verlängerung einer befristeten Fahrerlaubnis,</w:t>
      </w:r>
    </w:p>
    <w:p>
      <w:pPr>
        <w:tabs>
          <w:tab w:pos="1134" w:val="left"/>
        </w:tabs>
        <w:ind w:left="1134" w:hanging="567"/>
      </w:pPr>
      <w:r>
        <w:t>b)</w:t>
      </w:r>
      <w:r>
        <w:tab/>
      </w:r>
      <w:r>
        <w:t>die unanfechtbaren oder sofort vollziehbaren Entziehungen, Widerrufe oder Rücknahmen einer Fahrerlaubnis oder Feststellungen über die fehlende Berechtigung, von einer ausländischen Fahrerlaubnis im Inland Gebrauch zu machen,</w:t>
      </w:r>
    </w:p>
    <w:p>
      <w:pPr>
        <w:tabs>
          <w:tab w:pos="1134" w:val="left"/>
        </w:tabs>
        <w:ind w:left="1134" w:hanging="567"/>
      </w:pPr>
      <w:r>
        <w:t>c)</w:t>
      </w:r>
      <w:r>
        <w:tab/>
      </w:r>
      <w:r>
        <w:t>die rechtskräftige Anordnung eines Fahrverbots,</w:t>
      </w:r>
    </w:p>
    <w:p>
      <w:pPr>
        <w:tabs>
          <w:tab w:pos="567" w:val="left"/>
        </w:tabs>
        <w:ind w:left="567" w:hanging="567"/>
      </w:pPr>
      <w:r>
        <w:t>2.</w:t>
      </w:r>
      <w:r>
        <w:tab/>
      </w:r>
      <w:r>
        <w:t>die Tatsache folgender Entscheidungen der Gerichte:</w:t>
      </w:r>
    </w:p>
    <w:p>
      <w:pPr>
        <w:tabs>
          <w:tab w:pos="1134" w:val="left"/>
        </w:tabs>
        <w:ind w:left="1134" w:hanging="567"/>
      </w:pPr>
      <w:r>
        <w:t>a)</w:t>
      </w:r>
      <w:r>
        <w:tab/>
      </w:r>
      <w:r>
        <w:t>die rechtskräftige oder vorläufige Entziehung einer Fahrerlaubnis,</w:t>
      </w:r>
    </w:p>
    <w:p>
      <w:pPr>
        <w:tabs>
          <w:tab w:pos="1134" w:val="left"/>
        </w:tabs>
        <w:ind w:left="1134" w:hanging="567"/>
      </w:pPr>
      <w:r>
        <w:t>b)</w:t>
      </w:r>
      <w:r>
        <w:tab/>
      </w:r>
      <w:r>
        <w:t>die rechtskräftige Anordnung einer Fahrerlaubnissperre,</w:t>
      </w:r>
    </w:p>
    <w:p>
      <w:pPr>
        <w:tabs>
          <w:tab w:pos="1134" w:val="left"/>
        </w:tabs>
        <w:ind w:left="1134" w:hanging="567"/>
      </w:pPr>
      <w:r>
        <w:t>c)</w:t>
      </w:r>
      <w:r>
        <w:tab/>
      </w:r>
      <w:r>
        <w:t>die rechtskräftige Anordnung eines Fahrverbots,</w:t>
      </w:r>
    </w:p>
    <w:p>
      <w:pPr>
        <w:tabs>
          <w:tab w:pos="567" w:val="left"/>
        </w:tabs>
        <w:ind w:left="567" w:hanging="567"/>
      </w:pPr>
      <w:r>
        <w:t>3.</w:t>
      </w:r>
      <w:r>
        <w:tab/>
      </w:r>
      <w:r>
        <w:t>die Tatsache der Beschlagnahme, Sicherstellung oder Verwahrung des Führerscheins nach § 94 der Strafprozessordnung,</w:t>
      </w:r>
    </w:p>
    <w:p>
      <w:pPr>
        <w:tabs>
          <w:tab w:pos="567" w:val="left"/>
        </w:tabs>
        <w:ind w:left="567" w:hanging="567"/>
      </w:pPr>
      <w:r>
        <w:t>4.</w:t>
      </w:r>
      <w:r>
        <w:tab/>
      </w:r>
      <w:r>
        <w:t>die Tatsache des Verzichts auf eine Fahrerlaubnis und</w:t>
      </w:r>
    </w:p>
    <w:p>
      <w:pPr>
        <w:tabs>
          <w:tab w:pos="567" w:val="left"/>
        </w:tabs>
        <w:ind w:left="567" w:hanging="567"/>
      </w:pPr>
      <w:r>
        <w:t>5.</w:t>
      </w:r>
      <w:r>
        <w:tab/>
      </w:r>
      <w:r>
        <w:t>zusätzlich</w:t>
      </w:r>
    </w:p>
    <w:p>
      <w:pPr>
        <w:tabs>
          <w:tab w:pos="1134" w:val="left"/>
        </w:tabs>
        <w:ind w:left="1134" w:hanging="567"/>
      </w:pPr>
      <w:r>
        <w:t>a)</w:t>
      </w:r>
      <w:r>
        <w:tab/>
      </w:r>
      <w:r>
        <w:t>Klasse, Art und etwaige Beschränkungen der Fahrerlaubnis, die Gegenstand der Entscheidung nach Nummer 1 oder Nummer 2 oder des Verzichts nach Nummer 4 ist, und</w:t>
      </w:r>
    </w:p>
    <w:p>
      <w:pPr>
        <w:tabs>
          <w:tab w:pos="1134" w:val="left"/>
        </w:tabs>
        <w:ind w:left="1134" w:hanging="567"/>
      </w:pPr>
      <w:r>
        <w:t>b)</w:t>
      </w:r>
      <w:r>
        <w:tab/>
      </w:r>
      <w:r>
        <w:t>Familiennamen, Geburtsnamen, sonstige frühere Namen, Vornamen, Ordens- oder Künstlernamen, Tag und Ort der Geburt der Person, zu der eine Eintragung nach den Nummern 1 bis 3 vorliegt.</w:t>
      </w:r>
    </w:p>
    <w:p>
      <w:r>
        <w:rPr>
          <w:rStyle w:val="Satznummer"/>
        </w:rPr>
        <w:t>2</w:t>
      </w:r>
      <w:r>
        <w:t>Der Abruf ist nur zulässig, wenn</w:t>
      </w:r>
    </w:p>
    <w:p>
      <w:pPr>
        <w:tabs>
          <w:tab w:pos="567" w:val="left"/>
        </w:tabs>
        <w:ind w:left="567" w:hanging="567"/>
      </w:pPr>
      <w:r>
        <w:t>1.</w:t>
      </w:r>
      <w:r>
        <w:tab/>
      </w:r>
      <w:r>
        <w:t>diese Form der Datenübermittlung unter Berücksichtigung der schutzwürdigen Interessen der betroffenen Personen wegen der Vielzahl der Übermittlungen oder wegen ihrer besonderen Eilbedürftigkeit angemessen ist und</w:t>
      </w:r>
    </w:p>
    <w:p>
      <w:pPr>
        <w:tabs>
          <w:tab w:pos="567" w:val="left"/>
        </w:tabs>
        <w:ind w:left="567" w:hanging="567"/>
      </w:pPr>
      <w:r>
        <w:t>2.</w:t>
      </w:r>
      <w:r>
        <w:tab/>
      </w:r>
      <w:r>
        <w:t>der Empfängerstaat die Verordnung (EU) 2016/679 anwendet.</w:t>
      </w:r>
    </w:p>
    <w:p>
      <w:r>
        <w:rPr>
          <w:rStyle w:val="Satznummer"/>
        </w:rPr>
        <w:t>3</w:t>
      </w:r>
      <w:r>
        <w:t>Die Absätze 2 und 3 sowie Absatz 4 wegen des Anlasses der Abrufe sind entsprechend anzuwenden.</w:t>
      </w:r>
    </w:p>
    <w:p>
      <w:pPr>
        <w:pStyle w:val="Heading2"/>
      </w:pPr>
      <w:bookmarkStart w:id="76" w:name="b75"/>
      <w:r>
        <w:t>§ 30b Automatisiertes Anfrage- und Auskunftsverfahren beim Kraftfahrt-Bundesamt</w:t>
      </w:r>
      <w:r>
        <w:t xml:space="preserve"> </w:t>
      </w:r>
      <w:r>
        <w:rPr>
          <w:rStyle w:val="Suchmarke"/>
        </w:rPr>
        <w:t>#30b#</w:t>
      </w:r>
      <w:bookmarkEnd w:id="76"/>
    </w:p>
    <w:p>
      <w:r>
        <w:t xml:space="preserve">(1) </w:t>
      </w:r>
      <w:r>
        <w:rPr>
          <w:rStyle w:val="Satznummer"/>
        </w:rPr>
        <w:t>1</w:t>
      </w:r>
      <w:r>
        <w:t xml:space="preserve">Die Übermittlung von Daten aus dem Fahreignungsregister nach </w:t>
      </w:r>
      <w:hyperlink w:anchor="b73" w:history="1">
        <w:r>
          <w:rPr>
            <w:color w:val="0A3A8C"/>
            <w:u w:val="single"/>
          </w:rPr>
          <w:t xml:space="preserve">§ 30</w:t>
        </w:r>
      </w:hyperlink>
      <w:r>
        <w:t xml:space="preserve"> Absatz 1 bis 4b und 7 darf nach näherer Bestimmung durch Rechtsverordnung gemäß § 30c Abs. 1 Nr. 6 in einem automatisierten Anfrage- und Auskunftsverfahren erfolgen. </w:t>
      </w:r>
      <w:r>
        <w:rPr>
          <w:rStyle w:val="Satznummer"/>
        </w:rPr>
        <w:t>2</w:t>
      </w:r>
      <w:r>
        <w:t>Die anfragende Stelle hat die Zwecke anzugeben, für die die zu übermittelnden Daten benötigt werden.</w:t>
      </w:r>
    </w:p>
    <w:p>
      <w:r>
        <w:t>(2) Solche Verfahren dürfen nur eingerichtet werden, wenn gewährleistet ist, dass</w:t>
      </w:r>
    </w:p>
    <w:p>
      <w:pPr>
        <w:tabs>
          <w:tab w:pos="567" w:val="left"/>
        </w:tabs>
        <w:ind w:left="567" w:hanging="567"/>
      </w:pPr>
      <w:r>
        <w:t>1.</w:t>
      </w:r>
      <w:r>
        <w:tab/>
      </w:r>
      <w:r>
        <w:t>die zur Sicherung gegen Missbrauch erforderlichen technischen und organisatorischen Maßnahmen ergriffen werden und</w:t>
      </w:r>
    </w:p>
    <w:p>
      <w:pPr>
        <w:tabs>
          <w:tab w:pos="567" w:val="left"/>
        </w:tabs>
        <w:ind w:left="567" w:hanging="567"/>
      </w:pPr>
      <w:r>
        <w:t>2.</w:t>
      </w:r>
      <w:r>
        <w:tab/>
      </w:r>
      <w:r>
        <w:t>die Zulässigkeit der Übermittlung nach Maßgabe des Absatzes 3 kontrolliert werden kann.</w:t>
      </w:r>
    </w:p>
    <w:p>
      <w:r>
        <w:t xml:space="preserve">(3) </w:t>
      </w:r>
      <w:r>
        <w:rPr>
          <w:rStyle w:val="Satznummer"/>
        </w:rPr>
        <w:t>1</w:t>
      </w:r>
      <w:r>
        <w:t xml:space="preserve">Das Kraftfahrt-Bundesamt als übermittelnde Behörde hat Aufzeichnungen zu führen, die die übermittelten Daten, den Zeitpunkt der Übermittlung, den Empfänger der Daten und den vom Empfänger angegebenen Zweck enthalten. </w:t>
      </w:r>
      <w:r>
        <w:rPr>
          <w:rStyle w:val="Satznummer"/>
        </w:rPr>
        <w:t>2</w:t>
      </w:r>
      <w:hyperlink w:anchor="b74" w:history="1">
        <w:r>
          <w:rPr>
            <w:color w:val="0A3A8C"/>
            <w:u w:val="single"/>
          </w:rPr>
          <w:t xml:space="preserve">§ 30a</w:t>
        </w:r>
      </w:hyperlink>
      <w:r>
        <w:t xml:space="preserve"> Abs. 3 Satz 3 und 4 gilt entsprechend.</w:t>
      </w:r>
    </w:p>
    <w:p>
      <w:pPr>
        <w:pStyle w:val="Heading2"/>
      </w:pPr>
      <w:bookmarkStart w:id="77" w:name="b76"/>
      <w:r>
        <w:t>§ 30c Verordnungsermächtigungen, Ausführungsvorschriften</w:t>
      </w:r>
      <w:r>
        <w:t xml:space="preserve"> </w:t>
      </w:r>
      <w:r>
        <w:rPr>
          <w:rStyle w:val="Suchmarke"/>
        </w:rPr>
        <w:t>#30c#</w:t>
      </w:r>
      <w:bookmarkEnd w:id="77"/>
    </w:p>
    <w:p>
      <w:r>
        <w:rPr>
          <w:rStyle w:val="Satznummer"/>
        </w:rPr>
        <w:t>1</w:t>
      </w:r>
      <w:r>
        <w:t>Das Bundesministerium für Verkehr wird ermächtigt, Rechtsverordnungen mit Zustimmung des Bundesrates zu erlassen über</w:t>
      </w:r>
    </w:p>
    <w:p>
      <w:pPr>
        <w:tabs>
          <w:tab w:pos="567" w:val="left"/>
        </w:tabs>
        <w:ind w:left="567" w:hanging="567"/>
      </w:pPr>
      <w:r>
        <w:t>1.</w:t>
      </w:r>
      <w:r>
        <w:tab/>
      </w:r>
      <w:r>
        <w:t xml:space="preserve">den Inhalt der Eintragungen einschließlich der Personendaten nach </w:t>
      </w:r>
      <w:hyperlink w:anchor="b69" w:history="1">
        <w:r>
          <w:rPr>
            <w:color w:val="0A3A8C"/>
            <w:u w:val="single"/>
          </w:rPr>
          <w:t xml:space="preserve">§ 28</w:t>
        </w:r>
      </w:hyperlink>
      <w:r>
        <w:t xml:space="preserve"> Abs. 3,</w:t>
      </w:r>
    </w:p>
    <w:p>
      <w:pPr>
        <w:tabs>
          <w:tab w:pos="567" w:val="left"/>
        </w:tabs>
        <w:ind w:left="567" w:hanging="567"/>
      </w:pPr>
      <w:r>
        <w:t>2.</w:t>
      </w:r>
      <w:r>
        <w:tab/>
      </w:r>
      <w:r>
        <w:t xml:space="preserve">Verkürzungen der Tilgungsfristen nach </w:t>
      </w:r>
      <w:hyperlink w:anchor="b72" w:history="1">
        <w:r>
          <w:rPr>
            <w:color w:val="0A3A8C"/>
            <w:u w:val="single"/>
          </w:rPr>
          <w:t xml:space="preserve">§ 29</w:t>
        </w:r>
      </w:hyperlink>
      <w:r>
        <w:t xml:space="preserve"> Abs. 1 Satz 5 und über Tilgungen ohne Rücksicht auf den Lauf der Fristen nach </w:t>
      </w:r>
      <w:hyperlink w:anchor="b72" w:history="1">
        <w:r>
          <w:rPr>
            <w:color w:val="0A3A8C"/>
            <w:u w:val="single"/>
          </w:rPr>
          <w:t xml:space="preserve">§ 29</w:t>
        </w:r>
      </w:hyperlink>
      <w:r>
        <w:t xml:space="preserve"> Abs. 3 Nr. 3,</w:t>
      </w:r>
    </w:p>
    <w:p>
      <w:pPr>
        <w:tabs>
          <w:tab w:pos="567" w:val="left"/>
        </w:tabs>
        <w:ind w:left="567" w:hanging="567"/>
      </w:pPr>
      <w:r>
        <w:t>3.</w:t>
      </w:r>
      <w:r>
        <w:tab/>
      </w:r>
      <w:r>
        <w:t xml:space="preserve">die Art und den Umfang der zu übermittelnden Daten nach </w:t>
      </w:r>
      <w:hyperlink w:anchor="b73" w:history="1">
        <w:r>
          <w:rPr>
            <w:color w:val="0A3A8C"/>
            <w:u w:val="single"/>
          </w:rPr>
          <w:t xml:space="preserve">§ 30</w:t>
        </w:r>
      </w:hyperlink>
      <w:r>
        <w:t xml:space="preserve"> Absatz 1 bis 4b, 7 und 10 sowie die Bestimmung der Empfänger und den Geschäftsweg bei Übermittlungen nach </w:t>
      </w:r>
      <w:hyperlink w:anchor="b73" w:history="1">
        <w:r>
          <w:rPr>
            <w:color w:val="0A3A8C"/>
            <w:u w:val="single"/>
          </w:rPr>
          <w:t xml:space="preserve">§ 30</w:t>
        </w:r>
      </w:hyperlink>
      <w:r>
        <w:t xml:space="preserve"> Abs. 7 und 10,</w:t>
      </w:r>
    </w:p>
    <w:p>
      <w:pPr>
        <w:tabs>
          <w:tab w:pos="567" w:val="left"/>
        </w:tabs>
        <w:ind w:left="567" w:hanging="567"/>
      </w:pPr>
      <w:r>
        <w:t>4.</w:t>
      </w:r>
      <w:r>
        <w:tab/>
      </w:r>
      <w:r>
        <w:t xml:space="preserve">den Identitätsnachweis bei Auskünften nach </w:t>
      </w:r>
      <w:hyperlink w:anchor="b73" w:history="1">
        <w:r>
          <w:rPr>
            <w:color w:val="0A3A8C"/>
            <w:u w:val="single"/>
          </w:rPr>
          <w:t xml:space="preserve">§ 30</w:t>
        </w:r>
      </w:hyperlink>
      <w:r>
        <w:t xml:space="preserve"> Abs. 8,</w:t>
      </w:r>
    </w:p>
    <w:p>
      <w:pPr>
        <w:tabs>
          <w:tab w:pos="567" w:val="left"/>
        </w:tabs>
        <w:ind w:left="567" w:hanging="567"/>
      </w:pPr>
      <w:r>
        <w:t>5.</w:t>
      </w:r>
      <w:r>
        <w:tab/>
      </w:r>
      <w:r>
        <w:t xml:space="preserve">die Art und den Umfang der zu übermittelnden Daten nach </w:t>
      </w:r>
      <w:hyperlink w:anchor="b69" w:history="1">
        <w:r>
          <w:rPr>
            <w:color w:val="0A3A8C"/>
            <w:u w:val="single"/>
          </w:rPr>
          <w:t xml:space="preserve">§ 28</w:t>
        </w:r>
      </w:hyperlink>
      <w:r>
        <w:t xml:space="preserve"> Absatz 4 Satz 2 und </w:t>
      </w:r>
      <w:hyperlink w:anchor="b74" w:history="1">
        <w:r>
          <w:rPr>
            <w:color w:val="0A3A8C"/>
            <w:u w:val="single"/>
          </w:rPr>
          <w:t xml:space="preserve">§ 30a</w:t>
        </w:r>
      </w:hyperlink>
      <w:r>
        <w:t xml:space="preserve"> Abs. 1, die Maßnahmen zur Sicherung gegen Missbrauch nach </w:t>
      </w:r>
      <w:hyperlink w:anchor="b74" w:history="1">
        <w:r>
          <w:rPr>
            <w:color w:val="0A3A8C"/>
            <w:u w:val="single"/>
          </w:rPr>
          <w:t xml:space="preserve">§ 30a</w:t>
        </w:r>
      </w:hyperlink>
      <w:r>
        <w:t xml:space="preserve"> Abs. 2, die weiteren Aufzeichnungen nach </w:t>
      </w:r>
      <w:hyperlink w:anchor="b74" w:history="1">
        <w:r>
          <w:rPr>
            <w:color w:val="0A3A8C"/>
            <w:u w:val="single"/>
          </w:rPr>
          <w:t xml:space="preserve">§ 30a</w:t>
        </w:r>
      </w:hyperlink>
      <w:r>
        <w:t xml:space="preserve"> Abs. 4 beim Abruf im automatisierten Verfahren und die Bestimmung der Empfänger bei Übermittlungen nach </w:t>
      </w:r>
      <w:hyperlink w:anchor="b74" w:history="1">
        <w:r>
          <w:rPr>
            <w:color w:val="0A3A8C"/>
            <w:u w:val="single"/>
          </w:rPr>
          <w:t xml:space="preserve">§ 30a</w:t>
        </w:r>
      </w:hyperlink>
      <w:r>
        <w:t xml:space="preserve"> Abs. 5,</w:t>
      </w:r>
    </w:p>
    <w:p>
      <w:pPr>
        <w:tabs>
          <w:tab w:pos="567" w:val="left"/>
        </w:tabs>
        <w:ind w:left="567" w:hanging="567"/>
      </w:pPr>
      <w:r>
        <w:t>6.</w:t>
      </w:r>
      <w:r>
        <w:tab/>
      </w:r>
      <w:r>
        <w:t xml:space="preserve">die Art und den Umfang der zu übermittelnden Daten nach </w:t>
      </w:r>
      <w:hyperlink w:anchor="b75" w:history="1">
        <w:r>
          <w:rPr>
            <w:color w:val="0A3A8C"/>
            <w:u w:val="single"/>
          </w:rPr>
          <w:t xml:space="preserve">§ 30b</w:t>
        </w:r>
      </w:hyperlink>
      <w:r>
        <w:t xml:space="preserve"> Abs. 1 und die Maßnahmen zur Sicherung gegen Missbrauch nach </w:t>
      </w:r>
      <w:hyperlink w:anchor="b75" w:history="1">
        <w:r>
          <w:rPr>
            <w:color w:val="0A3A8C"/>
            <w:u w:val="single"/>
          </w:rPr>
          <w:t xml:space="preserve">§ 30b</w:t>
        </w:r>
      </w:hyperlink>
      <w:r>
        <w:t xml:space="preserve"> Abs. 2 Nr. 1,</w:t>
      </w:r>
    </w:p>
    <w:p>
      <w:pPr>
        <w:tabs>
          <w:tab w:pos="567" w:val="left"/>
        </w:tabs>
        <w:ind w:left="567" w:hanging="567"/>
      </w:pPr>
      <w:r>
        <w:t>7.</w:t>
      </w:r>
      <w:r>
        <w:tab/>
      </w:r>
      <w:r>
        <w:t>die Art und Weise der Durchführung von Datenübermittlungen,</w:t>
      </w:r>
    </w:p>
    <w:p>
      <w:pPr>
        <w:tabs>
          <w:tab w:pos="567" w:val="left"/>
        </w:tabs>
        <w:ind w:left="567" w:hanging="567"/>
      </w:pPr>
      <w:r>
        <w:t>8.</w:t>
      </w:r>
      <w:r>
        <w:tab/>
      </w:r>
      <w:r>
        <w:t>die Zusammenarbeit zwischen Bundeszentralregister und Fahreignungsregister.</w:t>
      </w:r>
    </w:p>
    <w:p>
      <w:r>
        <w:rPr>
          <w:rStyle w:val="Satznummer"/>
        </w:rPr>
        <w:t>2</w:t>
      </w:r>
      <w:r>
        <w:t>Die Rechtsverordnungen nach Satz 1 Nummer 7, soweit Justizbehörden betroffen sind, und nach Satz 1 Nummer 8 werden im Einvernehmen mit dem Bundesministerium der Justiz und für Verbraucherschutz erlassen.</w:t>
      </w:r>
    </w:p>
    <w:p>
      <w:pPr>
        <w:pStyle w:val="Heading1"/>
      </w:pPr>
      <w:bookmarkStart w:id="78" w:name="b77"/>
      <w:r>
        <w:t>V. Fahrzeugregister</w:t>
      </w:r>
      <w:bookmarkEnd w:id="78"/>
    </w:p>
    <w:p>
      <w:pPr>
        <w:pStyle w:val="Heading2"/>
      </w:pPr>
      <w:bookmarkStart w:id="79" w:name="b78"/>
      <w:r>
        <w:t>§ 31 Registerführung und Registerbehörden</w:t>
      </w:r>
      <w:r>
        <w:t xml:space="preserve"> </w:t>
      </w:r>
      <w:r>
        <w:rPr>
          <w:rStyle w:val="Suchmarke"/>
        </w:rPr>
        <w:t>#31#</w:t>
      </w:r>
      <w:bookmarkEnd w:id="79"/>
    </w:p>
    <w:p>
      <w:r>
        <w:t>(1) Die Zulassungsbehörden führen ein Register über die Fahrzeuge, für die ein Kennzeichen ihres Bezirks zugeteilt oder ausgegeben wurde (örtliches Fahrzeugregister der Zulassungsbehörden).</w:t>
      </w:r>
    </w:p>
    <w:p>
      <w:r>
        <w:t xml:space="preserve">(2) Das Kraftfahrt-Bundesamt führt ein Register über die Fahrzeuge, für die im Geltungsbereich dieses Gesetzes ein Kennzeichen zugeteilt oder ausgegeben wurde oder die nach Maßgabe von Vorschriften auf Grund des </w:t>
      </w:r>
      <w:hyperlink w:anchor="b26" w:history="1">
        <w:r>
          <w:rPr>
            <w:color w:val="0A3A8C"/>
            <w:u w:val="single"/>
          </w:rPr>
          <w:t xml:space="preserve">§ 6</w:t>
        </w:r>
      </w:hyperlink>
      <w:r>
        <w:t xml:space="preserve"> Absatz 1 Satz 1 Nummer 6 regelmäßig untersucht oder geprüft wurden (Zentrales Fahrzeugregister des Kraftfahrt-Bundesamtes).</w:t>
      </w:r>
    </w:p>
    <w:p>
      <w:r>
        <w:t xml:space="preserve">(3) </w:t>
      </w:r>
      <w:r>
        <w:rPr>
          <w:rStyle w:val="Satznummer"/>
        </w:rPr>
        <w:t>1</w:t>
      </w:r>
      <w:r>
        <w:t xml:space="preserve">Soweit die Dienststellen der Bundeswehr, der Polizeien des Bundes und der Länder, der Wasserstraßen- und Schifffahrtsverwaltung des Bundes eigene Register für die jeweils von ihnen zugelassenen Fahrzeuge führen, finden die Vorschriften dieses Abschnitts keine Anwendung. </w:t>
      </w:r>
      <w:r>
        <w:rPr>
          <w:rStyle w:val="Satznummer"/>
        </w:rPr>
        <w:t>2</w:t>
      </w:r>
      <w:r>
        <w:t>Satz 1 gilt entsprechend für Fahrzeuge, die von den Nachfolgeunternehmen der Deutschen Bundespost zugelassen sind.</w:t>
      </w:r>
    </w:p>
    <w:p>
      <w:pPr>
        <w:pStyle w:val="Heading2"/>
      </w:pPr>
      <w:bookmarkStart w:id="80" w:name="b79"/>
      <w:r>
        <w:t>§ 32 Zweckbestimmung der Fahrzeugregister</w:t>
      </w:r>
      <w:r>
        <w:t xml:space="preserve"> </w:t>
      </w:r>
      <w:r>
        <w:rPr>
          <w:rStyle w:val="Suchmarke"/>
        </w:rPr>
        <w:t>#32#</w:t>
      </w:r>
      <w:bookmarkEnd w:id="80"/>
    </w:p>
    <w:p>
      <w:r>
        <w:t>(1) Die Fahrzeugregister werden geführt zur Speicherung von Daten</w:t>
      </w:r>
    </w:p>
    <w:p>
      <w:pPr>
        <w:tabs>
          <w:tab w:pos="567" w:val="left"/>
        </w:tabs>
        <w:ind w:left="567" w:hanging="567"/>
      </w:pPr>
      <w:r>
        <w:t>1.</w:t>
      </w:r>
      <w:r>
        <w:tab/>
      </w:r>
      <w:r>
        <w:t>für die Zulassung und Überwachung von Fahrzeugen nach diesem Gesetz oder den darauf beruhenden Rechtsvorschriften,</w:t>
      </w:r>
    </w:p>
    <w:p>
      <w:pPr>
        <w:tabs>
          <w:tab w:pos="567" w:val="left"/>
        </w:tabs>
        <w:ind w:left="567" w:hanging="567"/>
      </w:pPr>
      <w:r>
        <w:t>2.</w:t>
      </w:r>
      <w:r>
        <w:tab/>
      </w:r>
      <w:r>
        <w:t>für Maßnahmen zur Gewährleistung des Versicherungsschutzes im Rahmen der Kraftfahrzeughaftpflichtversicherung,</w:t>
      </w:r>
    </w:p>
    <w:p>
      <w:pPr>
        <w:tabs>
          <w:tab w:pos="567" w:val="left"/>
        </w:tabs>
        <w:ind w:left="567" w:hanging="567"/>
      </w:pPr>
      <w:r>
        <w:t>3.</w:t>
      </w:r>
      <w:r>
        <w:tab/>
      </w:r>
      <w:r>
        <w:t>für Maßnahmen zur Durchführung des Kraftfahrzeugsteuerrechts,</w:t>
      </w:r>
    </w:p>
    <w:p>
      <w:pPr>
        <w:tabs>
          <w:tab w:pos="567" w:val="left"/>
        </w:tabs>
        <w:ind w:left="567" w:hanging="567"/>
      </w:pPr>
      <w:r>
        <w:t>4.</w:t>
      </w:r>
      <w:r>
        <w:tab/>
      </w:r>
      <w:r>
        <w:t>für Maßnahmen nach dem Bundesleistungsgesetz, dem Verkehrssicherstellungsgesetz, dem Verkehrsleistungsgesetz oder den darauf beruhenden Rechtsvorschriften,</w:t>
      </w:r>
    </w:p>
    <w:p>
      <w:pPr>
        <w:tabs>
          <w:tab w:pos="567" w:val="left"/>
        </w:tabs>
        <w:ind w:left="567" w:hanging="567"/>
      </w:pPr>
      <w:r>
        <w:t>5.</w:t>
      </w:r>
      <w:r>
        <w:tab/>
      </w:r>
      <w:r>
        <w:t>für Maßnahmen des Katastrophenschutzes nach den hierzu erlassenen Gesetzen der Länder oder den darauf beruhenden Rechtsvorschriften,</w:t>
      </w:r>
    </w:p>
    <w:p>
      <w:pPr>
        <w:tabs>
          <w:tab w:pos="567" w:val="left"/>
        </w:tabs>
        <w:ind w:left="567" w:hanging="567"/>
      </w:pPr>
      <w:r>
        <w:t>6.</w:t>
      </w:r>
      <w:r>
        <w:tab/>
      </w:r>
      <w:r>
        <w:t>für Maßnahmen zur Durchführung des Altfahrzeugrechts,</w:t>
      </w:r>
    </w:p>
    <w:p>
      <w:pPr>
        <w:tabs>
          <w:tab w:pos="567" w:val="left"/>
        </w:tabs>
        <w:ind w:left="567" w:hanging="567"/>
      </w:pPr>
      <w:r>
        <w:t>7.</w:t>
      </w:r>
      <w:r>
        <w:tab/>
      </w:r>
      <w:r>
        <w:t>(weggefallen)</w:t>
      </w:r>
    </w:p>
    <w:p>
      <w:pPr>
        <w:tabs>
          <w:tab w:pos="567" w:val="left"/>
        </w:tabs>
        <w:ind w:left="567" w:hanging="567"/>
      </w:pPr>
      <w:r>
        <w:t>8.</w:t>
      </w:r>
      <w:r>
        <w:tab/>
      </w:r>
      <w:r>
        <w:t>für Maßnahmen zur Durchführung der Datenverarbeitung bei Kraftfahrzeugen mit automatisierter Fahrfunktion nach diesem Gesetz oder nach den auf diesem Gesetz beruhenden Rechtsvorschriften und</w:t>
      </w:r>
    </w:p>
    <w:p>
      <w:pPr>
        <w:tabs>
          <w:tab w:pos="567" w:val="left"/>
        </w:tabs>
        <w:ind w:left="567" w:hanging="567"/>
      </w:pPr>
      <w:r>
        <w:t>9.</w:t>
      </w:r>
      <w:r>
        <w:tab/>
      </w:r>
      <w:r>
        <w:t>für Maßnahmen nach oder zur Umsetzung von unionsrechtlichen Vorschriften, soweit diese die Verwendung von in den Fahrzeugregistern gespeicherten Daten erfordern.</w:t>
      </w:r>
    </w:p>
    <w:p>
      <w:r>
        <w:t>(2) Die Fahrzeugregister werden außerdem geführt zur Speicherung von Daten für die Erteilung von Auskünften, um</w:t>
      </w:r>
    </w:p>
    <w:p>
      <w:pPr>
        <w:tabs>
          <w:tab w:pos="567" w:val="left"/>
        </w:tabs>
        <w:ind w:left="567" w:hanging="567"/>
      </w:pPr>
      <w:r>
        <w:t>1.</w:t>
      </w:r>
      <w:r>
        <w:tab/>
      </w:r>
      <w:r>
        <w:t>Personen in ihrer Eigenschaft als Halter von Fahrzeugen,</w:t>
      </w:r>
    </w:p>
    <w:p>
      <w:pPr>
        <w:tabs>
          <w:tab w:pos="567" w:val="left"/>
        </w:tabs>
        <w:ind w:left="567" w:hanging="567"/>
      </w:pPr>
      <w:r>
        <w:t>2.</w:t>
      </w:r>
      <w:r>
        <w:tab/>
      </w:r>
      <w:r>
        <w:t>Fahrzeuge eines Halters oder</w:t>
      </w:r>
    </w:p>
    <w:p>
      <w:pPr>
        <w:tabs>
          <w:tab w:pos="567" w:val="left"/>
        </w:tabs>
        <w:ind w:left="567" w:hanging="567"/>
      </w:pPr>
      <w:r>
        <w:t>3.</w:t>
      </w:r>
      <w:r>
        <w:tab/>
      </w:r>
      <w:r>
        <w:t>Fahrzeugdaten</w:t>
      </w:r>
    </w:p>
    <w:p>
      <w:r>
        <w:t>festzustellen oder zu bestimmen.</w:t>
      </w:r>
    </w:p>
    <w:p>
      <w:r>
        <w:t xml:space="preserve">(3) </w:t>
      </w:r>
      <w:r>
        <w:rPr>
          <w:rStyle w:val="Satznummer"/>
        </w:rPr>
        <w:t>1</w:t>
      </w:r>
      <w:r>
        <w:t xml:space="preserve">Das Zentrale Fahrzeugregister wird außerdem geführt zur Verwendung und Übermittlung der nach </w:t>
      </w:r>
      <w:hyperlink w:anchor="b80" w:history="1">
        <w:r>
          <w:rPr>
            <w:color w:val="0A3A8C"/>
            <w:u w:val="single"/>
          </w:rPr>
          <w:t xml:space="preserve">§ 33</w:t>
        </w:r>
      </w:hyperlink>
      <w:r>
        <w:t xml:space="preserve"> Absatz 1 gespeicherten Daten, um im Einzelfall Halter von Fahrzeugen zu informieren über fahrzeugbezogene Maßnahmen,</w:t>
      </w:r>
    </w:p>
    <w:p>
      <w:pPr>
        <w:tabs>
          <w:tab w:pos="567" w:val="left"/>
        </w:tabs>
        <w:ind w:left="567" w:hanging="567"/>
      </w:pPr>
      <w:r>
        <w:t>1.</w:t>
      </w:r>
      <w:r>
        <w:tab/>
      </w:r>
      <w:r>
        <w:t>die für ihre Fahrzeuge in Betracht kommen und</w:t>
      </w:r>
    </w:p>
    <w:p>
      <w:pPr>
        <w:tabs>
          <w:tab w:pos="567" w:val="left"/>
        </w:tabs>
        <w:ind w:left="567" w:hanging="567"/>
      </w:pPr>
      <w:r>
        <w:t>2.</w:t>
      </w:r>
      <w:r>
        <w:tab/>
      </w:r>
      <w:r>
        <w:t>die dem Schutz der Verkehrssicherheit, der Gesundheit von Personen oder der Umwelt dienen.</w:t>
      </w:r>
    </w:p>
    <w:p>
      <w:r>
        <w:rPr>
          <w:rStyle w:val="Satznummer"/>
        </w:rPr>
        <w:t>2</w:t>
      </w:r>
      <w:r>
        <w:t>Fahrzeugbezogene Maßnahmen können insbesondere auf die Verbesserung von Fahrzeugeigenschaften, insbesondere auf die Verbesserung des Abgasverhaltens, des Geräuschverhaltens, des Kraftstoffverbrauchs oder des Fahrverhaltens abzielen.</w:t>
      </w:r>
    </w:p>
    <w:p>
      <w:pPr>
        <w:pStyle w:val="Heading2"/>
      </w:pPr>
      <w:bookmarkStart w:id="81" w:name="b80"/>
      <w:r>
        <w:t>§ 33 Inhalt der Fahrzeugregister</w:t>
      </w:r>
      <w:r>
        <w:t xml:space="preserve"> </w:t>
      </w:r>
      <w:r>
        <w:rPr>
          <w:rStyle w:val="Suchmarke"/>
        </w:rPr>
        <w:t>#33#</w:t>
      </w:r>
      <w:bookmarkEnd w:id="81"/>
    </w:p>
    <w:p>
      <w:r>
        <w:t xml:space="preserve">(1) </w:t>
      </w:r>
      <w:r>
        <w:rPr>
          <w:rStyle w:val="Satznummer"/>
        </w:rPr>
        <w:t>1</w:t>
      </w:r>
      <w:r>
        <w:t xml:space="preserve">Im örtlichen und im Zentralen Fahrzeugregister werden, soweit dies zur Erfüllung der in </w:t>
      </w:r>
      <w:hyperlink w:anchor="b79" w:history="1">
        <w:r>
          <w:rPr>
            <w:color w:val="0A3A8C"/>
            <w:u w:val="single"/>
          </w:rPr>
          <w:t xml:space="preserve">§ 32</w:t>
        </w:r>
      </w:hyperlink>
      <w:r>
        <w:t xml:space="preserve"> genannten Aufgaben jeweils erforderlich ist, gespeichert</w:t>
      </w:r>
    </w:p>
    <w:p>
      <w:pPr>
        <w:tabs>
          <w:tab w:pos="567" w:val="left"/>
        </w:tabs>
        <w:ind w:left="567" w:hanging="567"/>
      </w:pPr>
      <w:r>
        <w:t>1.</w:t>
      </w:r>
      <w:r>
        <w:tab/>
      </w:r>
      <w:r>
        <w:t>nach näherer Bestimmung durch Rechtsverordnung (</w:t>
      </w:r>
      <w:hyperlink w:anchor="b102" w:history="1">
        <w:r>
          <w:rPr>
            <w:color w:val="0A3A8C"/>
            <w:u w:val="single"/>
          </w:rPr>
          <w:t xml:space="preserve">§ 47</w:t>
        </w:r>
      </w:hyperlink>
      <w:r>
        <w:t xml:space="preserve"> Nummer 1 und 1a) Daten über Beschaffenheit, Ausrüstung, Identifizierungsmerkmale, Zulassungsmerkmale, Prüfung und Untersuchung einschließlich der durchführenden Stelle und einer Kennung für die Feststellung des für die Durchführung der Prüfung oder Untersuchung Verantwortlichen, Kennzeichnung und Papiere des Fahrzeugs sowie über tatsächliche und rechtliche Verhältnisse in Bezug auf das Fahrzeug, insbesondere auch über die Haftpflichtversicherung, die Kraftfahrzeugbesteuerung des Fahrzeugs und die Verwertung oder Nichtentsorgung des Fahrzeugs als Abfall im Inland (Fahrzeugdaten), sowie</w:t>
      </w:r>
    </w:p>
    <w:p>
      <w:pPr>
        <w:tabs>
          <w:tab w:pos="567" w:val="left"/>
        </w:tabs>
        <w:ind w:left="567" w:hanging="567"/>
      </w:pPr>
      <w:r>
        <w:t>2.</w:t>
      </w:r>
      <w:r>
        <w:tab/>
      </w:r>
      <w:r>
        <w:t>Daten über denjenigen, dem ein Kennzeichen für das Fahrzeug zugeteilt oder ausgegeben wird (Halterdaten), und zwar</w:t>
      </w:r>
    </w:p>
    <w:p>
      <w:pPr>
        <w:tabs>
          <w:tab w:pos="1134" w:val="left"/>
        </w:tabs>
        <w:ind w:left="1134" w:hanging="567"/>
      </w:pPr>
      <w:r>
        <w:t>a)</w:t>
      </w:r>
      <w:r>
        <w:tab/>
      </w:r>
      <w:r>
        <w:t>bei natürlichen Personen:</w:t>
      </w:r>
    </w:p>
    <w:p>
      <w:pPr>
        <w:ind w:left="1134"/>
      </w:pPr>
      <w:r>
        <w:t>Familienname, Geburtsname, Vornamen, vom Halter für die Zuteilung oder die Ausgabe des Kennzeichens angegebener Ordens- oder Künstlername, Tag sowie Staat und Ort der Geburt, Geschlecht, Anschrift; bei Fahrzeugen mit Versicherungskennzeichen entfällt die Speicherung von Geburtsnamen, Ort der Geburt und Geschlecht des Halters,</w:t>
      </w:r>
    </w:p>
    <w:p>
      <w:pPr>
        <w:tabs>
          <w:tab w:pos="1134" w:val="left"/>
        </w:tabs>
        <w:ind w:left="1134" w:hanging="567"/>
      </w:pPr>
      <w:r>
        <w:t>b)</w:t>
      </w:r>
      <w:r>
        <w:tab/>
      </w:r>
      <w:r>
        <w:t>bei juristischen Personen und Behörden:</w:t>
      </w:r>
    </w:p>
    <w:p>
      <w:pPr>
        <w:ind w:left="1134"/>
      </w:pPr>
      <w:r>
        <w:t>Name oder Bezeichnung und Anschrift und</w:t>
      </w:r>
    </w:p>
    <w:p>
      <w:pPr>
        <w:tabs>
          <w:tab w:pos="1134" w:val="left"/>
        </w:tabs>
        <w:ind w:left="1134" w:hanging="567"/>
      </w:pPr>
      <w:r>
        <w:t>c)</w:t>
      </w:r>
      <w:r>
        <w:tab/>
      </w:r>
      <w:r>
        <w:t>bei Vereinigungen:</w:t>
      </w:r>
    </w:p>
    <w:p>
      <w:pPr>
        <w:ind w:left="1134"/>
      </w:pPr>
      <w:r>
        <w:t>benannter Vertreter mit den Angaben nach Buchstabe a oder b und gegebenenfalls Name der Vereinigung.</w:t>
      </w:r>
    </w:p>
    <w:p>
      <w:r>
        <w:rPr>
          <w:rStyle w:val="Satznummer"/>
        </w:rPr>
        <w:t>2</w:t>
      </w:r>
      <w:r>
        <w:t xml:space="preserve">Im örtlichen und im Zentralen Fahrzeugregister werden zur Erfüllung der in </w:t>
      </w:r>
      <w:hyperlink w:anchor="b79" w:history="1">
        <w:r>
          <w:rPr>
            <w:color w:val="0A3A8C"/>
            <w:u w:val="single"/>
          </w:rPr>
          <w:t xml:space="preserve">§ 32</w:t>
        </w:r>
      </w:hyperlink>
      <w:r>
        <w:t xml:space="preserve"> genannten Aufgaben außerdem Daten über denjenigen gespeichert, an den ein Fahrzeug mit einem amtlichen Kennzeichen veräußert wurde (Halterdaten), und zwar</w:t>
      </w:r>
    </w:p>
    <w:p>
      <w:pPr>
        <w:tabs>
          <w:tab w:pos="1134" w:val="left"/>
        </w:tabs>
        <w:ind w:left="1134" w:hanging="567"/>
      </w:pPr>
      <w:r>
        <w:t>a)</w:t>
      </w:r>
      <w:r>
        <w:tab/>
      </w:r>
      <w:r>
        <w:t>bei natürlichen Personen:</w:t>
      </w:r>
    </w:p>
    <w:p>
      <w:pPr>
        <w:ind w:left="1134"/>
      </w:pPr>
      <w:r>
        <w:t>Familienname, Vornamen und Anschrift,</w:t>
      </w:r>
    </w:p>
    <w:p>
      <w:pPr>
        <w:tabs>
          <w:tab w:pos="1134" w:val="left"/>
        </w:tabs>
        <w:ind w:left="1134" w:hanging="567"/>
      </w:pPr>
      <w:r>
        <w:t>b)</w:t>
      </w:r>
      <w:r>
        <w:tab/>
      </w:r>
      <w:r>
        <w:t>bei juristischen Personen und Behörden:</w:t>
      </w:r>
    </w:p>
    <w:p>
      <w:pPr>
        <w:ind w:left="1134"/>
      </w:pPr>
      <w:r>
        <w:t>Name oder Bezeichnung und Anschrift und</w:t>
      </w:r>
    </w:p>
    <w:p>
      <w:pPr>
        <w:tabs>
          <w:tab w:pos="1134" w:val="left"/>
        </w:tabs>
        <w:ind w:left="1134" w:hanging="567"/>
      </w:pPr>
      <w:r>
        <w:t>c)</w:t>
      </w:r>
      <w:r>
        <w:tab/>
      </w:r>
      <w:r>
        <w:t>bei Vereinigungen:</w:t>
      </w:r>
    </w:p>
    <w:p>
      <w:pPr>
        <w:ind w:left="1134"/>
      </w:pPr>
      <w:r>
        <w:t>benannter Vertreter mit den Angaben nach Buchstabe a oder b und gegebenenfalls Name der Vereinigung.</w:t>
      </w:r>
    </w:p>
    <w:p>
      <w:r>
        <w:t>(2) Im örtlichen und im Zentralen Fahrzeugregister werden über beruflich Selbständige, denen ein amtliches Kennzeichen für ein Fahrzeug zugeteilt wird, für die Aufgaben nach § 32 Abs. 1 Nr. 4 und 5 Berufsdaten gespeichert, und zwar</w:t>
      </w:r>
    </w:p>
    <w:p>
      <w:pPr>
        <w:tabs>
          <w:tab w:pos="567" w:val="left"/>
        </w:tabs>
        <w:ind w:left="567" w:hanging="567"/>
      </w:pPr>
      <w:r>
        <w:t>1.</w:t>
      </w:r>
      <w:r>
        <w:tab/>
      </w:r>
      <w:r>
        <w:t>bei natürlichen Personen der Beruf oder das Gewerbe (Wirtschaftszweig) und</w:t>
      </w:r>
    </w:p>
    <w:p>
      <w:pPr>
        <w:tabs>
          <w:tab w:pos="567" w:val="left"/>
        </w:tabs>
        <w:ind w:left="567" w:hanging="567"/>
      </w:pPr>
      <w:r>
        <w:t>2.</w:t>
      </w:r>
      <w:r>
        <w:tab/>
      </w:r>
      <w:r>
        <w:t>bei juristischen Personen und Vereinigungen gegebenenfalls das Gewerbe (Wirtschaftszweig).</w:t>
      </w:r>
    </w:p>
    <w:p>
      <w:r>
        <w:t>(3) Im örtlichen und im Zentralen Fahrzeugregister darf die Anordnung einer Fahrtenbuchauflage wegen Zuwiderhandlungen gegen Verkehrsvorschriften gespeichert werden.</w:t>
      </w:r>
    </w:p>
    <w:p>
      <w:r>
        <w:t>(4) Ferner werden für Daten, die nicht übermittelt werden dürfen (</w:t>
      </w:r>
      <w:hyperlink w:anchor="b96" w:history="1">
        <w:r>
          <w:rPr>
            <w:color w:val="0A3A8C"/>
            <w:u w:val="single"/>
          </w:rPr>
          <w:t xml:space="preserve">§ 41</w:t>
        </w:r>
      </w:hyperlink>
      <w:r>
        <w:t>), in den Fahrzeugregistern Übermittlungssperren gespeichert.</w:t>
      </w:r>
    </w:p>
    <w:p>
      <w:pPr>
        <w:pStyle w:val="Heading2"/>
      </w:pPr>
      <w:bookmarkStart w:id="82" w:name="b81"/>
      <w:r>
        <w:t>§ 34 Erhebung der Daten</w:t>
      </w:r>
      <w:r>
        <w:t xml:space="preserve"> </w:t>
      </w:r>
      <w:r>
        <w:rPr>
          <w:rStyle w:val="Suchmarke"/>
        </w:rPr>
        <w:t>#34#</w:t>
      </w:r>
      <w:bookmarkEnd w:id="82"/>
    </w:p>
    <w:p>
      <w:r>
        <w:t xml:space="preserve">(1) </w:t>
      </w:r>
      <w:r>
        <w:rPr>
          <w:rStyle w:val="Satznummer"/>
        </w:rPr>
        <w:t>1</w:t>
      </w:r>
      <w:r>
        <w:t>Wer die Zuteilung oder die Ausgabe eines Kennzeichens für ein Fahrzeug beantragt, hat der hierfür zuständigen Stelle</w:t>
      </w:r>
    </w:p>
    <w:p>
      <w:pPr>
        <w:tabs>
          <w:tab w:pos="567" w:val="left"/>
        </w:tabs>
        <w:ind w:left="567" w:hanging="567"/>
      </w:pPr>
      <w:r>
        <w:t>1.</w:t>
      </w:r>
      <w:r>
        <w:tab/>
      </w:r>
      <w:r>
        <w:t xml:space="preserve">von den nach </w:t>
      </w:r>
      <w:hyperlink w:anchor="b80" w:history="1">
        <w:r>
          <w:rPr>
            <w:color w:val="0A3A8C"/>
            <w:u w:val="single"/>
          </w:rPr>
          <w:t xml:space="preserve">§ 33</w:t>
        </w:r>
      </w:hyperlink>
      <w:r>
        <w:t xml:space="preserve"> Abs. 1 Satz 1 Nr. 1 zu speichernden Fahrzeugdaten bestimmte Daten nach näherer Regelung durch Rechtsverordnung (</w:t>
      </w:r>
      <w:hyperlink w:anchor="b102" w:history="1">
        <w:r>
          <w:rPr>
            <w:color w:val="0A3A8C"/>
            <w:u w:val="single"/>
          </w:rPr>
          <w:t xml:space="preserve">§ 47</w:t>
        </w:r>
      </w:hyperlink>
      <w:r>
        <w:t xml:space="preserve"> Nummer 1) und</w:t>
      </w:r>
    </w:p>
    <w:p>
      <w:pPr>
        <w:tabs>
          <w:tab w:pos="567" w:val="left"/>
        </w:tabs>
        <w:ind w:left="567" w:hanging="567"/>
      </w:pPr>
      <w:r>
        <w:t>2.</w:t>
      </w:r>
      <w:r>
        <w:tab/>
      </w:r>
      <w:r>
        <w:t xml:space="preserve">die nach </w:t>
      </w:r>
      <w:hyperlink w:anchor="b80" w:history="1">
        <w:r>
          <w:rPr>
            <w:color w:val="0A3A8C"/>
            <w:u w:val="single"/>
          </w:rPr>
          <w:t xml:space="preserve">§ 33</w:t>
        </w:r>
      </w:hyperlink>
      <w:r>
        <w:t xml:space="preserve"> Abs. 1 Satz 1 Nr. 2 zu speichernden Halterdaten</w:t>
      </w:r>
    </w:p>
    <w:p>
      <w:r>
        <w:t xml:space="preserve">mitzuteilen und auf Verlangen nachzuweisen. </w:t>
      </w:r>
      <w:r>
        <w:rPr>
          <w:rStyle w:val="Satznummer"/>
        </w:rPr>
        <w:t>2</w:t>
      </w:r>
      <w:r>
        <w:t xml:space="preserve">Zur Mitteilung und zum Nachweis der Daten über die Haftpflichtversicherung ist gegenüber der Zulassungsbehörde auch der jeweilige Versicherer befugt. </w:t>
      </w:r>
      <w:r>
        <w:rPr>
          <w:rStyle w:val="Satznummer"/>
        </w:rPr>
        <w:t>3</w:t>
      </w:r>
      <w:r>
        <w:t>Die Zulassungsbehörde kann durch Einholung von Auskünften aus dem Melderegister die Richtigkeit und Vollständigkeit der vom Antragsteller mitgeteilten Daten überprüfen.</w:t>
      </w:r>
    </w:p>
    <w:p>
      <w:r>
        <w:t xml:space="preserve">(2) Wer die Zuteilung eines amtlichen Kennzeichens für ein Fahrzeug beantragt, hat der Zulassungsbehörde außerdem die Daten über Beruf oder Gewerbe (Wirtschaftszweig) mitzuteilen, soweit sie nach </w:t>
      </w:r>
      <w:hyperlink w:anchor="b80" w:history="1">
        <w:r>
          <w:rPr>
            <w:color w:val="0A3A8C"/>
            <w:u w:val="single"/>
          </w:rPr>
          <w:t xml:space="preserve">§ 33</w:t>
        </w:r>
      </w:hyperlink>
      <w:r>
        <w:t xml:space="preserve"> Abs. 2 zu speichern sind.</w:t>
      </w:r>
    </w:p>
    <w:p>
      <w:r>
        <w:t xml:space="preserve">(3) </w:t>
      </w:r>
      <w:r>
        <w:rPr>
          <w:rStyle w:val="Satznummer"/>
        </w:rPr>
        <w:t>1</w:t>
      </w:r>
      <w:r>
        <w:t xml:space="preserve">Wird ein Fahrzeug veräußert, für das ein amtliches Kennzeichen zugeteilt ist, so hat der Veräußerer der Zulassungsbehörde, die dieses Kennzeichen zugeteilt hat, die in </w:t>
      </w:r>
      <w:hyperlink w:anchor="b80" w:history="1">
        <w:r>
          <w:rPr>
            <w:color w:val="0A3A8C"/>
            <w:u w:val="single"/>
          </w:rPr>
          <w:t xml:space="preserve">§ 33</w:t>
        </w:r>
      </w:hyperlink>
      <w:r>
        <w:t xml:space="preserve"> Abs. 1 Satz 2 aufgeführten Daten des Erwerbers (Halterdaten) mitzuteilen. </w:t>
      </w:r>
      <w:r>
        <w:rPr>
          <w:rStyle w:val="Satznummer"/>
        </w:rPr>
        <w:t>2</w:t>
      </w:r>
      <w:r>
        <w:t>Die Mitteilung ist nicht erforderlich, wenn der neue Eigentümer bereits seiner Meldepflicht nach Absatz 4 nachgekommen ist.</w:t>
      </w:r>
    </w:p>
    <w:p>
      <w:r>
        <w:t>(4) Der Halter und der Eigentümer, wenn dieser nicht zugleich Halter ist, haben der Zulassungsbehörde jede Änderung der Daten mitzuteilen, die nach Absatz 1 erhoben wurden; dies gilt nicht für die Fahrzeuge, die ein Versicherungskennzeichen führen müssen.</w:t>
      </w:r>
    </w:p>
    <w:p>
      <w:r>
        <w:t xml:space="preserve">(5) </w:t>
      </w:r>
      <w:r>
        <w:rPr>
          <w:rStyle w:val="Satznummer"/>
        </w:rPr>
        <w:t>1</w:t>
      </w:r>
      <w:r>
        <w:t>Die Versicherer dürfen der zuständigen Zulassungsbehörde Folgendes mitteilen:</w:t>
      </w:r>
    </w:p>
    <w:p>
      <w:pPr>
        <w:tabs>
          <w:tab w:pos="567" w:val="left"/>
        </w:tabs>
        <w:ind w:left="567" w:hanging="567"/>
      </w:pPr>
      <w:r>
        <w:t>1.</w:t>
      </w:r>
      <w:r>
        <w:tab/>
      </w:r>
      <w:r>
        <w:t>das Nichtbestehen oder die Beendigung des Versicherungsverhältnisses über die vorgeschriebene Haftpflichtversicherung für das betreffende Fahrzeug oder</w:t>
      </w:r>
    </w:p>
    <w:p>
      <w:pPr>
        <w:tabs>
          <w:tab w:pos="567" w:val="left"/>
        </w:tabs>
        <w:ind w:left="567" w:hanging="567"/>
      </w:pPr>
      <w:r>
        <w:t>2.</w:t>
      </w:r>
      <w:r>
        <w:tab/>
      </w:r>
      <w:r>
        <w:t>die Halterdaten, sofern die Zulassungsbehörde dem Versicherer gegenüber dargelegt hat, dass sie die Mitteilung dieser Daten zur Erfüllung ihrer gesetzlichen Aufgaben für erforderlich hält.</w:t>
      </w:r>
    </w:p>
    <w:p>
      <w:r>
        <w:rPr>
          <w:rStyle w:val="Satznummer"/>
        </w:rPr>
        <w:t>2</w:t>
      </w:r>
      <w:r>
        <w:t>Die Versicherer haben dem Kraftfahrt-Bundesamt im Rahmen der Zulassung von Fahrzeugen mit Versicherungskennzeichen die erforderlichen Fahrzeugdaten nach näherer Bestimmung durch Rechtsverordnung (</w:t>
      </w:r>
      <w:hyperlink w:anchor="b102" w:history="1">
        <w:r>
          <w:rPr>
            <w:color w:val="0A3A8C"/>
            <w:u w:val="single"/>
          </w:rPr>
          <w:t xml:space="preserve">§ 47</w:t>
        </w:r>
      </w:hyperlink>
      <w:r>
        <w:t xml:space="preserve"> Nummer 2) und die Halterdaten nach </w:t>
      </w:r>
      <w:hyperlink w:anchor="b80" w:history="1">
        <w:r>
          <w:rPr>
            <w:color w:val="0A3A8C"/>
            <w:u w:val="single"/>
          </w:rPr>
          <w:t xml:space="preserve">§ 33</w:t>
        </w:r>
      </w:hyperlink>
      <w:r>
        <w:t xml:space="preserve"> Absatz 1 Satz 1 Nummer 2 sowie jede Änderung dieser Daten mitzuteilen.</w:t>
      </w:r>
    </w:p>
    <w:p>
      <w:r>
        <w:t xml:space="preserve">(6) </w:t>
      </w:r>
      <w:r>
        <w:rPr>
          <w:rStyle w:val="Satznummer"/>
        </w:rPr>
        <w:t>1</w:t>
      </w:r>
      <w:r>
        <w:t xml:space="preserve">Die Technischen Prüfstellen, amtlich anerkannten Überwachungsorganisationen und anerkannten Kraftfahrzeugwerkstätten, soweit diese Werkstätten Sicherheitsprüfungen durchführen, haben dem Kraftfahrt-Bundesamt nach näherer Bestimmung durch Rechtsverordnung auf Grund des </w:t>
      </w:r>
      <w:hyperlink w:anchor="b102" w:history="1">
        <w:r>
          <w:rPr>
            <w:color w:val="0A3A8C"/>
            <w:u w:val="single"/>
          </w:rPr>
          <w:t xml:space="preserve">§ 47</w:t>
        </w:r>
      </w:hyperlink>
      <w:r>
        <w:t xml:space="preserve"> Nummer 1a die nach </w:t>
      </w:r>
      <w:hyperlink w:anchor="b80" w:history="1">
        <w:r>
          <w:rPr>
            <w:color w:val="0A3A8C"/>
            <w:u w:val="single"/>
          </w:rPr>
          <w:t xml:space="preserve">§ 33</w:t>
        </w:r>
      </w:hyperlink>
      <w:r>
        <w:t xml:space="preserve"> Absatz 1 Satz 1 Nummer 1 zu speichernden oder zu einer Änderung oder Löschung einer Eintragung führenden Daten über Prüfungen und Untersuchungen einschließlich der durchführenden Stellen und Kennungen zur Feststellung der für die Durchführung der Prüfung oder Untersuchung Verantwortlichen zu übermitteln. </w:t>
      </w:r>
      <w:r>
        <w:rPr>
          <w:rStyle w:val="Satznummer"/>
        </w:rPr>
        <w:t>2</w:t>
      </w:r>
      <w:r>
        <w:t xml:space="preserve">Im Fall der anerkannten Kraftfahrzeugwerkstätten erfolgt die Übermittlung über Kopfstellen; im Fall der Technischen Prüfstellen und anerkannten Überwachungsorganisationen kann die Übermittlung über Kopfstellen erfolgen. </w:t>
      </w:r>
      <w:r>
        <w:rPr>
          <w:rStyle w:val="Satznummer"/>
        </w:rPr>
        <w:t>3</w:t>
      </w:r>
      <w:r>
        <w:t xml:space="preserve">Eine Speicherung der nach Satz 2 zur Übermittlung an das Kraftfahrt-Bundesamt erhaltenen Daten bei den Kopfstellen erfolgt ausschließlich zu diesem Zweck. </w:t>
      </w:r>
      <w:r>
        <w:rPr>
          <w:rStyle w:val="Satznummer"/>
        </w:rPr>
        <w:t>4</w:t>
      </w:r>
      <w:r>
        <w:t>Nach erfolgter Übermittlung haben die Kopfstellen die nach Satz 3 gespeicherten Daten unverzüglich, bei elektronischer Speicherung automatisiert, zu löschen.</w:t>
      </w:r>
    </w:p>
    <w:p>
      <w:pPr>
        <w:pStyle w:val="Heading2"/>
      </w:pPr>
      <w:bookmarkStart w:id="83" w:name="b82"/>
      <w:r>
        <w:t>§ 35 Übermittlung von Fahrzeugdaten und Halterdaten</w:t>
      </w:r>
      <w:r>
        <w:t xml:space="preserve"> </w:t>
      </w:r>
      <w:r>
        <w:rPr>
          <w:rStyle w:val="Suchmarke"/>
        </w:rPr>
        <w:t>#35#</w:t>
      </w:r>
      <w:bookmarkEnd w:id="83"/>
    </w:p>
    <w:p>
      <w:r>
        <w:t xml:space="preserve">(1) Die nach </w:t>
      </w:r>
      <w:hyperlink w:anchor="b80" w:history="1">
        <w:r>
          <w:rPr>
            <w:color w:val="0A3A8C"/>
            <w:u w:val="single"/>
          </w:rPr>
          <w:t xml:space="preserve">§ 33</w:t>
        </w:r>
      </w:hyperlink>
      <w:r>
        <w:t xml:space="preserve"> Absatz 1 gespeicherten Fahrzeugdaten und Halterdaten dürfen an Behörden und sonstige öffentliche Stellen im Geltungsbereich dieses Gesetzes sowie im Rahmen einer internetbasierten Zulassung an Personen im Sinne des § 6g Absatz 3 zur Erfüllung der Aufgaben der Zulassungsbehörde, des Kraftfahrt-Bundesamtes oder der Aufgaben des Empfängers nur übermittelt werden, wenn dies für die Zwecke nach </w:t>
      </w:r>
      <w:hyperlink w:anchor="b79" w:history="1">
        <w:r>
          <w:rPr>
            <w:color w:val="0A3A8C"/>
            <w:u w:val="single"/>
          </w:rPr>
          <w:t xml:space="preserve">§ 32</w:t>
        </w:r>
      </w:hyperlink>
      <w:r>
        <w:t xml:space="preserve"> Absatz 2 jeweils erforderlich ist</w:t>
      </w:r>
    </w:p>
    <w:p>
      <w:pPr>
        <w:tabs>
          <w:tab w:pos="567" w:val="left"/>
        </w:tabs>
        <w:ind w:left="567" w:hanging="567"/>
      </w:pPr>
      <w:r>
        <w:t>1.</w:t>
      </w:r>
      <w:r>
        <w:tab/>
      </w:r>
      <w:r>
        <w:t xml:space="preserve">zur Durchführung der in </w:t>
      </w:r>
      <w:hyperlink w:anchor="b79" w:history="1">
        <w:r>
          <w:rPr>
            <w:color w:val="0A3A8C"/>
            <w:u w:val="single"/>
          </w:rPr>
          <w:t xml:space="preserve">§ 32</w:t>
        </w:r>
      </w:hyperlink>
      <w:r>
        <w:t xml:space="preserve"> Abs. 1 angeführten Aufgaben,</w:t>
      </w:r>
    </w:p>
    <w:p>
      <w:pPr>
        <w:tabs>
          <w:tab w:pos="567" w:val="left"/>
        </w:tabs>
        <w:ind w:left="567" w:hanging="567"/>
      </w:pPr>
      <w:r>
        <w:t>2.</w:t>
      </w:r>
      <w:r>
        <w:tab/>
      </w:r>
      <w:r>
        <w:t>zur Verfolgung von Straftaten, zur Vollstreckung oder zum Vollzug von Strafen, von Maßnahmen im Sinne des § 11 Abs. 1 Nr. 8 des Strafgesetzbuchs oder von Erziehungsmaßregeln oder Zuchtmitteln im Sinne des Jugendgerichtsgesetzes,</w:t>
      </w:r>
    </w:p>
    <w:p>
      <w:pPr>
        <w:tabs>
          <w:tab w:pos="567" w:val="left"/>
        </w:tabs>
        <w:ind w:left="567" w:hanging="567"/>
      </w:pPr>
      <w:r>
        <w:t>3.</w:t>
      </w:r>
      <w:r>
        <w:tab/>
      </w:r>
      <w:r>
        <w:t>zur Verfolgung von Ordnungswidrigkeiten,</w:t>
      </w:r>
    </w:p>
    <w:p>
      <w:pPr>
        <w:tabs>
          <w:tab w:pos="567" w:val="left"/>
        </w:tabs>
        <w:ind w:left="567" w:hanging="567"/>
      </w:pPr>
      <w:r>
        <w:t>4.</w:t>
      </w:r>
      <w:r>
        <w:tab/>
      </w:r>
      <w:r>
        <w:t>zur Abwehr von Gefahren für die öffentliche Sicherheit oder Ordnung,</w:t>
      </w:r>
    </w:p>
    <w:p>
      <w:pPr>
        <w:tabs>
          <w:tab w:pos="567" w:val="left"/>
        </w:tabs>
        <w:ind w:left="567" w:hanging="567"/>
      </w:pPr>
      <w:r>
        <w:t>5.</w:t>
      </w:r>
      <w:r>
        <w:tab/>
      </w:r>
      <w:r>
        <w:t>zur Erfüllung der den Verfassungsschutzbehörden, dem Militärischen Abschirmdienst und dem Bundesnachrichtendienst durch Gesetz übertragenen Aufgaben,</w:t>
      </w:r>
    </w:p>
    <w:p>
      <w:pPr>
        <w:tabs>
          <w:tab w:pos="567" w:val="left"/>
        </w:tabs>
        <w:ind w:left="567" w:hanging="567"/>
      </w:pPr>
      <w:r>
        <w:t>6.</w:t>
      </w:r>
      <w:r>
        <w:tab/>
      </w:r>
      <w:r>
        <w:t>für Maßnahmen nach dem Abfallbeseitigungsgesetz oder den darauf beruhenden Rechtsvorschriften,</w:t>
      </w:r>
    </w:p>
    <w:p>
      <w:pPr>
        <w:tabs>
          <w:tab w:pos="567" w:val="left"/>
        </w:tabs>
        <w:ind w:left="567" w:hanging="567"/>
      </w:pPr>
      <w:r>
        <w:t>7.</w:t>
      </w:r>
      <w:r>
        <w:tab/>
      </w:r>
      <w:r>
        <w:t>für Maßnahmen nach dem Wirtschaftssicherstellungsgesetz oder den darauf beruhenden Rechtsvorschriften,</w:t>
      </w:r>
    </w:p>
    <w:p>
      <w:pPr>
        <w:tabs>
          <w:tab w:pos="567" w:val="left"/>
        </w:tabs>
        <w:ind w:left="567" w:hanging="567"/>
      </w:pPr>
      <w:r>
        <w:t>8.</w:t>
      </w:r>
      <w:r>
        <w:tab/>
      </w:r>
      <w:r>
        <w:t>für Maßnahmen nach dem Energiesicherungsgesetz 1975 oder den darauf beruhenden Rechtsvorschriften,</w:t>
      </w:r>
    </w:p>
    <w:p>
      <w:pPr>
        <w:tabs>
          <w:tab w:pos="567" w:val="left"/>
        </w:tabs>
        <w:ind w:left="567" w:hanging="567"/>
      </w:pPr>
      <w:r>
        <w:t>9.</w:t>
      </w:r>
      <w:r>
        <w:tab/>
      </w:r>
      <w:r>
        <w:t>für die Erfüllung der gesetzlichen Mitteilungspflichten zur Sicherung des Steueraufkommens nach § 93 der Abgabenordnung,</w:t>
      </w:r>
    </w:p>
    <w:p>
      <w:pPr>
        <w:tabs>
          <w:tab w:pos="567" w:val="left"/>
        </w:tabs>
        <w:ind w:left="567" w:hanging="567"/>
      </w:pPr>
      <w:r>
        <w:t>10.</w:t>
      </w:r>
      <w:r>
        <w:tab/>
      </w:r>
      <w:r>
        <w:t>zur Feststellung der Maut für die Benutzung mautpflichtiger Straßen im Sinne des § 1 des Bundesfernstraßenmautgesetzes und zur Verfolgung von Ansprüchen nach diesem Gesetz,</w:t>
      </w:r>
    </w:p>
    <w:p>
      <w:pPr>
        <w:tabs>
          <w:tab w:pos="567" w:val="left"/>
        </w:tabs>
        <w:ind w:left="567" w:hanging="567"/>
      </w:pPr>
      <w:r>
        <w:t>11.</w:t>
      </w:r>
      <w:r>
        <w:tab/>
      </w:r>
      <w:r>
        <w:t>zur Ermittlung der Mautgebühr für die Benutzung von Bundesfernstraßen und zur Verfolgung von Ansprüchen nach dem Fernstraßenbauprivatfinanzierungsgesetz vom 30. August 1994 (BGBl. I S. 2243) in der jeweils geltenden Fassung,</w:t>
      </w:r>
    </w:p>
    <w:p>
      <w:pPr>
        <w:tabs>
          <w:tab w:pos="567" w:val="left"/>
        </w:tabs>
        <w:ind w:left="567" w:hanging="567"/>
      </w:pPr>
      <w:r>
        <w:t>12.</w:t>
      </w:r>
      <w:r>
        <w:tab/>
      </w:r>
      <w:r>
        <w:t>zur Ermittlung der Mautgebühr für die Benutzung von Straßen nach Landesrecht und zur Verfolgung von Ansprüchen nach den Gesetzen der Länder über den gebührenfinanzierten Neu- und Ausbau von Straßen,</w:t>
      </w:r>
    </w:p>
    <w:p>
      <w:pPr>
        <w:tabs>
          <w:tab w:pos="567" w:val="left"/>
        </w:tabs>
        <w:ind w:left="567" w:hanging="567"/>
      </w:pPr>
      <w:r>
        <w:t>13.</w:t>
      </w:r>
      <w:r>
        <w:tab/>
      </w:r>
      <w:r>
        <w:t>zur Überprüfung von Personen, die Sozialhilfe, Leistungen der Grundsicherung für Arbeitsuchende oder Leistungen nach dem Asylbewerberleistungsgesetz beziehen, zur Vermeidung rechtswidriger Inanspruchnahme solcher Leistungen,</w:t>
      </w:r>
    </w:p>
    <w:p>
      <w:pPr>
        <w:tabs>
          <w:tab w:pos="567" w:val="left"/>
        </w:tabs>
        <w:ind w:left="567" w:hanging="567"/>
      </w:pPr>
      <w:r>
        <w:t>14.</w:t>
      </w:r>
      <w:r>
        <w:tab/>
      </w:r>
      <w:r>
        <w:t>für die in § 17 des Auslandsunterhaltsgesetzes genannten Zwecke,</w:t>
      </w:r>
    </w:p>
    <w:p>
      <w:pPr>
        <w:tabs>
          <w:tab w:pos="567" w:val="left"/>
        </w:tabs>
        <w:ind w:left="567" w:hanging="567"/>
      </w:pPr>
      <w:r>
        <w:t>15.</w:t>
      </w:r>
      <w:r>
        <w:tab/>
      </w:r>
      <w:r>
        <w:t>für die in § 802l der Zivilprozessordnung genannten Zwecke soweit kein Grund zu der Annahme besteht, dass dadurch schutzwürdige Interessen des Betroffenen beeinträchtigt werden,</w:t>
      </w:r>
    </w:p>
    <w:p>
      <w:pPr>
        <w:tabs>
          <w:tab w:pos="567" w:val="left"/>
        </w:tabs>
        <w:ind w:left="567" w:hanging="567"/>
      </w:pPr>
      <w:r>
        <w:t>16.</w:t>
      </w:r>
      <w:r>
        <w:tab/>
      </w:r>
      <w:r>
        <w:t>zur Erfüllung der den Behörden der Zollverwaltung in § 2 Absatz 1 des Schwarzarbeitsbekämpfungsgesetzes übertragenen Prüfungsaufgaben,</w:t>
      </w:r>
    </w:p>
    <w:p>
      <w:pPr>
        <w:tabs>
          <w:tab w:pos="567" w:val="left"/>
        </w:tabs>
        <w:ind w:left="567" w:hanging="567"/>
      </w:pPr>
      <w:r>
        <w:t>17.</w:t>
      </w:r>
      <w:r>
        <w:tab/>
      </w:r>
      <w:r>
        <w:t>zur Durchführung eines Vollstreckungsverfahrens an die für die Vollstreckung nach dem Verwaltungs-Vollstreckungsgesetz oder nach den Verwaltungsvollstreckungsgesetzen der Länder zuständige Behörde, wenn der Vollstreckungsschuldner als Halter des Fahrzeugs eingetragen ist, kein Grund zu der Annahme besteht, dass dadurch schutzwürdige Interessen des Betroffenen beeinträchtigt werden, und</w:t>
      </w:r>
    </w:p>
    <w:p>
      <w:pPr>
        <w:tabs>
          <w:tab w:pos="1134" w:val="left"/>
        </w:tabs>
        <w:ind w:left="1134" w:hanging="567"/>
      </w:pPr>
      <w:r>
        <w:t>a)</w:t>
      </w:r>
      <w:r>
        <w:tab/>
      </w:r>
      <w:r>
        <w:t>die Ladung zu dem Termin zur Abgabe der Vermögensauskunft an den Vollstreckungsschuldner nicht zustellbar ist und</w:t>
      </w:r>
    </w:p>
    <w:p>
      <w:pPr>
        <w:tabs>
          <w:tab w:pos="1701" w:val="left"/>
        </w:tabs>
        <w:ind w:left="1701" w:hanging="567"/>
      </w:pPr>
      <w:r>
        <w:t>aa)</w:t>
      </w:r>
      <w:r>
        <w:tab/>
      </w:r>
      <w:r>
        <w:t>die Anschrift, unter der die Zustellung ausgeführt werden sollte, mit der Anschrift übereinstimmt, die von einer der in § 755 Absatz 1 und 2 der Zivilprozessordnung genannten Stellen innerhalb von drei Monaten vor oder nach dem Zustellungsversuch mitgeteilt wurde, oder</w:t>
      </w:r>
    </w:p>
    <w:p>
      <w:pPr>
        <w:tabs>
          <w:tab w:pos="1701" w:val="left"/>
        </w:tabs>
        <w:ind w:left="1701" w:hanging="567"/>
      </w:pPr>
      <w:r>
        <w:t>bb)</w:t>
      </w:r>
      <w:r>
        <w:tab/>
      </w:r>
      <w:r>
        <w:t>die Meldebehörde nach dem Zustellungsversuch die Auskunft erteilt, dass ihr keine derzeitige Anschrift des Vollstreckungsschuldners bekannt ist, oder</w:t>
      </w:r>
    </w:p>
    <w:p>
      <w:pPr>
        <w:tabs>
          <w:tab w:pos="1701" w:val="left"/>
        </w:tabs>
        <w:ind w:left="1701" w:hanging="567"/>
      </w:pPr>
      <w:r>
        <w:t>cc)</w:t>
      </w:r>
      <w:r>
        <w:tab/>
      </w:r>
      <w:r>
        <w:t>die Meldebehörde innerhalb von drei Monaten vor Erlass der Vollstreckungsanordnung die Auskunft erteilt hat, dass ihr keine derzeitige Anschrift des Vollstreckungsschuldners bekannt ist;</w:t>
      </w:r>
    </w:p>
    <w:p>
      <w:pPr>
        <w:tabs>
          <w:tab w:pos="1134" w:val="left"/>
        </w:tabs>
        <w:ind w:left="1134" w:hanging="567"/>
      </w:pPr>
      <w:r>
        <w:t>b)</w:t>
      </w:r>
      <w:r>
        <w:tab/>
      </w:r>
      <w:r>
        <w:t>der Vollstreckungsschuldner seiner Pflicht zur Abgabe der Vermögensauskunft in dem dem Ersuchen zugrundeliegenden Vollstreckungsverfahren nicht nachkommt oder</w:t>
      </w:r>
    </w:p>
    <w:p>
      <w:pPr>
        <w:tabs>
          <w:tab w:pos="1134" w:val="left"/>
        </w:tabs>
        <w:ind w:left="1134" w:hanging="567"/>
      </w:pPr>
      <w:r>
        <w:t>c)</w:t>
      </w:r>
      <w:r>
        <w:tab/>
      </w:r>
      <w:r>
        <w:t>bei einer Vollstreckung in die in der Vermögensauskunft aufgeführten Vermögensgegenstände eine vollständige Befriedigung der Forderung nicht zu erwarten ist,</w:t>
      </w:r>
    </w:p>
    <w:p>
      <w:pPr>
        <w:tabs>
          <w:tab w:pos="567" w:val="left"/>
        </w:tabs>
        <w:ind w:left="567" w:hanging="567"/>
      </w:pPr>
      <w:r>
        <w:t>18.</w:t>
      </w:r>
      <w:r>
        <w:tab/>
      </w:r>
      <w:r>
        <w:t>zur Überprüfung der Einhaltung von Verkehrsbeschränkungen und Verkehrsverboten, die aufgrund des § 40 des Bundes-Immissionsschutzgesetzes nach Maßgabe der straßenverkehrsrechtlichen Vorschriften angeordnet worden oder aufgrund straßenverkehrsrechtlicher Vorschriften zum Schutz der Wohnbevölkerung oder der Bevölkerung vor Abgasen ergangen sind,</w:t>
      </w:r>
    </w:p>
    <w:p>
      <w:pPr>
        <w:tabs>
          <w:tab w:pos="567" w:val="left"/>
        </w:tabs>
        <w:ind w:left="567" w:hanging="567"/>
      </w:pPr>
      <w:r>
        <w:t>19.</w:t>
      </w:r>
      <w:r>
        <w:tab/>
      </w:r>
      <w:r>
        <w:t>zur Überprüfung und Ergänzung der Angaben in Anträgen und Verwendungsnachweisen zu einer Förderung hinsichtlich der Einhaltung der Regelungen über die Förderung des Absatzes von elektrisch betriebenen Fahrzeugen,</w:t>
      </w:r>
    </w:p>
    <w:p>
      <w:pPr>
        <w:tabs>
          <w:tab w:pos="567" w:val="left"/>
        </w:tabs>
        <w:ind w:left="567" w:hanging="567"/>
      </w:pPr>
      <w:r>
        <w:t>20.</w:t>
      </w:r>
      <w:r>
        <w:tab/>
      </w:r>
      <w:r>
        <w:t>für die in § 98 Absatz 1a Satz 1 der Insolvenzordnung genannten Zwecke, soweit kein Grund zu der Annahme besteht, dass dadurch schutzwürdige Interessen des Betroffenen beeinträchtigt werden,</w:t>
      </w:r>
    </w:p>
    <w:p>
      <w:pPr>
        <w:tabs>
          <w:tab w:pos="567" w:val="left"/>
        </w:tabs>
        <w:ind w:left="567" w:hanging="567"/>
      </w:pPr>
      <w:r>
        <w:t>21.</w:t>
      </w:r>
      <w:r>
        <w:tab/>
      </w:r>
      <w:r>
        <w:t>für Maßnahmen nach dem Außenwirtschaftsgesetz, dem Sanktionsdurchsetzungsgesetz oder den jeweils auf den genannten Gesetzen beruhenden Rechtsvorschriften,</w:t>
      </w:r>
    </w:p>
    <w:p>
      <w:pPr>
        <w:tabs>
          <w:tab w:pos="567" w:val="left"/>
        </w:tabs>
        <w:ind w:left="567" w:hanging="567"/>
      </w:pPr>
      <w:r>
        <w:t>22.</w:t>
      </w:r>
      <w:r>
        <w:tab/>
      </w:r>
      <w:r>
        <w:t>für die Erteilung von Parkberechtigungen in Gebieten nach § 6 Absatz 1 Satz 1 Nummer 15 Buchstabe b,</w:t>
      </w:r>
    </w:p>
    <w:p>
      <w:pPr>
        <w:tabs>
          <w:tab w:pos="567" w:val="left"/>
        </w:tabs>
        <w:ind w:left="567" w:hanging="567"/>
      </w:pPr>
      <w:r>
        <w:t>23.</w:t>
      </w:r>
      <w:r>
        <w:tab/>
      </w:r>
      <w:r>
        <w:t>zur Überprüfung der vom Betreiber eines Ladepunktes oder von einer von ihm bestimmten Person dem Umweltbundesamt mitgeteilten energetischen Menge des elektrischen Stroms, der zur Verwendung in Kraftfahrzeugen entnommen wurde und auf die Erfüllung der Verpflichtung zur Minderung der Treibhausgasemissionen angerechnet werden kann, und zur Ausstellung der Bescheinigung über diese Menge nach § 8 Absatz 2 der Verordnung zur Festlegung weiterer Bestimmungen zur Treibhausgasminderung bei Kraftstoffen vom 8. Dezember 2017 (BGBl. I S. 3892), die zuletzt durch Artikel 1 der Verordnung vom 25. November 2024 (BGBl. 2024 I Nr. 367) geändert worden ist, oder</w:t>
      </w:r>
    </w:p>
    <w:p>
      <w:pPr>
        <w:tabs>
          <w:tab w:pos="567" w:val="left"/>
        </w:tabs>
        <w:ind w:left="567" w:hanging="567"/>
      </w:pPr>
      <w:r>
        <w:t>24.</w:t>
      </w:r>
      <w:r>
        <w:tab/>
      </w:r>
      <w:r>
        <w:t xml:space="preserve">zur Untersuchung von Straßenverkehrsunfällen nach </w:t>
      </w:r>
      <w:hyperlink w:anchor="b126" w:history="1">
        <w:r>
          <w:rPr>
            <w:color w:val="0A3A8C"/>
            <w:u w:val="single"/>
          </w:rPr>
          <w:t xml:space="preserve">§ 63f</w:t>
        </w:r>
      </w:hyperlink>
      <w:r>
        <w:t>.</w:t>
      </w:r>
    </w:p>
    <w:p>
      <w:r>
        <w:t xml:space="preserve">(1a) Die nach </w:t>
      </w:r>
      <w:hyperlink w:anchor="b80" w:history="1">
        <w:r>
          <w:rPr>
            <w:color w:val="0A3A8C"/>
            <w:u w:val="single"/>
          </w:rPr>
          <w:t xml:space="preserve">§ 33</w:t>
        </w:r>
      </w:hyperlink>
      <w:r>
        <w:t xml:space="preserve"> Absatz 1 Nummer 1 gespeicherten Daten über Beschaffenheit, Ausrüstung und Identifizierungsmerkmale von Fahrzeugen dürfen den Zentralen Leitstellen für Brandschutz, Katastrophenschutz und Rettungsdienst, wenn dies für Zwecke nach </w:t>
      </w:r>
      <w:hyperlink w:anchor="b79" w:history="1">
        <w:r>
          <w:rPr>
            <w:color w:val="0A3A8C"/>
            <w:u w:val="single"/>
          </w:rPr>
          <w:t xml:space="preserve">§ 32</w:t>
        </w:r>
      </w:hyperlink>
      <w:r>
        <w:t xml:space="preserve"> Absatz 2 Nummer 3 erforderlich ist, zur Rettung von Unfallopfern übermittelt werden.</w:t>
      </w:r>
    </w:p>
    <w:p>
      <w:r>
        <w:t xml:space="preserve">(2) </w:t>
      </w:r>
      <w:r>
        <w:rPr>
          <w:rStyle w:val="Satznummer"/>
        </w:rPr>
        <w:t>1</w:t>
      </w:r>
      <w:r>
        <w:t xml:space="preserve">Die nach </w:t>
      </w:r>
      <w:hyperlink w:anchor="b80" w:history="1">
        <w:r>
          <w:rPr>
            <w:color w:val="0A3A8C"/>
            <w:u w:val="single"/>
          </w:rPr>
          <w:t xml:space="preserve">§ 33</w:t>
        </w:r>
      </w:hyperlink>
      <w:r>
        <w:t xml:space="preserve"> Absatz 1 gespeicherten Fahrzeugdaten und Halterdaten dürfen, soweit dies jeweils erforderlich ist, übermittelt werden</w:t>
      </w:r>
    </w:p>
    <w:p>
      <w:pPr>
        <w:tabs>
          <w:tab w:pos="567" w:val="left"/>
        </w:tabs>
        <w:ind w:left="567" w:hanging="567"/>
      </w:pPr>
      <w:r>
        <w:t>1.</w:t>
      </w:r>
      <w:r>
        <w:tab/>
      </w:r>
      <w:r>
        <w:t xml:space="preserve">für die Zwecke des </w:t>
      </w:r>
      <w:hyperlink w:anchor="b79" w:history="1">
        <w:r>
          <w:rPr>
            <w:color w:val="0A3A8C"/>
            <w:u w:val="single"/>
          </w:rPr>
          <w:t xml:space="preserve">§ 32</w:t>
        </w:r>
      </w:hyperlink>
      <w:r>
        <w:t xml:space="preserve"> Absatz 1 Nummer 1 oder 9 an Inhaber von Betriebserlaubnissen für Fahrzeuge, an Fahrzeughersteller oder an verantwortliche Teilehersteller, Werkstätten oder sonstige Produktverantwortliche, um Folgendes zu ermöglichen oder zu unterstützen:</w:t>
      </w:r>
    </w:p>
    <w:p>
      <w:pPr>
        <w:tabs>
          <w:tab w:pos="1134" w:val="left"/>
        </w:tabs>
        <w:ind w:left="1134" w:hanging="567"/>
      </w:pPr>
      <w:r>
        <w:t>a)</w:t>
      </w:r>
      <w:r>
        <w:tab/>
      </w:r>
      <w:r>
        <w:t>fahrzeugbezogene Maßnahmen einschließlich Rückrufe zur Beseitigung von sicherheitsgefährdenden Mängeln an bereits ausgelieferten Fahrzeugen,</w:t>
      </w:r>
    </w:p>
    <w:p>
      <w:pPr>
        <w:tabs>
          <w:tab w:pos="1134" w:val="left"/>
        </w:tabs>
        <w:ind w:left="1134" w:hanging="567"/>
      </w:pPr>
      <w:r>
        <w:t>b)</w:t>
      </w:r>
      <w:r>
        <w:tab/>
      </w:r>
      <w:r>
        <w:t>fahrzeugbezogene Maßnahmen einschließlich Rückrufe zur Beseitigung von für die Umwelt erheblichen Mängeln an bereits ausgelieferten Fahrzeugen,</w:t>
      </w:r>
    </w:p>
    <w:p>
      <w:pPr>
        <w:tabs>
          <w:tab w:pos="1134" w:val="left"/>
        </w:tabs>
        <w:ind w:left="1134" w:hanging="567"/>
      </w:pPr>
      <w:r>
        <w:t>c)</w:t>
      </w:r>
      <w:r>
        <w:tab/>
      </w:r>
      <w:r>
        <w:t>fahrzeugbezogene Maßnahmen einschließlich Rückrufe, die die Typgenehmigungsbehörde oder die Marktüberwachungsbehörde zur Beseitigung von sonstigen Unvorschriftsmäßigkeiten an bereits ausgelieferten Fahrzeugen für erforderlich erachtet,</w:t>
      </w:r>
    </w:p>
    <w:p>
      <w:pPr>
        <w:tabs>
          <w:tab w:pos="1134" w:val="left"/>
        </w:tabs>
        <w:ind w:left="1134" w:hanging="567"/>
      </w:pPr>
      <w:r>
        <w:t>d)</w:t>
      </w:r>
      <w:r>
        <w:tab/>
      </w:r>
      <w:r>
        <w:t>die Erfüllung unionsrechtlicher Meldepflichten,</w:t>
      </w:r>
    </w:p>
    <w:p>
      <w:pPr>
        <w:tabs>
          <w:tab w:pos="567" w:val="left"/>
        </w:tabs>
        <w:ind w:left="567" w:hanging="567"/>
      </w:pPr>
      <w:r>
        <w:t>2.</w:t>
      </w:r>
      <w:r>
        <w:tab/>
      </w:r>
      <w:r>
        <w:t xml:space="preserve">für die Zwecke des </w:t>
      </w:r>
      <w:hyperlink w:anchor="b79" w:history="1">
        <w:r>
          <w:rPr>
            <w:color w:val="0A3A8C"/>
            <w:u w:val="single"/>
          </w:rPr>
          <w:t xml:space="preserve">§ 32</w:t>
        </w:r>
      </w:hyperlink>
      <w:r>
        <w:t xml:space="preserve"> Absatz 1 Nummer 6 an Fahrzeughersteller und Importeure von Fahrzeugen sowie an deren Rechtsnachfolger zur Überprüfung der Angaben über die Verwertung des Fahrzeugs nach dem Altfahrzeugrecht,</w:t>
      </w:r>
    </w:p>
    <w:p>
      <w:pPr>
        <w:tabs>
          <w:tab w:pos="567" w:val="left"/>
        </w:tabs>
        <w:ind w:left="567" w:hanging="567"/>
      </w:pPr>
      <w:r>
        <w:t>3.</w:t>
      </w:r>
      <w:r>
        <w:tab/>
      </w:r>
      <w:r>
        <w:t xml:space="preserve">für die Zwecke des </w:t>
      </w:r>
      <w:hyperlink w:anchor="b79" w:history="1">
        <w:r>
          <w:rPr>
            <w:color w:val="0A3A8C"/>
            <w:u w:val="single"/>
          </w:rPr>
          <w:t xml:space="preserve">§ 32</w:t>
        </w:r>
      </w:hyperlink>
      <w:r>
        <w:t xml:space="preserve"> Absatz 1 Nummer 2 an Versicherer zur Gewährleistung des vorgeschriebenen Versicherungsschutzes oder</w:t>
      </w:r>
    </w:p>
    <w:p>
      <w:pPr>
        <w:tabs>
          <w:tab w:pos="567" w:val="left"/>
        </w:tabs>
        <w:ind w:left="567" w:hanging="567"/>
      </w:pPr>
      <w:r>
        <w:t>4.</w:t>
      </w:r>
      <w:r>
        <w:tab/>
      </w:r>
      <w:r>
        <w:t xml:space="preserve">für die Zwecke des </w:t>
      </w:r>
      <w:hyperlink w:anchor="b79" w:history="1">
        <w:r>
          <w:rPr>
            <w:color w:val="0A3A8C"/>
            <w:u w:val="single"/>
          </w:rPr>
          <w:t xml:space="preserve">§ 32</w:t>
        </w:r>
      </w:hyperlink>
      <w:r>
        <w:t xml:space="preserve"> Absatz 1 Nummer 1 unmittelbar oder über Kopfstellen an Technische Prüfstellen und amtlich anerkannte Überwachungsorganisationen sowie über Kopfstellen an anerkannte Kraftfahrzeugwerkstätten, soweit diese Werkstätten Sicherheitsprüfungen durchführen, für die Durchführung der regelmäßigen Untersuchungen und Prüfungen, um die Verkehrssicherheit der Fahrzeuge und den Schutz der Verkehrsteilnehmer zu gewährleisten; </w:t>
      </w:r>
      <w:hyperlink w:anchor="b81" w:history="1">
        <w:r>
          <w:rPr>
            <w:color w:val="0A3A8C"/>
            <w:u w:val="single"/>
          </w:rPr>
          <w:t xml:space="preserve">§ 34</w:t>
        </w:r>
      </w:hyperlink>
      <w:r>
        <w:t xml:space="preserve"> Absatz 6 Satz 3 und 4 gilt entsprechend.</w:t>
      </w:r>
    </w:p>
    <w:p>
      <w:r>
        <w:rPr>
          <w:rStyle w:val="Satznummer"/>
        </w:rPr>
        <w:t>2</w:t>
      </w:r>
      <w:r>
        <w:t xml:space="preserve">Bei Übermittlungen nach Satz 1 Nummer 4 erfolgt eine Speicherung der Daten bei den Kopfstellen ausschließlich zum Zweck der Übermittlung an Technische Prüfstellen, amtlich anerkannte Überwachungsorganisationen und anerkannte Kraftfahrzeugwerkstätten, soweit diese Werkstätten Sicherheitsprüfungen durchführen. </w:t>
      </w:r>
      <w:r>
        <w:rPr>
          <w:rStyle w:val="Satznummer"/>
        </w:rPr>
        <w:t>3</w:t>
      </w:r>
      <w:r>
        <w:t>Nach erfolgter Übermittlung haben die Kopfstellen die nach Satz 2 gespeicherten Daten unverzüglich, bei elektronischer Speicherung automatisiert, zu löschen.</w:t>
      </w:r>
    </w:p>
    <w:p>
      <w:r>
        <w:t xml:space="preserve">(2a) Die nach </w:t>
      </w:r>
      <w:hyperlink w:anchor="b80" w:history="1">
        <w:r>
          <w:rPr>
            <w:color w:val="0A3A8C"/>
            <w:u w:val="single"/>
          </w:rPr>
          <w:t xml:space="preserve">§ 33</w:t>
        </w:r>
      </w:hyperlink>
      <w:r>
        <w:t xml:space="preserve"> Absatz 3 gespeicherten Daten über die Fahrtenbuchauflagen dürfen</w:t>
      </w:r>
    </w:p>
    <w:p>
      <w:pPr>
        <w:tabs>
          <w:tab w:pos="567" w:val="left"/>
        </w:tabs>
        <w:ind w:left="567" w:hanging="567"/>
      </w:pPr>
      <w:r>
        <w:t>1.</w:t>
      </w:r>
      <w:r>
        <w:tab/>
      </w:r>
      <w:r>
        <w:t>den Zulassungsbehörden in entsprechender Anwendung des Absatzes 5 Nummer 1 zur Überwachung der Fahrtenbuchauflage,</w:t>
      </w:r>
    </w:p>
    <w:p>
      <w:pPr>
        <w:tabs>
          <w:tab w:pos="567" w:val="left"/>
        </w:tabs>
        <w:ind w:left="567" w:hanging="567"/>
      </w:pPr>
      <w:r>
        <w:t>2.</w:t>
      </w:r>
      <w:r>
        <w:tab/>
      </w:r>
      <w:r>
        <w:t>dem Kraftfahrt-Bundesamt in entsprechender Anwendung des Absatzes 5 Nummer 1 für die Unterstützung der Zulassungsbehörden im Rahmen der Überwachung der Fahrtenbuchauflage oder</w:t>
      </w:r>
    </w:p>
    <w:p>
      <w:pPr>
        <w:tabs>
          <w:tab w:pos="567" w:val="left"/>
        </w:tabs>
        <w:ind w:left="567" w:hanging="567"/>
      </w:pPr>
      <w:r>
        <w:t>3.</w:t>
      </w:r>
      <w:r>
        <w:tab/>
      </w:r>
      <w:r>
        <w:t>den hierfür zuständigen Behörden oder Gerichten zur Verfolgung von Straftaten oder von Ordnungswidrigkeiten nach § 24 Absatz 1, § 24a oder § 24c</w:t>
      </w:r>
    </w:p>
    <w:p>
      <w:r>
        <w:t>jeweils im Einzelfall übermittelt werden.</w:t>
      </w:r>
    </w:p>
    <w:p>
      <w:r>
        <w:t xml:space="preserve">(3) </w:t>
      </w:r>
      <w:r>
        <w:rPr>
          <w:rStyle w:val="Satznummer"/>
        </w:rPr>
        <w:t>1</w:t>
      </w:r>
      <w:r>
        <w:t>Die Übermittlung von Fahrzeugdaten und Halterdaten zu anderen Zwecken als der Feststellung oder Bestimmung von Haltern oder Fahrzeugen (</w:t>
      </w:r>
      <w:hyperlink w:anchor="b79" w:history="1">
        <w:r>
          <w:rPr>
            <w:color w:val="0A3A8C"/>
            <w:u w:val="single"/>
          </w:rPr>
          <w:t xml:space="preserve">§ 32</w:t>
        </w:r>
      </w:hyperlink>
      <w:r>
        <w:t xml:space="preserve"> Abs. 2) ist, unbeschadet der Absätze 4, 4a bis 4c unzulässig, es sei denn, die Daten sind</w:t>
      </w:r>
    </w:p>
    <w:p>
      <w:pPr>
        <w:tabs>
          <w:tab w:pos="567" w:val="left"/>
        </w:tabs>
        <w:ind w:left="567" w:hanging="567"/>
      </w:pPr>
      <w:r>
        <w:t>1.</w:t>
      </w:r>
      <w:r>
        <w:tab/>
      </w:r>
      <w:r>
        <w:t>unerlässlich zur</w:t>
      </w:r>
    </w:p>
    <w:p>
      <w:pPr>
        <w:tabs>
          <w:tab w:pos="1134" w:val="left"/>
        </w:tabs>
        <w:ind w:left="1134" w:hanging="567"/>
      </w:pPr>
      <w:r>
        <w:t>a)</w:t>
      </w:r>
      <w:r>
        <w:tab/>
      </w:r>
      <w:r>
        <w:t>Verfolgung von Straftaten oder zur Vollstreckung oder zum Vollzug von Strafen,</w:t>
      </w:r>
    </w:p>
    <w:p>
      <w:pPr>
        <w:tabs>
          <w:tab w:pos="1134" w:val="left"/>
        </w:tabs>
        <w:ind w:left="1134" w:hanging="567"/>
      </w:pPr>
      <w:r>
        <w:t>b)</w:t>
      </w:r>
      <w:r>
        <w:tab/>
      </w:r>
      <w:r>
        <w:t>Abwehr einer im Einzelfall bestehenden Gefahr für die öffentliche Sicherheit,</w:t>
      </w:r>
    </w:p>
    <w:p>
      <w:pPr>
        <w:tabs>
          <w:tab w:pos="1134" w:val="left"/>
        </w:tabs>
        <w:ind w:left="1134" w:hanging="567"/>
      </w:pPr>
      <w:r>
        <w:t>c)</w:t>
      </w:r>
      <w:r>
        <w:tab/>
      </w:r>
      <w:r>
        <w:t>Erfüllung der den Verfassungsschutzbehörden, dem Militärischen Abschirmdienst und dem Bundesnachrichtendienst durch Gesetz übertragenen Aufgaben,</w:t>
      </w:r>
    </w:p>
    <w:p>
      <w:pPr>
        <w:tabs>
          <w:tab w:pos="1134" w:val="left"/>
        </w:tabs>
        <w:ind w:left="1134" w:hanging="567"/>
      </w:pPr>
      <w:r>
        <w:t>d)</w:t>
      </w:r>
      <w:r>
        <w:tab/>
      </w:r>
      <w:r>
        <w:t>Erfüllung der gesetzlichen Mitteilungspflichten zur Sicherung des Steueraufkommens nach § 93 der Abgabenordnung, soweit diese Vorschrift unmittelbar anwendbar ist, oder</w:t>
      </w:r>
    </w:p>
    <w:p>
      <w:pPr>
        <w:tabs>
          <w:tab w:pos="1134" w:val="left"/>
        </w:tabs>
        <w:ind w:left="1134" w:hanging="567"/>
      </w:pPr>
      <w:r>
        <w:t>e)</w:t>
      </w:r>
      <w:r>
        <w:tab/>
      </w:r>
      <w:r>
        <w:t>Erfüllung gesetzlicher Mitteilungspflichten nach § 118 Abs. 4 Satz 4 Nr. 6 des Zwölften Buches Sozialgesetzbuch,</w:t>
      </w:r>
    </w:p>
    <w:p>
      <w:pPr>
        <w:ind w:left="567"/>
      </w:pPr>
      <w:r>
        <w:t>und</w:t>
      </w:r>
    </w:p>
    <w:p>
      <w:pPr>
        <w:tabs>
          <w:tab w:pos="567" w:val="left"/>
        </w:tabs>
        <w:ind w:left="567" w:hanging="567"/>
      </w:pPr>
      <w:r>
        <w:t>2.</w:t>
      </w:r>
      <w:r>
        <w:tab/>
      </w:r>
      <w:r>
        <w:t>auf andere Weise nicht oder nicht rechtzeitig oder nur mit unverhältnismäßigem Aufwand zu erlangen.</w:t>
      </w:r>
    </w:p>
    <w:p>
      <w:r>
        <w:rPr>
          <w:rStyle w:val="Satznummer"/>
        </w:rPr>
        <w:t>2</w:t>
      </w:r>
      <w:r>
        <w:t xml:space="preserve">Die ersuchende Behörde hat Aufzeichnungen über das Ersuchen mit einem Hinweis auf dessen Anlass zu führen. </w:t>
      </w:r>
      <w:r>
        <w:rPr>
          <w:rStyle w:val="Satznummer"/>
        </w:rPr>
        <w:t>3</w:t>
      </w:r>
      <w:r>
        <w:t xml:space="preserve">Die Aufzeichnungen sind gesondert aufzubewahren, durch technische und organisatorische Maßnahmen zu sichern und am Ende des Kalenderjahres, das dem Jahr der Erstellung der Aufzeichnung folgt, zu vernichten. </w:t>
      </w:r>
      <w:r>
        <w:rPr>
          <w:rStyle w:val="Satznummer"/>
        </w:rPr>
        <w:t>4</w:t>
      </w:r>
      <w:r>
        <w:t>Die Aufzeichnungen dürfen nur zur Kontrolle der Zulässigkeit der Übermittlungen verwertet werden, es sei denn, es liegen Anhaltspunkte dafür vor, dass ihre Verwertung zur Aufklärung oder Verhütung einer schwerwiegenden Straftat gegen Leib, Leben oder Freiheit einer Person führen kann und die Aufklärung oder Verhütung ohne diese Maßnahme aussichtslos oder wesentlich erschwert wäre.</w:t>
      </w:r>
    </w:p>
    <w:p>
      <w:r>
        <w:t xml:space="preserve">(4) </w:t>
      </w:r>
      <w:r>
        <w:rPr>
          <w:rStyle w:val="Satznummer"/>
        </w:rPr>
        <w:t>1</w:t>
      </w:r>
      <w:r>
        <w:t xml:space="preserve">Auf Ersuchen des Bundeskriminalamtes kann das Kraftfahrt-Bundesamt die im Zentralen Fahrzeugregister gespeicherten Halterdaten mit dem polizeilichen Fahndungsbestand der mit Haftbefehl gesuchten Personen abgleichen. </w:t>
      </w:r>
      <w:r>
        <w:rPr>
          <w:rStyle w:val="Satznummer"/>
        </w:rPr>
        <w:t>2</w:t>
      </w:r>
      <w:r>
        <w:t xml:space="preserve">Die dabei ermittelten Daten gesuchter Personen dürfen dem Bundeskriminalamt übermittelt werden. </w:t>
      </w:r>
      <w:r>
        <w:rPr>
          <w:rStyle w:val="Satznummer"/>
        </w:rPr>
        <w:t>3</w:t>
      </w:r>
      <w:r>
        <w:t>Das Ersuchen des Bundeskriminalamtes erfolgt durch Übersendung eines Datenträgers.</w:t>
      </w:r>
    </w:p>
    <w:p>
      <w:r>
        <w:t xml:space="preserve">(4a) Auf Ersuchen der Auskunftsstelle nach § 8a des Pflichtversicherungsgesetzes übermitteln die Zulassungsbehörden und das Kraftfahrt-Bundesamt die nach </w:t>
      </w:r>
      <w:hyperlink w:anchor="b80" w:history="1">
        <w:r>
          <w:rPr>
            <w:color w:val="0A3A8C"/>
            <w:u w:val="single"/>
          </w:rPr>
          <w:t xml:space="preserve">§ 33</w:t>
        </w:r>
      </w:hyperlink>
      <w:r>
        <w:t xml:space="preserve"> Abs. 1 gespeicherten Fahrzeugdaten und Halterdaten zu den in § 8a Abs. 1 des Pflichtversicherungsgesetzes genannten Zwecken.</w:t>
      </w:r>
    </w:p>
    <w:p>
      <w:r>
        <w:t xml:space="preserve">(4b) Zu den in § 7 Absatz 2 des Internationalen Familienrechtsverfahrensgesetzes, § 4 Abs. 3 Satz 2 des Erwachsenenschutzübereinkommens-Ausführungsgesetzes vom 17. März 2007 (BGBl. I S. 314) und den in den §§ 16 und 17 des Auslandsunterhaltsgesetzes vom 23. Mai 2011 (BGBl. I S. 898) bezeichneten Zwecken übermittelt das Kraftfahrt-Bundesamt der in diesen Vorschriften bezeichneten Zentralen Behörde auf Ersuchen die nach </w:t>
      </w:r>
      <w:hyperlink w:anchor="b80" w:history="1">
        <w:r>
          <w:rPr>
            <w:color w:val="0A3A8C"/>
            <w:u w:val="single"/>
          </w:rPr>
          <w:t xml:space="preserve">§ 33</w:t>
        </w:r>
      </w:hyperlink>
      <w:r>
        <w:t xml:space="preserve"> Abs. 1 Satz 1 Nr. 2 gespeicherten Halterdaten.</w:t>
      </w:r>
    </w:p>
    <w:p>
      <w:r>
        <w:t>(4c) Auf Ersuchen übermittelt das Kraftfahrt-Bundesamt</w:t>
      </w:r>
    </w:p>
    <w:p>
      <w:pPr>
        <w:tabs>
          <w:tab w:pos="567" w:val="left"/>
        </w:tabs>
        <w:ind w:left="567" w:hanging="567"/>
      </w:pPr>
      <w:r>
        <w:t>1.</w:t>
      </w:r>
      <w:r>
        <w:tab/>
      </w:r>
      <w:r>
        <w:t>dem Gerichtsvollzieher zu den in § 755 der Zivilprozessordnung genannten Zwecken und</w:t>
      </w:r>
    </w:p>
    <w:p>
      <w:pPr>
        <w:tabs>
          <w:tab w:pos="567" w:val="left"/>
        </w:tabs>
        <w:ind w:left="567" w:hanging="567"/>
      </w:pPr>
      <w:r>
        <w:t>2.</w:t>
      </w:r>
      <w:r>
        <w:tab/>
      </w:r>
      <w:r>
        <w:t>der für die Vollstreckung nach dem Verwaltungs-Vollstreckungsgesetz oder nach den Verwaltungsvollstreckungsgesetzen der Länder zuständigen Behörde, soweit diese die Angaben nicht durch Anfrage bei der Meldebehörde ermitteln kann, zur Durchführung eines Vollstreckungsverfahrens</w:t>
      </w:r>
    </w:p>
    <w:p>
      <w:r>
        <w:t xml:space="preserve">die nach </w:t>
      </w:r>
      <w:hyperlink w:anchor="b80" w:history="1">
        <w:r>
          <w:rPr>
            <w:color w:val="0A3A8C"/>
            <w:u w:val="single"/>
          </w:rPr>
          <w:t xml:space="preserve">§ 33</w:t>
        </w:r>
      </w:hyperlink>
      <w:r>
        <w:t xml:space="preserve"> Absatz 1 Satz 1 Nummer 2 gespeicherten Halterdaten, soweit kein Grund zu der Annahme besteht, dass dadurch schutzwürdige Interessen des Betroffenen beeinträchtigt werden.</w:t>
      </w:r>
    </w:p>
    <w:p>
      <w:r>
        <w:t xml:space="preserve">(5) Die nach </w:t>
      </w:r>
      <w:hyperlink w:anchor="b80" w:history="1">
        <w:r>
          <w:rPr>
            <w:color w:val="0A3A8C"/>
            <w:u w:val="single"/>
          </w:rPr>
          <w:t xml:space="preserve">§ 33</w:t>
        </w:r>
      </w:hyperlink>
      <w:r>
        <w:t xml:space="preserve"> Absatz 1 oder 3 gespeicherten Fahrzeugdaten und Halterdaten dürfen nach näherer Bestimmung durch Rechtsverordnung (</w:t>
      </w:r>
      <w:hyperlink w:anchor="b102" w:history="1">
        <w:r>
          <w:rPr>
            <w:color w:val="0A3A8C"/>
            <w:u w:val="single"/>
          </w:rPr>
          <w:t xml:space="preserve">§ 47</w:t>
        </w:r>
      </w:hyperlink>
      <w:r>
        <w:t xml:space="preserve"> Nummer 3) regelmäßig übermittelt werden</w:t>
      </w:r>
    </w:p>
    <w:p>
      <w:pPr>
        <w:tabs>
          <w:tab w:pos="567" w:val="left"/>
        </w:tabs>
        <w:ind w:left="567" w:hanging="567"/>
      </w:pPr>
      <w:r>
        <w:t>1.</w:t>
      </w:r>
      <w:r>
        <w:tab/>
      </w:r>
      <w:r>
        <w:t>von den Zulassungsbehörden an das Kraftfahrt-Bundesamt für das Zentrale Fahrzeugregister und vom Kraftfahrt-Bundesamt an die Zulassungsbehörden für die örtlichen Fahrzeugregister,</w:t>
      </w:r>
    </w:p>
    <w:p>
      <w:pPr>
        <w:tabs>
          <w:tab w:pos="567" w:val="left"/>
        </w:tabs>
        <w:ind w:left="567" w:hanging="567"/>
      </w:pPr>
      <w:r>
        <w:t>2.</w:t>
      </w:r>
      <w:r>
        <w:tab/>
      </w:r>
      <w:r>
        <w:t>von den Zulassungsbehörden an andere Zulassungsbehörden, wenn diese mit dem betreffenden Fahrzeug befasst sind oder befasst waren,</w:t>
      </w:r>
    </w:p>
    <w:p>
      <w:pPr>
        <w:tabs>
          <w:tab w:pos="567" w:val="left"/>
        </w:tabs>
        <w:ind w:left="567" w:hanging="567"/>
      </w:pPr>
      <w:r>
        <w:t>3.</w:t>
      </w:r>
      <w:r>
        <w:tab/>
      </w:r>
      <w:r>
        <w:t>von den Zulassungsbehörden an die Versicherer zur Gewährleistung des vorgeschriebenen Versicherungsschutzes (</w:t>
      </w:r>
      <w:hyperlink w:anchor="b79" w:history="1">
        <w:r>
          <w:rPr>
            <w:color w:val="0A3A8C"/>
            <w:u w:val="single"/>
          </w:rPr>
          <w:t xml:space="preserve">§ 32</w:t>
        </w:r>
      </w:hyperlink>
      <w:r>
        <w:t xml:space="preserve"> Abs. 1 Nr. 2),</w:t>
      </w:r>
    </w:p>
    <w:p>
      <w:pPr>
        <w:tabs>
          <w:tab w:pos="567" w:val="left"/>
        </w:tabs>
        <w:ind w:left="567" w:hanging="567"/>
      </w:pPr>
      <w:r>
        <w:t>4.</w:t>
      </w:r>
      <w:r>
        <w:tab/>
      </w:r>
      <w:r>
        <w:t>von den Zulassungsbehörden an die für die Ausübung der Verwaltung der Kraftfahrzeugsteuer zuständigen Behörden zur Durchführung des Kraftfahrzeugsteuerrechts (</w:t>
      </w:r>
      <w:hyperlink w:anchor="b79" w:history="1">
        <w:r>
          <w:rPr>
            <w:color w:val="0A3A8C"/>
            <w:u w:val="single"/>
          </w:rPr>
          <w:t xml:space="preserve">§ 32</w:t>
        </w:r>
      </w:hyperlink>
      <w:r>
        <w:t xml:space="preserve"> Abs. 1 Nr. 3),</w:t>
      </w:r>
    </w:p>
    <w:p>
      <w:pPr>
        <w:tabs>
          <w:tab w:pos="567" w:val="left"/>
        </w:tabs>
        <w:ind w:left="567" w:hanging="567"/>
      </w:pPr>
      <w:r>
        <w:t>5.</w:t>
      </w:r>
      <w:r>
        <w:tab/>
      </w:r>
      <w:r>
        <w:t>von den Zulassungsbehörden und vom Kraftfahrt-Bundesamt für Maßnahmen nach dem Bundesleistungsgesetz, dem Verkehrssicherstellungsgesetz, dem Verkehrsleistungsgesetz oder des Katastrophenschutzes nach den hierzu erlassenen Gesetzen der Länder oder den darauf beruhenden Rechtsvorschriften an die hierfür zuständigen Behörden (</w:t>
      </w:r>
      <w:hyperlink w:anchor="b79" w:history="1">
        <w:r>
          <w:rPr>
            <w:color w:val="0A3A8C"/>
            <w:u w:val="single"/>
          </w:rPr>
          <w:t xml:space="preserve">§ 32</w:t>
        </w:r>
      </w:hyperlink>
      <w:r>
        <w:t xml:space="preserve"> Abs. 1 Nr. 4 und 5),</w:t>
      </w:r>
    </w:p>
    <w:p>
      <w:pPr>
        <w:tabs>
          <w:tab w:pos="567" w:val="left"/>
        </w:tabs>
        <w:ind w:left="567" w:hanging="567"/>
      </w:pPr>
      <w:r>
        <w:t>6.</w:t>
      </w:r>
      <w:r>
        <w:tab/>
      </w:r>
      <w:r>
        <w:t>von den Zulassungsbehörden für Prüfungen nach § 118 Abs. 4 Satz 4 Nr. 6 des Zwölften Buches Sozialgesetzbuch an die Träger der Sozialhilfe nach dem Zwölften Buch Sozialgesetzbuch.</w:t>
      </w:r>
    </w:p>
    <w:p>
      <w:r>
        <w:t xml:space="preserve">(6) </w:t>
      </w:r>
      <w:r>
        <w:rPr>
          <w:rStyle w:val="Satznummer"/>
        </w:rPr>
        <w:t>1</w:t>
      </w:r>
      <w:r>
        <w:t xml:space="preserve">Das Kraftfahrt-Bundesamt als übermittelnde Behörde hat Aufzeichnungen zu führen, die die übermittelten Daten, den Zeitpunkt der Übermittlung, den Empfänger der Daten und den vom Empfänger angegebenen Zweck enthalten. </w:t>
      </w:r>
      <w:r>
        <w:rPr>
          <w:rStyle w:val="Satznummer"/>
        </w:rPr>
        <w:t>2</w:t>
      </w:r>
      <w:r>
        <w:t xml:space="preserve">Die Aufzeichnungen dürfen nur zur Kontrolle der Zulässigkeit der Übermittlungen verwertet werden, sind durch technische und organisatorische Maßnahmen gegen Missbrauch zu sichern und am Ende des Kalenderhalbjahres, das dem Halbjahr der Übermittlung folgt, zu löschen oder zu vernichten. </w:t>
      </w:r>
      <w:r>
        <w:rPr>
          <w:rStyle w:val="Satznummer"/>
        </w:rPr>
        <w:t>3</w:t>
      </w:r>
      <w:r>
        <w:t xml:space="preserve">Bei Übermittlung nach Absatz 5 sind besondere Aufzeichnungen entbehrlich, wenn die Angaben nach Satz 1 aus dem Register oder anderen Unterlagen entnommen werden können. </w:t>
      </w:r>
      <w:r>
        <w:rPr>
          <w:rStyle w:val="Satznummer"/>
        </w:rPr>
        <w:t>4</w:t>
      </w:r>
      <w:r>
        <w:t xml:space="preserve">Die Sätze 1 und 2 gelten auch für die Übermittlungen durch das Kraftfahrt-Bundesamt nach den </w:t>
      </w:r>
      <w:hyperlink w:anchor="b86" w:history="1">
        <w:r>
          <w:rPr>
            <w:color w:val="0A3A8C"/>
            <w:u w:val="single"/>
          </w:rPr>
          <w:t xml:space="preserve">§§ 37</w:t>
        </w:r>
      </w:hyperlink>
      <w:r>
        <w:t xml:space="preserve"> bis </w:t>
      </w:r>
      <w:hyperlink w:anchor="b95" w:history="1">
        <w:r>
          <w:rPr>
            <w:color w:val="0A3A8C"/>
            <w:u w:val="single"/>
          </w:rPr>
          <w:t xml:space="preserve">40</w:t>
        </w:r>
      </w:hyperlink>
      <w:r>
        <w:t>.</w:t>
      </w:r>
    </w:p>
    <w:p>
      <w:r>
        <w:t>(7) Die Übermittlung nach den Absätzen 1 bis 6 unterbleibt, wenn die Übermittlung bei entsprechendem Abruf auf Grund von § 36 im automatisierten Verfahren erfolgen dürfte.</w:t>
      </w:r>
    </w:p>
    <w:p>
      <w:pPr>
        <w:pStyle w:val="Heading2"/>
      </w:pPr>
      <w:bookmarkStart w:id="84" w:name="b83"/>
      <w:r>
        <w:t>§ 36 Abruf im automatisierten Verfahren</w:t>
      </w:r>
      <w:r>
        <w:t xml:space="preserve"> </w:t>
      </w:r>
      <w:r>
        <w:rPr>
          <w:rStyle w:val="Suchmarke"/>
        </w:rPr>
        <w:t>#36#</w:t>
      </w:r>
      <w:bookmarkEnd w:id="84"/>
    </w:p>
    <w:p>
      <w:r>
        <w:t xml:space="preserve">(1) Die Übermittlung nach </w:t>
      </w:r>
      <w:hyperlink w:anchor="b82" w:history="1">
        <w:r>
          <w:rPr>
            <w:color w:val="0A3A8C"/>
            <w:u w:val="single"/>
          </w:rPr>
          <w:t xml:space="preserve">§ 35</w:t>
        </w:r>
      </w:hyperlink>
      <w:r>
        <w:t xml:space="preserve"> Absatz 1 Nummer 1, soweit es sich um Aufgaben nach </w:t>
      </w:r>
      <w:hyperlink w:anchor="b79" w:history="1">
        <w:r>
          <w:rPr>
            <w:color w:val="0A3A8C"/>
            <w:u w:val="single"/>
          </w:rPr>
          <w:t xml:space="preserve">§ 32</w:t>
        </w:r>
      </w:hyperlink>
      <w:r>
        <w:t xml:space="preserve"> Absatz 1 Nummer 1 oder 9 handelt, oder nach § 35 Absatz 1 Nummer 24 aus dem Zentralen Fahrzeugregister darf durch Abruf im automatisierten Verfahren erfolgen</w:t>
      </w:r>
    </w:p>
    <w:p>
      <w:pPr>
        <w:tabs>
          <w:tab w:pos="567" w:val="left"/>
        </w:tabs>
        <w:ind w:left="567" w:hanging="567"/>
      </w:pPr>
      <w:r>
        <w:t>1.</w:t>
      </w:r>
      <w:r>
        <w:tab/>
      </w:r>
      <w:r>
        <w:t>an die Zulassungsbehörden,</w:t>
      </w:r>
    </w:p>
    <w:p>
      <w:pPr>
        <w:tabs>
          <w:tab w:pos="567" w:val="left"/>
        </w:tabs>
        <w:ind w:left="567" w:hanging="567"/>
      </w:pPr>
      <w:r>
        <w:t>2.</w:t>
      </w:r>
      <w:r>
        <w:tab/>
      </w:r>
      <w:r>
        <w:t xml:space="preserve">im Rahmen einer internetbasierten Zulassung an Personen im Sinne des </w:t>
      </w:r>
      <w:hyperlink w:anchor="b33" w:history="1">
        <w:r>
          <w:rPr>
            <w:color w:val="0A3A8C"/>
            <w:u w:val="single"/>
          </w:rPr>
          <w:t xml:space="preserve">§ 6g</w:t>
        </w:r>
      </w:hyperlink>
      <w:r>
        <w:t xml:space="preserve"> Absatz 3,</w:t>
      </w:r>
    </w:p>
    <w:p>
      <w:pPr>
        <w:tabs>
          <w:tab w:pos="567" w:val="left"/>
        </w:tabs>
        <w:ind w:left="567" w:hanging="567"/>
      </w:pPr>
      <w:r>
        <w:t>3.</w:t>
      </w:r>
      <w:r>
        <w:tab/>
      </w:r>
      <w:r>
        <w:t>an das Kraftfahrt-Bundesamt oder</w:t>
      </w:r>
    </w:p>
    <w:p>
      <w:pPr>
        <w:tabs>
          <w:tab w:pos="567" w:val="left"/>
        </w:tabs>
        <w:ind w:left="567" w:hanging="567"/>
      </w:pPr>
      <w:r>
        <w:t>4.</w:t>
      </w:r>
      <w:r>
        <w:tab/>
      </w:r>
      <w:r>
        <w:t>an die Bundesanstalt für Straßen- und Verkehrswesen.</w:t>
      </w:r>
    </w:p>
    <w:p>
      <w:r>
        <w:t xml:space="preserve">(2) </w:t>
      </w:r>
      <w:r>
        <w:rPr>
          <w:rStyle w:val="Satznummer"/>
        </w:rPr>
        <w:t>1</w:t>
      </w:r>
      <w:r>
        <w:t>Die Übermittlung nach § 35 Abs. 1 Nr. 1 bis 5 aus dem Zentralen Fahrzeugregister darf durch Abruf im automatisierten Verfahren erfolgen</w:t>
      </w:r>
    </w:p>
    <w:p>
      <w:pPr>
        <w:tabs>
          <w:tab w:pos="567" w:val="left"/>
        </w:tabs>
        <w:ind w:left="567" w:hanging="567"/>
      </w:pPr>
      <w:r>
        <w:t>1.</w:t>
      </w:r>
      <w:r>
        <w:tab/>
      </w:r>
      <w:r>
        <w:t>an die Polizeien des Bundes und der Länder sowie an Dienststellen der Zollverwaltung, soweit sie Befugnisse nach § 10 des Zollverwaltungsgesetzes ausüben oder grenzpolizeiliche Aufgaben wahrnehmen,</w:t>
      </w:r>
    </w:p>
    <w:p>
      <w:pPr>
        <w:tabs>
          <w:tab w:pos="1134" w:val="left"/>
        </w:tabs>
        <w:ind w:left="1134" w:hanging="567"/>
      </w:pPr>
      <w:r>
        <w:t>a)</w:t>
      </w:r>
      <w:r>
        <w:tab/>
      </w:r>
      <w:r>
        <w:t>zur Kontrolle, ob die Fahrzeuge einschließlich ihrer Ladung und die Fahrzeugpapiere vorschriftsmäßig sind,</w:t>
      </w:r>
    </w:p>
    <w:p>
      <w:pPr>
        <w:tabs>
          <w:tab w:pos="1134" w:val="left"/>
        </w:tabs>
        <w:ind w:left="1134" w:hanging="567"/>
      </w:pPr>
      <w:r>
        <w:t>b)</w:t>
      </w:r>
      <w:r>
        <w:tab/>
      </w:r>
      <w:r>
        <w:t xml:space="preserve">zur Verfolgung von Ordnungswidrigkeiten nach </w:t>
      </w:r>
      <w:hyperlink w:anchor="b59" w:history="1">
        <w:r>
          <w:rPr>
            <w:color w:val="0A3A8C"/>
            <w:u w:val="single"/>
          </w:rPr>
          <w:t xml:space="preserve">§§ 24</w:t>
        </w:r>
      </w:hyperlink>
      <w:r>
        <w:t xml:space="preserve">, </w:t>
      </w:r>
      <w:hyperlink w:anchor="b60" w:history="1">
        <w:r>
          <w:rPr>
            <w:color w:val="0A3A8C"/>
            <w:u w:val="single"/>
          </w:rPr>
          <w:t xml:space="preserve">24a</w:t>
        </w:r>
      </w:hyperlink>
      <w:r>
        <w:t xml:space="preserve"> oder </w:t>
      </w:r>
      <w:hyperlink w:anchor="b62" w:history="1">
        <w:r>
          <w:rPr>
            <w:color w:val="0A3A8C"/>
            <w:u w:val="single"/>
          </w:rPr>
          <w:t xml:space="preserve">§ 24c</w:t>
        </w:r>
      </w:hyperlink>
      <w:r>
        <w:t>,</w:t>
      </w:r>
    </w:p>
    <w:p>
      <w:pPr>
        <w:tabs>
          <w:tab w:pos="1134" w:val="left"/>
        </w:tabs>
        <w:ind w:left="1134" w:hanging="567"/>
      </w:pPr>
      <w:r>
        <w:t>c)</w:t>
      </w:r>
      <w:r>
        <w:tab/>
      </w:r>
      <w:r>
        <w:t>zur Verfolgung von Straftaten oder zur Vollstreckung oder zum Vollzug von Strafen oder</w:t>
      </w:r>
    </w:p>
    <w:p>
      <w:pPr>
        <w:tabs>
          <w:tab w:pos="1134" w:val="left"/>
        </w:tabs>
        <w:ind w:left="1134" w:hanging="567"/>
      </w:pPr>
      <w:r>
        <w:t>d)</w:t>
      </w:r>
      <w:r>
        <w:tab/>
      </w:r>
      <w:r>
        <w:t>zur Abwehr von Gefahren für die öffentliche Sicherheit,</w:t>
      </w:r>
    </w:p>
    <w:p>
      <w:pPr>
        <w:tabs>
          <w:tab w:pos="567" w:val="left"/>
        </w:tabs>
        <w:ind w:left="567" w:hanging="567"/>
      </w:pPr>
      <w:r>
        <w:t>1a.</w:t>
      </w:r>
      <w:r>
        <w:tab/>
      </w:r>
      <w:r>
        <w:t xml:space="preserve">an die Verwaltungsbehörden im Sinne des </w:t>
      </w:r>
      <w:hyperlink w:anchor="b65" w:history="1">
        <w:r>
          <w:rPr>
            <w:color w:val="0A3A8C"/>
            <w:u w:val="single"/>
          </w:rPr>
          <w:t xml:space="preserve">§ 26</w:t>
        </w:r>
      </w:hyperlink>
      <w:r>
        <w:t xml:space="preserve"> Abs. 1 für die Verfolgung von Ordnungswidrigkeiten nach </w:t>
      </w:r>
      <w:hyperlink w:anchor="b59" w:history="1">
        <w:r>
          <w:rPr>
            <w:color w:val="0A3A8C"/>
            <w:u w:val="single"/>
          </w:rPr>
          <w:t xml:space="preserve">§ 24</w:t>
        </w:r>
      </w:hyperlink>
      <w:r>
        <w:t xml:space="preserve"> Absatz 1, </w:t>
      </w:r>
      <w:hyperlink w:anchor="b60" w:history="1">
        <w:r>
          <w:rPr>
            <w:color w:val="0A3A8C"/>
            <w:u w:val="single"/>
          </w:rPr>
          <w:t xml:space="preserve">§ 24a</w:t>
        </w:r>
      </w:hyperlink>
      <w:r>
        <w:t xml:space="preserve"> oder </w:t>
      </w:r>
      <w:hyperlink w:anchor="b62" w:history="1">
        <w:r>
          <w:rPr>
            <w:color w:val="0A3A8C"/>
            <w:u w:val="single"/>
          </w:rPr>
          <w:t xml:space="preserve">§ 24c</w:t>
        </w:r>
      </w:hyperlink>
      <w:r>
        <w:t>,</w:t>
      </w:r>
    </w:p>
    <w:p>
      <w:pPr>
        <w:tabs>
          <w:tab w:pos="567" w:val="left"/>
        </w:tabs>
        <w:ind w:left="567" w:hanging="567"/>
      </w:pPr>
      <w:r>
        <w:t>2.</w:t>
      </w:r>
      <w:r>
        <w:tab/>
      </w:r>
      <w:r>
        <w:t>an die Zollfahndungsdienststellen zur Verhütung oder Verfolgung von Steuer- und Wirtschaftsstraftaten sowie an die mit der Steuerfahndung betrauten Dienststellen der Landesfinanzbehörden zur Verhütung oder Verfolgung von Steuerstraftaten,</w:t>
      </w:r>
    </w:p>
    <w:p>
      <w:pPr>
        <w:tabs>
          <w:tab w:pos="567" w:val="left"/>
        </w:tabs>
        <w:ind w:left="567" w:hanging="567"/>
      </w:pPr>
      <w:r>
        <w:t>2a.</w:t>
      </w:r>
      <w:r>
        <w:tab/>
      </w:r>
      <w:r>
        <w:t>an die Behörden der Zollverwaltung zur Verfolgung von Straftaten, die mit einem der in § 2 Absatz 1 des Schwarzarbeitsbekämpfungsgesetzes genannten Prüfgegenstände unmittelbar zusammenhängen, und</w:t>
      </w:r>
    </w:p>
    <w:p>
      <w:pPr>
        <w:tabs>
          <w:tab w:pos="567" w:val="left"/>
        </w:tabs>
        <w:ind w:left="567" w:hanging="567"/>
      </w:pPr>
      <w:r>
        <w:t>3.</w:t>
      </w:r>
      <w:r>
        <w:tab/>
      </w:r>
      <w:r>
        <w:t>an die Verfassungsschutzbehörden, den Militärischen Abschirmdienst und den Bundesnachrichtendienst zur Erfüllung ihrer durch Gesetz übertragenen Aufgaben und</w:t>
      </w:r>
    </w:p>
    <w:p>
      <w:pPr>
        <w:tabs>
          <w:tab w:pos="567" w:val="left"/>
        </w:tabs>
        <w:ind w:left="567" w:hanging="567"/>
      </w:pPr>
      <w:r>
        <w:t>4.</w:t>
      </w:r>
      <w:r>
        <w:tab/>
      </w:r>
      <w:r>
        <w:t>an die Zentralstelle für Finanztransaktionsuntersuchungen zur Erfüllung ihrer Aufgaben nach dem Geldwäschegesetz.</w:t>
      </w:r>
    </w:p>
    <w:p>
      <w:r>
        <w:rPr>
          <w:rStyle w:val="Satznummer"/>
        </w:rPr>
        <w:t>2</w:t>
      </w:r>
      <w:r>
        <w:t>Satz 1 gilt entsprechend für den Abruf der örtlich zuständigen Polizeidienststellen der Länder und Verwaltungsbehörden im Sinne des § 26 Abs. 1 aus den jeweiligen örtlichen Fahrzeugregistern.</w:t>
      </w:r>
    </w:p>
    <w:p>
      <w:r>
        <w:t>(2a) Die Übermittlung nach § 35 Absatz 1 Nummer 9 aus dem Zentralen Fahrzeugregister darf durch Abruf im automatisierten Verfahren erfolgen</w:t>
      </w:r>
    </w:p>
    <w:p>
      <w:pPr>
        <w:tabs>
          <w:tab w:pos="567" w:val="left"/>
        </w:tabs>
        <w:ind w:left="567" w:hanging="567"/>
      </w:pPr>
      <w:r>
        <w:t>1.</w:t>
      </w:r>
      <w:r>
        <w:tab/>
      </w:r>
      <w:r>
        <w:t>an die mit der Kontrolle und Erhebung der Umsatzsteuer betrauten Dienststellen der Finanzbehörden, soweit ein Abruf im Einzelfall zur Verhinderung einer missbräuchlichen Anwendung der Vorschriften des Umsatzsteuergesetzes beim Handel, Erwerb oder bei der Übertragung von Fahrzeugen erforderlich ist,</w:t>
      </w:r>
    </w:p>
    <w:p>
      <w:pPr>
        <w:tabs>
          <w:tab w:pos="567" w:val="left"/>
        </w:tabs>
        <w:ind w:left="567" w:hanging="567"/>
      </w:pPr>
      <w:r>
        <w:t>2.</w:t>
      </w:r>
      <w:r>
        <w:tab/>
      </w:r>
      <w:r>
        <w:t>an die mit der Durchführung einer Außenprüfung nach § 193 der Abgabenordnung betrauten Dienststellen der Finanzbehörden, soweit ein Abruf für die Ermittlung der steuerlichen Verhältnisse im Rahmen einer Außenprüfung erforderlich ist und</w:t>
      </w:r>
    </w:p>
    <w:p>
      <w:pPr>
        <w:tabs>
          <w:tab w:pos="567" w:val="left"/>
        </w:tabs>
        <w:ind w:left="567" w:hanging="567"/>
      </w:pPr>
      <w:r>
        <w:t>3.</w:t>
      </w:r>
      <w:r>
        <w:tab/>
      </w:r>
      <w:r>
        <w:t>an die mit der Vollstreckung betrauten Dienststellen der Finanzbehörden nach § 249 der Abgabenordnung, soweit ein Abruf für die Vollstreckung von Ansprüchen aus dem Steuerschuldverhältnis erforderlich ist.</w:t>
      </w:r>
    </w:p>
    <w:p>
      <w:r>
        <w:t>(2b) Die Übermittlung nach § 35 Abs. 1 Nr. 11 und 12 aus dem Zentralen Fahrzeugregister darf durch Abruf im automatisierten Verfahren an den Privaten, der mit der Erhebung der Mautgebühr beliehen worden ist, erfolgen.</w:t>
      </w:r>
    </w:p>
    <w:p>
      <w:r>
        <w:t>(2c) Die Übermittlung nach § 35 Abs. 1 Nr. 10 aus dem Zentralen Fahrzeugregister darf durch Abruf im automatisierten Verfahren an das Bundesamt für Logistik und Mobilität und an eine sonstige öffentliche Stelle, die mit der Erhebung der Maut nach dem Bundesfernstraßenmautgesetz beauftragt ist, erfolgen.</w:t>
      </w:r>
    </w:p>
    <w:p>
      <w:r>
        <w:t>(2d) Die Übermittlung nach § 35 Absatz 1 Nummer 14 aus dem Zentralen Fahrzeugregister darf durch Abruf im automatisierten Verfahren an die zentrale Behörde (§ 4 des Auslandsunterhaltsgesetzes) erfolgen.</w:t>
      </w:r>
    </w:p>
    <w:p>
      <w:r>
        <w:t>(2e) Die Übermittlung nach § 35 Absatz 1 Nummer 15 aus dem Zentralen Fahrzeugregister darf durch Abruf im automatisierten Verfahren an den Gerichtsvollzieher erfolgen.</w:t>
      </w:r>
    </w:p>
    <w:p>
      <w:r>
        <w:t xml:space="preserve">(2f) Die Übermittlung aus dem Zentralen Fahrzeugregister nach </w:t>
      </w:r>
      <w:hyperlink w:anchor="b82" w:history="1">
        <w:r>
          <w:rPr>
            <w:color w:val="0A3A8C"/>
            <w:u w:val="single"/>
          </w:rPr>
          <w:t xml:space="preserve">§ 35</w:t>
        </w:r>
      </w:hyperlink>
      <w:r>
        <w:t xml:space="preserve"> Absatz 2 Satz 1 Nummer 4 darf durch Abruf im automatisierten Verfahren erfolgen.</w:t>
      </w:r>
    </w:p>
    <w:p>
      <w:r>
        <w:t xml:space="preserve">(2g) Die Übermittlung nach </w:t>
      </w:r>
      <w:hyperlink w:anchor="b82" w:history="1">
        <w:r>
          <w:rPr>
            <w:color w:val="0A3A8C"/>
            <w:u w:val="single"/>
          </w:rPr>
          <w:t xml:space="preserve">§ 35</w:t>
        </w:r>
      </w:hyperlink>
      <w:r>
        <w:t xml:space="preserve"> Absatz 2a darf durch Abruf im automatisierten Verfahren erfolgen.</w:t>
      </w:r>
    </w:p>
    <w:p>
      <w:r>
        <w:t xml:space="preserve">(2h) Die Übermittlung nach </w:t>
      </w:r>
      <w:hyperlink w:anchor="b82" w:history="1">
        <w:r>
          <w:rPr>
            <w:color w:val="0A3A8C"/>
            <w:u w:val="single"/>
          </w:rPr>
          <w:t xml:space="preserve">§ 35</w:t>
        </w:r>
      </w:hyperlink>
      <w:r>
        <w:t xml:space="preserve"> Absatz 1 Nummer 16 darf durch Abruf im automatisierten Verfahren an die Behörden der Zollverwaltung zur Erfüllung der ihnen in § 2 Absatz 1 des Schwarzarbeitsbekämpfungsgesetzes übertragenen Prüfungsaufgaben erfolgen.</w:t>
      </w:r>
    </w:p>
    <w:p>
      <w:r>
        <w:t xml:space="preserve">(2i) </w:t>
      </w:r>
      <w:r>
        <w:rPr>
          <w:rStyle w:val="Satznummer"/>
        </w:rPr>
        <w:t>1</w:t>
      </w:r>
      <w:r>
        <w:t xml:space="preserve">In einem solchen Verfahren darf auch die Übermittlung nach § 35 Absatz 1 Nummer 18 aus dem Zentralen Fahrzeugregister an die nach Landesrecht für die Überprüfung der Einhaltung dieser Verkehrsbeschränkungen und Verkehrsverbote zuständigen Behörden erfolgen. </w:t>
      </w:r>
      <w:r>
        <w:rPr>
          <w:rStyle w:val="Satznummer"/>
        </w:rPr>
        <w:t>2</w:t>
      </w:r>
      <w:r>
        <w:t xml:space="preserve">Die Einrichtung von Anlagen zum Abruf nach Satz 1 ist für den Abruf der nach </w:t>
      </w:r>
      <w:hyperlink w:anchor="b80" w:history="1">
        <w:r>
          <w:rPr>
            <w:color w:val="0A3A8C"/>
            <w:u w:val="single"/>
          </w:rPr>
          <w:t xml:space="preserve">§ 33</w:t>
        </w:r>
      </w:hyperlink>
      <w:r>
        <w:t xml:space="preserve"> Absatz 1 Satz 1 Nummer 1 gespeicherten und für die Überprüfung der Einhaltung der jeweiligen Verkehrsbeschränkungen und Verkehrsverbote erforderlichen Fahrzeugdaten aus dem Zentralen Fahrzeugregister durch die Behörden nach Satz 1 zulässig; einer Rechtsverordnung nach Absatz 5 bedarf es nicht; die Maßgaben nach Absatz 5 Nummer 2 und 3 gelten unmittelbar.</w:t>
      </w:r>
    </w:p>
    <w:p>
      <w:r>
        <w:t xml:space="preserve">(2j) Die Übermittlung nach </w:t>
      </w:r>
      <w:hyperlink w:anchor="b82" w:history="1">
        <w:r>
          <w:rPr>
            <w:color w:val="0A3A8C"/>
            <w:u w:val="single"/>
          </w:rPr>
          <w:t xml:space="preserve">§ 35</w:t>
        </w:r>
      </w:hyperlink>
      <w:r>
        <w:t xml:space="preserve"> Absatz 1 Nummer 19 darf durch Abruf im automatisierten Verfahren an das Bundesamt für Wirtschaft und Ausfuhrkontrolle erfolgen.</w:t>
      </w:r>
    </w:p>
    <w:p>
      <w:r>
        <w:t>(2k) Die Übermittlung nach § 35 Absatz 1 Nummer 20 aus dem Zentralen Fahrzeugregister darf durch Abruf im automatisierten Verfahren an das Insolvenzgericht erfolgen.</w:t>
      </w:r>
    </w:p>
    <w:p>
      <w:r>
        <w:t xml:space="preserve">(2l) Die Übermittlung nach </w:t>
      </w:r>
      <w:hyperlink w:anchor="b82" w:history="1">
        <w:r>
          <w:rPr>
            <w:color w:val="0A3A8C"/>
            <w:u w:val="single"/>
          </w:rPr>
          <w:t xml:space="preserve">§ 35</w:t>
        </w:r>
      </w:hyperlink>
      <w:r>
        <w:t xml:space="preserve"> Absatz 1 Nummer 21 darf durch Abruf im automatisierten Verfahren an die nach dem Außenwirtschaftsgesetz zuständigen Behörden und an die Zentralstelle für Sanktionsdurchsetzung erfolgen.</w:t>
      </w:r>
    </w:p>
    <w:p>
      <w:r>
        <w:t xml:space="preserve">(2m) Die Übermittlung nach </w:t>
      </w:r>
      <w:hyperlink w:anchor="b82" w:history="1">
        <w:r>
          <w:rPr>
            <w:color w:val="0A3A8C"/>
            <w:u w:val="single"/>
          </w:rPr>
          <w:t xml:space="preserve">§ 35</w:t>
        </w:r>
      </w:hyperlink>
      <w:r>
        <w:t xml:space="preserve"> Absatz 1 Nummer 22 darf durch Abruf im automatisierten Verfahren an die nach Landesrecht für die Erteilung von Parkberechtigungen in Gebieten nach § 6 Absatz 1 Satz 1 Nummer 15 Buchstabe b zuständigen Behörden erfolgen.</w:t>
      </w:r>
    </w:p>
    <w:p>
      <w:r>
        <w:t xml:space="preserve">(2n) Die Übermittlung nach </w:t>
      </w:r>
      <w:hyperlink w:anchor="b82" w:history="1">
        <w:r>
          <w:rPr>
            <w:color w:val="0A3A8C"/>
            <w:u w:val="single"/>
          </w:rPr>
          <w:t xml:space="preserve">§ 35</w:t>
        </w:r>
      </w:hyperlink>
      <w:r>
        <w:t xml:space="preserve"> Absatz 1 Nummer 23 darf durch Abruf im automatisierten Verfahren an das Umweltbundesamt erfolgen.</w:t>
      </w:r>
    </w:p>
    <w:p>
      <w:r>
        <w:t>(3) Die Übermittlung nach § 35 Abs. 3 Satz 1 aus dem Zentralen Fahrzeugregister darf ferner durch Abruf im automatisierten Verfahren an die Polizeien des Bundes und der Länder zur Verfolgung von Straftaten oder zur Vollstreckung oder zum Vollzug von Strafen oder zur Abwehr einer im Einzelfall bestehenden Gefahr für die öffentliche Sicherheit, an die Zollfahndungsdienststellen zur Verhütung oder Verfolgung von Steuer- und Wirtschaftsstraftaten, an die mit der Steuerfahndung betrauten Dienststellen der Landesfinanzbehörden zur Verhütung oder Verfolgung von Steuerstraftaten sowie an die Verfassungsschutzbehörden, den Militärischen Abschirmdienst und den Bundesnachrichtendienst zur Erfüllung ihrer durch Gesetz übertragenen Aufgaben vorgenommen werden.</w:t>
      </w:r>
    </w:p>
    <w:p>
      <w:r>
        <w:t xml:space="preserve">(3a) Die Übermittlung aus dem Zentralen Fahrzeugregister nach </w:t>
      </w:r>
      <w:hyperlink w:anchor="b82" w:history="1">
        <w:r>
          <w:rPr>
            <w:color w:val="0A3A8C"/>
            <w:u w:val="single"/>
          </w:rPr>
          <w:t xml:space="preserve">§ 35</w:t>
        </w:r>
      </w:hyperlink>
      <w:r>
        <w:t xml:space="preserve"> Abs. 4a darf durch Abruf im automatisierten Verfahren an die Auskunftsstelle nach § 8a des Pflichtversicherungsgesetzes erfolgen.</w:t>
      </w:r>
    </w:p>
    <w:p>
      <w:r>
        <w:t xml:space="preserve">(3b) </w:t>
      </w:r>
      <w:r>
        <w:rPr>
          <w:rStyle w:val="Satznummer"/>
        </w:rPr>
        <w:t>1</w:t>
      </w:r>
      <w:r>
        <w:t xml:space="preserve">Die Übermittlung aus dem Zentralen Fahrzeugregister nach </w:t>
      </w:r>
      <w:hyperlink w:anchor="b82" w:history="1">
        <w:r>
          <w:rPr>
            <w:color w:val="0A3A8C"/>
            <w:u w:val="single"/>
          </w:rPr>
          <w:t xml:space="preserve">§ 35</w:t>
        </w:r>
      </w:hyperlink>
      <w:r>
        <w:t xml:space="preserve"> Absatz 1 Nummer 1 an die für die Ausübung der Verwaltung der Kraftfahrzeugsteuer zuständigen Behörden darf durch Abruf im automatisierten Verfahren erfolgen. </w:t>
      </w:r>
      <w:r>
        <w:rPr>
          <w:rStyle w:val="Satznummer"/>
        </w:rPr>
        <w:t>2</w:t>
      </w:r>
      <w:r>
        <w:t xml:space="preserve">Der Abruf ist nur zulässig, wenn die von den Zulassungsbehörden nach </w:t>
      </w:r>
      <w:hyperlink w:anchor="b82" w:history="1">
        <w:r>
          <w:rPr>
            <w:color w:val="0A3A8C"/>
            <w:u w:val="single"/>
          </w:rPr>
          <w:t xml:space="preserve">§ 35</w:t>
        </w:r>
      </w:hyperlink>
      <w:r>
        <w:t xml:space="preserve"> Absatz 5 Nummer 4 übermittelten Datenbestände unrichtig oder unvollständig sind.</w:t>
      </w:r>
    </w:p>
    <w:p>
      <w:r>
        <w:t xml:space="preserve">(3c) Die Übermittlung aus dem Zentralen Fahrzeugregister nach </w:t>
      </w:r>
      <w:hyperlink w:anchor="b82" w:history="1">
        <w:r>
          <w:rPr>
            <w:color w:val="0A3A8C"/>
            <w:u w:val="single"/>
          </w:rPr>
          <w:t xml:space="preserve">§ 35</w:t>
        </w:r>
      </w:hyperlink>
      <w:r>
        <w:t xml:space="preserve"> Absatz 1a darf an die Zentralen Leitstellen für Brandschutz, Katastrophenschutz und Rettungsdienst zur Vorbereitung der Rettung von Personen aus Fahrzeugen durch Abruf im automatisierten Verfahren erfolgen.</w:t>
      </w:r>
    </w:p>
    <w:p>
      <w:r>
        <w:t>(4) Der Abruf darf sich nur auf ein bestimmtes Fahrzeug oder einen bestimmten Halter richten und in den Fällen der Absätze 1 und 2 Satz 1 Nr. 1 Buchstabe a und b nur unter Verwendung von Fahrzeugdaten durchgeführt werden.</w:t>
      </w:r>
    </w:p>
    <w:p>
      <w:r>
        <w:t>(5) Die Einrichtung von Anlagen zum Abruf im automatisierten Verfahren ist nur zulässig, wenn nach näherer Bestimmung durch Rechtsverordnung (</w:t>
      </w:r>
      <w:hyperlink w:anchor="b102" w:history="1">
        <w:r>
          <w:rPr>
            <w:color w:val="0A3A8C"/>
            <w:u w:val="single"/>
          </w:rPr>
          <w:t xml:space="preserve">§ 47</w:t>
        </w:r>
      </w:hyperlink>
      <w:r>
        <w:t xml:space="preserve"> Nummer 4) gewährleistet ist, dass</w:t>
      </w:r>
    </w:p>
    <w:p>
      <w:pPr>
        <w:tabs>
          <w:tab w:pos="567" w:val="left"/>
        </w:tabs>
        <w:ind w:left="567" w:hanging="567"/>
      </w:pPr>
      <w:r>
        <w:t>1.</w:t>
      </w:r>
      <w:r>
        <w:tab/>
      </w:r>
      <w:r>
        <w:t>die zum Abruf bereitgehaltenen Daten ihrer Art nach für den Empfänger erforderlich sind und ihre Übermittlung durch automatisierten Abruf unter Berücksichtigung der schutzwürdigen Interessen der betroffenen Person und der Aufgabe des Empfängers angemessen ist,</w:t>
      </w:r>
    </w:p>
    <w:p>
      <w:pPr>
        <w:tabs>
          <w:tab w:pos="567" w:val="left"/>
        </w:tabs>
        <w:ind w:left="567" w:hanging="567"/>
      </w:pPr>
      <w:r>
        <w:t>2.</w:t>
      </w:r>
      <w:r>
        <w:tab/>
      </w:r>
      <w:r>
        <w:t>die erforderlichen technischen und organisatorischen Maßnahmen nach den Artikeln 24, 25 und 32 der Verordnung (EU) 2016/679 zur Sicherstellung des Datenschutzes und der Datensicherheit getroffen werden und</w:t>
      </w:r>
    </w:p>
    <w:p>
      <w:pPr>
        <w:tabs>
          <w:tab w:pos="567" w:val="left"/>
        </w:tabs>
        <w:ind w:left="567" w:hanging="567"/>
      </w:pPr>
      <w:r>
        <w:t>3.</w:t>
      </w:r>
      <w:r>
        <w:tab/>
      </w:r>
      <w:r>
        <w:t>die Zulässigkeit der Abrufe nach Maßgabe des Absatzes 6 kontrolliert werden kann.</w:t>
      </w:r>
    </w:p>
    <w:p>
      <w:r>
        <w:t>(5a) (weggefallen)</w:t>
      </w:r>
    </w:p>
    <w:p>
      <w:r>
        <w:t xml:space="preserve">(6) </w:t>
      </w:r>
      <w:r>
        <w:rPr>
          <w:rStyle w:val="Satznummer"/>
        </w:rPr>
        <w:t>1</w:t>
      </w:r>
      <w:r>
        <w:t xml:space="preserve">Das Kraftfahrt-Bundesamt oder die Zulassungsbehörde als übermittelnde Stelle hat über die Abrufe Aufzeichnungen zu fertigen, die die bei der Durchführung der Abrufe verwendeten Daten, den Tag und die Uhrzeit der Abrufe, die Kennung der abrufenden Dienststelle und die abgerufenen Daten enthalten müssen. </w:t>
      </w:r>
      <w:r>
        <w:rPr>
          <w:rStyle w:val="Satznummer"/>
        </w:rPr>
        <w:t>2</w:t>
      </w:r>
      <w:r>
        <w:t xml:space="preserve">Die protokollierten Daten dürfen nur für Zwecke der Datenschutzkontrolle, der Datensicherung oder zur Sicherstellung eines ordnungsgemäßen Betriebs der Datenverarbeitungsanlage verwendet werden. </w:t>
      </w:r>
      <w:r>
        <w:rPr>
          <w:rStyle w:val="Satznummer"/>
        </w:rPr>
        <w:t>3</w:t>
      </w:r>
      <w:r>
        <w:t xml:space="preserve">Die nach Satz 1 protokollierten Daten dürfen auch dazu verwendet werden, der betroffenen Person darüber Auskunft zu erteilen, welche ihrer in Anhang I, Abschnitt I und II der Richtlinie (EU) 2015/413 enthaltenen personenbezogenen Daten an Stellen in anderen Mitgliedstaaten der Europäischen Union zum Zweck der dortigen Verfolgung der in Artikel 2 der Richtlinie (EU) 2015/413 aufgeführten, die Straßenverkehrssicherheit gefährdenden Delikte übermittelt wurden. </w:t>
      </w:r>
      <w:r>
        <w:rPr>
          <w:rStyle w:val="Satznummer"/>
        </w:rPr>
        <w:t>4</w:t>
      </w:r>
      <w:r>
        <w:t xml:space="preserve">Das Datum des Ersuchens und die zuständige Stelle nach Satz 1, an die die Übermittlung erfolgte, sind der betroffenen Person ebenfalls mitzuteilen. </w:t>
      </w:r>
      <w:r>
        <w:rPr>
          <w:rStyle w:val="Satznummer"/>
        </w:rPr>
        <w:t>5</w:t>
      </w:r>
      <w:hyperlink w:anchor="b84" w:history="1">
        <w:r>
          <w:rPr>
            <w:color w:val="0A3A8C"/>
            <w:u w:val="single"/>
          </w:rPr>
          <w:t xml:space="preserve">§ 36a</w:t>
        </w:r>
      </w:hyperlink>
      <w:r>
        <w:t xml:space="preserve"> gilt für das Verfahren nach den Sätzen 3 und 4 entsprechend. </w:t>
      </w:r>
      <w:r>
        <w:rPr>
          <w:rStyle w:val="Satznummer"/>
        </w:rPr>
        <w:t>6</w:t>
      </w:r>
      <w:r>
        <w:t xml:space="preserve">Liegen Anhaltspunkte dafür vor, dass ohne ihre Verwendung die Verhinderung oder Verfolgung einer schwerwiegenden Straftat gegen Leib, Leben oder Freiheit einer Person aussichtslos oder wesentlich erschwert wäre, dürfen die Daten auch für diesen Zweck verwendet werden, sofern das Ersuchen der Strafverfolgungsbehörde unter Verwendung von Halterdaten einer bestimmten Person oder von Fahrzeugdaten eines bestimmten Fahrzeugs gestellt wird. </w:t>
      </w:r>
      <w:r>
        <w:rPr>
          <w:rStyle w:val="Satznummer"/>
        </w:rPr>
        <w:t>7</w:t>
      </w:r>
      <w:r>
        <w:t>Die Protokolldaten sind durch geeignete Vorkehrungen gegen zweckfremde Verwendung und gegen sonstigen Missbrauch zu schützen und nach sechs Monaten zu löschen.</w:t>
      </w:r>
    </w:p>
    <w:p>
      <w:r>
        <w:t xml:space="preserve">(7) </w:t>
      </w:r>
      <w:r>
        <w:rPr>
          <w:rStyle w:val="Satznummer"/>
        </w:rPr>
        <w:t>1</w:t>
      </w:r>
      <w:r>
        <w:t xml:space="preserve">Bei Abrufen aus dem Zentralen Fahrzeugregister sind vom Kraftfahrt-Bundesamt weitere Aufzeichnungen zu fertigen, die sich auf den Anlass des Abrufs erstrecken und die Feststellung der für den Abruf verantwortlichen Personen ermöglichen. </w:t>
      </w:r>
      <w:r>
        <w:rPr>
          <w:rStyle w:val="Satznummer"/>
        </w:rPr>
        <w:t>2</w:t>
      </w:r>
      <w:r>
        <w:t>Das Nähere wird durch Rechtsverordnung (</w:t>
      </w:r>
      <w:hyperlink w:anchor="b102" w:history="1">
        <w:r>
          <w:rPr>
            <w:color w:val="0A3A8C"/>
            <w:u w:val="single"/>
          </w:rPr>
          <w:t xml:space="preserve">§ 47</w:t>
        </w:r>
      </w:hyperlink>
      <w:r>
        <w:t xml:space="preserve"> Nummer 5) bestimmt. </w:t>
      </w:r>
      <w:r>
        <w:rPr>
          <w:rStyle w:val="Satznummer"/>
        </w:rPr>
        <w:t>3</w:t>
      </w:r>
      <w:r>
        <w:t>Dies gilt entsprechend für Abrufe aus den örtlichen Fahrzeugregistern.</w:t>
      </w:r>
    </w:p>
    <w:p>
      <w:r>
        <w:t xml:space="preserve">(8) </w:t>
      </w:r>
      <w:r>
        <w:rPr>
          <w:rStyle w:val="Satznummer"/>
        </w:rPr>
        <w:t>1</w:t>
      </w:r>
      <w:r>
        <w:t xml:space="preserve">Soweit örtliche Fahrzeugregister nicht im automatisierten Verfahren geführt werden, ist die Übermittlung der nach </w:t>
      </w:r>
      <w:hyperlink w:anchor="b80" w:history="1">
        <w:r>
          <w:rPr>
            <w:color w:val="0A3A8C"/>
            <w:u w:val="single"/>
          </w:rPr>
          <w:t xml:space="preserve">§ 33</w:t>
        </w:r>
      </w:hyperlink>
      <w:r>
        <w:t xml:space="preserve"> Abs. 1 gespeicherten Fahrzeugdaten und Halterdaten durch Einsichtnahme in das örtliche Fahrzeugregister außerhalb der üblichen Dienstzeiten an die für den betreffenden Zulassungsbezirk zuständige Polizeidienststelle zulässig, wenn</w:t>
      </w:r>
    </w:p>
    <w:p>
      <w:pPr>
        <w:tabs>
          <w:tab w:pos="567" w:val="left"/>
        </w:tabs>
        <w:ind w:left="567" w:hanging="567"/>
      </w:pPr>
      <w:r>
        <w:t>1.</w:t>
      </w:r>
      <w:r>
        <w:tab/>
      </w:r>
      <w:r>
        <w:t>dies für die Erfüllung der in Absatz 2 Satz 1 Nr. 1 bezeichneten Aufgaben erforderlich ist und</w:t>
      </w:r>
    </w:p>
    <w:p>
      <w:pPr>
        <w:tabs>
          <w:tab w:pos="567" w:val="left"/>
        </w:tabs>
        <w:ind w:left="567" w:hanging="567"/>
      </w:pPr>
      <w:r>
        <w:t>2.</w:t>
      </w:r>
      <w:r>
        <w:tab/>
      </w:r>
      <w:r>
        <w:t>ohne die sofortige Einsichtnahme die Erfüllung dieser Aufgaben gefährdet wäre.</w:t>
      </w:r>
    </w:p>
    <w:p>
      <w:r>
        <w:rPr>
          <w:rStyle w:val="Satznummer"/>
        </w:rPr>
        <w:t>2</w:t>
      </w:r>
      <w:r>
        <w:t xml:space="preserve">Die Polizeidienststelle hat die Tatsache der Einsichtnahme, deren Datum und Anlass sowie den Namen des Einsichtnehmenden aufzuzeichnen; die Aufzeichnungen sind für die Dauer eines Jahres aufzubewahren und nach Ablauf des betreffenden Kalenderjahres zu vernichten. </w:t>
      </w:r>
      <w:r>
        <w:rPr>
          <w:rStyle w:val="Satznummer"/>
        </w:rPr>
        <w:t>3</w:t>
      </w:r>
      <w:r>
        <w:t>Die Sätze 1 und 2 finden entsprechende Anwendung auf die Einsichtnahme durch die Zollfahndungsämter zur Erfüllung der in Absatz 2 Satz 1 Nr. 2 bezeichneten Aufgaben.</w:t>
      </w:r>
    </w:p>
    <w:p>
      <w:pPr>
        <w:pStyle w:val="Heading2"/>
      </w:pPr>
      <w:bookmarkStart w:id="85" w:name="b84"/>
      <w:r>
        <w:t>§ 36a Automatisiertes Anfrage- und Auskunftsverfahren beim Kraftfahrt-Bundesamt</w:t>
      </w:r>
      <w:r>
        <w:t xml:space="preserve"> </w:t>
      </w:r>
      <w:r>
        <w:rPr>
          <w:rStyle w:val="Suchmarke"/>
        </w:rPr>
        <w:t>#36a#</w:t>
      </w:r>
      <w:bookmarkEnd w:id="85"/>
    </w:p>
    <w:p>
      <w:r>
        <w:rPr>
          <w:rStyle w:val="Satznummer"/>
        </w:rPr>
        <w:t>1</w:t>
      </w:r>
      <w:r>
        <w:t xml:space="preserve">Die Übermittlung der Daten aus dem Zentralen Fahrzeugregister nach den </w:t>
      </w:r>
      <w:hyperlink w:anchor="b82" w:history="1">
        <w:r>
          <w:rPr>
            <w:color w:val="0A3A8C"/>
            <w:u w:val="single"/>
          </w:rPr>
          <w:t xml:space="preserve">§§ 35</w:t>
        </w:r>
      </w:hyperlink>
      <w:r>
        <w:t xml:space="preserve"> und </w:t>
      </w:r>
      <w:hyperlink w:anchor="b86" w:history="1">
        <w:r>
          <w:rPr>
            <w:color w:val="0A3A8C"/>
            <w:u w:val="single"/>
          </w:rPr>
          <w:t xml:space="preserve">37</w:t>
        </w:r>
      </w:hyperlink>
      <w:r>
        <w:t xml:space="preserve"> darf nach näherer Bestimmung durch Rechtsverordnung nach </w:t>
      </w:r>
      <w:hyperlink w:anchor="b102" w:history="1">
        <w:r>
          <w:rPr>
            <w:color w:val="0A3A8C"/>
            <w:u w:val="single"/>
          </w:rPr>
          <w:t xml:space="preserve">§ 47</w:t>
        </w:r>
      </w:hyperlink>
      <w:r>
        <w:t xml:space="preserve"> Nummer 4a auch in einem automatisierten Anfrage- und Auskunftsverfahren erfolgen. </w:t>
      </w:r>
      <w:r>
        <w:rPr>
          <w:rStyle w:val="Satznummer"/>
        </w:rPr>
        <w:t>2</w:t>
      </w:r>
      <w:r>
        <w:t xml:space="preserve">Für die Einrichtung und Durchführung des Verfahrens gilt </w:t>
      </w:r>
      <w:hyperlink w:anchor="b75" w:history="1">
        <w:r>
          <w:rPr>
            <w:color w:val="0A3A8C"/>
            <w:u w:val="single"/>
          </w:rPr>
          <w:t xml:space="preserve">§ 30b</w:t>
        </w:r>
      </w:hyperlink>
      <w:r>
        <w:t xml:space="preserve"> Abs. 1 Satz 2, Abs. 2 und 3 entsprechend.</w:t>
      </w:r>
    </w:p>
    <w:p>
      <w:pPr>
        <w:pStyle w:val="Heading2"/>
      </w:pPr>
      <w:bookmarkStart w:id="86" w:name="b85"/>
      <w:r>
        <w:t>§ 36b Abgleich mit den Sachfahndungsdaten des Bundeskriminalamtes</w:t>
      </w:r>
      <w:r>
        <w:t xml:space="preserve"> </w:t>
      </w:r>
      <w:r>
        <w:rPr>
          <w:rStyle w:val="Suchmarke"/>
        </w:rPr>
        <w:t>#36b#</w:t>
      </w:r>
      <w:bookmarkEnd w:id="86"/>
    </w:p>
    <w:p>
      <w:r>
        <w:t xml:space="preserve">(1) </w:t>
      </w:r>
      <w:r>
        <w:rPr>
          <w:rStyle w:val="Satznummer"/>
        </w:rPr>
        <w:t>1</w:t>
      </w:r>
      <w:r>
        <w:t xml:space="preserve">Das Bundeskriminalamt übermittelt regelmäßig dem Kraftfahrt-Bundesamt die im Polizeilichen Informationssystem gespeicherten Daten von Fahrzeugen, Kennzeichen, Fahrzeugpapieren und Führerscheinen, die zur Beweissicherung, Einziehung, Beschlagnahme, Sicherstellung, Eigentumssicherung und Eigentümer- oder Besitzerermittlung ausgeschrieben sind. </w:t>
      </w:r>
      <w:r>
        <w:rPr>
          <w:rStyle w:val="Satznummer"/>
        </w:rPr>
        <w:t>2</w:t>
      </w:r>
      <w:r>
        <w:t>Die Daten dienen zum Abgleich mit den im Zentralen Fahrzeugregister erfassten Fahrzeugen, Kennzeichen und Fahrzeugpapieren sowie mit den im Zentralen Fahrerlaubnisregister erfassten Führerscheinen und werden als Suchvermerke in diesen Registern gespeichert, bis das Bundeskriminalamt die Beendigung der Ausschreibung entsprechend Satz 1 mitteilt.</w:t>
      </w:r>
    </w:p>
    <w:p>
      <w:r>
        <w:t>(2) Die Übermittlung der Daten nach Absatz 1 darf auch im automatisierten Verfahren erfolgen.</w:t>
      </w:r>
    </w:p>
    <w:p>
      <w:r>
        <w:t>(3) Das Kraftfahrt-Bundesamt teilt der sachbearbeitenden Polizeidienststelle oder der ausschreibenden Behörde etwaige Erkenntnisse aus dem Abgleich oder, sofern dem Register nach dem Abgleich eine Mitteilung oder Anfrage zu einem mit einem Suchvermerk versehenen Fahrzeug, Kennzeichen, Fahrzeugpapier oder Führerschein zugeht, die Bezeichnung und die Anschrift der mitteilenden oder anfragenden Stelle, deren Geschäftszeichen, das Datum der Mitteilung oder der Anfrage und die mitgeteilten Daten mit.</w:t>
      </w:r>
    </w:p>
    <w:p>
      <w:pPr>
        <w:pStyle w:val="Heading2"/>
      </w:pPr>
      <w:bookmarkStart w:id="87" w:name="b86"/>
      <w:r>
        <w:t>§ 37 Übermittlung von Fahrzeugdaten und Halterdaten an Stellen außerhalb des Geltungsbereiches dieses Gesetzes</w:t>
      </w:r>
      <w:r>
        <w:t xml:space="preserve"> </w:t>
      </w:r>
      <w:r>
        <w:rPr>
          <w:rStyle w:val="Suchmarke"/>
        </w:rPr>
        <w:t>#37#</w:t>
      </w:r>
      <w:bookmarkEnd w:id="87"/>
    </w:p>
    <w:p>
      <w:r>
        <w:t xml:space="preserve">(1) Die nach </w:t>
      </w:r>
      <w:hyperlink w:anchor="b80" w:history="1">
        <w:r>
          <w:rPr>
            <w:color w:val="0A3A8C"/>
            <w:u w:val="single"/>
          </w:rPr>
          <w:t xml:space="preserve">§ 33</w:t>
        </w:r>
      </w:hyperlink>
      <w:r>
        <w:t xml:space="preserve"> Absatz 1 gespeicherten Fahrzeugdaten und Halterdaten dürfen vom Kraftfahrt-Bundesamt an die zuständigen Stellen anderer Staaten oder an Europol übermittelt werden, soweit dies nach unionsrechtlichen Vorschriften vorgeschrieben ist oder soweit dies</w:t>
      </w:r>
    </w:p>
    <w:p>
      <w:pPr>
        <w:tabs>
          <w:tab w:pos="567" w:val="left"/>
        </w:tabs>
        <w:ind w:left="567" w:hanging="567"/>
      </w:pPr>
      <w:r>
        <w:t>1.</w:t>
      </w:r>
      <w:r>
        <w:tab/>
      </w:r>
      <w:r>
        <w:t>für Verwaltungsmaßnahmen auf dem Gebiet des Straßenverkehrs,</w:t>
      </w:r>
    </w:p>
    <w:p>
      <w:pPr>
        <w:tabs>
          <w:tab w:pos="567" w:val="left"/>
        </w:tabs>
        <w:ind w:left="567" w:hanging="567"/>
      </w:pPr>
      <w:r>
        <w:t>2.</w:t>
      </w:r>
      <w:r>
        <w:tab/>
      </w:r>
      <w:r>
        <w:t>zur Überwachung des Versicherungsschutzes im Rahmen der Kraftfahrzeughaftpflichtversicherung,</w:t>
      </w:r>
    </w:p>
    <w:p>
      <w:pPr>
        <w:tabs>
          <w:tab w:pos="567" w:val="left"/>
        </w:tabs>
        <w:ind w:left="567" w:hanging="567"/>
      </w:pPr>
      <w:r>
        <w:t>3.</w:t>
      </w:r>
      <w:r>
        <w:tab/>
      </w:r>
      <w:r>
        <w:t>zur Verfolgung von Zuwiderhandlungen gegen Rechtsvorschriften auf dem Gebiet des Straßenverkehrs oder</w:t>
      </w:r>
    </w:p>
    <w:p>
      <w:pPr>
        <w:tabs>
          <w:tab w:pos="567" w:val="left"/>
        </w:tabs>
        <w:ind w:left="567" w:hanging="567"/>
      </w:pPr>
      <w:r>
        <w:t>4.</w:t>
      </w:r>
      <w:r>
        <w:tab/>
      </w:r>
      <w:r>
        <w:t>zur Verfolgung von Straftaten, die im Zusammenhang mit dem Straßenverkehr oder sonst mit Kraftfahrzeugen, Anhängern, Kennzeichen oder Fahrzeugpapieren, Fahrerlaubnissen oder Führerscheinen stehen,</w:t>
      </w:r>
    </w:p>
    <w:p>
      <w:r>
        <w:t>erforderlich ist und keine Anhaltspunkte für Zweifel an der Gegenseitigkeit einer solchen Auskunftserteilung hinsichtlich des jeweiligen Anfragegrundes nach den Nummern 1 bis 4 und hinsichtlich der den Anfragegrund begründenden Sachverhalte durch den anderen Staat gegeben sind.</w:t>
      </w:r>
    </w:p>
    <w:p>
      <w:r>
        <w:t xml:space="preserve">(1a) Nach Maßgabe völkerrechtlicher Verträge zwischen Mitgliedstaaten der Europäischen Union oder mit den anderen Vertragsstaaten des Abkommens über den Europäischen Wirtschaftsraum, die der Mitwirkung der gesetzgebenden Körperschaften nach Artikel 59 Absatz 2 des Grundgesetzes bedürfen, sowie nach Artikel 12 des Beschlusses des Rates 2008/615/JI vom 23. Juni 2008 (ABl. L 210 vom 6.8.2008, S. 1) dürfen die nach </w:t>
      </w:r>
      <w:hyperlink w:anchor="b80" w:history="1">
        <w:r>
          <w:rPr>
            <w:color w:val="0A3A8C"/>
            <w:u w:val="single"/>
          </w:rPr>
          <w:t xml:space="preserve">§ 33</w:t>
        </w:r>
      </w:hyperlink>
      <w:r>
        <w:t xml:space="preserve"> Absatz 1 gespeicherten Fahrzeugdaten und Halterdaten vom Kraftfahrt-Bundesamt an die zuständigen Stellen dieser Staaten auch übermittelt werden, soweit dies erforderlich ist</w:t>
      </w:r>
    </w:p>
    <w:p>
      <w:pPr>
        <w:tabs>
          <w:tab w:pos="567" w:val="left"/>
        </w:tabs>
        <w:ind w:left="567" w:hanging="567"/>
      </w:pPr>
      <w:r>
        <w:t>1.</w:t>
      </w:r>
      <w:r>
        <w:tab/>
      </w:r>
      <w:r>
        <w:t>zur Verfolgung von Ordnungswidrigkeiten, die nicht von Absatz 1 Nummer 3 erfasst werden,</w:t>
      </w:r>
    </w:p>
    <w:p>
      <w:pPr>
        <w:tabs>
          <w:tab w:pos="567" w:val="left"/>
        </w:tabs>
        <w:ind w:left="567" w:hanging="567"/>
      </w:pPr>
      <w:r>
        <w:t>2.</w:t>
      </w:r>
      <w:r>
        <w:tab/>
      </w:r>
      <w:r>
        <w:t>zur Verfolgung von Straftaten, die nicht von Absatz 1 Nummer 4 erfasst werden, oder</w:t>
      </w:r>
    </w:p>
    <w:p>
      <w:pPr>
        <w:tabs>
          <w:tab w:pos="567" w:val="left"/>
        </w:tabs>
        <w:ind w:left="567" w:hanging="567"/>
      </w:pPr>
      <w:r>
        <w:t>3.</w:t>
      </w:r>
      <w:r>
        <w:tab/>
      </w:r>
      <w:r>
        <w:t>zur Abwehr von Gefahren für die öffentliche Sicherheit.</w:t>
      </w:r>
    </w:p>
    <w:p>
      <w:r>
        <w:t>(2) Der Empfänger ist darauf hinzuweisen, dass die übermittelten Daten nur zu dem Zweck verwendet werden dürfen, zu dessen Erfüllung sie ihm übermittelt werden.</w:t>
      </w:r>
    </w:p>
    <w:p>
      <w:r>
        <w:t>(3) Die Übermittlung unterbleibt, wenn durch sie schutzwürdige Interessen der betroffenen Person beeinträchtigt würden, insbesondere, wenn im Empfängerland ein angemessener Datenschutzstandard nicht gewährleistet ist.</w:t>
      </w:r>
    </w:p>
    <w:p>
      <w:r>
        <w:t xml:space="preserve">(4) </w:t>
      </w:r>
      <w:r>
        <w:rPr>
          <w:rStyle w:val="Satznummer"/>
        </w:rPr>
        <w:t>1</w:t>
      </w:r>
      <w:r>
        <w:t xml:space="preserve">Die Übermittlung unterbleibt, wenn die Übermittlung bei entsprechender Anfrage auf Grund von </w:t>
      </w:r>
      <w:hyperlink w:anchor="b87" w:history="1">
        <w:r>
          <w:rPr>
            <w:color w:val="0A3A8C"/>
            <w:u w:val="single"/>
          </w:rPr>
          <w:t xml:space="preserve">§ 37a</w:t>
        </w:r>
      </w:hyperlink>
      <w:r>
        <w:t xml:space="preserve"> erfolgen könnte. </w:t>
      </w:r>
      <w:r>
        <w:rPr>
          <w:rStyle w:val="Satznummer"/>
        </w:rPr>
        <w:t>2</w:t>
      </w:r>
      <w:r>
        <w:t>Die Übermittlung kann ferner unterbleiben, wenn das Kraftfahrt-Bundesamt den Aufwand für die Bearbeitung der Anfragen als nicht vertretbar beurteilt.</w:t>
      </w:r>
    </w:p>
    <w:p>
      <w:pPr>
        <w:pStyle w:val="Heading2"/>
      </w:pPr>
      <w:bookmarkStart w:id="88" w:name="b87"/>
      <w:r>
        <w:t>§ 37a Abruf im automatisierten Verfahren durch Stellen außerhalb des Geltungsbereiches dieses Gesetzes</w:t>
      </w:r>
      <w:r>
        <w:t xml:space="preserve"> </w:t>
      </w:r>
      <w:r>
        <w:rPr>
          <w:rStyle w:val="Suchmarke"/>
        </w:rPr>
        <w:t>#37a#</w:t>
      </w:r>
      <w:bookmarkEnd w:id="88"/>
    </w:p>
    <w:p>
      <w:r>
        <w:t xml:space="preserve">(1) </w:t>
      </w:r>
      <w:r>
        <w:rPr>
          <w:rStyle w:val="Satznummer"/>
        </w:rPr>
        <w:t>1</w:t>
      </w:r>
      <w:r>
        <w:t xml:space="preserve">Durch Abruf im automatisierten Verfahren dürfen aus dem Zentralen Fahrzeugregister für die in </w:t>
      </w:r>
      <w:hyperlink w:anchor="b86" w:history="1">
        <w:r>
          <w:rPr>
            <w:color w:val="0A3A8C"/>
            <w:u w:val="single"/>
          </w:rPr>
          <w:t xml:space="preserve">§ 37</w:t>
        </w:r>
      </w:hyperlink>
      <w:r>
        <w:t xml:space="preserve"> Abs. 1 und 1a genannten Maßnahmen an die hierfür zuständigen öffentlichen Stellen in einem Mitgliedstaat der Europäischen Union oder einem anderen Vertragsstaat des Abkommens über den Europäischen Wirtschaftsraum oder an Europol die zu deren Aufgabenerfüllung erforderlichen Daten nach näherer Bestimmung durch Rechtsverordnung nach </w:t>
      </w:r>
      <w:hyperlink w:anchor="b102" w:history="1">
        <w:r>
          <w:rPr>
            <w:color w:val="0A3A8C"/>
            <w:u w:val="single"/>
          </w:rPr>
          <w:t xml:space="preserve">§ 47</w:t>
        </w:r>
      </w:hyperlink>
      <w:r>
        <w:t xml:space="preserve"> Nummer 5b und 5c durch das Kraftfahrt-Bundesamt übermittelt werden. </w:t>
      </w:r>
      <w:r>
        <w:rPr>
          <w:rStyle w:val="Satznummer"/>
        </w:rPr>
        <w:t>2</w:t>
      </w:r>
      <w:r>
        <w:t>Dieses automatisierte Verfahren setzt jedoch voraus, dass das Europäische Fahrzeug- und Führerschein-Informationssystem oder ein anderes informationstechnisches Verfahren genutzt wird, das vom Kraftfahrt-Bundesamt als mit vertretbarem Aufwand betreibbar beurteilt wird</w:t>
      </w:r>
    </w:p>
    <w:p>
      <w:r>
        <w:t xml:space="preserve">(2) </w:t>
      </w:r>
      <w:r>
        <w:rPr>
          <w:rStyle w:val="Satznummer"/>
        </w:rPr>
        <w:t>1</w:t>
      </w:r>
      <w:r>
        <w:t xml:space="preserve">Der Abruf darf nur unter Verwendung von Fahrzeugdaten, bei Abrufen für die in </w:t>
      </w:r>
      <w:hyperlink w:anchor="b86" w:history="1">
        <w:r>
          <w:rPr>
            <w:color w:val="0A3A8C"/>
            <w:u w:val="single"/>
          </w:rPr>
          <w:t xml:space="preserve">§ 37</w:t>
        </w:r>
      </w:hyperlink>
      <w:r>
        <w:t xml:space="preserve"> Abs. 1a genannten Zwecke nur unter Verwendung der vollständigen Fahrzeug-Identifizierungsnummer oder des vollständigen Kennzeichens, erfolgen und sich nur auf ein bestimmtes Fahrzeug oder einen bestimmten Halter richten. </w:t>
      </w:r>
      <w:r>
        <w:rPr>
          <w:rStyle w:val="Satznummer"/>
        </w:rPr>
        <w:t>2</w:t>
      </w:r>
      <w:r>
        <w:t>Ein unionsrechtlich vorgeschriebener Abruf darf ergänzend zu Satz 1</w:t>
      </w:r>
    </w:p>
    <w:p>
      <w:pPr>
        <w:tabs>
          <w:tab w:pos="567" w:val="left"/>
        </w:tabs>
        <w:ind w:left="567" w:hanging="567"/>
      </w:pPr>
      <w:r>
        <w:t>1.</w:t>
      </w:r>
      <w:r>
        <w:tab/>
      </w:r>
      <w:r>
        <w:t>auch unter Verwendung von Halterdaten erfolgen oder</w:t>
      </w:r>
    </w:p>
    <w:p>
      <w:pPr>
        <w:tabs>
          <w:tab w:pos="567" w:val="left"/>
        </w:tabs>
        <w:ind w:left="567" w:hanging="567"/>
      </w:pPr>
      <w:r>
        <w:t>2.</w:t>
      </w:r>
      <w:r>
        <w:tab/>
      </w:r>
      <w:r>
        <w:t>sich auf mehrere Fahrzeuge eines bestimmten Halters oder auf alle aktuellen oder früheren Halter eines bestimmten Fahrzeugs richten,</w:t>
      </w:r>
    </w:p>
    <w:p>
      <w:r>
        <w:t>soweit dies unionsrechtlich vorgesehen ist.</w:t>
      </w:r>
    </w:p>
    <w:p>
      <w:r>
        <w:t xml:space="preserve">(3) </w:t>
      </w:r>
      <w:r>
        <w:rPr>
          <w:rStyle w:val="Satznummer"/>
        </w:rPr>
        <w:t>1</w:t>
      </w:r>
      <w:r>
        <w:t>Ist ein Abruf nicht nach unionsrechtlichen Vorschriften vorgeschrieben, so ist der Abruf nur zulässig, wenn</w:t>
      </w:r>
    </w:p>
    <w:p>
      <w:pPr>
        <w:tabs>
          <w:tab w:pos="567" w:val="left"/>
        </w:tabs>
        <w:ind w:left="567" w:hanging="567"/>
      </w:pPr>
      <w:r>
        <w:t>1.</w:t>
      </w:r>
      <w:r>
        <w:tab/>
      </w:r>
      <w:r>
        <w:t>diese Form der Datenübermittlung unter Berücksichtigung der schutzwürdigen Interessen der betroffenen Personen wegen der Vielzahl der Übermittlungen oder wegen ihrer besonderen Eilbedürftigkeit angemessen ist,</w:t>
      </w:r>
    </w:p>
    <w:p>
      <w:pPr>
        <w:tabs>
          <w:tab w:pos="567" w:val="left"/>
        </w:tabs>
        <w:ind w:left="567" w:hanging="567"/>
      </w:pPr>
      <w:r>
        <w:t>2.</w:t>
      </w:r>
      <w:r>
        <w:tab/>
      </w:r>
      <w:r>
        <w:t>der Empfängerstaat die Verordnung (EU) 2016/679 anwendet und</w:t>
      </w:r>
    </w:p>
    <w:p>
      <w:pPr>
        <w:tabs>
          <w:tab w:pos="567" w:val="left"/>
        </w:tabs>
        <w:ind w:left="567" w:hanging="567"/>
      </w:pPr>
      <w:r>
        <w:t>3.</w:t>
      </w:r>
      <w:r>
        <w:tab/>
      </w:r>
      <w:r>
        <w:t xml:space="preserve">die Gegenseitigkeit der Auskunftserteilung im Sinne von </w:t>
      </w:r>
      <w:hyperlink w:anchor="b86" w:history="1">
        <w:r>
          <w:rPr>
            <w:color w:val="0A3A8C"/>
            <w:u w:val="single"/>
          </w:rPr>
          <w:t xml:space="preserve">§ 37</w:t>
        </w:r>
      </w:hyperlink>
      <w:r>
        <w:t xml:space="preserve"> Absatz 1 durch geeignete Mittel sichergestellt ist.</w:t>
      </w:r>
    </w:p>
    <w:p>
      <w:r>
        <w:rPr>
          <w:rStyle w:val="Satznummer"/>
        </w:rPr>
        <w:t>2</w:t>
      </w:r>
      <w:r>
        <w:t xml:space="preserve">Vorbehaltlich unionsrechtlicher Vorgaben ist </w:t>
      </w:r>
      <w:hyperlink w:anchor="b83" w:history="1">
        <w:r>
          <w:rPr>
            <w:color w:val="0A3A8C"/>
            <w:u w:val="single"/>
          </w:rPr>
          <w:t xml:space="preserve">§ 36</w:t>
        </w:r>
      </w:hyperlink>
      <w:r>
        <w:t xml:space="preserve"> Absatz 5 und 6 sowie Absatz 7 wegen des Anlasses der Abrufe entsprechend anzuwenden.</w:t>
      </w:r>
    </w:p>
    <w:p>
      <w:pPr>
        <w:pStyle w:val="Heading2"/>
      </w:pPr>
      <w:bookmarkStart w:id="89" w:name="b88"/>
      <w:r>
        <w:t>§ 37b Übermittlung von Fahrzeug- und Halterdaten nach der Richtlinie (EU) 2015/413</w:t>
      </w:r>
      <w:r>
        <w:t xml:space="preserve"> </w:t>
      </w:r>
      <w:r>
        <w:rPr>
          <w:rStyle w:val="Suchmarke"/>
        </w:rPr>
        <w:t>#37b#</w:t>
      </w:r>
      <w:bookmarkEnd w:id="89"/>
    </w:p>
    <w:p>
      <w:r>
        <w:t>(1) Das Kraftfahrt-Bundesamt unterstützt nach Absatz 2 die in Artikel 4 Absatz 3 der Richtlinie (EU) 2015/413 genannten nationalen Kontaktstellen der anderen Mitgliedstaaten der Europäischen Union bei den Ermittlungen in Bezug auf folgende in den jeweiligen Mitgliedstaaten begangenen, die Straßenverkehrssicherheit gefährdenden Verkehrsdelikte:</w:t>
      </w:r>
    </w:p>
    <w:p>
      <w:pPr>
        <w:tabs>
          <w:tab w:pos="567" w:val="left"/>
        </w:tabs>
        <w:ind w:left="567" w:hanging="567"/>
      </w:pPr>
      <w:r>
        <w:t>1.</w:t>
      </w:r>
      <w:r>
        <w:tab/>
      </w:r>
      <w:r>
        <w:t>Geschwindigkeitsübertretungen,</w:t>
      </w:r>
    </w:p>
    <w:p>
      <w:pPr>
        <w:tabs>
          <w:tab w:pos="567" w:val="left"/>
        </w:tabs>
        <w:ind w:left="567" w:hanging="567"/>
      </w:pPr>
      <w:r>
        <w:t>2.</w:t>
      </w:r>
      <w:r>
        <w:tab/>
      </w:r>
      <w:r>
        <w:t>Nicht-Anlegen des Sicherheitsgurtes,</w:t>
      </w:r>
    </w:p>
    <w:p>
      <w:pPr>
        <w:tabs>
          <w:tab w:pos="567" w:val="left"/>
        </w:tabs>
        <w:ind w:left="567" w:hanging="567"/>
      </w:pPr>
      <w:r>
        <w:t>3.</w:t>
      </w:r>
      <w:r>
        <w:tab/>
      </w:r>
      <w:r>
        <w:t>Überfahren eines roten Lichtzeichens,</w:t>
      </w:r>
    </w:p>
    <w:p>
      <w:pPr>
        <w:tabs>
          <w:tab w:pos="567" w:val="left"/>
        </w:tabs>
        <w:ind w:left="567" w:hanging="567"/>
      </w:pPr>
      <w:r>
        <w:t>4.</w:t>
      </w:r>
      <w:r>
        <w:tab/>
      </w:r>
      <w:r>
        <w:t>Trunkenheit im Straßenverkehr,</w:t>
      </w:r>
    </w:p>
    <w:p>
      <w:pPr>
        <w:tabs>
          <w:tab w:pos="567" w:val="left"/>
        </w:tabs>
        <w:ind w:left="567" w:hanging="567"/>
      </w:pPr>
      <w:r>
        <w:t>5.</w:t>
      </w:r>
      <w:r>
        <w:tab/>
      </w:r>
      <w:r>
        <w:t>Fahren unter Einfluss von berauschenden Mitteln,</w:t>
      </w:r>
    </w:p>
    <w:p>
      <w:pPr>
        <w:tabs>
          <w:tab w:pos="567" w:val="left"/>
        </w:tabs>
        <w:ind w:left="567" w:hanging="567"/>
      </w:pPr>
      <w:r>
        <w:t>6.</w:t>
      </w:r>
      <w:r>
        <w:tab/>
      </w:r>
      <w:r>
        <w:t>Nicht-Tragen eines Schutzhelmes,</w:t>
      </w:r>
    </w:p>
    <w:p>
      <w:pPr>
        <w:tabs>
          <w:tab w:pos="567" w:val="left"/>
        </w:tabs>
        <w:ind w:left="567" w:hanging="567"/>
      </w:pPr>
      <w:r>
        <w:t>7.</w:t>
      </w:r>
      <w:r>
        <w:tab/>
      </w:r>
      <w:r>
        <w:t>unbefugte Benutzung eines Fahrstreifens,</w:t>
      </w:r>
    </w:p>
    <w:p>
      <w:pPr>
        <w:tabs>
          <w:tab w:pos="567" w:val="left"/>
        </w:tabs>
        <w:ind w:left="567" w:hanging="567"/>
      </w:pPr>
      <w:r>
        <w:t>8.</w:t>
      </w:r>
      <w:r>
        <w:tab/>
      </w:r>
      <w:r>
        <w:t>rechtswidrige Benutzung eines Mobiltelefons oder anderer Kommunikationsgeräte beim Fahren.</w:t>
      </w:r>
    </w:p>
    <w:p>
      <w:r>
        <w:t xml:space="preserve">(2) Auf Anfrage teilt das Kraftfahrt-Bundesamt der nationalen Kontaktstelle eines anderen Mitgliedstaates der Europäischen Union folgende nach </w:t>
      </w:r>
      <w:hyperlink w:anchor="b80" w:history="1">
        <w:r>
          <w:rPr>
            <w:color w:val="0A3A8C"/>
            <w:u w:val="single"/>
          </w:rPr>
          <w:t xml:space="preserve">§ 33</w:t>
        </w:r>
      </w:hyperlink>
      <w:r>
        <w:t xml:space="preserve"> gespeicherten Daten zu Fahrzeug und Halter mit:</w:t>
      </w:r>
    </w:p>
    <w:p>
      <w:pPr>
        <w:tabs>
          <w:tab w:pos="567" w:val="left"/>
        </w:tabs>
        <w:ind w:left="567" w:hanging="567"/>
      </w:pPr>
      <w:r>
        <w:t>1.</w:t>
      </w:r>
      <w:r>
        <w:tab/>
      </w:r>
      <w:r>
        <w:t>amtliches Kennzeichen,</w:t>
      </w:r>
    </w:p>
    <w:p>
      <w:pPr>
        <w:tabs>
          <w:tab w:pos="567" w:val="left"/>
        </w:tabs>
        <w:ind w:left="567" w:hanging="567"/>
      </w:pPr>
      <w:r>
        <w:t>2.</w:t>
      </w:r>
      <w:r>
        <w:tab/>
      </w:r>
      <w:r>
        <w:t>Fahrzeug-Identifizierungsnummer,</w:t>
      </w:r>
    </w:p>
    <w:p>
      <w:pPr>
        <w:tabs>
          <w:tab w:pos="567" w:val="left"/>
        </w:tabs>
        <w:ind w:left="567" w:hanging="567"/>
      </w:pPr>
      <w:r>
        <w:t>3.</w:t>
      </w:r>
      <w:r>
        <w:tab/>
      </w:r>
      <w:r>
        <w:t>Land der Zulassung,</w:t>
      </w:r>
    </w:p>
    <w:p>
      <w:pPr>
        <w:tabs>
          <w:tab w:pos="567" w:val="left"/>
        </w:tabs>
        <w:ind w:left="567" w:hanging="567"/>
      </w:pPr>
      <w:r>
        <w:t>4.</w:t>
      </w:r>
      <w:r>
        <w:tab/>
      </w:r>
      <w:r>
        <w:t>Marke des Fahrzeugs,</w:t>
      </w:r>
    </w:p>
    <w:p>
      <w:pPr>
        <w:tabs>
          <w:tab w:pos="567" w:val="left"/>
        </w:tabs>
        <w:ind w:left="567" w:hanging="567"/>
      </w:pPr>
      <w:r>
        <w:t>5.</w:t>
      </w:r>
      <w:r>
        <w:tab/>
      </w:r>
      <w:r>
        <w:t>Handelsbezeichnung,</w:t>
      </w:r>
    </w:p>
    <w:p>
      <w:pPr>
        <w:tabs>
          <w:tab w:pos="567" w:val="left"/>
        </w:tabs>
        <w:ind w:left="567" w:hanging="567"/>
      </w:pPr>
      <w:r>
        <w:t>6.</w:t>
      </w:r>
      <w:r>
        <w:tab/>
      </w:r>
      <w:r>
        <w:t>EU-Fahrzeugklasse,</w:t>
      </w:r>
    </w:p>
    <w:p>
      <w:pPr>
        <w:tabs>
          <w:tab w:pos="567" w:val="left"/>
        </w:tabs>
        <w:ind w:left="567" w:hanging="567"/>
      </w:pPr>
      <w:r>
        <w:t>7.</w:t>
      </w:r>
      <w:r>
        <w:tab/>
      </w:r>
      <w:r>
        <w:t>Name des Halters,</w:t>
      </w:r>
    </w:p>
    <w:p>
      <w:pPr>
        <w:tabs>
          <w:tab w:pos="567" w:val="left"/>
        </w:tabs>
        <w:ind w:left="567" w:hanging="567"/>
      </w:pPr>
      <w:r>
        <w:t>8.</w:t>
      </w:r>
      <w:r>
        <w:tab/>
      </w:r>
      <w:r>
        <w:t>Vorname des Halters,</w:t>
      </w:r>
    </w:p>
    <w:p>
      <w:pPr>
        <w:tabs>
          <w:tab w:pos="567" w:val="left"/>
        </w:tabs>
        <w:ind w:left="567" w:hanging="567"/>
      </w:pPr>
      <w:r>
        <w:t>9.</w:t>
      </w:r>
      <w:r>
        <w:tab/>
      </w:r>
      <w:r>
        <w:t>Anschrift des Halters,</w:t>
      </w:r>
    </w:p>
    <w:p>
      <w:pPr>
        <w:tabs>
          <w:tab w:pos="567" w:val="left"/>
        </w:tabs>
        <w:ind w:left="567" w:hanging="567"/>
      </w:pPr>
      <w:r>
        <w:t>10.</w:t>
      </w:r>
      <w:r>
        <w:tab/>
      </w:r>
      <w:r>
        <w:t>Geschlecht,</w:t>
      </w:r>
    </w:p>
    <w:p>
      <w:pPr>
        <w:tabs>
          <w:tab w:pos="567" w:val="left"/>
        </w:tabs>
        <w:ind w:left="567" w:hanging="567"/>
      </w:pPr>
      <w:r>
        <w:t>11.</w:t>
      </w:r>
      <w:r>
        <w:tab/>
      </w:r>
      <w:r>
        <w:t>Geburtsdatum,</w:t>
      </w:r>
    </w:p>
    <w:p>
      <w:pPr>
        <w:tabs>
          <w:tab w:pos="567" w:val="left"/>
        </w:tabs>
        <w:ind w:left="567" w:hanging="567"/>
      </w:pPr>
      <w:r>
        <w:t>12.</w:t>
      </w:r>
      <w:r>
        <w:tab/>
      </w:r>
      <w:r>
        <w:t>Rechtsperson,</w:t>
      </w:r>
    </w:p>
    <w:p>
      <w:pPr>
        <w:tabs>
          <w:tab w:pos="567" w:val="left"/>
        </w:tabs>
        <w:ind w:left="567" w:hanging="567"/>
      </w:pPr>
      <w:r>
        <w:t>13.</w:t>
      </w:r>
      <w:r>
        <w:tab/>
      </w:r>
      <w:r>
        <w:t>Geburtsort,</w:t>
      </w:r>
    </w:p>
    <w:p>
      <w:r>
        <w:t>wenn dies im Einzelfall für die Erfüllung einer Aufgabe der nationalen Kontaktstelle des anfragenden Mitgliedstaates der Europäischen Union oder der zuständigen Behörde des anfragenden Mitgliedstaates der Europäischen Union erforderlich ist.</w:t>
      </w:r>
    </w:p>
    <w:p>
      <w:pPr>
        <w:pStyle w:val="Heading2"/>
      </w:pPr>
      <w:bookmarkStart w:id="90" w:name="b89"/>
      <w:r>
        <w:t>§ 37c Übermittlung von Fahrzeugdaten und Halterdaten an die Europäische Kommission</w:t>
      </w:r>
      <w:r>
        <w:t xml:space="preserve"> </w:t>
      </w:r>
      <w:r>
        <w:rPr>
          <w:rStyle w:val="Suchmarke"/>
        </w:rPr>
        <w:t>#37c#</w:t>
      </w:r>
      <w:bookmarkEnd w:id="90"/>
    </w:p>
    <w:p>
      <w:r>
        <w:t xml:space="preserve">Das Kraftfahrt-Bundesamt übermittelt zur Erfüllung der Berichtspflicht nach Artikel 5 Absatz 1 Unterabsatz 4 der Richtlinie 2009/103/EG des Europäischen Parlaments und des Rates vom 16. September 2009 über die Kraftfahrzeug-Haftpflichtversicherung und die Kontrolle der entsprechenden Versicherungspflicht (ABl. L 263 vom 7.10.2009, S. 11) bis zum 31. März eines jeden Jahres an die Europäische Kommission die nach </w:t>
      </w:r>
      <w:hyperlink w:anchor="b80" w:history="1">
        <w:r>
          <w:rPr>
            <w:color w:val="0A3A8C"/>
            <w:u w:val="single"/>
          </w:rPr>
          <w:t xml:space="preserve">§ 33</w:t>
        </w:r>
      </w:hyperlink>
      <w:r>
        <w:t xml:space="preserve"> Absatz 1 gespeicherten Namen oder Bezeichnungen und Anschriften der Fahrzeughalter, die nach § 2 Absatz 1 Nummer 1 bis 5 des Pflichtversicherungsgesetzes von der Versicherungspflicht befreit sind.</w:t>
      </w:r>
    </w:p>
    <w:p>
      <w:pPr>
        <w:pStyle w:val="Heading2"/>
      </w:pPr>
      <w:bookmarkStart w:id="91" w:name="b90"/>
      <w:r>
        <w:t>§ 38 Übermittlung an und Verwendung durch den Empfänger für wissenschaftliche Zwecke</w:t>
      </w:r>
      <w:r>
        <w:t xml:space="preserve"> </w:t>
      </w:r>
      <w:r>
        <w:rPr>
          <w:rStyle w:val="Suchmarke"/>
        </w:rPr>
        <w:t>#38#</w:t>
      </w:r>
      <w:bookmarkEnd w:id="91"/>
    </w:p>
    <w:p>
      <w:r>
        <w:t xml:space="preserve">(1) Die nach </w:t>
      </w:r>
      <w:hyperlink w:anchor="b80" w:history="1">
        <w:r>
          <w:rPr>
            <w:color w:val="0A3A8C"/>
            <w:u w:val="single"/>
          </w:rPr>
          <w:t xml:space="preserve">§ 33</w:t>
        </w:r>
      </w:hyperlink>
      <w:r>
        <w:t xml:space="preserve"> Abs. 1 gespeicherten Fahrzeugdaten und Halterdaten dürfen an Hochschulen, andere Einrichtungen, die wissenschaftliche Forschung betreiben, und öffentliche Stellen übermittelt werden, soweit</w:t>
      </w:r>
    </w:p>
    <w:p>
      <w:pPr>
        <w:tabs>
          <w:tab w:pos="567" w:val="left"/>
        </w:tabs>
        <w:ind w:left="567" w:hanging="567"/>
      </w:pPr>
      <w:r>
        <w:t>1.</w:t>
      </w:r>
      <w:r>
        <w:tab/>
      </w:r>
      <w:r>
        <w:t>dies für die Durchführung bestimmter wissenschaftlicher Forschungsarbeiten erforderlich ist,</w:t>
      </w:r>
    </w:p>
    <w:p>
      <w:pPr>
        <w:tabs>
          <w:tab w:pos="567" w:val="left"/>
        </w:tabs>
        <w:ind w:left="567" w:hanging="567"/>
      </w:pPr>
      <w:r>
        <w:t>2.</w:t>
      </w:r>
      <w:r>
        <w:tab/>
      </w:r>
      <w:r>
        <w:t>eine Nutzung anonymisierter Daten zu diesem Zweck nicht möglich ist und</w:t>
      </w:r>
    </w:p>
    <w:p>
      <w:pPr>
        <w:tabs>
          <w:tab w:pos="567" w:val="left"/>
        </w:tabs>
        <w:ind w:left="567" w:hanging="567"/>
      </w:pPr>
      <w:r>
        <w:t>3.</w:t>
      </w:r>
      <w:r>
        <w:tab/>
      </w:r>
      <w:r>
        <w:t>das öffentliche Interesse an der Forschungsarbeit das schutzwürdige Interesse der betroffenen Person an dem Ausschluss der Übermittlung erheblich überwiegt.</w:t>
      </w:r>
    </w:p>
    <w:p>
      <w:r>
        <w:t>(2) Die Übermittlung der Daten erfolgt durch Erteilung von Auskünften, wenn hierdurch der Zweck der Forschungsarbeit erreicht werden kann und die Erteilung keinen unverhältnismäßigen Aufwand erfordert.</w:t>
      </w:r>
    </w:p>
    <w:p>
      <w:r>
        <w:t xml:space="preserve">(3) </w:t>
      </w:r>
      <w:r>
        <w:rPr>
          <w:rStyle w:val="Satznummer"/>
        </w:rPr>
        <w:t>1</w:t>
      </w:r>
      <w:r>
        <w:t xml:space="preserve">Personenbezogene Daten werden nur an solche Personen übermittelt, die Amtsträger oder für den öffentlichen Dienst besonders Verpflichtete sind oder die zur Geheimhaltung verpflichtet worden sind. </w:t>
      </w:r>
      <w:r>
        <w:rPr>
          <w:rStyle w:val="Satznummer"/>
        </w:rPr>
        <w:t>2</w:t>
      </w:r>
      <w:r>
        <w:t>§ 1 Abs. 2, 3 und 4 Nr. 2 des Verpflichtungsgesetzes findet auf die Verpflichtung zur Geheimhaltung entsprechende Anwendung.</w:t>
      </w:r>
    </w:p>
    <w:p>
      <w:r>
        <w:t xml:space="preserve">(4) </w:t>
      </w:r>
      <w:r>
        <w:rPr>
          <w:rStyle w:val="Satznummer"/>
        </w:rPr>
        <w:t>1</w:t>
      </w:r>
      <w:r>
        <w:t xml:space="preserve">Die personenbezogenen Daten dürfen nur für die Forschungsarbeit verwendet werden, für die sie übermittelt worden sind. </w:t>
      </w:r>
      <w:r>
        <w:rPr>
          <w:rStyle w:val="Satznummer"/>
        </w:rPr>
        <w:t>2</w:t>
      </w:r>
      <w:r>
        <w:t>Die Verwendung für andere Forschungsarbeiten oder die Übermittlung richtet sich nach den Absätzen 1 und 2 und bedarf der Zustimmung der Stelle, die die Daten übermittelt hat.</w:t>
      </w:r>
    </w:p>
    <w:p>
      <w:r>
        <w:t xml:space="preserve">(5) </w:t>
      </w:r>
      <w:r>
        <w:rPr>
          <w:rStyle w:val="Satznummer"/>
        </w:rPr>
        <w:t>1</w:t>
      </w:r>
      <w:r>
        <w:t xml:space="preserve">Die Daten sind gegen unbefugte Kenntnisnahme durch Dritte zu schützen. </w:t>
      </w:r>
      <w:r>
        <w:rPr>
          <w:rStyle w:val="Satznummer"/>
        </w:rPr>
        <w:t>2</w:t>
      </w:r>
      <w:r>
        <w:t>Die wissenschaftliche Forschung betreibende Stelle hat dafür zu sorgen, dass die Verwendung der personenbezogenen Daten räumlich und organisatorisch getrennt von der Erfüllung solcher Verwaltungsaufgaben oder Geschäftszwecke erfolgt, für die diese Daten gleichfalls von Bedeutung sein können.</w:t>
      </w:r>
    </w:p>
    <w:p>
      <w:r>
        <w:t xml:space="preserve">(6) </w:t>
      </w:r>
      <w:r>
        <w:rPr>
          <w:rStyle w:val="Satznummer"/>
        </w:rPr>
        <w:t>1</w:t>
      </w:r>
      <w:r>
        <w:t xml:space="preserve">Sobald der Forschungszweck es erlaubt, sind die personenbezogenen Daten zu anonymisieren. </w:t>
      </w:r>
      <w:r>
        <w:rPr>
          <w:rStyle w:val="Satznummer"/>
        </w:rPr>
        <w:t>2</w:t>
      </w:r>
      <w:r>
        <w:t xml:space="preserve">Solange dies noch nicht möglich ist, sind die Merkmale gesondert aufzubewahren, mit denen Einzelangaben über persönliche oder sachliche Verhältnisse einer bestimmten oder bestimmbaren Person zugeordnet werden können. </w:t>
      </w:r>
      <w:r>
        <w:rPr>
          <w:rStyle w:val="Satznummer"/>
        </w:rPr>
        <w:t>3</w:t>
      </w:r>
      <w:r>
        <w:t>Sie dürfen mit den Einzelangaben nur zusammengeführt werden, soweit der Forschungszweck dies erfordert.</w:t>
      </w:r>
    </w:p>
    <w:p>
      <w:r>
        <w:t>(7) Wer nach den Absätzen 1 und 2 personenbezogene Daten erhalten hat, darf diese nur veröffentlichen, wenn dies für die Darstellung von Forschungsergebnissen über Ereignisse der Zeitgeschichte unerlässlich ist.</w:t>
      </w:r>
    </w:p>
    <w:p>
      <w:r>
        <w:t>(8) (weggefallen)</w:t>
      </w:r>
    </w:p>
    <w:p>
      <w:pPr>
        <w:pStyle w:val="Heading2"/>
      </w:pPr>
      <w:bookmarkStart w:id="92" w:name="b91"/>
      <w:r>
        <w:t>§ 38a Übermittlung an und Verwendung durch den Empfänger für statistische Zwecke</w:t>
      </w:r>
      <w:r>
        <w:t xml:space="preserve"> </w:t>
      </w:r>
      <w:r>
        <w:rPr>
          <w:rStyle w:val="Suchmarke"/>
        </w:rPr>
        <w:t>#38a#</w:t>
      </w:r>
      <w:bookmarkEnd w:id="92"/>
    </w:p>
    <w:p>
      <w:r>
        <w:t xml:space="preserve">(1) Die nach </w:t>
      </w:r>
      <w:hyperlink w:anchor="b80" w:history="1">
        <w:r>
          <w:rPr>
            <w:color w:val="0A3A8C"/>
            <w:u w:val="single"/>
          </w:rPr>
          <w:t xml:space="preserve">§ 33</w:t>
        </w:r>
      </w:hyperlink>
      <w:r>
        <w:t xml:space="preserve"> Abs. 1 gespeicherten Fahrzeug- und Halterdaten dürfen zur Vorbereitung und Durchführung von Statistiken, soweit sie durch Rechtsvorschriften angeordnet sind, übermittelt werden, wenn die Vorbereitung und Durchführung des Vorhabens allein mit anonymisierten Daten (</w:t>
      </w:r>
      <w:hyperlink w:anchor="b100" w:history="1">
        <w:r>
          <w:rPr>
            <w:color w:val="0A3A8C"/>
            <w:u w:val="single"/>
          </w:rPr>
          <w:t xml:space="preserve">§ 45</w:t>
        </w:r>
      </w:hyperlink>
      <w:r>
        <w:t>) nicht möglich ist.</w:t>
      </w:r>
    </w:p>
    <w:p>
      <w:r>
        <w:t>(2) Für die Verwendung der Daten nach Absatz 1 finden die Vorschriften des Bundesstatistikgesetzes und der Statistikgesetze der Länder Anwendung.</w:t>
      </w:r>
    </w:p>
    <w:p>
      <w:pPr>
        <w:pStyle w:val="Heading2"/>
      </w:pPr>
      <w:bookmarkStart w:id="93" w:name="b92"/>
      <w:r>
        <w:t>§ 38b Übermittlung an und Verwendung durch den Empfänger für planerische Zwecke</w:t>
      </w:r>
      <w:r>
        <w:t xml:space="preserve"> </w:t>
      </w:r>
      <w:r>
        <w:rPr>
          <w:rStyle w:val="Suchmarke"/>
        </w:rPr>
        <w:t>#38b#</w:t>
      </w:r>
      <w:bookmarkEnd w:id="93"/>
    </w:p>
    <w:p>
      <w:r>
        <w:t xml:space="preserve">(1) Die nach </w:t>
      </w:r>
      <w:hyperlink w:anchor="b80" w:history="1">
        <w:r>
          <w:rPr>
            <w:color w:val="0A3A8C"/>
            <w:u w:val="single"/>
          </w:rPr>
          <w:t xml:space="preserve">§ 33</w:t>
        </w:r>
      </w:hyperlink>
      <w:r>
        <w:t xml:space="preserve"> Abs. 1 gespeicherten Fahrzeug- und Halterdaten dürfen für im öffentlichen Interesse liegende Verkehrsplanungen an öffentliche Stellen übermittelt werden, wenn die Durchführung des Vorhabens allein mit anonymisierten Daten (</w:t>
      </w:r>
      <w:hyperlink w:anchor="b100" w:history="1">
        <w:r>
          <w:rPr>
            <w:color w:val="0A3A8C"/>
            <w:u w:val="single"/>
          </w:rPr>
          <w:t xml:space="preserve">§ 45</w:t>
        </w:r>
      </w:hyperlink>
      <w:r>
        <w:t>) nicht oder nur mit unverhältnismäßigem Aufwand möglich ist und die betroffene Person eingewilligt hat oder schutzwürdige Interessen der betroffenen Person nicht beeinträchtigt werden.</w:t>
      </w:r>
    </w:p>
    <w:p>
      <w:r>
        <w:t>(2) Der Empfänger der Daten hat sicherzustellen, dass</w:t>
      </w:r>
    </w:p>
    <w:p>
      <w:pPr>
        <w:tabs>
          <w:tab w:pos="567" w:val="left"/>
        </w:tabs>
        <w:ind w:left="567" w:hanging="567"/>
      </w:pPr>
      <w:r>
        <w:t>1.</w:t>
      </w:r>
      <w:r>
        <w:tab/>
      </w:r>
      <w:r>
        <w:t>die Kontrolle zur Sicherstellung schutzwürdiger Interessen der betroffenen Person jederzeit gewährleistet wird,</w:t>
      </w:r>
    </w:p>
    <w:p>
      <w:pPr>
        <w:tabs>
          <w:tab w:pos="567" w:val="left"/>
        </w:tabs>
        <w:ind w:left="567" w:hanging="567"/>
      </w:pPr>
      <w:r>
        <w:t>2.</w:t>
      </w:r>
      <w:r>
        <w:tab/>
      </w:r>
      <w:r>
        <w:t>die Daten nur für das betreffende Vorhaben verwendet werden,</w:t>
      </w:r>
    </w:p>
    <w:p>
      <w:pPr>
        <w:tabs>
          <w:tab w:pos="567" w:val="left"/>
        </w:tabs>
        <w:ind w:left="567" w:hanging="567"/>
      </w:pPr>
      <w:r>
        <w:t>3.</w:t>
      </w:r>
      <w:r>
        <w:tab/>
      </w:r>
      <w:r>
        <w:t>zu den Daten nur die Personen Zugang haben, die mit dem betreffenden Vorhaben befasst sind,</w:t>
      </w:r>
    </w:p>
    <w:p>
      <w:pPr>
        <w:tabs>
          <w:tab w:pos="567" w:val="left"/>
        </w:tabs>
        <w:ind w:left="567" w:hanging="567"/>
      </w:pPr>
      <w:r>
        <w:t>4.</w:t>
      </w:r>
      <w:r>
        <w:tab/>
      </w:r>
      <w:r>
        <w:t>diese Personen verpflichtet werden, die Daten gegenüber Unbefugten nicht zu offenbaren, und</w:t>
      </w:r>
    </w:p>
    <w:p>
      <w:pPr>
        <w:tabs>
          <w:tab w:pos="567" w:val="left"/>
        </w:tabs>
        <w:ind w:left="567" w:hanging="567"/>
      </w:pPr>
      <w:r>
        <w:t>5.</w:t>
      </w:r>
      <w:r>
        <w:tab/>
      </w:r>
      <w:r>
        <w:t>die Daten anonymisiert oder gelöscht werden, sobald der Zweck des Vorhabens dies gestattet.</w:t>
      </w:r>
    </w:p>
    <w:p>
      <w:pPr>
        <w:pStyle w:val="Heading2"/>
      </w:pPr>
      <w:bookmarkStart w:id="94" w:name="b93"/>
      <w:r>
        <w:t>§ 39 Übermittlung von Fahrzeugdaten und Halterdaten zur Verfolgung von Rechtsansprüchen</w:t>
      </w:r>
      <w:r>
        <w:t xml:space="preserve"> </w:t>
      </w:r>
      <w:r>
        <w:rPr>
          <w:rStyle w:val="Suchmarke"/>
        </w:rPr>
        <w:t>#39#</w:t>
      </w:r>
      <w:bookmarkEnd w:id="94"/>
    </w:p>
    <w:p>
      <w:r>
        <w:t xml:space="preserve">(1) Von den nach </w:t>
      </w:r>
      <w:hyperlink w:anchor="b80" w:history="1">
        <w:r>
          <w:rPr>
            <w:color w:val="0A3A8C"/>
            <w:u w:val="single"/>
          </w:rPr>
          <w:t xml:space="preserve">§ 33</w:t>
        </w:r>
      </w:hyperlink>
      <w:r>
        <w:t xml:space="preserve"> Abs. 1 gespeicherten Fahrzeugdaten und Halterdaten sind</w:t>
      </w:r>
    </w:p>
    <w:p>
      <w:pPr>
        <w:tabs>
          <w:tab w:pos="567" w:val="left"/>
        </w:tabs>
        <w:ind w:left="567" w:hanging="567"/>
      </w:pPr>
      <w:r>
        <w:t>1.</w:t>
      </w:r>
      <w:r>
        <w:tab/>
      </w:r>
      <w:r>
        <w:t>Familienname (bei juristischen Personen, Behörden oder Vereinigungen: Name oder Bezeichnung),</w:t>
      </w:r>
    </w:p>
    <w:p>
      <w:pPr>
        <w:tabs>
          <w:tab w:pos="567" w:val="left"/>
        </w:tabs>
        <w:ind w:left="567" w:hanging="567"/>
      </w:pPr>
      <w:r>
        <w:t>2.</w:t>
      </w:r>
      <w:r>
        <w:tab/>
      </w:r>
      <w:r>
        <w:t>Vornamen,</w:t>
      </w:r>
    </w:p>
    <w:p>
      <w:pPr>
        <w:tabs>
          <w:tab w:pos="567" w:val="left"/>
        </w:tabs>
        <w:ind w:left="567" w:hanging="567"/>
      </w:pPr>
      <w:r>
        <w:t>3.</w:t>
      </w:r>
      <w:r>
        <w:tab/>
      </w:r>
      <w:r>
        <w:t>Ordens- und Künstlername,</w:t>
      </w:r>
    </w:p>
    <w:p>
      <w:pPr>
        <w:tabs>
          <w:tab w:pos="567" w:val="left"/>
        </w:tabs>
        <w:ind w:left="567" w:hanging="567"/>
      </w:pPr>
      <w:r>
        <w:t>4.</w:t>
      </w:r>
      <w:r>
        <w:tab/>
      </w:r>
      <w:r>
        <w:t>Anschrift,</w:t>
      </w:r>
    </w:p>
    <w:p>
      <w:pPr>
        <w:tabs>
          <w:tab w:pos="567" w:val="left"/>
        </w:tabs>
        <w:ind w:left="567" w:hanging="567"/>
      </w:pPr>
      <w:r>
        <w:t>5.</w:t>
      </w:r>
      <w:r>
        <w:tab/>
      </w:r>
      <w:r>
        <w:t>Art, Hersteller und Typ des Fahrzeugs,</w:t>
      </w:r>
    </w:p>
    <w:p>
      <w:pPr>
        <w:tabs>
          <w:tab w:pos="567" w:val="left"/>
        </w:tabs>
        <w:ind w:left="567" w:hanging="567"/>
      </w:pPr>
      <w:r>
        <w:t>6.</w:t>
      </w:r>
      <w:r>
        <w:tab/>
      </w:r>
      <w:r>
        <w:t>Name und Anschrift des Versicherers,</w:t>
      </w:r>
    </w:p>
    <w:p>
      <w:pPr>
        <w:tabs>
          <w:tab w:pos="567" w:val="left"/>
        </w:tabs>
        <w:ind w:left="567" w:hanging="567"/>
      </w:pPr>
      <w:r>
        <w:t>7.</w:t>
      </w:r>
      <w:r>
        <w:tab/>
      </w:r>
      <w:r>
        <w:t>Nummer des Versicherungsscheins, oder, falls diese noch nicht gespeichert ist, Nummer der Versicherungsbestätigung,</w:t>
      </w:r>
    </w:p>
    <w:p>
      <w:pPr>
        <w:tabs>
          <w:tab w:pos="567" w:val="left"/>
        </w:tabs>
        <w:ind w:left="567" w:hanging="567"/>
      </w:pPr>
      <w:r>
        <w:t>8.</w:t>
      </w:r>
      <w:r>
        <w:tab/>
      </w:r>
      <w:r>
        <w:t>gegebenenfalls Zeitpunkt der Beendigung des Versicherungsverhältnisses,</w:t>
      </w:r>
    </w:p>
    <w:p>
      <w:pPr>
        <w:tabs>
          <w:tab w:pos="567" w:val="left"/>
        </w:tabs>
        <w:ind w:left="567" w:hanging="567"/>
      </w:pPr>
      <w:r>
        <w:t>9.</w:t>
      </w:r>
      <w:r>
        <w:tab/>
      </w:r>
      <w:r>
        <w:t>gegebenenfalls Befreiung von der gesetzlichen Versicherungspflicht,</w:t>
      </w:r>
    </w:p>
    <w:p>
      <w:pPr>
        <w:tabs>
          <w:tab w:pos="567" w:val="left"/>
        </w:tabs>
        <w:ind w:left="567" w:hanging="567"/>
      </w:pPr>
      <w:r>
        <w:t>10.</w:t>
      </w:r>
      <w:r>
        <w:tab/>
      </w:r>
      <w:r>
        <w:t>Zeitpunkt der Zuteilung oder Ausgabe des Kennzeichens für den Halter sowie</w:t>
      </w:r>
    </w:p>
    <w:p>
      <w:pPr>
        <w:tabs>
          <w:tab w:pos="567" w:val="left"/>
        </w:tabs>
        <w:ind w:left="567" w:hanging="567"/>
      </w:pPr>
      <w:r>
        <w:t>11.</w:t>
      </w:r>
      <w:r>
        <w:tab/>
      </w:r>
      <w:r>
        <w:t>Kraftfahrzeugkennzeichen</w:t>
      </w:r>
    </w:p>
    <w:p>
      <w:r>
        <w:t>durch die Zulassungsbehörde oder durch das Kraftfahrt-Bundesamt zu übermitteln, wenn der Empfänger unter Angabe des betreffenden Kennzeichens oder der betreffenden Fahrzeug-Identifizierungsnummer darlegt, dass er die Daten zur Geltendmachung, Sicherung oder Vollstreckung oder zur Befriedigung oder Abwehr von Rechtsansprüchen im Zusammenhang mit der Teilnahme am Straßenverkehr oder zur Erhebung einer Privatklage wegen im Straßenverkehr begangener Verstöße benötigt (einfache Registerauskunft).</w:t>
      </w:r>
    </w:p>
    <w:p>
      <w:r>
        <w:t>(2) Weitere Fahrzeugdaten und Halterdaten als die nach Absatz 1 zulässigen sind zu übermitteln, wenn der Empfänger unter Angabe von Fahrzeugdaten oder Personalien des Halters glaubhaft macht, dass er</w:t>
      </w:r>
    </w:p>
    <w:p>
      <w:pPr>
        <w:tabs>
          <w:tab w:pos="567" w:val="left"/>
        </w:tabs>
        <w:ind w:left="567" w:hanging="567"/>
      </w:pPr>
      <w:r>
        <w:t>1.</w:t>
      </w:r>
      <w:r>
        <w:tab/>
      </w:r>
      <w:r>
        <w:t>die Daten zur Geltendmachung, Sicherung oder Vollstreckung, zur Befriedigung oder Abwehr von Rechtsansprüchen im Zusammenhang mit der Teilnahme am Straßenverkehr, dem Diebstahl, dem sonstigen Abhandenkommen des Fahrzeugs oder zur Erhebung einer Privatklage wegen im Straßenverkehr begangener Verstöße benötigt und</w:t>
      </w:r>
    </w:p>
    <w:p>
      <w:pPr>
        <w:tabs>
          <w:tab w:pos="567" w:val="left"/>
        </w:tabs>
        <w:ind w:left="567" w:hanging="567"/>
      </w:pPr>
      <w:r>
        <w:t>2.</w:t>
      </w:r>
      <w:r>
        <w:tab/>
      </w:r>
      <w:r>
        <w:t>(weggefallen)</w:t>
      </w:r>
    </w:p>
    <w:p>
      <w:pPr>
        <w:tabs>
          <w:tab w:pos="567" w:val="left"/>
        </w:tabs>
        <w:ind w:left="567" w:hanging="567"/>
      </w:pPr>
      <w:r>
        <w:t>3.</w:t>
      </w:r>
      <w:r>
        <w:tab/>
      </w:r>
      <w:r>
        <w:t>die Daten auf andere Weise entweder nicht oder nur mit unverhältnismäßigem Aufwand erlangen könnte.</w:t>
      </w:r>
    </w:p>
    <w:p>
      <w:r>
        <w:t xml:space="preserve">(3) </w:t>
      </w:r>
      <w:r>
        <w:rPr>
          <w:rStyle w:val="Satznummer"/>
        </w:rPr>
        <w:t>1</w:t>
      </w:r>
      <w:r>
        <w:t>Die in Absatz 1 Nr. 1 bis 5 und 11 angeführten Halterdaten und Fahrzeugdaten dürfen übermittelt werden, wenn der Empfänger unter Angabe von Fahrzeugdaten oder Personalien des Halters glaubhaft macht, dass er</w:t>
      </w:r>
    </w:p>
    <w:p>
      <w:pPr>
        <w:tabs>
          <w:tab w:pos="567" w:val="left"/>
        </w:tabs>
        <w:ind w:left="567" w:hanging="567"/>
      </w:pPr>
      <w:r>
        <w:t>1.</w:t>
      </w:r>
      <w:r>
        <w:tab/>
      </w:r>
      <w:r>
        <w:t>die Daten zur Geltendmachung, Sicherung oder Vollstreckung</w:t>
      </w:r>
    </w:p>
    <w:p>
      <w:pPr>
        <w:tabs>
          <w:tab w:pos="1134" w:val="left"/>
        </w:tabs>
        <w:ind w:left="1134" w:hanging="567"/>
      </w:pPr>
      <w:r>
        <w:t>a)</w:t>
      </w:r>
      <w:r>
        <w:tab/>
      </w:r>
      <w:r>
        <w:t>von nicht mit der Teilnahme am Straßenverkehr im Zusammenhang stehenden öffentlich-rechtlichen Ansprüchen oder</w:t>
      </w:r>
    </w:p>
    <w:p>
      <w:pPr>
        <w:tabs>
          <w:tab w:pos="1134" w:val="left"/>
        </w:tabs>
        <w:ind w:left="1134" w:hanging="567"/>
      </w:pPr>
      <w:r>
        <w:t>b)</w:t>
      </w:r>
      <w:r>
        <w:tab/>
      </w:r>
      <w:r>
        <w:t>von gemäß § 7 des Unterhaltsvorschussgesetzes, § 33 des Zweiten Buches Sozialgesetzbuch oder § 94 des Zwölften Buches Sozialgesetzbuch übergegangenen Ansprüchen</w:t>
      </w:r>
    </w:p>
    <w:p>
      <w:pPr>
        <w:ind w:left="567"/>
      </w:pPr>
      <w:r>
        <w:t>in Höhe von jeweils mindestens 500 Euro benötigt,</w:t>
      </w:r>
    </w:p>
    <w:p>
      <w:pPr>
        <w:tabs>
          <w:tab w:pos="567" w:val="left"/>
        </w:tabs>
        <w:ind w:left="567" w:hanging="567"/>
      </w:pPr>
      <w:r>
        <w:t>2.</w:t>
      </w:r>
      <w:r>
        <w:tab/>
      </w:r>
      <w:r>
        <w:t>ohne Kenntnis der Daten zur Geltendmachung, Sicherung oder Vollstreckung des Rechtsanspruchs nicht in der Lage wäre und</w:t>
      </w:r>
    </w:p>
    <w:p>
      <w:pPr>
        <w:tabs>
          <w:tab w:pos="567" w:val="left"/>
        </w:tabs>
        <w:ind w:left="567" w:hanging="567"/>
      </w:pPr>
      <w:r>
        <w:t>3.</w:t>
      </w:r>
      <w:r>
        <w:tab/>
      </w:r>
      <w:r>
        <w:t>die Daten auf andere Weise entweder nicht oder nur mit unverhältnismäßigem Aufwand erlangen könnte.</w:t>
      </w:r>
    </w:p>
    <w:p>
      <w:r>
        <w:rPr>
          <w:rStyle w:val="Satznummer"/>
        </w:rPr>
        <w:t>2</w:t>
      </w:r>
      <w:hyperlink w:anchor="b82" w:history="1">
        <w:r>
          <w:rPr>
            <w:color w:val="0A3A8C"/>
            <w:u w:val="single"/>
          </w:rPr>
          <w:t xml:space="preserve">§ 35</w:t>
        </w:r>
      </w:hyperlink>
      <w:r>
        <w:t xml:space="preserve"> Abs. 3 Satz 2 und 3 gilt entsprechend. </w:t>
      </w:r>
      <w:r>
        <w:rPr>
          <w:rStyle w:val="Satznummer"/>
        </w:rPr>
        <w:t>3</w:t>
      </w:r>
      <w:r>
        <w:t>Die Aufzeichnungen dürfen nur zur Kontrolle der Zulässigkeit der Übermittlungen verwendet werden.</w:t>
      </w:r>
    </w:p>
    <w:p>
      <w:r>
        <w:t>(4) Ist der Empfänger eine öffentlich-rechtliche Stelle mit Sitz im Ausland oder handelt er im Namen oder im Auftrag einer solchen Stelle, ist für den Antrag und die Auskunft nur das Kraftfahrt-Bundesamt zuständig.</w:t>
      </w:r>
    </w:p>
    <w:p>
      <w:pPr>
        <w:pStyle w:val="Heading2"/>
      </w:pPr>
      <w:bookmarkStart w:id="95" w:name="b94"/>
      <w:r>
        <w:t>§ 39a Auskunft über Daten</w:t>
      </w:r>
      <w:r>
        <w:t xml:space="preserve"> </w:t>
      </w:r>
      <w:r>
        <w:rPr>
          <w:rStyle w:val="Suchmarke"/>
        </w:rPr>
        <w:t>#39a#</w:t>
      </w:r>
      <w:bookmarkEnd w:id="95"/>
    </w:p>
    <w:p>
      <w:r>
        <w:t xml:space="preserve">(1) </w:t>
      </w:r>
      <w:r>
        <w:rPr>
          <w:rStyle w:val="Satznummer"/>
        </w:rPr>
        <w:t>1</w:t>
      </w:r>
      <w:r>
        <w:t xml:space="preserve">Einer Person wird auf Antrag schriftlich über die zu ihrer Person im örtlichen oder im Zentralen Fahrzeugregister gespeicherten Daten und über die zu ihr als Halter gespeicherten Fahrzeugdaten unentgeltlich Auskunft erteilt. </w:t>
      </w:r>
      <w:r>
        <w:rPr>
          <w:rStyle w:val="Satznummer"/>
        </w:rPr>
        <w:t>2</w:t>
      </w:r>
      <w:r>
        <w:t xml:space="preserve">Die Auskunft kann elektronisch erteilt werden, wenn der Antrag unter Nutzung des elektronischen Identitätsnachweises nach § 18 des Personalausweisgesetzes, nach § 12 des eID-Karte-Gesetzes oder nach § 78 Absatz 5 des Aufenthaltsgesetzes gestellt wird; in diesen Fällen gilt abweichend von </w:t>
      </w:r>
      <w:hyperlink w:anchor="b82" w:history="1">
        <w:r>
          <w:rPr>
            <w:color w:val="0A3A8C"/>
            <w:u w:val="single"/>
          </w:rPr>
          <w:t xml:space="preserve">§ 35</w:t>
        </w:r>
      </w:hyperlink>
      <w:r>
        <w:t xml:space="preserve"> Absatz 6 Satz 4 hinsichtlich der Protokollierung </w:t>
      </w:r>
      <w:hyperlink w:anchor="b83" w:history="1">
        <w:r>
          <w:rPr>
            <w:color w:val="0A3A8C"/>
            <w:u w:val="single"/>
          </w:rPr>
          <w:t xml:space="preserve">§ 36</w:t>
        </w:r>
      </w:hyperlink>
      <w:r>
        <w:t xml:space="preserve"> Absatz 6 entsprechend.</w:t>
      </w:r>
    </w:p>
    <w:p>
      <w:r>
        <w:t xml:space="preserve">(2) </w:t>
      </w:r>
      <w:r>
        <w:rPr>
          <w:rStyle w:val="Satznummer"/>
        </w:rPr>
        <w:t>1</w:t>
      </w:r>
      <w:r>
        <w:t>Einer Person darf auf Antrag schriftlich über die zu einem Dritten als Halter im örtlichen oder im Zentralen Fahrzeugregister gespeicherten Fahrzeugdaten unentgeltlich Auskunft erteilt werden, wenn</w:t>
      </w:r>
    </w:p>
    <w:p>
      <w:pPr>
        <w:tabs>
          <w:tab w:pos="567" w:val="left"/>
        </w:tabs>
        <w:ind w:left="567" w:hanging="567"/>
      </w:pPr>
      <w:r>
        <w:t>1.</w:t>
      </w:r>
      <w:r>
        <w:tab/>
      </w:r>
      <w:r>
        <w:t>der Antragsteller</w:t>
      </w:r>
    </w:p>
    <w:p>
      <w:pPr>
        <w:tabs>
          <w:tab w:pos="1134" w:val="left"/>
        </w:tabs>
        <w:ind w:left="1134" w:hanging="567"/>
      </w:pPr>
      <w:r>
        <w:t>a)</w:t>
      </w:r>
      <w:r>
        <w:tab/>
      </w:r>
      <w:r>
        <w:t>nachweist, dass die Verfügungsbefugnis des Halters über dessen Fahrzeuge gesetzlich oder in Folge gerichtlicher Anordnung auf den Antragsteller übergegangen ist oder auch vom Antragsteller ausgeübt werden kann, und</w:t>
      </w:r>
    </w:p>
    <w:p>
      <w:pPr>
        <w:tabs>
          <w:tab w:pos="1134" w:val="left"/>
        </w:tabs>
        <w:ind w:left="1134" w:hanging="567"/>
      </w:pPr>
      <w:r>
        <w:t>b)</w:t>
      </w:r>
      <w:r>
        <w:tab/>
      </w:r>
      <w:r>
        <w:t>glaubhaft macht, dass er die Daten zur Wahrnehmung straßenverkehrsrechtlicher Angelegenheiten des Halters benötigt,</w:t>
      </w:r>
    </w:p>
    <w:p>
      <w:pPr>
        <w:tabs>
          <w:tab w:pos="567" w:val="left"/>
        </w:tabs>
        <w:ind w:left="567" w:hanging="567"/>
      </w:pPr>
      <w:r>
        <w:t>2.</w:t>
      </w:r>
      <w:r>
        <w:tab/>
      </w:r>
      <w:r>
        <w:t>der Antragsteller die Daten auf andere Weise entweder nicht oder nur mit unverhältnismäßigem Aufwand erlangen könnte und</w:t>
      </w:r>
    </w:p>
    <w:p>
      <w:pPr>
        <w:tabs>
          <w:tab w:pos="567" w:val="left"/>
        </w:tabs>
        <w:ind w:left="567" w:hanging="567"/>
      </w:pPr>
      <w:r>
        <w:t>3.</w:t>
      </w:r>
      <w:r>
        <w:tab/>
      </w:r>
      <w:r>
        <w:t>kein Grund zu der Annahme besteht, dass durch die Auskunft schutzwürdige Interessen des Halters beeinträchtigt werden.</w:t>
      </w:r>
    </w:p>
    <w:p>
      <w:r>
        <w:rPr>
          <w:rStyle w:val="Satznummer"/>
        </w:rPr>
        <w:t>2</w:t>
      </w:r>
      <w:r>
        <w:t xml:space="preserve">Für die sichere Identifizierung bei der Antragstellung und für die elektronische Auskunftserteilung gilt </w:t>
      </w:r>
      <w:hyperlink w:anchor="b73" w:history="1">
        <w:r>
          <w:rPr>
            <w:color w:val="0A3A8C"/>
            <w:u w:val="single"/>
          </w:rPr>
          <w:t xml:space="preserve">§ 30</w:t>
        </w:r>
      </w:hyperlink>
      <w:r>
        <w:t xml:space="preserve"> Absatz 8 Satz 2 und 3 entsprechend; abweichend von </w:t>
      </w:r>
      <w:hyperlink w:anchor="b82" w:history="1">
        <w:r>
          <w:rPr>
            <w:color w:val="0A3A8C"/>
            <w:u w:val="single"/>
          </w:rPr>
          <w:t xml:space="preserve">§ 35</w:t>
        </w:r>
      </w:hyperlink>
      <w:r>
        <w:t xml:space="preserve"> Absatz 6 Satz 4 gilt hinsichtlich der Protokollierung </w:t>
      </w:r>
      <w:hyperlink w:anchor="b83" w:history="1">
        <w:r>
          <w:rPr>
            <w:color w:val="0A3A8C"/>
            <w:u w:val="single"/>
          </w:rPr>
          <w:t xml:space="preserve">§ 36</w:t>
        </w:r>
      </w:hyperlink>
      <w:r>
        <w:t xml:space="preserve"> Absatz 6 entsprechend.</w:t>
      </w:r>
    </w:p>
    <w:p>
      <w:pPr>
        <w:pStyle w:val="Heading2"/>
      </w:pPr>
      <w:bookmarkStart w:id="96" w:name="b95"/>
      <w:r>
        <w:t>§ 40 Übermittlung sonstiger Daten</w:t>
      </w:r>
      <w:r>
        <w:t xml:space="preserve"> </w:t>
      </w:r>
      <w:r>
        <w:rPr>
          <w:rStyle w:val="Suchmarke"/>
        </w:rPr>
        <w:t>#40#</w:t>
      </w:r>
      <w:bookmarkEnd w:id="96"/>
    </w:p>
    <w:p>
      <w:r>
        <w:rPr>
          <w:rStyle w:val="Satznummer"/>
        </w:rPr>
        <w:t>1</w:t>
      </w:r>
      <w:r>
        <w:t xml:space="preserve">Die nach </w:t>
      </w:r>
      <w:hyperlink w:anchor="b80" w:history="1">
        <w:r>
          <w:rPr>
            <w:color w:val="0A3A8C"/>
            <w:u w:val="single"/>
          </w:rPr>
          <w:t xml:space="preserve">§ 33</w:t>
        </w:r>
      </w:hyperlink>
      <w:r>
        <w:t xml:space="preserve"> Abs. 2 gespeicherten Daten über Beruf und Gewerbe (Wirtschaftszweig) dürfen nur für die Zwecke nach </w:t>
      </w:r>
      <w:hyperlink w:anchor="b79" w:history="1">
        <w:r>
          <w:rPr>
            <w:color w:val="0A3A8C"/>
            <w:u w:val="single"/>
          </w:rPr>
          <w:t xml:space="preserve">§ 32</w:t>
        </w:r>
      </w:hyperlink>
      <w:r>
        <w:t xml:space="preserve"> Abs. 1 Nr. 4 und 5 an die hierfür zuständigen Behörden übermittelt werden. </w:t>
      </w:r>
      <w:r>
        <w:rPr>
          <w:rStyle w:val="Satznummer"/>
        </w:rPr>
        <w:t>2</w:t>
      </w:r>
      <w:r>
        <w:t>Außerdem dürfen diese Daten für Zwecke der Statistik (</w:t>
      </w:r>
      <w:hyperlink w:anchor="b91" w:history="1">
        <w:r>
          <w:rPr>
            <w:color w:val="0A3A8C"/>
            <w:u w:val="single"/>
          </w:rPr>
          <w:t xml:space="preserve">§ 38a</w:t>
        </w:r>
      </w:hyperlink>
      <w:r>
        <w:t xml:space="preserve"> Abs. 1) übermittelt werden; die Zulässigkeit und die Durchführung von statistischen Vorhaben richten sich nach </w:t>
      </w:r>
      <w:hyperlink w:anchor="b91" w:history="1">
        <w:r>
          <w:rPr>
            <w:color w:val="0A3A8C"/>
            <w:u w:val="single"/>
          </w:rPr>
          <w:t xml:space="preserve">§ 38a</w:t>
        </w:r>
      </w:hyperlink>
      <w:r>
        <w:t>.</w:t>
      </w:r>
    </w:p>
    <w:p>
      <w:pPr>
        <w:pStyle w:val="Heading2"/>
      </w:pPr>
      <w:bookmarkStart w:id="97" w:name="b96"/>
      <w:r>
        <w:t>§ 41 Übermittlungssperren</w:t>
      </w:r>
      <w:r>
        <w:t xml:space="preserve"> </w:t>
      </w:r>
      <w:r>
        <w:rPr>
          <w:rStyle w:val="Suchmarke"/>
        </w:rPr>
        <w:t>#41#</w:t>
      </w:r>
      <w:bookmarkEnd w:id="97"/>
    </w:p>
    <w:p>
      <w:r>
        <w:t>(1) Die Anordnung von Übermittlungssperren in den Fahrzeugregistern ist zulässig, wenn erhebliche öffentliche Interessen gegen die Offenbarung der Halterdaten bestehen.</w:t>
      </w:r>
    </w:p>
    <w:p>
      <w:r>
        <w:t xml:space="preserve">(2) </w:t>
      </w:r>
      <w:r>
        <w:rPr>
          <w:rStyle w:val="Satznummer"/>
        </w:rPr>
        <w:t>1</w:t>
      </w:r>
      <w:r>
        <w:t xml:space="preserve">Außerdem sind Übermittlungssperren auf Antrag der betroffenen Person anzuordnen, wenn sie glaubhaft macht, dass durch die Übermittlung ihre schutzwürdigen Interessen beeinträchtigt würden. </w:t>
      </w:r>
      <w:r>
        <w:rPr>
          <w:rStyle w:val="Satznummer"/>
        </w:rPr>
        <w:t>2</w:t>
      </w:r>
      <w:r>
        <w:t xml:space="preserve">Eine Übermittlungssperre nach Satz 1 kann befristet werden; die Befristung darf zwei Jahre nicht unterschreiten. </w:t>
      </w:r>
      <w:r>
        <w:rPr>
          <w:rStyle w:val="Satznummer"/>
        </w:rPr>
        <w:t>3</w:t>
      </w:r>
      <w:r>
        <w:t xml:space="preserve">Die Übermittlungssperre kann auf Antrag oder von Amts wegen verlängert werden. </w:t>
      </w:r>
      <w:r>
        <w:rPr>
          <w:rStyle w:val="Satznummer"/>
        </w:rPr>
        <w:t>4</w:t>
      </w:r>
      <w:r>
        <w:t>Die betroffene Person ist vor Aufhebung der Übermittlungssperre zu unterrichten, sofern sie erreichbar ist.</w:t>
      </w:r>
    </w:p>
    <w:p>
      <w:r>
        <w:t xml:space="preserve">(3) </w:t>
      </w:r>
      <w:r>
        <w:rPr>
          <w:rStyle w:val="Satznummer"/>
        </w:rPr>
        <w:t>1</w:t>
      </w:r>
      <w:r>
        <w:t xml:space="preserve">Die Übermittlung trotz bestehender Sperre ist im Einzelfall zulässig, wenn an der Kenntnis der gesperrten Daten ein überwiegendes öffentliches Interesse, insbesondere an der Verfolgung von Straftaten besteht. </w:t>
      </w:r>
      <w:r>
        <w:rPr>
          <w:rStyle w:val="Satznummer"/>
        </w:rPr>
        <w:t>2</w:t>
      </w:r>
      <w:r>
        <w:t>Vor der Übermittlung ist der betroffenen Person Gelegenheit zur Stellungnahme zu geben, es sei denn, die Anhörung würde dem Zweck der Übermittlung zuwiderlaufen.</w:t>
      </w:r>
    </w:p>
    <w:p>
      <w:r>
        <w:t xml:space="preserve">(4) </w:t>
      </w:r>
      <w:r>
        <w:rPr>
          <w:rStyle w:val="Satznummer"/>
        </w:rPr>
        <w:t>1</w:t>
      </w:r>
      <w:r>
        <w:t xml:space="preserve">Die Übermittlung trotz bestehender Sperre ist im Einzelfall außerdem zulässig, wenn die Geltendmachung, Sicherung oder Vollstreckung oder die Befriedigung oder Abwehr von Rechtsansprüchen im Sinne des </w:t>
      </w:r>
      <w:hyperlink w:anchor="b93" w:history="1">
        <w:r>
          <w:rPr>
            <w:color w:val="0A3A8C"/>
            <w:u w:val="single"/>
          </w:rPr>
          <w:t xml:space="preserve">§ 39</w:t>
        </w:r>
      </w:hyperlink>
      <w:r>
        <w:t xml:space="preserve"> Abs. 1 und 2 sonst nicht möglich wäre. </w:t>
      </w:r>
      <w:r>
        <w:rPr>
          <w:rStyle w:val="Satznummer"/>
        </w:rPr>
        <w:t>2</w:t>
      </w:r>
      <w:r>
        <w:t>Vor der Übermittlung ist der betroffenen Person Gelegenheit zur Stellungnahme zu geben.</w:t>
      </w:r>
    </w:p>
    <w:p>
      <w:r>
        <w:t xml:space="preserve">(5) </w:t>
      </w:r>
      <w:r>
        <w:rPr>
          <w:rStyle w:val="Satznummer"/>
        </w:rPr>
        <w:t>1</w:t>
      </w:r>
      <w:r>
        <w:t xml:space="preserve">Über die Aufhebung im Einzelfall nach den Absätzen 3 und 4 entscheidet die für die Anordnung der Sperre zuständige Behörde (sperrende Behörde). </w:t>
      </w:r>
      <w:r>
        <w:rPr>
          <w:rStyle w:val="Satznummer"/>
        </w:rPr>
        <w:t>2</w:t>
      </w:r>
      <w:r>
        <w:t xml:space="preserve">Will diese an der Sperre festhalten, weil sie das die Sperre begründende öffentliche Interesse im Sinne des Absatzes 1 für überwiegend hält oder weil sie die Beeinträchtigung schutzwürdiger Interessen der betroffenen Person im Sinne des Absatzes 2 als vorrangig ansieht, führt sie die Entscheidung der nach Landesrecht hierfür zuständigen Behörde oder, wenn eine solche Regelung nicht getroffen ist, der obersten Landesbehörde herbei. </w:t>
      </w:r>
      <w:r>
        <w:rPr>
          <w:rStyle w:val="Satznummer"/>
        </w:rPr>
        <w:t>3</w:t>
      </w:r>
      <w:r>
        <w:t xml:space="preserve">Im Fall der Aufhebung im Einzelfall wird die Übermittlung der für das Ersuchen erforderlichen Fahrzeug- und Halterdaten durch die sperrende Behörde vorgenommen. </w:t>
      </w:r>
      <w:r>
        <w:rPr>
          <w:rStyle w:val="Satznummer"/>
        </w:rPr>
        <w:t>4</w:t>
      </w:r>
      <w:r>
        <w:t xml:space="preserve">Hierfür dürfen der sperrenden Behörde bei von ihr festgestellter Erforderlichkeit auf ihr Verlangen die Fahrzeug- und Halterdaten von den Registerbehörden übermittelt werden. </w:t>
      </w:r>
      <w:r>
        <w:rPr>
          <w:rStyle w:val="Satznummer"/>
        </w:rPr>
        <w:t>5</w:t>
      </w:r>
      <w:r>
        <w:t>Die sperrende Behörde hat diese übermittelten Daten nach Abschluss des Verfahrens unverzüglich zu löschen.</w:t>
      </w:r>
    </w:p>
    <w:p>
      <w:pPr>
        <w:pStyle w:val="Heading2"/>
      </w:pPr>
      <w:bookmarkStart w:id="98" w:name="b97"/>
      <w:r>
        <w:t>§ 42 Datenabgleich zur Beseitigung von Fehlern</w:t>
      </w:r>
      <w:r>
        <w:t xml:space="preserve"> </w:t>
      </w:r>
      <w:r>
        <w:rPr>
          <w:rStyle w:val="Suchmarke"/>
        </w:rPr>
        <w:t>#42#</w:t>
      </w:r>
      <w:bookmarkEnd w:id="98"/>
    </w:p>
    <w:p>
      <w:r>
        <w:t xml:space="preserve">(1) </w:t>
      </w:r>
      <w:r>
        <w:rPr>
          <w:rStyle w:val="Satznummer"/>
        </w:rPr>
        <w:t>1</w:t>
      </w:r>
      <w:r>
        <w:t xml:space="preserve">Bei Zweifeln an der Identität eines eingetragenen Halters mit dem Halter, auf den sich eine neue Mitteilung bezieht, dürfen die Datenbestände des Fahreignungsregisters und des Zentralen Fahrerlaubnisregisters zur Identifizierung dieser Halter verwendet werden. </w:t>
      </w:r>
      <w:r>
        <w:rPr>
          <w:rStyle w:val="Satznummer"/>
        </w:rPr>
        <w:t>2</w:t>
      </w:r>
      <w:r>
        <w:t xml:space="preserve">Ist die Feststellung der Identität der betreffenden Halter auf diese Weise nicht möglich, dürfen die auf Anfrage aus den Melderegistern übermittelten Daten zur Behebung der Zweifel verwendet werden. </w:t>
      </w:r>
      <w:r>
        <w:rPr>
          <w:rStyle w:val="Satznummer"/>
        </w:rPr>
        <w:t>3</w:t>
      </w:r>
      <w:r>
        <w:t xml:space="preserve">Die Zulässigkeit der Übermittlung durch die Meldebehörden richtet sich nach den Meldegesetzen der Länder. </w:t>
      </w:r>
      <w:r>
        <w:rPr>
          <w:rStyle w:val="Satznummer"/>
        </w:rPr>
        <w:t>4</w:t>
      </w:r>
      <w:r>
        <w:t>Können die Zweifel an der Identität der betreffenden Halter nicht ausgeräumt werden, werden die Eintragungen über beide Halter mit einem Hinweis auf die Zweifel an deren Identität versehen.</w:t>
      </w:r>
    </w:p>
    <w:p>
      <w:r>
        <w:t xml:space="preserve">(2) </w:t>
      </w:r>
      <w:r>
        <w:rPr>
          <w:rStyle w:val="Satznummer"/>
        </w:rPr>
        <w:t>1</w:t>
      </w:r>
      <w:r>
        <w:t xml:space="preserve">Die nach § 33 im Zentralen Fahrzeugregister gespeicherten Daten dürfen den Zulassungsbehörden übermittelt werden, soweit dies erforderlich ist, um Fehler und Abweichungen in deren Register festzustellen und zu beseitigen und um diese örtlichen Register zu vervollständigen. </w:t>
      </w:r>
      <w:r>
        <w:rPr>
          <w:rStyle w:val="Satznummer"/>
        </w:rPr>
        <w:t>2</w:t>
      </w:r>
      <w:r>
        <w:t xml:space="preserve">Die nach § 33 im örtlichen Fahrzeugregister gespeicherten Daten dürfen dem Kraftfahrt-Bundesamt übermittelt werden, soweit dies erforderlich ist, um Fehler und Abweichungen im Zentralen Fahrzeugregister festzustellen und zu beseitigen sowie das Zentrale Fahrzeugregister zu vervollständigen. </w:t>
      </w:r>
      <w:r>
        <w:rPr>
          <w:rStyle w:val="Satznummer"/>
        </w:rPr>
        <w:t>3</w:t>
      </w:r>
      <w:r>
        <w:t xml:space="preserve">Die nach § 33 im örtlichen oder im Zentralen Fahrzeugregister gespeicherten Daten dürfen an die Versicherer im Sinne des </w:t>
      </w:r>
      <w:hyperlink w:anchor="b81" w:history="1">
        <w:r>
          <w:rPr>
            <w:color w:val="0A3A8C"/>
            <w:u w:val="single"/>
          </w:rPr>
          <w:t xml:space="preserve">§ 34</w:t>
        </w:r>
      </w:hyperlink>
      <w:r>
        <w:t xml:space="preserve"> Absatz 5 übermittelt werden, soweit dies erforderlich ist, um Fehler und Abweichungen im örtlichen oder im Zentralen Fahrzeugregister festzustellen und zu beseitigen sowie um diese Register zu vervollständigen. </w:t>
      </w:r>
      <w:r>
        <w:rPr>
          <w:rStyle w:val="Satznummer"/>
        </w:rPr>
        <w:t>4</w:t>
      </w:r>
      <w:r>
        <w:t xml:space="preserve">Die nach § 33 im Zentralen Fahrzeugregister gespeicherten Daten dürfen an die Technischen Prüfstellen, die amtlich anerkannten Überwachungsorganisationen und die anerkannten Kraftfahrzeugwerkstätten, soweit diese Werkstätten Sicherheitsprüfungen durchführen, sowie an ihre jeweiligen Kopfstellen im Sinne des </w:t>
      </w:r>
      <w:hyperlink w:anchor="b81" w:history="1">
        <w:r>
          <w:rPr>
            <w:color w:val="0A3A8C"/>
            <w:u w:val="single"/>
          </w:rPr>
          <w:t xml:space="preserve">§ 34</w:t>
        </w:r>
      </w:hyperlink>
      <w:r>
        <w:t xml:space="preserve"> Absatz 6 übermittelt werden, soweit dies erforderlich ist, um Fehler und Abweichungen im Zentralen Fahrzeugregister festzustellen und zu beseitigen sowie um dieses Register zu vervollständigen. </w:t>
      </w:r>
      <w:r>
        <w:rPr>
          <w:rStyle w:val="Satznummer"/>
        </w:rPr>
        <w:t>5</w:t>
      </w:r>
      <w:r>
        <w:t>Die Übermittlung nach den Sätzen 1 bis 4 ist nur zulässig, wenn Anlass zu der Annahme besteht, dass die Register unrichtig oder unvollständig sind.</w:t>
      </w:r>
    </w:p>
    <w:p>
      <w:r>
        <w:t xml:space="preserve">(3) </w:t>
      </w:r>
      <w:r>
        <w:rPr>
          <w:rStyle w:val="Satznummer"/>
        </w:rPr>
        <w:t>1</w:t>
      </w:r>
      <w:r>
        <w:t xml:space="preserve">Die nach § 33 im Zentralen Fahrzeugregister oder im zuständigen örtlichen Fahrzeugregister gespeicherten Halter- und Fahrzeugdaten dürfen der für die Ausübung der Verwaltung der Kraftfahrzeugsteuer zuständigen Behörde übermittelt werden, soweit dies für Maßnahmen zur Durchführung des Kraftfahrzeugsteuerrechts erforderlich ist, um Fehler und Abweichungen in den Datenbeständen der für die Ausübung der Verwaltung der Kraftfahrzeugsteuer zuständigen Behörden festzustellen und zu beseitigen und um diese Datenbestände zu vervollständigen. </w:t>
      </w:r>
      <w:r>
        <w:rPr>
          <w:rStyle w:val="Satznummer"/>
        </w:rPr>
        <w:t>2</w:t>
      </w:r>
      <w:r>
        <w:t>Die Übermittlung nach Satz 1 ist nur zulässig, wenn Anlass zu der Annahme besteht, dass die Datenbestände unrichtig oder unvollständig sind.</w:t>
      </w:r>
    </w:p>
    <w:p>
      <w:pPr>
        <w:pStyle w:val="Heading2"/>
      </w:pPr>
      <w:bookmarkStart w:id="99" w:name="b98"/>
      <w:r>
        <w:t>§ 43 Allgemeine Vorschriften für die Datenübermittlung an und die Verarbeitung der Daten durch den Empfänger</w:t>
      </w:r>
      <w:r>
        <w:t xml:space="preserve"> </w:t>
      </w:r>
      <w:r>
        <w:rPr>
          <w:rStyle w:val="Suchmarke"/>
        </w:rPr>
        <w:t>#43#</w:t>
      </w:r>
      <w:bookmarkEnd w:id="99"/>
    </w:p>
    <w:p>
      <w:r>
        <w:t xml:space="preserve">(1) </w:t>
      </w:r>
      <w:r>
        <w:rPr>
          <w:rStyle w:val="Satznummer"/>
        </w:rPr>
        <w:t>1</w:t>
      </w:r>
      <w:r>
        <w:t xml:space="preserve">Übermittlungen von Daten aus den Fahrzeugregistern sind nur auf Ersuchen zulässig, es sei denn, auf Grund besonderer Rechtsvorschrift wird bestimmt, dass die Registerbehörde bestimmte Daten von Amts wegen zu übermitteln hat. </w:t>
      </w:r>
      <w:r>
        <w:rPr>
          <w:rStyle w:val="Satznummer"/>
        </w:rPr>
        <w:t>2</w:t>
      </w:r>
      <w:r>
        <w:t xml:space="preserve">Die Verantwortung für die Zulässigkeit der Übermittlung trägt die übermittelnde Stelle. </w:t>
      </w:r>
      <w:r>
        <w:rPr>
          <w:rStyle w:val="Satznummer"/>
        </w:rPr>
        <w:t>3</w:t>
      </w:r>
      <w:r>
        <w:t xml:space="preserve">Erfolgt die Übermittlung auf Ersuchen des Empfängers, trägt dieser die Verantwortung. </w:t>
      </w:r>
      <w:r>
        <w:rPr>
          <w:rStyle w:val="Satznummer"/>
        </w:rPr>
        <w:t>4</w:t>
      </w:r>
      <w:r>
        <w:t xml:space="preserve">In diesem Fall prüft die übermittelnde Stelle nur, ob das Übermittlungsersuchen im Rahmen der Aufgaben des Empfängers liegt, es sei denn, dass besonderer Anlass zur Prüfung der Zulässigkeit der Übermittlung besteht. </w:t>
      </w:r>
      <w:r>
        <w:rPr>
          <w:rStyle w:val="Satznummer"/>
        </w:rPr>
        <w:t>5</w:t>
      </w:r>
      <w:r>
        <w:t xml:space="preserve">Begründet sich der besondere Anlass nach Satz 4 in Zweifeln an der Identität einer Person, auf die sich ein Ersuchen auf Datenübermittlung bezieht, gilt </w:t>
      </w:r>
      <w:hyperlink w:anchor="b97" w:history="1">
        <w:r>
          <w:rPr>
            <w:color w:val="0A3A8C"/>
            <w:u w:val="single"/>
          </w:rPr>
          <w:t xml:space="preserve">§ 42</w:t>
        </w:r>
      </w:hyperlink>
      <w:r>
        <w:t xml:space="preserve"> Absatz 1 Satz 1 bis 3 entsprechend.</w:t>
      </w:r>
    </w:p>
    <w:p>
      <w:r>
        <w:t xml:space="preserve">(2) </w:t>
      </w:r>
      <w:r>
        <w:rPr>
          <w:rStyle w:val="Satznummer"/>
        </w:rPr>
        <w:t>1</w:t>
      </w:r>
      <w:r>
        <w:t xml:space="preserve">Der Empfänger darf die übermittelten Daten nur zu dem Zweck verarbeiten, zu dessen Erfüllung sie ihm übermittelt worden sind. </w:t>
      </w:r>
      <w:r>
        <w:rPr>
          <w:rStyle w:val="Satznummer"/>
        </w:rPr>
        <w:t>2</w:t>
      </w:r>
      <w:r>
        <w:t xml:space="preserve">Der Empfänger darf die übermittelten Daten auch für andere Zwecke verarbeiten, soweit sie ihm auch für diese Zwecke hätten übermittelt werden dürfen. </w:t>
      </w:r>
      <w:r>
        <w:rPr>
          <w:rStyle w:val="Satznummer"/>
        </w:rPr>
        <w:t>3</w:t>
      </w:r>
      <w:r>
        <w:t xml:space="preserve">Ist der Empfänger eine nichtöffentliche Stelle, hat die übermittelnde Stelle ihn darauf hinzuweisen. </w:t>
      </w:r>
      <w:r>
        <w:rPr>
          <w:rStyle w:val="Satznummer"/>
        </w:rPr>
        <w:t>4</w:t>
      </w:r>
      <w:r>
        <w:t>Eine Verarbeitung für andere Zwecke durch nichtöffentliche Stellen bedarf der Zustimmung der übermittelnden Stelle.</w:t>
      </w:r>
    </w:p>
    <w:p>
      <w:pPr>
        <w:pStyle w:val="Heading2"/>
      </w:pPr>
      <w:bookmarkStart w:id="100" w:name="b99"/>
      <w:r>
        <w:t>§ 44 Löschung der Daten in den Fahrzeugregistern</w:t>
      </w:r>
      <w:r>
        <w:t xml:space="preserve"> </w:t>
      </w:r>
      <w:r>
        <w:rPr>
          <w:rStyle w:val="Suchmarke"/>
        </w:rPr>
        <w:t>#44#</w:t>
      </w:r>
      <w:bookmarkEnd w:id="100"/>
    </w:p>
    <w:p>
      <w:r>
        <w:t xml:space="preserve">(1) Die nach </w:t>
      </w:r>
      <w:hyperlink w:anchor="b80" w:history="1">
        <w:r>
          <w:rPr>
            <w:color w:val="0A3A8C"/>
            <w:u w:val="single"/>
          </w:rPr>
          <w:t xml:space="preserve">§ 33</w:t>
        </w:r>
      </w:hyperlink>
      <w:r>
        <w:t xml:space="preserve"> Abs. 1 und 2 gespeicherten Daten sind in den Fahrzeugregistern spätestens zu löschen, wenn sie für die Aufgaben nach </w:t>
      </w:r>
      <w:hyperlink w:anchor="b79" w:history="1">
        <w:r>
          <w:rPr>
            <w:color w:val="0A3A8C"/>
            <w:u w:val="single"/>
          </w:rPr>
          <w:t xml:space="preserve">§ 32</w:t>
        </w:r>
      </w:hyperlink>
      <w:r>
        <w:t xml:space="preserve"> nicht mehr benötigt werden.</w:t>
      </w:r>
    </w:p>
    <w:p>
      <w:r>
        <w:t>(2) Die Daten über Fahrtenbuchauflagen (</w:t>
      </w:r>
      <w:hyperlink w:anchor="b80" w:history="1">
        <w:r>
          <w:rPr>
            <w:color w:val="0A3A8C"/>
            <w:u w:val="single"/>
          </w:rPr>
          <w:t xml:space="preserve">§ 33</w:t>
        </w:r>
      </w:hyperlink>
      <w:r>
        <w:t xml:space="preserve"> Abs. 3) sind nach Wegfall der Auflage zu löschen.</w:t>
      </w:r>
    </w:p>
    <w:p>
      <w:pPr>
        <w:pStyle w:val="Heading2"/>
      </w:pPr>
      <w:bookmarkStart w:id="101" w:name="b100"/>
      <w:r>
        <w:t>§ 45 Anonymisierte Daten</w:t>
      </w:r>
      <w:r>
        <w:t xml:space="preserve"> </w:t>
      </w:r>
      <w:r>
        <w:rPr>
          <w:rStyle w:val="Suchmarke"/>
        </w:rPr>
        <w:t>#45#</w:t>
      </w:r>
      <w:bookmarkEnd w:id="101"/>
    </w:p>
    <w:p>
      <w:r>
        <w:rPr>
          <w:rStyle w:val="Satznummer"/>
        </w:rPr>
        <w:t>1</w:t>
      </w:r>
      <w:r>
        <w:t xml:space="preserve">Auf die Verarbeitung von Daten, die keinen Bezug zu einer bestimmten oder bestimmbaren Person ermöglichen, finden die Vorschriften dieses Abschnitts keine Anwendung. </w:t>
      </w:r>
      <w:r>
        <w:rPr>
          <w:rStyle w:val="Satznummer"/>
        </w:rPr>
        <w:t>2</w:t>
      </w:r>
      <w:r>
        <w:t>Zu den Daten, die einen Bezug zu einer bestimmten oder bestimmbaren Person ermöglichen, gehören auch das Kennzeichen eines Fahrzeugs, die Fahrzeug-Identifizierungsnummer und die Nummer der Zulassungsbescheinigung Teil II.</w:t>
      </w:r>
    </w:p>
    <w:p>
      <w:pPr>
        <w:pStyle w:val="Heading2"/>
      </w:pPr>
      <w:bookmarkStart w:id="102" w:name="b101"/>
      <w:r>
        <w:t>§ 46 Auskunft über Fahrzeugdaten unter Verarbeitung personenbezogener Daten</w:t>
      </w:r>
      <w:r>
        <w:t xml:space="preserve"> </w:t>
      </w:r>
      <w:r>
        <w:rPr>
          <w:rStyle w:val="Suchmarke"/>
        </w:rPr>
        <w:t>#46#</w:t>
      </w:r>
      <w:bookmarkEnd w:id="102"/>
    </w:p>
    <w:p>
      <w:r>
        <w:t xml:space="preserve">(1) </w:t>
      </w:r>
      <w:r>
        <w:rPr>
          <w:rStyle w:val="Satznummer"/>
        </w:rPr>
        <w:t>1</w:t>
      </w:r>
      <w:r>
        <w:t>Das Kraftfahrt-Bundesamt darf nach Maßgabe des Satzes 2 Auskünfte unter Verarbeitung der Fahrzeug-Identifizierungsnummer erteilen über</w:t>
      </w:r>
    </w:p>
    <w:p>
      <w:pPr>
        <w:tabs>
          <w:tab w:pos="567" w:val="left"/>
        </w:tabs>
        <w:ind w:left="567" w:hanging="567"/>
      </w:pPr>
      <w:r>
        <w:t>1.</w:t>
      </w:r>
      <w:r>
        <w:tab/>
      </w:r>
      <w:r>
        <w:t>Fahrzeugdaten,</w:t>
      </w:r>
    </w:p>
    <w:p>
      <w:pPr>
        <w:tabs>
          <w:tab w:pos="1134" w:val="left"/>
        </w:tabs>
        <w:ind w:left="1134" w:hanging="567"/>
      </w:pPr>
      <w:r>
        <w:t>a)</w:t>
      </w:r>
      <w:r>
        <w:tab/>
      </w:r>
      <w:r>
        <w:t>soweit diese Fahrzeugdaten zugänglich zu machen sind nach Artikel 12 Absatz 2 der Verordnung (EU) 2018/858 oder</w:t>
      </w:r>
    </w:p>
    <w:p>
      <w:pPr>
        <w:tabs>
          <w:tab w:pos="1134" w:val="left"/>
        </w:tabs>
        <w:ind w:left="1134" w:hanging="567"/>
      </w:pPr>
      <w:r>
        <w:t>b)</w:t>
      </w:r>
      <w:r>
        <w:tab/>
      </w:r>
      <w:r>
        <w:t>soweit diese Fahrzeugdaten im Umfang der jeweiligen unionsrechtlichen Übereinstimmungsbescheinigung in einer Fahrzeugdatenbank beim Kraftfahrt-Bundesamt vorhanden sind und Fahrzeugklassen betreffen, die nicht von Buchstabe a umfasst sind,</w:t>
      </w:r>
    </w:p>
    <w:p>
      <w:pPr>
        <w:tabs>
          <w:tab w:pos="567" w:val="left"/>
        </w:tabs>
        <w:ind w:left="567" w:hanging="567"/>
      </w:pPr>
      <w:r>
        <w:t>2.</w:t>
      </w:r>
      <w:r>
        <w:tab/>
      </w:r>
      <w:r>
        <w:t>fahrzeugbezogene Maßnahmen</w:t>
      </w:r>
    </w:p>
    <w:p>
      <w:pPr>
        <w:tabs>
          <w:tab w:pos="1134" w:val="left"/>
        </w:tabs>
        <w:ind w:left="1134" w:hanging="567"/>
      </w:pPr>
      <w:r>
        <w:t>a)</w:t>
      </w:r>
      <w:r>
        <w:tab/>
      </w:r>
      <w:r>
        <w:t xml:space="preserve">im Sinne des </w:t>
      </w:r>
      <w:hyperlink w:anchor="b79" w:history="1">
        <w:r>
          <w:rPr>
            <w:color w:val="0A3A8C"/>
            <w:u w:val="single"/>
          </w:rPr>
          <w:t xml:space="preserve">§ 32</w:t>
        </w:r>
      </w:hyperlink>
      <w:r>
        <w:t xml:space="preserve"> Absatz 3 und deren Durchführungsstand oder</w:t>
      </w:r>
    </w:p>
    <w:p>
      <w:pPr>
        <w:tabs>
          <w:tab w:pos="1134" w:val="left"/>
        </w:tabs>
        <w:ind w:left="1134" w:hanging="567"/>
      </w:pPr>
      <w:r>
        <w:t>b)</w:t>
      </w:r>
      <w:r>
        <w:tab/>
      </w:r>
      <w:r>
        <w:t>im Sinne des § 35 Absatz 2 Satz 1 Nummer 1 Buchstabe a, b oder c, einschließlich Rückrufe, und deren Durchführungsstand.</w:t>
      </w:r>
    </w:p>
    <w:p>
      <w:r>
        <w:rPr>
          <w:rStyle w:val="Satznummer"/>
        </w:rPr>
        <w:t>2</w:t>
      </w:r>
      <w:r>
        <w:t>Das Kraftfahrt-Bundesamt darf die Auskünfte nach Satz 1 zu einem Fahrzeug für diejenige Person elektronisch bereitstellen, die die zugehörige Fahrzeug-Identifizierungsnummer in einer Anwendung auf der Internetseite des Kraftfahrt-Bundesamtes angibt.</w:t>
      </w:r>
    </w:p>
    <w:p>
      <w:r>
        <w:t>(2) Das Kraftfahrt-Bundesamt darf den Zulassungsstatus eines Fahrzeugs in einer zum Zweck der Marktüberwachung oder der Erteilung von Auskünften nach Absatz 1 Satz 1 Nummer 2 geführten Datenbank regelmäßig anhand der Fahrzeug-Identifizierungsnummer mit dem Zentralen Fahrzeugregister abgleichen, um von diesbezüglichen Maßnahmen betroffene Fahrzeuge zu identifizieren.</w:t>
      </w:r>
    </w:p>
    <w:p>
      <w:r>
        <w:t>(3) Enthalten eine fahrzeugbezogene Genehmigung oder eine fahrzeugbezogene Bescheinigung die Angabe von Fahrzeug-Identifizierungsnummern oder des Kennzeichens des Fahrzeugs, so darf das Kraftfahrt-Bundesamt diese Fahrzeug-Identifizierungsnummern und das Kennzeichen als Bestandteil der Genehmigung oder der Bescheinigung verarbeiten, sofern die Verarbeitung der Genehmigung oder der Bescheinigung zur Erfüllung seiner ihm durch eine Rechtsvorschrift zugewiesenen Aufgaben erforderlich ist.</w:t>
      </w:r>
    </w:p>
    <w:p>
      <w:r>
        <w:t xml:space="preserve">(4) </w:t>
      </w:r>
      <w:r>
        <w:rPr>
          <w:rStyle w:val="Satznummer"/>
        </w:rPr>
        <w:t>1</w:t>
      </w:r>
      <w:r>
        <w:t>Das Kraftfahrt-Bundesamt darf die Fahrzeug-Identifizierungsnummer zu Zwecken der wissenschaftlichen Forschung oder der amtlichen Statistik erheben, speichern und verwenden, sofern</w:t>
      </w:r>
    </w:p>
    <w:p>
      <w:pPr>
        <w:tabs>
          <w:tab w:pos="567" w:val="left"/>
        </w:tabs>
        <w:ind w:left="567" w:hanging="567"/>
      </w:pPr>
      <w:r>
        <w:t>1.</w:t>
      </w:r>
      <w:r>
        <w:tab/>
      </w:r>
      <w:r>
        <w:t>dies zur Erreichung dieser Zwecke erforderlich ist und</w:t>
      </w:r>
    </w:p>
    <w:p>
      <w:pPr>
        <w:tabs>
          <w:tab w:pos="567" w:val="left"/>
        </w:tabs>
        <w:ind w:left="567" w:hanging="567"/>
      </w:pPr>
      <w:r>
        <w:t>2.</w:t>
      </w:r>
      <w:r>
        <w:tab/>
      </w:r>
      <w:r>
        <w:t xml:space="preserve">die Datensätze neben der Fahrzeug-Identifizierungsnummer jeweils nur Angaben nach </w:t>
      </w:r>
      <w:hyperlink w:anchor="b80" w:history="1">
        <w:r>
          <w:rPr>
            <w:color w:val="0A3A8C"/>
            <w:u w:val="single"/>
          </w:rPr>
          <w:t xml:space="preserve">§ 33</w:t>
        </w:r>
      </w:hyperlink>
      <w:r>
        <w:t xml:space="preserve"> Absatz 1 Satz 1 Nummer 1 und Absatz 2 oder Daten der unionsrechtlich vorgeschriebenen Übereinstimmungsbescheinigungen enthalten.</w:t>
      </w:r>
    </w:p>
    <w:p>
      <w:r>
        <w:rPr>
          <w:rStyle w:val="Satznummer"/>
        </w:rPr>
        <w:t>2</w:t>
      </w:r>
      <w:r>
        <w:t>Datensätze nach Satz 1 Nummer 2 sind unverzüglich zu anonymisieren, wenn die Verwendung der Fahrzeug-Identifizierungsnummer als Identifizierungsmerkmal nicht mehr erforderlich ist.</w:t>
      </w:r>
    </w:p>
    <w:p>
      <w:pPr>
        <w:pStyle w:val="Heading2"/>
      </w:pPr>
      <w:bookmarkStart w:id="103" w:name="b102"/>
      <w:r>
        <w:t>§ 47 Verordnungsermächtigungen, Ausführungsvorschriften</w:t>
      </w:r>
      <w:r>
        <w:t xml:space="preserve"> </w:t>
      </w:r>
      <w:r>
        <w:rPr>
          <w:rStyle w:val="Suchmarke"/>
        </w:rPr>
        <w:t>#47#</w:t>
      </w:r>
      <w:bookmarkEnd w:id="103"/>
    </w:p>
    <w:p>
      <w:r>
        <w:t>Das Bundesministerium für Verkehr wird ermächtigt, Rechtsverordnung mit Zustimmung des Bundesrates zu erlassen</w:t>
      </w:r>
    </w:p>
    <w:p>
      <w:pPr>
        <w:tabs>
          <w:tab w:pos="567" w:val="left"/>
        </w:tabs>
        <w:ind w:left="567" w:hanging="567"/>
      </w:pPr>
      <w:r>
        <w:t>1.</w:t>
      </w:r>
      <w:r>
        <w:tab/>
      </w:r>
      <w:r>
        <w:t>darüber,</w:t>
      </w:r>
    </w:p>
    <w:p>
      <w:pPr>
        <w:tabs>
          <w:tab w:pos="1134" w:val="left"/>
        </w:tabs>
        <w:ind w:left="1134" w:hanging="567"/>
      </w:pPr>
      <w:r>
        <w:t>a)</w:t>
      </w:r>
      <w:r>
        <w:tab/>
      </w:r>
      <w:r>
        <w:t>welche im Einzelnen zu bestimmenden Fahrzeugdaten (</w:t>
      </w:r>
      <w:hyperlink w:anchor="b80" w:history="1">
        <w:r>
          <w:rPr>
            <w:color w:val="0A3A8C"/>
            <w:u w:val="single"/>
          </w:rPr>
          <w:t xml:space="preserve">§ 33</w:t>
        </w:r>
      </w:hyperlink>
      <w:r>
        <w:t xml:space="preserve"> Abs. 1 Satz 1 Nr. 1) und</w:t>
      </w:r>
    </w:p>
    <w:p>
      <w:pPr>
        <w:tabs>
          <w:tab w:pos="1134" w:val="left"/>
        </w:tabs>
        <w:ind w:left="1134" w:hanging="567"/>
      </w:pPr>
      <w:r>
        <w:t>b)</w:t>
      </w:r>
      <w:r>
        <w:tab/>
      </w:r>
      <w:r>
        <w:t xml:space="preserve">welche Halterdaten nach § 33 Abs. 1 Satz 1 Nr. 2 in welchen Fällen der Zuteilung oder Ausgabe des Kennzeichens unter Berücksichtigung der in </w:t>
      </w:r>
      <w:hyperlink w:anchor="b79" w:history="1">
        <w:r>
          <w:rPr>
            <w:color w:val="0A3A8C"/>
            <w:u w:val="single"/>
          </w:rPr>
          <w:t xml:space="preserve">§ 32</w:t>
        </w:r>
      </w:hyperlink>
      <w:r>
        <w:t xml:space="preserve"> genannten Aufgaben</w:t>
      </w:r>
    </w:p>
    <w:p>
      <w:pPr>
        <w:ind w:left="567"/>
      </w:pPr>
      <w:r>
        <w:t>im örtlichen und im Zentralen Fahrzeugregister jeweils gespeichert (</w:t>
      </w:r>
      <w:hyperlink w:anchor="b80" w:history="1">
        <w:r>
          <w:rPr>
            <w:color w:val="0A3A8C"/>
            <w:u w:val="single"/>
          </w:rPr>
          <w:t xml:space="preserve">§ 33</w:t>
        </w:r>
      </w:hyperlink>
      <w:r>
        <w:t xml:space="preserve"> Abs. 1) und zur Speicherung erhoben (</w:t>
      </w:r>
      <w:hyperlink w:anchor="b81" w:history="1">
        <w:r>
          <w:rPr>
            <w:color w:val="0A3A8C"/>
            <w:u w:val="single"/>
          </w:rPr>
          <w:t xml:space="preserve">§ 34</w:t>
        </w:r>
      </w:hyperlink>
      <w:r>
        <w:t xml:space="preserve"> Abs. 1) werden,</w:t>
      </w:r>
    </w:p>
    <w:p>
      <w:pPr>
        <w:tabs>
          <w:tab w:pos="567" w:val="left"/>
        </w:tabs>
        <w:ind w:left="567" w:hanging="567"/>
      </w:pPr>
      <w:r>
        <w:t>1a.</w:t>
      </w:r>
      <w:r>
        <w:tab/>
      </w:r>
      <w:r>
        <w:t xml:space="preserve">darüber, welche im Einzelnen zu bestimmenden Fahrzeugdaten und Daten über Prüfungen und Untersuchungen einschließlich der durchführenden Stellen und Kennungen zur Feststellung der für die Durchführung der Prüfung oder Untersuchung Verantwortlichen die Technischen Prüfstellen, amtlich anerkannten Überwachungsorganisationen und anerkannten Kraftfahrzeugwerkstätten, soweit diese Werkstätten Sicherheitsprüfungen durchführen, zur Speicherung im Zentralen Fahrzeugregister nach </w:t>
      </w:r>
      <w:hyperlink w:anchor="b81" w:history="1">
        <w:r>
          <w:rPr>
            <w:color w:val="0A3A8C"/>
            <w:u w:val="single"/>
          </w:rPr>
          <w:t xml:space="preserve">§ 34</w:t>
        </w:r>
      </w:hyperlink>
      <w:r>
        <w:t xml:space="preserve"> Absatz 6 mitzuteilen haben, und über die Einzelheiten des Mitteilungs- sowie des Auskunftsverfahrens,</w:t>
      </w:r>
    </w:p>
    <w:p>
      <w:pPr>
        <w:tabs>
          <w:tab w:pos="567" w:val="left"/>
        </w:tabs>
        <w:ind w:left="567" w:hanging="567"/>
      </w:pPr>
      <w:r>
        <w:t>2.</w:t>
      </w:r>
      <w:r>
        <w:tab/>
      </w:r>
      <w:r>
        <w:t xml:space="preserve">darüber, welche im Einzelnen zu bestimmenden Fahrzeugdaten die Versicherer zur Speicherung im Zentralen Fahrzeugregister nach </w:t>
      </w:r>
      <w:hyperlink w:anchor="b81" w:history="1">
        <w:r>
          <w:rPr>
            <w:color w:val="0A3A8C"/>
            <w:u w:val="single"/>
          </w:rPr>
          <w:t xml:space="preserve">§ 34</w:t>
        </w:r>
      </w:hyperlink>
      <w:r>
        <w:t xml:space="preserve"> Abs. 5 Satz 2 mitzuteilen haben,</w:t>
      </w:r>
    </w:p>
    <w:p>
      <w:pPr>
        <w:tabs>
          <w:tab w:pos="567" w:val="left"/>
        </w:tabs>
        <w:ind w:left="567" w:hanging="567"/>
      </w:pPr>
      <w:r>
        <w:t>3.</w:t>
      </w:r>
      <w:r>
        <w:tab/>
      </w:r>
      <w:r>
        <w:t xml:space="preserve">über die regelmäßige Übermittlung der Daten nach </w:t>
      </w:r>
      <w:hyperlink w:anchor="b82" w:history="1">
        <w:r>
          <w:rPr>
            <w:color w:val="0A3A8C"/>
            <w:u w:val="single"/>
          </w:rPr>
          <w:t xml:space="preserve">§ 35</w:t>
        </w:r>
      </w:hyperlink>
      <w:r>
        <w:t xml:space="preserve"> Abs. 5, insbesondere über die Art der Übermittlung sowie die Art und den Umfang der zu übermittelnden Daten,</w:t>
      </w:r>
    </w:p>
    <w:p>
      <w:pPr>
        <w:tabs>
          <w:tab w:pos="567" w:val="left"/>
        </w:tabs>
        <w:ind w:left="567" w:hanging="567"/>
      </w:pPr>
      <w:r>
        <w:t>4.</w:t>
      </w:r>
      <w:r>
        <w:tab/>
      </w:r>
      <w:r>
        <w:t xml:space="preserve">über die Art und den Umfang der zu übermittelnden Daten und die Maßnahmen zur Sicherung gegen Missbrauch beim Abruf im automatisierten Verfahren nach </w:t>
      </w:r>
      <w:hyperlink w:anchor="b83" w:history="1">
        <w:r>
          <w:rPr>
            <w:color w:val="0A3A8C"/>
            <w:u w:val="single"/>
          </w:rPr>
          <w:t xml:space="preserve">§ 36</w:t>
        </w:r>
      </w:hyperlink>
      <w:r>
        <w:t xml:space="preserve"> Abs. 5,</w:t>
      </w:r>
    </w:p>
    <w:p>
      <w:pPr>
        <w:tabs>
          <w:tab w:pos="567" w:val="left"/>
        </w:tabs>
        <w:ind w:left="567" w:hanging="567"/>
      </w:pPr>
      <w:r>
        <w:t>4a.</w:t>
      </w:r>
      <w:r>
        <w:tab/>
      </w:r>
      <w:r>
        <w:t xml:space="preserve">über die Art und den Umfang der zu übermittelnden Daten und die Maßnahmen zur Sicherung gegen Missbrauch nach </w:t>
      </w:r>
      <w:hyperlink w:anchor="b84" w:history="1">
        <w:r>
          <w:rPr>
            <w:color w:val="0A3A8C"/>
            <w:u w:val="single"/>
          </w:rPr>
          <w:t xml:space="preserve">§ 36a</w:t>
        </w:r>
      </w:hyperlink>
      <w:r>
        <w:t>,</w:t>
      </w:r>
    </w:p>
    <w:p>
      <w:pPr>
        <w:tabs>
          <w:tab w:pos="567" w:val="left"/>
        </w:tabs>
        <w:ind w:left="567" w:hanging="567"/>
      </w:pPr>
      <w:r>
        <w:t>5.</w:t>
      </w:r>
      <w:r>
        <w:tab/>
      </w:r>
      <w:r>
        <w:t xml:space="preserve">über Einzelheiten des Verfahrens nach </w:t>
      </w:r>
      <w:hyperlink w:anchor="b83" w:history="1">
        <w:r>
          <w:rPr>
            <w:color w:val="0A3A8C"/>
            <w:u w:val="single"/>
          </w:rPr>
          <w:t xml:space="preserve">§ 36</w:t>
        </w:r>
      </w:hyperlink>
      <w:r>
        <w:t xml:space="preserve"> Abs. 7 Satz 2,</w:t>
      </w:r>
    </w:p>
    <w:p>
      <w:pPr>
        <w:tabs>
          <w:tab w:pos="567" w:val="left"/>
        </w:tabs>
        <w:ind w:left="567" w:hanging="567"/>
      </w:pPr>
      <w:r>
        <w:t>5a.</w:t>
      </w:r>
      <w:r>
        <w:tab/>
      </w:r>
      <w:r>
        <w:t xml:space="preserve">über die Art und den Umfang der zu übermittelnden Daten, die Bestimmung der Empfänger und den Geschäftsweg bei Übermittlungen nach </w:t>
      </w:r>
      <w:hyperlink w:anchor="b86" w:history="1">
        <w:r>
          <w:rPr>
            <w:color w:val="0A3A8C"/>
            <w:u w:val="single"/>
          </w:rPr>
          <w:t xml:space="preserve">§ 37</w:t>
        </w:r>
      </w:hyperlink>
      <w:r>
        <w:t xml:space="preserve"> Abs. 1 und 1a,</w:t>
      </w:r>
    </w:p>
    <w:p>
      <w:pPr>
        <w:tabs>
          <w:tab w:pos="567" w:val="left"/>
        </w:tabs>
        <w:ind w:left="567" w:hanging="567"/>
      </w:pPr>
      <w:r>
        <w:t>5b.</w:t>
      </w:r>
      <w:r>
        <w:tab/>
      </w:r>
      <w:r>
        <w:t xml:space="preserve">darüber, welche Daten nach </w:t>
      </w:r>
      <w:hyperlink w:anchor="b87" w:history="1">
        <w:r>
          <w:rPr>
            <w:color w:val="0A3A8C"/>
            <w:u w:val="single"/>
          </w:rPr>
          <w:t xml:space="preserve">§ 37a</w:t>
        </w:r>
      </w:hyperlink>
      <w:r>
        <w:t xml:space="preserve"> Abs. 1 durch Abruf im automatisierten Verfahren übermittelt werden dürfen,</w:t>
      </w:r>
    </w:p>
    <w:p>
      <w:pPr>
        <w:tabs>
          <w:tab w:pos="567" w:val="left"/>
        </w:tabs>
        <w:ind w:left="567" w:hanging="567"/>
      </w:pPr>
      <w:r>
        <w:t>5c.</w:t>
      </w:r>
      <w:r>
        <w:tab/>
      </w:r>
      <w:r>
        <w:t xml:space="preserve">über die Bestimmung, welche ausländischen öffentlichen Stellen zum Abruf im automatisierten Verfahren nach </w:t>
      </w:r>
      <w:hyperlink w:anchor="b87" w:history="1">
        <w:r>
          <w:rPr>
            <w:color w:val="0A3A8C"/>
            <w:u w:val="single"/>
          </w:rPr>
          <w:t xml:space="preserve">§ 37a</w:t>
        </w:r>
      </w:hyperlink>
      <w:r>
        <w:t xml:space="preserve"> Abs. 1 befugt sind,</w:t>
      </w:r>
    </w:p>
    <w:p>
      <w:pPr>
        <w:tabs>
          <w:tab w:pos="567" w:val="left"/>
        </w:tabs>
        <w:ind w:left="567" w:hanging="567"/>
      </w:pPr>
      <w:r>
        <w:t>6.</w:t>
      </w:r>
      <w:r>
        <w:tab/>
      </w:r>
      <w:r>
        <w:t xml:space="preserve">über das Verfahren bei Übermittlungssperren sowie über die Speicherung, Änderung und die Aufhebung der Sperren nach </w:t>
      </w:r>
      <w:hyperlink w:anchor="b80" w:history="1">
        <w:r>
          <w:rPr>
            <w:color w:val="0A3A8C"/>
            <w:u w:val="single"/>
          </w:rPr>
          <w:t xml:space="preserve">§ 33</w:t>
        </w:r>
      </w:hyperlink>
      <w:r>
        <w:t xml:space="preserve"> Abs. 4 und </w:t>
      </w:r>
      <w:hyperlink w:anchor="b96" w:history="1">
        <w:r>
          <w:rPr>
            <w:color w:val="0A3A8C"/>
            <w:u w:val="single"/>
          </w:rPr>
          <w:t xml:space="preserve">§ 41</w:t>
        </w:r>
      </w:hyperlink>
      <w:r>
        <w:t xml:space="preserve"> und</w:t>
      </w:r>
    </w:p>
    <w:p>
      <w:pPr>
        <w:tabs>
          <w:tab w:pos="567" w:val="left"/>
        </w:tabs>
        <w:ind w:left="567" w:hanging="567"/>
      </w:pPr>
      <w:r>
        <w:t>7.</w:t>
      </w:r>
      <w:r>
        <w:tab/>
      </w:r>
      <w:r>
        <w:t xml:space="preserve">über die Löschung der Daten nach </w:t>
      </w:r>
      <w:hyperlink w:anchor="b99" w:history="1">
        <w:r>
          <w:rPr>
            <w:color w:val="0A3A8C"/>
            <w:u w:val="single"/>
          </w:rPr>
          <w:t xml:space="preserve">§ 44</w:t>
        </w:r>
      </w:hyperlink>
      <w:r>
        <w:t>, insbesondere über die Voraussetzungen und Fristen für die Löschung.</w:t>
      </w:r>
    </w:p>
    <w:p>
      <w:pPr>
        <w:pStyle w:val="Heading1"/>
      </w:pPr>
      <w:bookmarkStart w:id="104" w:name="b103"/>
      <w:r>
        <w:t>VI. Fahrerlaubnisregister</w:t>
      </w:r>
      <w:bookmarkEnd w:id="104"/>
    </w:p>
    <w:p>
      <w:pPr>
        <w:pStyle w:val="Heading2"/>
      </w:pPr>
      <w:bookmarkStart w:id="105" w:name="b104"/>
      <w:r>
        <w:t>§ 48 Registerführung und Registerbehörden</w:t>
      </w:r>
      <w:r>
        <w:t xml:space="preserve"> </w:t>
      </w:r>
      <w:r>
        <w:rPr>
          <w:rStyle w:val="Suchmarke"/>
        </w:rPr>
        <w:t>#48#</w:t>
      </w:r>
      <w:bookmarkEnd w:id="105"/>
    </w:p>
    <w:p>
      <w:r>
        <w:t xml:space="preserve">(1) </w:t>
      </w:r>
      <w:r>
        <w:rPr>
          <w:rStyle w:val="Satznummer"/>
        </w:rPr>
        <w:t>1</w:t>
      </w:r>
      <w:r>
        <w:t>Die Fahrerlaubnisbehörden (</w:t>
      </w:r>
      <w:hyperlink w:anchor="b14" w:history="1">
        <w:r>
          <w:rPr>
            <w:color w:val="0A3A8C"/>
            <w:u w:val="single"/>
          </w:rPr>
          <w:t xml:space="preserve">§ 2</w:t>
        </w:r>
      </w:hyperlink>
      <w:r>
        <w:t xml:space="preserve"> Abs. 1) führen im Rahmen ihrer örtlichen Zuständigkeit ein Register (örtliche Fahrerlaubnisregister) über</w:t>
      </w:r>
    </w:p>
    <w:p>
      <w:pPr>
        <w:tabs>
          <w:tab w:pos="567" w:val="left"/>
        </w:tabs>
        <w:ind w:left="567" w:hanging="567"/>
      </w:pPr>
      <w:r>
        <w:t>1.</w:t>
      </w:r>
      <w:r>
        <w:tab/>
      </w:r>
      <w:r>
        <w:t>von ihnen erteilte Fahrerlaubnisse sowie die entsprechenden Führerscheine,</w:t>
      </w:r>
    </w:p>
    <w:p>
      <w:pPr>
        <w:tabs>
          <w:tab w:pos="567" w:val="left"/>
        </w:tabs>
        <w:ind w:left="567" w:hanging="567"/>
      </w:pPr>
      <w:r>
        <w:t>2.</w:t>
      </w:r>
      <w:r>
        <w:tab/>
      </w:r>
      <w:r>
        <w:t>Entscheidungen, die Bestand, Art und Umfang von Fahrerlaubnissen oder sonstige Berechtigungen, ein Fahrzeug zu führen, betreffen.</w:t>
      </w:r>
    </w:p>
    <w:p>
      <w:r>
        <w:rPr>
          <w:rStyle w:val="Satznummer"/>
        </w:rPr>
        <w:t>2</w:t>
      </w:r>
      <w:r>
        <w:t xml:space="preserve">Abweichend von Satz 1 Nr. 2 darf die zur Erteilung einer Prüfbescheinigung zuständige Stelle Aufzeichnungen über von ihr ausgegebene Bescheinigungen für die Berechtigung zum Führen fahrerlaubnisfreier Fahrzeug führen. </w:t>
      </w:r>
      <w:r>
        <w:rPr>
          <w:rStyle w:val="Satznummer"/>
        </w:rPr>
        <w:t>3</w:t>
      </w:r>
      <w:r>
        <w:t xml:space="preserve">Sobald ein örtliches Fahrerlaubnisregister nach Maßgabe des </w:t>
      </w:r>
      <w:hyperlink w:anchor="b130" w:history="1">
        <w:r>
          <w:rPr>
            <w:color w:val="0A3A8C"/>
            <w:u w:val="single"/>
          </w:rPr>
          <w:t xml:space="preserve">§ 65</w:t>
        </w:r>
      </w:hyperlink>
      <w:r>
        <w:t xml:space="preserve"> Absatz 2 Satz 1 nicht mehr geführt werden darf, gilt Satz 1 in Verbindung mit Satz 2 nur noch für die in </w:t>
      </w:r>
      <w:hyperlink w:anchor="b130" w:history="1">
        <w:r>
          <w:rPr>
            <w:color w:val="0A3A8C"/>
            <w:u w:val="single"/>
          </w:rPr>
          <w:t xml:space="preserve">§ 65</w:t>
        </w:r>
      </w:hyperlink>
      <w:r>
        <w:t xml:space="preserve"> Absatz 2a bezeichneten Daten.</w:t>
      </w:r>
    </w:p>
    <w:p>
      <w:r>
        <w:t>(2) Das Kraftfahrt-Bundesamt führt ein Register über Fahrerlaubnisse und die entsprechenden Führerscheine (Zentrales Fahrerlaubnisregister), die von den nach Landesrecht für den Vollzug des Fahrerlaubnisrechtes zuständigen Behörden (Fahrerlaubnisbehörden) erteilt sind.</w:t>
      </w:r>
    </w:p>
    <w:p>
      <w:r>
        <w:t xml:space="preserve">(3) </w:t>
      </w:r>
      <w:r>
        <w:rPr>
          <w:rStyle w:val="Satznummer"/>
        </w:rPr>
        <w:t>1</w:t>
      </w:r>
      <w:r>
        <w:t xml:space="preserve">Bei einer zentralen Herstellung der Führscheine übermittelt die Fahrerlaubnisbehörde dem Hersteller die hierfür notwendigen Daten. </w:t>
      </w:r>
      <w:r>
        <w:rPr>
          <w:rStyle w:val="Satznummer"/>
        </w:rPr>
        <w:t>2</w:t>
      </w:r>
      <w:r>
        <w:t xml:space="preserve">Der Hersteller darf ausschließlich zum Nachweis des Verbleibs der Führerscheine alle Führerscheinnummern der hergestellten Führerscheine speichern. </w:t>
      </w:r>
      <w:r>
        <w:rPr>
          <w:rStyle w:val="Satznummer"/>
        </w:rPr>
        <w:t>3</w:t>
      </w:r>
      <w:r>
        <w:t xml:space="preserve">Die Speicherung der übrigen im Führerschein enthaltenen Angaben beim Hersteller ist unzulässig, soweit sie nicht ausschließlich und vorübergehend der Herstellung des Führerscheins dient; die Angaben sind anschließend zu löschen. </w:t>
      </w:r>
      <w:r>
        <w:rPr>
          <w:rStyle w:val="Satznummer"/>
        </w:rPr>
        <w:t>4</w:t>
      </w:r>
      <w:r>
        <w:t xml:space="preserve">Die Daten nach den Sätzen 1 und 2 dürfen nach näherer Bestimmung durch Rechtsverordnung gemäß </w:t>
      </w:r>
      <w:hyperlink w:anchor="b119" w:history="1">
        <w:r>
          <w:rPr>
            <w:color w:val="0A3A8C"/>
            <w:u w:val="single"/>
          </w:rPr>
          <w:t xml:space="preserve">§ 63</w:t>
        </w:r>
      </w:hyperlink>
      <w:r>
        <w:t xml:space="preserve"> Nummer 1 an das Kraftfahrt-Bundesamt zur Speicherung im Zentralen Fahrerlaubnisregister übermittelt werden; sie sind dort spätestens nach Ablauf von zwölf Monaten zu löschen, sofern dem Amt die Erteilung oder Änderung der Fahrerlaubnis innerhalb dieser Frist nicht mitgeteilt wird; beim Hersteller sind die Daten nach der Übermittlung zu löschen. </w:t>
      </w:r>
      <w:r>
        <w:rPr>
          <w:rStyle w:val="Satznummer"/>
        </w:rPr>
        <w:t>5</w:t>
      </w:r>
      <w:r>
        <w:t>Vor Eingang der Mitteilung beim Kraftfahrt-Bundesamt über die Erteilung oder Änderung der Fahrerlaubnis darf das Amt über die Daten keine Auskunft erteilen.</w:t>
      </w:r>
    </w:p>
    <w:p>
      <w:pPr>
        <w:pStyle w:val="Heading2"/>
      </w:pPr>
      <w:bookmarkStart w:id="106" w:name="b105"/>
      <w:r>
        <w:t>§ 49 Zweckbestimmung der Register</w:t>
      </w:r>
      <w:r>
        <w:t xml:space="preserve"> </w:t>
      </w:r>
      <w:r>
        <w:rPr>
          <w:rStyle w:val="Suchmarke"/>
        </w:rPr>
        <w:t>#49#</w:t>
      </w:r>
      <w:bookmarkEnd w:id="106"/>
    </w:p>
    <w:p>
      <w:r>
        <w:t>(1) Die örtlichen Fahrerlaubnisregister und das Zentrale Fahrerlaubnisregister werden geführt zur Speicherung von Daten, die erforderlich sind, um feststellen zu können, welche Fahrerlaubnisse und welche Führerscheine eine Person besitzt oder für welche sie die Neuerteilung beantragen kann.</w:t>
      </w:r>
    </w:p>
    <w:p>
      <w:r>
        <w:t>(2) Die örtlichen Fahrerlaubnisregister werden außerdem geführt zur Speicherung von Daten, die erforderlich sind</w:t>
      </w:r>
    </w:p>
    <w:p>
      <w:pPr>
        <w:tabs>
          <w:tab w:pos="567" w:val="left"/>
        </w:tabs>
        <w:ind w:left="567" w:hanging="567"/>
      </w:pPr>
      <w:r>
        <w:t>1.</w:t>
      </w:r>
      <w:r>
        <w:tab/>
      </w:r>
      <w:r>
        <w:t>für die Beurteilung der Eignung und Befähigung von Personen zum Führen von Kraftfahrzeugen und</w:t>
      </w:r>
    </w:p>
    <w:p>
      <w:pPr>
        <w:tabs>
          <w:tab w:pos="567" w:val="left"/>
        </w:tabs>
        <w:ind w:left="567" w:hanging="567"/>
      </w:pPr>
      <w:r>
        <w:t>2.</w:t>
      </w:r>
      <w:r>
        <w:tab/>
      </w:r>
      <w:r>
        <w:t>für die Prüfung der Berechtigung zum Führen von Fahrzeugen.</w:t>
      </w:r>
    </w:p>
    <w:p>
      <w:pPr>
        <w:pStyle w:val="Heading2"/>
      </w:pPr>
      <w:bookmarkStart w:id="107" w:name="b106"/>
      <w:r>
        <w:t>§ 50 Inhalt der Fahrerlaubnisregister</w:t>
      </w:r>
      <w:r>
        <w:t xml:space="preserve"> </w:t>
      </w:r>
      <w:r>
        <w:rPr>
          <w:rStyle w:val="Suchmarke"/>
        </w:rPr>
        <w:t>#50#</w:t>
      </w:r>
      <w:bookmarkEnd w:id="107"/>
    </w:p>
    <w:p>
      <w:r>
        <w:t>(1) In den örtlichen Fahrerlaubnisregistern und im Zentralen Fahrerlaubnisregister werden gespeichert</w:t>
      </w:r>
    </w:p>
    <w:p>
      <w:pPr>
        <w:tabs>
          <w:tab w:pos="567" w:val="left"/>
        </w:tabs>
        <w:ind w:left="567" w:hanging="567"/>
      </w:pPr>
      <w:r>
        <w:t>1.</w:t>
      </w:r>
      <w:r>
        <w:tab/>
      </w:r>
      <w:r>
        <w:t>Familiennamen, Geburtsnamen, sonstige frühere Namen, Vornamen, Ordens- oder Künstlername, Doktorgrad, Geschlecht, Tag und Ort der Geburt,</w:t>
      </w:r>
    </w:p>
    <w:p>
      <w:pPr>
        <w:tabs>
          <w:tab w:pos="567" w:val="left"/>
        </w:tabs>
        <w:ind w:left="567" w:hanging="567"/>
      </w:pPr>
      <w:r>
        <w:t>2.</w:t>
      </w:r>
      <w:r>
        <w:tab/>
      </w:r>
      <w:r>
        <w:t>nach näherer Bestimmung durch Rechtsverordnung gemäß § 63 Nummer 2 Daten über Erteilung und Registrierung (einschließlich des Umtausches oder der Registrierung einer deutschen Fahrerlaubnis im Ausland), Bestand, Art, Umfang, Gültigkeitsdauer, Verlängerung und Änderung der Fahrerlaubnis, Datum des Beginns und des Ablaufs der Probezeit, Nebenbestimmungen zur Fahrerlaubnis, über Führerscheine und deren Geltung einschließlich der Ausschreibung zur Sachfahndung, sonstige Berechtigungen, ein Kraftfahrzeug zu führen, sowie Hinweise auf Eintragungen im Fahreignungsregister, die die Berechtigung zum Führen von Kraftfahrzeugen berühren.</w:t>
      </w:r>
    </w:p>
    <w:p>
      <w:r>
        <w:t>(2) In den örtlichen Fahrerlaubnisregistern dürfen außerdem gespeichert werden</w:t>
      </w:r>
    </w:p>
    <w:p>
      <w:pPr>
        <w:tabs>
          <w:tab w:pos="567" w:val="left"/>
        </w:tabs>
        <w:ind w:left="567" w:hanging="567"/>
      </w:pPr>
      <w:r>
        <w:t>1.</w:t>
      </w:r>
      <w:r>
        <w:tab/>
      </w:r>
      <w:r>
        <w:t>die Anschrift und die E-Mail-Adresse, soweit vom Antragsteller angegeben, der betroffenen Person, Staatsangehörigkeit, Art des Ausweisdokuments sowie</w:t>
      </w:r>
    </w:p>
    <w:p>
      <w:pPr>
        <w:tabs>
          <w:tab w:pos="567" w:val="left"/>
        </w:tabs>
        <w:ind w:left="567" w:hanging="567"/>
      </w:pPr>
      <w:r>
        <w:t>2.</w:t>
      </w:r>
      <w:r>
        <w:tab/>
      </w:r>
      <w:r>
        <w:t>nach näherer Bestimmung durch Rechtsverordnung gemäß § 63 Nummer 2 Daten über</w:t>
      </w:r>
    </w:p>
    <w:p>
      <w:pPr>
        <w:tabs>
          <w:tab w:pos="1134" w:val="left"/>
        </w:tabs>
        <w:ind w:left="1134" w:hanging="567"/>
      </w:pPr>
      <w:r>
        <w:t>a)</w:t>
      </w:r>
      <w:r>
        <w:tab/>
      </w:r>
      <w:r>
        <w:t xml:space="preserve">Versagung, Entziehung, Widerruf und Rücknahme der Fahrerlaubnis, Verzicht auf die Fahrerlaubnis, isolierte Sperren, Fahrverbote sowie die Beschlagnahme, Sicherstellung und Verwahrung von Führerscheinen sowie Maßnahmen nach </w:t>
      </w:r>
      <w:hyperlink w:anchor="b15" w:history="1">
        <w:r>
          <w:rPr>
            <w:color w:val="0A3A8C"/>
            <w:u w:val="single"/>
          </w:rPr>
          <w:t xml:space="preserve">§ 2a</w:t>
        </w:r>
      </w:hyperlink>
      <w:r>
        <w:t xml:space="preserve"> Abs. 2 und </w:t>
      </w:r>
      <w:hyperlink w:anchor="b19" w:history="1">
        <w:r>
          <w:rPr>
            <w:color w:val="0A3A8C"/>
            <w:u w:val="single"/>
          </w:rPr>
          <w:t xml:space="preserve">§ 4</w:t>
        </w:r>
      </w:hyperlink>
      <w:r>
        <w:t xml:space="preserve"> Absatz 5,</w:t>
      </w:r>
    </w:p>
    <w:p>
      <w:pPr>
        <w:tabs>
          <w:tab w:pos="1134" w:val="left"/>
        </w:tabs>
        <w:ind w:left="1134" w:hanging="567"/>
      </w:pPr>
      <w:r>
        <w:t>b)</w:t>
      </w:r>
      <w:r>
        <w:tab/>
      </w:r>
      <w:r>
        <w:t>Verbote oder Beschränkungen, ein Fahrzeug zu führen.</w:t>
      </w:r>
    </w:p>
    <w:p>
      <w:r>
        <w:t>(3) Im Zentralen Fahrerlaubnisregister dürfen zusätzlich zu Absatz 1 der Grund des Erlöschens der Fahrerlaubnis oder einer Fahrerlaubnisklasse, die Dauer der Probezeit einschließlich der Restdauer nach vorzeitiger Beendigung der Probezeit, Beginn und Ende einer Hemmung der Probezeit und die Behörde, die die Unterlagen im Zusammenhang mit dem Erteilen, dem Entziehen oder dem Erlöschen einer Fahrerlaubnis oder Fahrerlaubnisklasse (Fahrerlaubnisakte) führt, gespeichert werden.</w:t>
      </w:r>
    </w:p>
    <w:p>
      <w:r>
        <w:t xml:space="preserve">(4) Sobald ein örtliches Fahrerlaubnisregister nach Maßgabe des </w:t>
      </w:r>
      <w:hyperlink w:anchor="b130" w:history="1">
        <w:r>
          <w:rPr>
            <w:color w:val="0A3A8C"/>
            <w:u w:val="single"/>
          </w:rPr>
          <w:t xml:space="preserve">§ 65</w:t>
        </w:r>
      </w:hyperlink>
      <w:r>
        <w:t xml:space="preserve"> Absatz 2 Satz 1 nicht mehr geführt werden darf, gelten die Absätze 1 und 2 im Hinblick auf die örtlichen Fahrerlaubnisregister nur noch für die in </w:t>
      </w:r>
      <w:hyperlink w:anchor="b130" w:history="1">
        <w:r>
          <w:rPr>
            <w:color w:val="0A3A8C"/>
            <w:u w:val="single"/>
          </w:rPr>
          <w:t xml:space="preserve">§ 65</w:t>
        </w:r>
      </w:hyperlink>
      <w:r>
        <w:t xml:space="preserve"> Absatz 2a bezeichneten Daten.</w:t>
      </w:r>
    </w:p>
    <w:p>
      <w:pPr>
        <w:pStyle w:val="Heading2"/>
      </w:pPr>
      <w:bookmarkStart w:id="108" w:name="b107"/>
      <w:r>
        <w:t>§ 51 Mitteilung an das Zentrale Fahrerlaubnisregister</w:t>
      </w:r>
      <w:r>
        <w:t xml:space="preserve"> </w:t>
      </w:r>
      <w:r>
        <w:rPr>
          <w:rStyle w:val="Suchmarke"/>
        </w:rPr>
        <w:t>#51#</w:t>
      </w:r>
      <w:bookmarkEnd w:id="108"/>
    </w:p>
    <w:p>
      <w:r>
        <w:t xml:space="preserve">Die Fahrerlaubnisbehörden teilen dem Kraftfahrt-Bundesamt zur Speicherung im Zentralen Fahrerlaubnisregister unverzüglich die auf Grund des </w:t>
      </w:r>
      <w:hyperlink w:anchor="b106" w:history="1">
        <w:r>
          <w:rPr>
            <w:color w:val="0A3A8C"/>
            <w:u w:val="single"/>
          </w:rPr>
          <w:t xml:space="preserve">§ 50</w:t>
        </w:r>
      </w:hyperlink>
      <w:r>
        <w:t xml:space="preserve"> Abs. 1 zu speichernden oder zu einer Änderung oder Löschung einer Eintragung führenden Daten mit.</w:t>
      </w:r>
    </w:p>
    <w:p>
      <w:pPr>
        <w:pStyle w:val="Heading2"/>
      </w:pPr>
      <w:bookmarkStart w:id="109" w:name="b108"/>
      <w:r>
        <w:t>§ 52 Übermittlung</w:t>
      </w:r>
      <w:r>
        <w:t xml:space="preserve"> </w:t>
      </w:r>
      <w:r>
        <w:rPr>
          <w:rStyle w:val="Suchmarke"/>
        </w:rPr>
        <w:t>#52#</w:t>
      </w:r>
      <w:bookmarkEnd w:id="109"/>
    </w:p>
    <w:p>
      <w:r>
        <w:t>(1) Die in den Fahrerlaubnisregistern gespeicherten Daten dürfen an die Stellen, die</w:t>
      </w:r>
    </w:p>
    <w:p>
      <w:pPr>
        <w:tabs>
          <w:tab w:pos="567" w:val="left"/>
        </w:tabs>
        <w:ind w:left="567" w:hanging="567"/>
      </w:pPr>
      <w:r>
        <w:t>1.</w:t>
      </w:r>
      <w:r>
        <w:tab/>
      </w:r>
      <w:r>
        <w:t>für die Verfolgung von Straftaten, zur Vollstreckung oder zum Vollzug von Strafen,</w:t>
      </w:r>
    </w:p>
    <w:p>
      <w:pPr>
        <w:tabs>
          <w:tab w:pos="567" w:val="left"/>
        </w:tabs>
        <w:ind w:left="567" w:hanging="567"/>
      </w:pPr>
      <w:r>
        <w:t>2.</w:t>
      </w:r>
      <w:r>
        <w:tab/>
      </w:r>
      <w:r>
        <w:t>für die Verfolgung von Ordnungswidrigkeiten und die Vollstreckung von Bußgeldbescheiden und ihren Nebenfolgen nach diesem Gesetz oder</w:t>
      </w:r>
    </w:p>
    <w:p>
      <w:pPr>
        <w:tabs>
          <w:tab w:pos="567" w:val="left"/>
        </w:tabs>
        <w:ind w:left="567" w:hanging="567"/>
      </w:pPr>
      <w:r>
        <w:t>3.</w:t>
      </w:r>
      <w:r>
        <w:tab/>
      </w:r>
      <w:r>
        <w:t>für Verwaltungsmaßnahmen auf Grund dieses Gesetzes oder der auf ihm beruhenden Rechtsvorschriften, soweit es um Fahrerlaubnisse, Führerscheine oder sonstige Berechtigungen, ein Fahrzeug zu führen, geht,</w:t>
      </w:r>
    </w:p>
    <w:p>
      <w:r>
        <w:t xml:space="preserve">zuständig sind, übermittelt werden, soweit dies zur Erfüllung der diesen Stellen obliegenden Aufgaben zu den in </w:t>
      </w:r>
      <w:hyperlink w:anchor="b105" w:history="1">
        <w:r>
          <w:rPr>
            <w:color w:val="0A3A8C"/>
            <w:u w:val="single"/>
          </w:rPr>
          <w:t xml:space="preserve">§ 49</w:t>
        </w:r>
      </w:hyperlink>
      <w:r>
        <w:t xml:space="preserve"> genannten Zwecken jeweils erforderlich ist.</w:t>
      </w:r>
    </w:p>
    <w:p>
      <w:r>
        <w:t xml:space="preserve">(2) Die in den Fahrerlaubnisregistern gespeicherten Daten dürfen zu den in </w:t>
      </w:r>
      <w:hyperlink w:anchor="b105" w:history="1">
        <w:r>
          <w:rPr>
            <w:color w:val="0A3A8C"/>
            <w:u w:val="single"/>
          </w:rPr>
          <w:t xml:space="preserve">§ 49</w:t>
        </w:r>
      </w:hyperlink>
      <w:r>
        <w:t xml:space="preserve"> Abs. 1 und 2 Nr. 2 genannten Zwecken an die für Verkehrs- und Grenzkontrollen zuständigen Stellen sowie an die für Straßenkontrollen zuständigen Stellen übermittelt werden, soweit dies zur Erfüllung ihrer Aufgaben erforderlich ist.</w:t>
      </w:r>
    </w:p>
    <w:p>
      <w:r>
        <w:t>(3) Das Kraftfahrt-Bundesamt hat entsprechend § 35 Abs. 6 Satz 1 und 2 Aufzeichnungen über die Übermittlungen nach den Absätzen 1 und 2 zu führen.</w:t>
      </w:r>
    </w:p>
    <w:p>
      <w:pPr>
        <w:pStyle w:val="Heading2"/>
      </w:pPr>
      <w:bookmarkStart w:id="110" w:name="b109"/>
      <w:r>
        <w:t>§ 53 Direkteinstellung und Abruf im automatisierten Verfahren</w:t>
      </w:r>
      <w:r>
        <w:t xml:space="preserve"> </w:t>
      </w:r>
      <w:r>
        <w:rPr>
          <w:rStyle w:val="Suchmarke"/>
        </w:rPr>
        <w:t>#53#</w:t>
      </w:r>
      <w:bookmarkEnd w:id="110"/>
    </w:p>
    <w:p>
      <w:r>
        <w:t xml:space="preserve">(1) Den Stellen, denen die Aufgaben nach </w:t>
      </w:r>
      <w:hyperlink w:anchor="b108" w:history="1">
        <w:r>
          <w:rPr>
            <w:color w:val="0A3A8C"/>
            <w:u w:val="single"/>
          </w:rPr>
          <w:t xml:space="preserve">§ 52</w:t>
        </w:r>
      </w:hyperlink>
      <w:r>
        <w:t xml:space="preserve"> obliegen, dürfen die hierfür jeweils erforderlichen Daten aus dem Zentralen Fahrerlaubnisregister und den örtlichen Fahrerlaubnisregistern zu den in </w:t>
      </w:r>
      <w:hyperlink w:anchor="b105" w:history="1">
        <w:r>
          <w:rPr>
            <w:color w:val="0A3A8C"/>
            <w:u w:val="single"/>
          </w:rPr>
          <w:t xml:space="preserve">§ 49</w:t>
        </w:r>
      </w:hyperlink>
      <w:r>
        <w:t xml:space="preserve"> genannten Zwecken durch Abruf im automatisierten Verfahren übermittelt werden.</w:t>
      </w:r>
    </w:p>
    <w:p>
      <w:r>
        <w:t>(1a) Die Fahrerlaubnisbehörden dürfen die Daten, die sie nach § 51 dem Kraftfahrt-Bundesamt mitzuteilen haben, im Wege der Datenfernübertragung durch Direkteinstellung übermitteln.</w:t>
      </w:r>
    </w:p>
    <w:p>
      <w:r>
        <w:t xml:space="preserve">(2) Die Einrichtung von Anlagen zur Direkteinstellung oder zum Abruf im automatisierten Verfahren ist nur zulässig, wenn nach näherer Bestimmung durch Rechtsverordnung gemäß </w:t>
      </w:r>
      <w:hyperlink w:anchor="b119" w:history="1">
        <w:r>
          <w:rPr>
            <w:color w:val="0A3A8C"/>
            <w:u w:val="single"/>
          </w:rPr>
          <w:t xml:space="preserve">§ 63</w:t>
        </w:r>
      </w:hyperlink>
      <w:r>
        <w:t xml:space="preserve"> Nummer 4 gewährleistet ist, dass</w:t>
      </w:r>
    </w:p>
    <w:p>
      <w:pPr>
        <w:tabs>
          <w:tab w:pos="567" w:val="left"/>
        </w:tabs>
        <w:ind w:left="567" w:hanging="567"/>
      </w:pPr>
      <w:r>
        <w:t>1.</w:t>
      </w:r>
      <w:r>
        <w:tab/>
      </w:r>
      <w:r>
        <w:t>die erforderlichen technischen und organisatorischen Maßnahmen nach den Artikeln 24, 25 und 32 der Verordnung (EU) 2016/679 zur Sicherstellung des Datenschutzes und der Datensicherheit getroffen werden und</w:t>
      </w:r>
    </w:p>
    <w:p>
      <w:pPr>
        <w:tabs>
          <w:tab w:pos="567" w:val="left"/>
        </w:tabs>
        <w:ind w:left="567" w:hanging="567"/>
      </w:pPr>
      <w:r>
        <w:t>2.</w:t>
      </w:r>
      <w:r>
        <w:tab/>
      </w:r>
      <w:r>
        <w:t>die Zulässigkeit der Direkteinstellung oder der Abrufe nach Maßgabe des Absatzes 3 kontrolliert werden kann.</w:t>
      </w:r>
    </w:p>
    <w:p>
      <w:r>
        <w:t xml:space="preserve">(3) </w:t>
      </w:r>
      <w:r>
        <w:rPr>
          <w:rStyle w:val="Satznummer"/>
        </w:rPr>
        <w:t>1</w:t>
      </w:r>
      <w:r>
        <w:t xml:space="preserve">Das Kraftfahrt-Bundesamt oder die Fahrerlaubnisbehörde als übermittelnde Stellen haben über die Direkteinstellungen und die Abrufe Aufzeichnungen zu fertigen, die die bei der Durchführung der Direkteinstellungen oder der Abrufe verwendeten Daten, den Tag und die Uhrzeit der Direkteinstellungen oder der Abrufe, die Kennung der einstellenden oder abrufenden Dienststelle und die eingestellten oder abgerufenen Daten enthalten müssen. </w:t>
      </w:r>
      <w:r>
        <w:rPr>
          <w:rStyle w:val="Satznummer"/>
        </w:rPr>
        <w:t>2</w:t>
      </w:r>
      <w:r>
        <w:t xml:space="preserve">Die protokollierten Daten dürfen nur für Zwecke der Datenschutzkontrolle, der Datensicherung oder zur Sicherstellung eines ordnungsgemäßen Betriebs der Datenverarbeitungsanlage verwendet werden, es sei denn, es liegen Anhaltspunkte dafür vor, dass ohne ihre Verwendung die Verhinderung oder Verfolgung einer schwerwiegenden Straftat gegen Leib, Leben oder Freiheit einer Person aussichtslos oder wesentlich erschwert wäre. </w:t>
      </w:r>
      <w:r>
        <w:rPr>
          <w:rStyle w:val="Satznummer"/>
        </w:rPr>
        <w:t>3</w:t>
      </w:r>
      <w:r>
        <w:t>Die Protokolldaten sind durch geeignete Vorkehrungen gegen zweckfremde Verwendung und gegen sonstigen Missbrauch zu schützen und beim Abruf nach sechs Monaten und bei der Direkteinstellung mit Vollendung des 110. Lebensjahres der betroffenen Person zu löschen.</w:t>
      </w:r>
    </w:p>
    <w:p>
      <w:r>
        <w:t xml:space="preserve">(4) </w:t>
      </w:r>
      <w:r>
        <w:rPr>
          <w:rStyle w:val="Satznummer"/>
        </w:rPr>
        <w:t>1</w:t>
      </w:r>
      <w:r>
        <w:t xml:space="preserve">Bei Direkteinstellungen in das und bei Abrufen aus dem Zentralen Fahrerlaubnisregister sind vom Kraftfahrt-Bundesamt weitere Aufzeichnungen zu fertigen, die sich auf den Anlass der Direkteinstellung oder des Abrufs erstrecken und die Feststellung der für die Direkteinstellung oder den Abruf verantwortlichen Person ermöglichen. </w:t>
      </w:r>
      <w:r>
        <w:rPr>
          <w:rStyle w:val="Satznummer"/>
        </w:rPr>
        <w:t>2</w:t>
      </w:r>
      <w:r>
        <w:t>Das Nähere wird durch Rechtsverordnung (</w:t>
      </w:r>
      <w:hyperlink w:anchor="b119" w:history="1">
        <w:r>
          <w:rPr>
            <w:color w:val="0A3A8C"/>
            <w:u w:val="single"/>
          </w:rPr>
          <w:t xml:space="preserve">§ 63</w:t>
        </w:r>
      </w:hyperlink>
      <w:r>
        <w:t xml:space="preserve"> Nummer 4) bestimmt. </w:t>
      </w:r>
      <w:r>
        <w:rPr>
          <w:rStyle w:val="Satznummer"/>
        </w:rPr>
        <w:t>3</w:t>
      </w:r>
      <w:r>
        <w:t>Dies gilt entsprechend für Abrufe aus den örtlichen Fahrerlaubnisregistern.</w:t>
      </w:r>
    </w:p>
    <w:p>
      <w:r>
        <w:t xml:space="preserve">(5) </w:t>
      </w:r>
      <w:r>
        <w:rPr>
          <w:rStyle w:val="Satznummer"/>
        </w:rPr>
        <w:t>1</w:t>
      </w:r>
      <w:r>
        <w:t>Aus den örtlichen Fahrerlaubnisregistern ist die Übermittlung der Daten durch Einsichtnahme in das Register außerhalb der üblichen Dienstzeiten an die für den betreffenden Bezirk zuständige Polizeidienststelle zulässig, wenn</w:t>
      </w:r>
    </w:p>
    <w:p>
      <w:pPr>
        <w:tabs>
          <w:tab w:pos="567" w:val="left"/>
        </w:tabs>
        <w:ind w:left="567" w:hanging="567"/>
      </w:pPr>
      <w:r>
        <w:t>1.</w:t>
      </w:r>
      <w:r>
        <w:tab/>
      </w:r>
      <w:r>
        <w:t xml:space="preserve">dies im Rahmen der in </w:t>
      </w:r>
      <w:hyperlink w:anchor="b105" w:history="1">
        <w:r>
          <w:rPr>
            <w:color w:val="0A3A8C"/>
            <w:u w:val="single"/>
          </w:rPr>
          <w:t xml:space="preserve">§ 49</w:t>
        </w:r>
      </w:hyperlink>
      <w:r>
        <w:t xml:space="preserve"> Abs. 1 und 2 Nr. 2 genannten Zwecke für die Erfüllung der Polizei obliegenden Aufgaben erforderlich ist und</w:t>
      </w:r>
    </w:p>
    <w:p>
      <w:pPr>
        <w:tabs>
          <w:tab w:pos="567" w:val="left"/>
        </w:tabs>
        <w:ind w:left="567" w:hanging="567"/>
      </w:pPr>
      <w:r>
        <w:t>2.</w:t>
      </w:r>
      <w:r>
        <w:tab/>
      </w:r>
      <w:r>
        <w:t>ohne die sofortige Einsichtnahme die Erfüllung dieser Aufgaben gefährdet wäre.</w:t>
      </w:r>
    </w:p>
    <w:p>
      <w:r>
        <w:rPr>
          <w:rStyle w:val="Satznummer"/>
        </w:rPr>
        <w:t>2</w:t>
      </w:r>
      <w:r>
        <w:t>Die Polizeidienststelle hat die Tatsache der Einsichtnahme, deren Datum und Anlass sowie den Namen des Einsichtnehmenden aufzuzeichnen; die Aufzeichnungen sind für die Dauer eines Jahres aufzubewahren und nach Ablauf des betreffenden Kalenderjahres zu vernichten.</w:t>
      </w:r>
    </w:p>
    <w:p>
      <w:pPr>
        <w:pStyle w:val="Heading2"/>
      </w:pPr>
      <w:bookmarkStart w:id="111" w:name="b110"/>
      <w:r>
        <w:t>§ 54 (weggefallen)</w:t>
      </w:r>
      <w:r>
        <w:t xml:space="preserve"> </w:t>
      </w:r>
      <w:r>
        <w:rPr>
          <w:rStyle w:val="Suchmarke"/>
        </w:rPr>
        <w:t>#54#</w:t>
      </w:r>
      <w:bookmarkEnd w:id="111"/>
    </w:p>
    <w:p>
      <w:pPr>
        <w:pStyle w:val="Heading2"/>
      </w:pPr>
      <w:bookmarkStart w:id="112" w:name="b111"/>
      <w:r>
        <w:t>§ 55 Übermittlung von Daten an Stellen außerhalb des Geltungsbereiches dieses Gesetzes</w:t>
      </w:r>
      <w:r>
        <w:t xml:space="preserve"> </w:t>
      </w:r>
      <w:r>
        <w:rPr>
          <w:rStyle w:val="Suchmarke"/>
        </w:rPr>
        <w:t>#55#</w:t>
      </w:r>
      <w:bookmarkEnd w:id="112"/>
    </w:p>
    <w:p>
      <w:r>
        <w:t xml:space="preserve">(1) Die auf Grund des </w:t>
      </w:r>
      <w:hyperlink w:anchor="b106" w:history="1">
        <w:r>
          <w:rPr>
            <w:color w:val="0A3A8C"/>
            <w:u w:val="single"/>
          </w:rPr>
          <w:t xml:space="preserve">§ 50</w:t>
        </w:r>
      </w:hyperlink>
      <w:r>
        <w:t xml:space="preserve"> gespeicherten Daten dürfen von den Registerbehörden an die hierfür zuständigen Stellen anderer Staaten übermittelt werden, soweit dies</w:t>
      </w:r>
    </w:p>
    <w:p>
      <w:pPr>
        <w:tabs>
          <w:tab w:pos="567" w:val="left"/>
        </w:tabs>
        <w:ind w:left="567" w:hanging="567"/>
      </w:pPr>
      <w:r>
        <w:t>1.</w:t>
      </w:r>
      <w:r>
        <w:tab/>
      </w:r>
      <w:r>
        <w:t>für Verwaltungsmaßnahmen auf dem Gebiet des Straßenverkehrs,</w:t>
      </w:r>
    </w:p>
    <w:p>
      <w:pPr>
        <w:tabs>
          <w:tab w:pos="567" w:val="left"/>
        </w:tabs>
        <w:ind w:left="567" w:hanging="567"/>
      </w:pPr>
      <w:r>
        <w:t>2.</w:t>
      </w:r>
      <w:r>
        <w:tab/>
      </w:r>
      <w:r>
        <w:t>zur Verfolgung von Zuwiderhandlungen gegen Rechtsvorschriften auf dem Gebiet des Straßenverkehrs oder</w:t>
      </w:r>
    </w:p>
    <w:p>
      <w:pPr>
        <w:tabs>
          <w:tab w:pos="567" w:val="left"/>
        </w:tabs>
        <w:ind w:left="567" w:hanging="567"/>
      </w:pPr>
      <w:r>
        <w:t>3.</w:t>
      </w:r>
      <w:r>
        <w:tab/>
      </w:r>
      <w:r>
        <w:t>zur Verfolgung von Straftaten, die im Zusammenhang mit dem Straßenverkehr oder sonst mit Kraftfahrzeugen oder Anhängern oder Fahrzeugpapieren, Fahrerlaubnissen oder Führerscheinen stehen,</w:t>
      </w:r>
    </w:p>
    <w:p>
      <w:r>
        <w:t>erforderlich ist.</w:t>
      </w:r>
    </w:p>
    <w:p>
      <w:r>
        <w:t>(2) Der Empfänger ist darauf hinzuweisen, dass die übermittelten Daten nur zu dem Zweck verarbeitet werden dürfen, zu dessen Erfüllung sie ihm übermittelt werden.</w:t>
      </w:r>
    </w:p>
    <w:p>
      <w:r>
        <w:t>(3) Die Übermittlung unterbleibt, wenn durch sie schutzwürdige Interessen der betroffenen Person beeinträchtigt würden, insbesondere wenn im Empfängerland ein angemessener Datenschutzstandard nicht gewährleistet ist.</w:t>
      </w:r>
    </w:p>
    <w:p>
      <w:pPr>
        <w:pStyle w:val="Heading2"/>
      </w:pPr>
      <w:bookmarkStart w:id="113" w:name="b112"/>
      <w:r>
        <w:t>§ 56 Abruf im automatisierten Verfahren durch Stellen außerhalb des Geltungsbereiches dieses Gesetzes</w:t>
      </w:r>
      <w:r>
        <w:t xml:space="preserve"> </w:t>
      </w:r>
      <w:r>
        <w:rPr>
          <w:rStyle w:val="Suchmarke"/>
        </w:rPr>
        <w:t>#56#</w:t>
      </w:r>
      <w:bookmarkEnd w:id="113"/>
    </w:p>
    <w:p>
      <w:r>
        <w:t xml:space="preserve">(1) Durch Abruf im automatisierten Verfahren dürfen aus dem Zentralen Fahrerlaubnisregister für die in </w:t>
      </w:r>
      <w:hyperlink w:anchor="b111" w:history="1">
        <w:r>
          <w:rPr>
            <w:color w:val="0A3A8C"/>
            <w:u w:val="single"/>
          </w:rPr>
          <w:t xml:space="preserve">§ 55</w:t>
        </w:r>
      </w:hyperlink>
      <w:r>
        <w:t xml:space="preserve"> Abs. 1 genannten Maßnahmen an die hierfür zuständigen öffentlichen Stellen in einem Mitgliedstaat der Europäischen Union oder einem anderen Vertragsstaat des Abkommens über den Europäischen Wirtschaftsraum die zu deren Aufgabenerfüllung erforderlichen Daten nach näherer Bestimmung durch Rechtsverordnung gemäß </w:t>
      </w:r>
      <w:hyperlink w:anchor="b119" w:history="1">
        <w:r>
          <w:rPr>
            <w:color w:val="0A3A8C"/>
            <w:u w:val="single"/>
          </w:rPr>
          <w:t xml:space="preserve">§ 63</w:t>
        </w:r>
      </w:hyperlink>
      <w:r>
        <w:t xml:space="preserve"> Nummer 6 übermittelt werden.</w:t>
      </w:r>
    </w:p>
    <w:p>
      <w:r>
        <w:t xml:space="preserve">(2) </w:t>
      </w:r>
      <w:r>
        <w:rPr>
          <w:rStyle w:val="Satznummer"/>
        </w:rPr>
        <w:t>1</w:t>
      </w:r>
      <w:r>
        <w:t>Der Abruf ist nur zulässig, wenn</w:t>
      </w:r>
    </w:p>
    <w:p>
      <w:pPr>
        <w:tabs>
          <w:tab w:pos="567" w:val="left"/>
        </w:tabs>
        <w:ind w:left="567" w:hanging="567"/>
      </w:pPr>
      <w:r>
        <w:t>1.</w:t>
      </w:r>
      <w:r>
        <w:tab/>
      </w:r>
      <w:r>
        <w:t>diese Form der Datenübermittlung unter Berücksichtigung der schutzwürdigen Interessen der betroffenen Personen wegen der Vielzahl der Übermittlungen oder wegen ihrer besonderen Eilbedürftigkeit angemessen ist und</w:t>
      </w:r>
    </w:p>
    <w:p>
      <w:pPr>
        <w:tabs>
          <w:tab w:pos="567" w:val="left"/>
        </w:tabs>
        <w:ind w:left="567" w:hanging="567"/>
      </w:pPr>
      <w:r>
        <w:t>2.</w:t>
      </w:r>
      <w:r>
        <w:tab/>
      </w:r>
      <w:r>
        <w:t>der Empfängerstaat die Verordnung (EU) 2016/679 anwendet.</w:t>
      </w:r>
    </w:p>
    <w:p>
      <w:r>
        <w:rPr>
          <w:rStyle w:val="Satznummer"/>
        </w:rPr>
        <w:t>2</w:t>
      </w:r>
      <w:hyperlink w:anchor="b109" w:history="1">
        <w:r>
          <w:rPr>
            <w:color w:val="0A3A8C"/>
            <w:u w:val="single"/>
          </w:rPr>
          <w:t xml:space="preserve">§ 53</w:t>
        </w:r>
      </w:hyperlink>
      <w:r>
        <w:t xml:space="preserve"> Abs. 2 und 3 sowie Abs. 4 wegen des Anlasses der Abrufe ist entsprechend anzuwenden.</w:t>
      </w:r>
    </w:p>
    <w:p>
      <w:pPr>
        <w:pStyle w:val="Heading2"/>
      </w:pPr>
      <w:bookmarkStart w:id="114" w:name="b113"/>
      <w:r>
        <w:t>§ 57 Übermittlung an und Verwendung durch den Empfänger für wissenschaftliche, statistische und gesetzgeberische Zwecke</w:t>
      </w:r>
      <w:r>
        <w:t xml:space="preserve"> </w:t>
      </w:r>
      <w:r>
        <w:rPr>
          <w:rStyle w:val="Suchmarke"/>
        </w:rPr>
        <w:t>#57#</w:t>
      </w:r>
      <w:bookmarkEnd w:id="114"/>
    </w:p>
    <w:p>
      <w:r>
        <w:t xml:space="preserve">Für die Übermittlung und Verwendung der nach </w:t>
      </w:r>
      <w:hyperlink w:anchor="b106" w:history="1">
        <w:r>
          <w:rPr>
            <w:color w:val="0A3A8C"/>
            <w:u w:val="single"/>
          </w:rPr>
          <w:t xml:space="preserve">§ 50</w:t>
        </w:r>
      </w:hyperlink>
      <w:r>
        <w:t xml:space="preserve"> gespeicherten Daten für wissenschaftliche Zwecke gilt </w:t>
      </w:r>
      <w:hyperlink w:anchor="b90" w:history="1">
        <w:r>
          <w:rPr>
            <w:color w:val="0A3A8C"/>
            <w:u w:val="single"/>
          </w:rPr>
          <w:t xml:space="preserve">§ 38</w:t>
        </w:r>
      </w:hyperlink>
      <w:r>
        <w:t xml:space="preserve">, für statistische Zwecke </w:t>
      </w:r>
      <w:hyperlink w:anchor="b91" w:history="1">
        <w:r>
          <w:rPr>
            <w:color w:val="0A3A8C"/>
            <w:u w:val="single"/>
          </w:rPr>
          <w:t xml:space="preserve">§ 38a</w:t>
        </w:r>
      </w:hyperlink>
      <w:r>
        <w:t xml:space="preserve"> und für gesetzgeberische Zwecke </w:t>
      </w:r>
      <w:hyperlink w:anchor="b92" w:history="1">
        <w:r>
          <w:rPr>
            <w:color w:val="0A3A8C"/>
            <w:u w:val="single"/>
          </w:rPr>
          <w:t xml:space="preserve">§ 38b</w:t>
        </w:r>
      </w:hyperlink>
      <w:r>
        <w:t xml:space="preserve"> jeweils entsprechend.</w:t>
      </w:r>
    </w:p>
    <w:p>
      <w:pPr>
        <w:pStyle w:val="Heading2"/>
      </w:pPr>
      <w:bookmarkStart w:id="115" w:name="b114"/>
      <w:r>
        <w:t>§ 58 Auskunft über eigene Daten aus den Registern</w:t>
      </w:r>
      <w:r>
        <w:t xml:space="preserve"> </w:t>
      </w:r>
      <w:r>
        <w:rPr>
          <w:rStyle w:val="Suchmarke"/>
        </w:rPr>
        <w:t>#58#</w:t>
      </w:r>
      <w:bookmarkEnd w:id="115"/>
    </w:p>
    <w:p>
      <w:r>
        <w:rPr>
          <w:rStyle w:val="Satznummer"/>
        </w:rPr>
        <w:t>1</w:t>
      </w:r>
      <w:r>
        <w:t xml:space="preserve">Einer Privatperson wird auf Antrag schriftlich über den sie betreffenden Inhalt des örtlichen oder des Zentralen Fahrerlaubnisregisters unentgeltlich Auskunft erteilt. </w:t>
      </w:r>
      <w:r>
        <w:rPr>
          <w:rStyle w:val="Satznummer"/>
        </w:rPr>
        <w:t>2</w:t>
      </w:r>
      <w:r>
        <w:t xml:space="preserve">Der Antragsteller hat dem Antrag einen Identitätsnachweis beizufügen und den Antrag, wenn er schriftlich gestellt wird, eigenhändig zu unterschreiben. </w:t>
      </w:r>
      <w:r>
        <w:rPr>
          <w:rStyle w:val="Satznummer"/>
        </w:rPr>
        <w:t>3</w:t>
      </w:r>
      <w:r>
        <w:t xml:space="preserve">Die Auskunft kann elektronisch erteilt werden, wenn der Antrag unter Nutzung des elektronischen Identitätsnachweises nach § 18 des Personalausweisgesetzes, nach § 12 des eID-Karte-Gesetzes oder nach § 78 Absatz 5 des Aufenthaltsgesetzes gestellt wird. </w:t>
      </w:r>
      <w:r>
        <w:rPr>
          <w:rStyle w:val="Satznummer"/>
        </w:rPr>
        <w:t>4</w:t>
      </w:r>
      <w:r>
        <w:t xml:space="preserve">Hinsichtlich der Protokollierung gilt </w:t>
      </w:r>
      <w:hyperlink w:anchor="b109" w:history="1">
        <w:r>
          <w:rPr>
            <w:color w:val="0A3A8C"/>
            <w:u w:val="single"/>
          </w:rPr>
          <w:t xml:space="preserve">§ 53</w:t>
        </w:r>
      </w:hyperlink>
      <w:r>
        <w:t xml:space="preserve"> Absatz 3 entsprechend.</w:t>
      </w:r>
    </w:p>
    <w:p>
      <w:pPr>
        <w:pStyle w:val="Heading2"/>
      </w:pPr>
      <w:bookmarkStart w:id="116" w:name="b115"/>
      <w:r>
        <w:t>§ 59 Datenabgleich zur Beseitigung von Fehlern</w:t>
      </w:r>
      <w:r>
        <w:t xml:space="preserve"> </w:t>
      </w:r>
      <w:r>
        <w:rPr>
          <w:rStyle w:val="Suchmarke"/>
        </w:rPr>
        <w:t>#59#</w:t>
      </w:r>
      <w:bookmarkEnd w:id="116"/>
    </w:p>
    <w:p>
      <w:r>
        <w:t xml:space="preserve">(1) </w:t>
      </w:r>
      <w:r>
        <w:rPr>
          <w:rStyle w:val="Satznummer"/>
        </w:rPr>
        <w:t>1</w:t>
      </w:r>
      <w:r>
        <w:t xml:space="preserve">Bei Zweifeln an der Identität einer eingetragenen Person mit der Person, auf die sich eine Mitteilung nach </w:t>
      </w:r>
      <w:hyperlink w:anchor="b107" w:history="1">
        <w:r>
          <w:rPr>
            <w:color w:val="0A3A8C"/>
            <w:u w:val="single"/>
          </w:rPr>
          <w:t xml:space="preserve">§ 51</w:t>
        </w:r>
      </w:hyperlink>
      <w:r>
        <w:t xml:space="preserve"> bezieht, dürfen die Datenbestände des Fahreignungsregisters und des Zentralen Fahrzeugregisters zur Identifizierung dieser Personen verwendet werden. </w:t>
      </w:r>
      <w:r>
        <w:rPr>
          <w:rStyle w:val="Satznummer"/>
        </w:rPr>
        <w:t>2</w:t>
      </w:r>
      <w:r>
        <w:t xml:space="preserve">Ist die Feststellung der Identität der betreffenden Personen auf diese Weise nicht möglich, dürfen die auf Anfrage aus den Melderegistern übermittelten Daten zur Behebung der Zweifel verwendet werden. </w:t>
      </w:r>
      <w:r>
        <w:rPr>
          <w:rStyle w:val="Satznummer"/>
        </w:rPr>
        <w:t>3</w:t>
      </w:r>
      <w:r>
        <w:t xml:space="preserve">Die Zulässigkeit der Übermittlung durch die Meldebehörden richtet sich nach den Meldegesetzen der Länder. </w:t>
      </w:r>
      <w:r>
        <w:rPr>
          <w:rStyle w:val="Satznummer"/>
        </w:rPr>
        <w:t>4</w:t>
      </w:r>
      <w:r>
        <w:t>Können die Zweifel an der Identität der betreffenden Personen nicht ausgeräumt werden, werden die Eintragungen über beide Personen mit einem Hinweis auf die Zweifel an deren Identität versehen.</w:t>
      </w:r>
    </w:p>
    <w:p>
      <w:r>
        <w:t>(2) Die regelmäßige Verwendung der auf Grund des § 28 Abs. 3 im Fahreignungsregister gespeicherten Daten ist zulässig, um Fehler und Abweichungen bei den Personendaten sowie den Daten über Fahrerlaubnisse und Führerscheine der betreffenden Person im Zentralen Fahrerlaubnisregister festzustellen und zu beseitigen und um dieses Register zu vervollständigen.</w:t>
      </w:r>
    </w:p>
    <w:p>
      <w:r>
        <w:t xml:space="preserve">(3) </w:t>
      </w:r>
      <w:r>
        <w:rPr>
          <w:rStyle w:val="Satznummer"/>
        </w:rPr>
        <w:t>1</w:t>
      </w:r>
      <w:r>
        <w:t xml:space="preserve">Die nach § 50 Abs. 1 im Zentralen Fahrerlaubnisregister gespeicherten Daten dürfen den Fahrerlaubnisbehörden übermittelt werden, soweit dies erforderlich ist, um Fehler und Abweichungen in deren Registern festzustellen und zu beseitigen und um diese örtlichen Register zu vervollständigen. </w:t>
      </w:r>
      <w:r>
        <w:rPr>
          <w:rStyle w:val="Satznummer"/>
        </w:rPr>
        <w:t>2</w:t>
      </w:r>
      <w:r>
        <w:t xml:space="preserve">Die nach § 50 Abs. 1 im örtlichen Fahrerlaubnisregister gespeicherten Daten dürfen dem Kraftfahrt-Bundesamt übermittelt werden, soweit dies erforderlich ist, um Fehler und Abweichungen im Zentralen Fahrerlaubnisregister festzustellen und zu beseitigen und um dieses Register zu vervollständigen. </w:t>
      </w:r>
      <w:r>
        <w:rPr>
          <w:rStyle w:val="Satznummer"/>
        </w:rPr>
        <w:t>3</w:t>
      </w:r>
      <w:r>
        <w:t>Die Übermittlungen nach den Sätzen 1 und 2 sind nur zulässig, wenn Anlass zu der Annahme besteht, dass die Register unrichtig oder unvollständig sind.</w:t>
      </w:r>
    </w:p>
    <w:p>
      <w:pPr>
        <w:pStyle w:val="Heading2"/>
      </w:pPr>
      <w:bookmarkStart w:id="117" w:name="b116"/>
      <w:r>
        <w:t>§ 60 Allgemeine Vorschriften für die Datenübermittlung an und die Verarbeitung der Daten durch den Empfänger</w:t>
      </w:r>
      <w:r>
        <w:t xml:space="preserve"> </w:t>
      </w:r>
      <w:r>
        <w:rPr>
          <w:rStyle w:val="Suchmarke"/>
        </w:rPr>
        <w:t>#60#</w:t>
      </w:r>
      <w:bookmarkEnd w:id="117"/>
    </w:p>
    <w:p>
      <w:r>
        <w:t xml:space="preserve">(1) </w:t>
      </w:r>
      <w:r>
        <w:rPr>
          <w:rStyle w:val="Satznummer"/>
        </w:rPr>
        <w:t>1</w:t>
      </w:r>
      <w:r>
        <w:t xml:space="preserve">Übermittlungen von Daten aus den Fahrerlaubnisregistern sind nur auf Ersuchen zulässig, es sei denn, auf Grund besonderer Rechtsvorschrift wird bestimmt, dass die Registerbehörde bestimmte Daten von Amts wegen zu übermitteln hat. </w:t>
      </w:r>
      <w:r>
        <w:rPr>
          <w:rStyle w:val="Satznummer"/>
        </w:rPr>
        <w:t>2</w:t>
      </w:r>
      <w:r>
        <w:t xml:space="preserve">Die Verantwortung für die Zulässigkeit der Übermittlung trägt die übermittelnde Stelle. </w:t>
      </w:r>
      <w:r>
        <w:rPr>
          <w:rStyle w:val="Satznummer"/>
        </w:rPr>
        <w:t>3</w:t>
      </w:r>
      <w:r>
        <w:t xml:space="preserve">Erfolgt die Übermittlung auf Ersuchen des Empfängers, trägt dieser die Verantwortung. </w:t>
      </w:r>
      <w:r>
        <w:rPr>
          <w:rStyle w:val="Satznummer"/>
        </w:rPr>
        <w:t>4</w:t>
      </w:r>
      <w:r>
        <w:t xml:space="preserve">In diesem Fall prüft die übermittelnde Stelle nur, ob das Übermittlungsersuchen im Rahmen der Aufgaben des Empfängers liegt, es sei denn, dass besonderer Anlass zur Prüfung der Zulässigkeit der Übermittlung besteht. </w:t>
      </w:r>
      <w:r>
        <w:rPr>
          <w:rStyle w:val="Satznummer"/>
        </w:rPr>
        <w:t>5</w:t>
      </w:r>
      <w:r>
        <w:t xml:space="preserve">Begründet sich der besondere Anlass nach Satz 4 in Zweifeln an der Identität einer Person, auf die sich ein Ersuchen auf Datenübermittlung bezieht, gilt </w:t>
      </w:r>
      <w:hyperlink w:anchor="b115" w:history="1">
        <w:r>
          <w:rPr>
            <w:color w:val="0A3A8C"/>
            <w:u w:val="single"/>
          </w:rPr>
          <w:t xml:space="preserve">§ 59</w:t>
        </w:r>
      </w:hyperlink>
      <w:r>
        <w:t xml:space="preserve"> Absatz 1 Satz 1 bis 3 entsprechend.</w:t>
      </w:r>
    </w:p>
    <w:p>
      <w:r>
        <w:t xml:space="preserve">(2) Für die Verarbeitung der Daten durch den Empfänger gilt </w:t>
      </w:r>
      <w:hyperlink w:anchor="b98" w:history="1">
        <w:r>
          <w:rPr>
            <w:color w:val="0A3A8C"/>
            <w:u w:val="single"/>
          </w:rPr>
          <w:t xml:space="preserve">§ 43</w:t>
        </w:r>
      </w:hyperlink>
      <w:r>
        <w:t xml:space="preserve"> Abs. 2.</w:t>
      </w:r>
    </w:p>
    <w:p>
      <w:pPr>
        <w:pStyle w:val="Heading2"/>
      </w:pPr>
      <w:bookmarkStart w:id="118" w:name="b117"/>
      <w:r>
        <w:t>§ 61 Löschung der Daten</w:t>
      </w:r>
      <w:r>
        <w:t xml:space="preserve"> </w:t>
      </w:r>
      <w:r>
        <w:rPr>
          <w:rStyle w:val="Suchmarke"/>
        </w:rPr>
        <w:t>#61#</w:t>
      </w:r>
      <w:bookmarkEnd w:id="118"/>
    </w:p>
    <w:p>
      <w:r>
        <w:t xml:space="preserve">(1) </w:t>
      </w:r>
      <w:r>
        <w:rPr>
          <w:rStyle w:val="Satznummer"/>
        </w:rPr>
        <w:t>1</w:t>
      </w:r>
      <w:r>
        <w:t>Die auf Grund des § 50 im Zentralen Fahrerlaubnisregister gespeicherten Daten sind zu löschen, soweit</w:t>
      </w:r>
    </w:p>
    <w:p>
      <w:pPr>
        <w:tabs>
          <w:tab w:pos="567" w:val="left"/>
        </w:tabs>
        <w:ind w:left="567" w:hanging="567"/>
      </w:pPr>
      <w:r>
        <w:t>1.</w:t>
      </w:r>
      <w:r>
        <w:tab/>
      </w:r>
      <w:r>
        <w:t>die zugrunde liegende Fahrerlaubnis vollständig oder hinsichtlich einzelner Fahrerlaubnisklassen erloschen ist oder</w:t>
      </w:r>
    </w:p>
    <w:p>
      <w:pPr>
        <w:tabs>
          <w:tab w:pos="567" w:val="left"/>
        </w:tabs>
        <w:ind w:left="567" w:hanging="567"/>
      </w:pPr>
      <w:r>
        <w:t>2.</w:t>
      </w:r>
      <w:r>
        <w:tab/>
      </w:r>
      <w:r>
        <w:t>eine amtliche Mitteilung über den Tod der betroffenen Person eingeht.</w:t>
      </w:r>
    </w:p>
    <w:p>
      <w:r>
        <w:rPr>
          <w:rStyle w:val="Satznummer"/>
        </w:rPr>
        <w:t>2</w:t>
      </w:r>
      <w:r>
        <w:t xml:space="preserve">Die Angaben zur Probezeit werden ein Jahr nach deren Ablauf gelöscht. </w:t>
      </w:r>
      <w:r>
        <w:rPr>
          <w:rStyle w:val="Satznummer"/>
        </w:rPr>
        <w:t>3</w:t>
      </w:r>
      <w:r>
        <w:t xml:space="preserve">Satz 1 Nummer 1 gilt nicht für die nach </w:t>
      </w:r>
      <w:hyperlink w:anchor="b106" w:history="1">
        <w:r>
          <w:rPr>
            <w:color w:val="0A3A8C"/>
            <w:u w:val="single"/>
          </w:rPr>
          <w:t xml:space="preserve">§ 50</w:t>
        </w:r>
      </w:hyperlink>
      <w:r>
        <w:t xml:space="preserve"> Absatz 1 Nummer 1 gespeicherten Daten, eine erloschene Fahrerlaubnis oder Fahrerlaubnisklasse, das Datum der jeweiligen Erteilung, das Datum des jeweiligen Erlöschens, den Grund des Erlöschens einer Fahrerlaubnis oder einer Fahrerlaubnisklasse, den Beginn und das Ende der Probezeit, die Dauer der Probezeit einschließlich der Restdauer nach einer vorzeitigen Beendigung, den Beginn und das Ende der Hemmung der Probezeit, die Beschränkungen und Auflagen zur Fahrerlaubnis oder Fahrerlaubnisklasse, die Fahrerlaubnisnummer und die Behörde, die die Fahrerlaubnisakte führt.</w:t>
      </w:r>
    </w:p>
    <w:p>
      <w:r>
        <w:t>(2) Über die in Absatz 1 Satz 1 Nummer 1 genannten Daten darf nach dem Erlöschen der Fahrerlaubnis nur</w:t>
      </w:r>
    </w:p>
    <w:p>
      <w:pPr>
        <w:tabs>
          <w:tab w:pos="567" w:val="left"/>
        </w:tabs>
        <w:ind w:left="567" w:hanging="567"/>
      </w:pPr>
      <w:r>
        <w:t>1.</w:t>
      </w:r>
      <w:r>
        <w:tab/>
      </w:r>
      <w:r>
        <w:t>den betroffenen Personen und</w:t>
      </w:r>
    </w:p>
    <w:p>
      <w:pPr>
        <w:tabs>
          <w:tab w:pos="567" w:val="left"/>
        </w:tabs>
        <w:ind w:left="567" w:hanging="567"/>
      </w:pPr>
      <w:r>
        <w:t>2.</w:t>
      </w:r>
      <w:r>
        <w:tab/>
      </w:r>
      <w:r>
        <w:t>den Fahrerlaubnisbehörden zur Überprüfung im Verfahren zur Neuerteilung oder Erweiterung einer Fahrerlaubnis</w:t>
      </w:r>
    </w:p>
    <w:p>
      <w:r>
        <w:t>Auskunft erteilt werden.</w:t>
      </w:r>
    </w:p>
    <w:p>
      <w:r>
        <w:t xml:space="preserve">(3) </w:t>
      </w:r>
      <w:r>
        <w:rPr>
          <w:rStyle w:val="Satznummer"/>
        </w:rPr>
        <w:t>1</w:t>
      </w:r>
      <w:r>
        <w:t xml:space="preserve">Soweit die örtlichen Fahrerlaubnisregister Entscheidungen enthalten, die auch im Fahreignungsregister einzutragen sind, gilt für die Löschung </w:t>
      </w:r>
      <w:hyperlink w:anchor="b72" w:history="1">
        <w:r>
          <w:rPr>
            <w:color w:val="0A3A8C"/>
            <w:u w:val="single"/>
          </w:rPr>
          <w:t xml:space="preserve">§ 29</w:t>
        </w:r>
      </w:hyperlink>
      <w:r>
        <w:t xml:space="preserve"> entsprechend. </w:t>
      </w:r>
      <w:r>
        <w:rPr>
          <w:rStyle w:val="Satznummer"/>
        </w:rPr>
        <w:t>2</w:t>
      </w:r>
      <w:r>
        <w:t>Für die Löschung der übrigen Daten gilt Absatz 1.</w:t>
      </w:r>
    </w:p>
    <w:p>
      <w:r>
        <w:t>(4) Unbeschadet der Absätze 1 bis 3 sind die im Zentralen Fahrerlaubnisregister und den örtlichen Fahrerlaubnisregistern gespeicherten Daten mit Vollendung des 110. Lebensjahres der betroffenen Person zu löschen.</w:t>
      </w:r>
    </w:p>
    <w:p>
      <w:pPr>
        <w:pStyle w:val="Heading2"/>
      </w:pPr>
      <w:bookmarkStart w:id="119" w:name="b118"/>
      <w:r>
        <w:t>§ 62 Register über die Dienstfahrerlaubnisse der Bundeswehr</w:t>
      </w:r>
      <w:r>
        <w:t xml:space="preserve"> </w:t>
      </w:r>
      <w:r>
        <w:rPr>
          <w:rStyle w:val="Suchmarke"/>
        </w:rPr>
        <w:t>#62#</w:t>
      </w:r>
      <w:bookmarkEnd w:id="119"/>
    </w:p>
    <w:p>
      <w:r>
        <w:t xml:space="preserve">(1) </w:t>
      </w:r>
      <w:r>
        <w:rPr>
          <w:rStyle w:val="Satznummer"/>
        </w:rPr>
        <w:t>1</w:t>
      </w:r>
      <w:r>
        <w:t xml:space="preserve">Die durch das Bundesministerium der Verteidigung bestimmte Dienststelle führt ein zentrales Register über die von den Dienststellen der Bundeswehr erteilten Dienstfahrerlaubnisse und ausgestellten Dienstführerscheine. </w:t>
      </w:r>
      <w:r>
        <w:rPr>
          <w:rStyle w:val="Satznummer"/>
        </w:rPr>
        <w:t>2</w:t>
      </w:r>
      <w:r>
        <w:t>In dem Register dürfen auch die Daten gespeichert werden, die in den örtlichen Fahrerlaubnisregistern gespeichert werden dürfen.</w:t>
      </w:r>
    </w:p>
    <w:p>
      <w:r>
        <w:t xml:space="preserve">(2) Im Zentralen Fahrerlaubnisregister beim Kraftfahrt-Bundesamt werden nur die in </w:t>
      </w:r>
      <w:hyperlink w:anchor="b106" w:history="1">
        <w:r>
          <w:rPr>
            <w:color w:val="0A3A8C"/>
            <w:u w:val="single"/>
          </w:rPr>
          <w:t xml:space="preserve">§ 50</w:t>
        </w:r>
      </w:hyperlink>
      <w:r>
        <w:t xml:space="preserve"> Abs. 1 Nr. 1 genannten Daten, die Tatsache des Bestehens einer Dienstfahrerlaubnis mit der jeweiligen Klasse und das Datum von Beginn und Ablauf einer Probezeit sowie die Fahrerlaubnisnummer gespeichert.</w:t>
      </w:r>
    </w:p>
    <w:p>
      <w:r>
        <w:t>(3) Die im zentralen Register gemäß Absatz 1 und die gemäß Absatz 2 im zentralen Fahrerlaubnisregister beim Kraftfahrt-Bundesamt gespeicherten Daten sind nach Ablauf eines Jahres seit Ende der Möglichkeit zur Dienstleistung der betroffenen Person (§ 4 des Reservistinnen- und Reservistengesetzes), bei Grundwehrdienst Leistenden nach Ablauf eines Jahres seit Ende der Wehrpflicht der betroffenen Person (§ 3 Absatz 3 und 4 des Wehrpflichtgesetzes) zu löschen.</w:t>
      </w:r>
    </w:p>
    <w:p>
      <w:r>
        <w:t xml:space="preserve">(4) </w:t>
      </w:r>
      <w:r>
        <w:rPr>
          <w:rStyle w:val="Satznummer"/>
        </w:rPr>
        <w:t>1</w:t>
      </w:r>
      <w:r>
        <w:t xml:space="preserve">Im Übrigen finden die Vorschriften dieses Abschnitts mit Ausnahme der </w:t>
      </w:r>
      <w:hyperlink w:anchor="b109" w:history="1">
        <w:r>
          <w:rPr>
            <w:color w:val="0A3A8C"/>
            <w:u w:val="single"/>
          </w:rPr>
          <w:t xml:space="preserve">§§ 53</w:t>
        </w:r>
      </w:hyperlink>
      <w:r>
        <w:t xml:space="preserve"> und </w:t>
      </w:r>
      <w:hyperlink w:anchor="b112" w:history="1">
        <w:r>
          <w:rPr>
            <w:color w:val="0A3A8C"/>
            <w:u w:val="single"/>
          </w:rPr>
          <w:t xml:space="preserve">56</w:t>
        </w:r>
      </w:hyperlink>
      <w:r>
        <w:t xml:space="preserve"> sinngemäß Anwendung. </w:t>
      </w:r>
      <w:r>
        <w:rPr>
          <w:rStyle w:val="Satznummer"/>
        </w:rPr>
        <w:t>2</w:t>
      </w:r>
      <w:r>
        <w:t xml:space="preserve">Durch Rechtsverordnung gemäß </w:t>
      </w:r>
      <w:hyperlink w:anchor="b119" w:history="1">
        <w:r>
          <w:rPr>
            <w:color w:val="0A3A8C"/>
            <w:u w:val="single"/>
          </w:rPr>
          <w:t xml:space="preserve">§ 63</w:t>
        </w:r>
      </w:hyperlink>
      <w:r>
        <w:t xml:space="preserve"> Nummer 9 können Abweichungen von den Vorschriften dieses Abschnitts zugelassen werden, soweit dies zur Erfüllung der hoheitlichen Aufgaben erforderlich ist.</w:t>
      </w:r>
    </w:p>
    <w:p>
      <w:pPr>
        <w:pStyle w:val="Heading2"/>
      </w:pPr>
      <w:bookmarkStart w:id="120" w:name="b119"/>
      <w:r>
        <w:t>§ 63 Verordnungsermächtigungen, Ausführungsvorschriften</w:t>
      </w:r>
      <w:r>
        <w:t xml:space="preserve"> </w:t>
      </w:r>
      <w:r>
        <w:rPr>
          <w:rStyle w:val="Suchmarke"/>
        </w:rPr>
        <w:t>#63#</w:t>
      </w:r>
      <w:bookmarkEnd w:id="120"/>
    </w:p>
    <w:p>
      <w:r>
        <w:t>Das Bundesministerium für Verkehr wird ermächtigt, Rechtsverordnungen mit Zustimmung des Bundesrates zu erlassen</w:t>
      </w:r>
    </w:p>
    <w:p>
      <w:pPr>
        <w:tabs>
          <w:tab w:pos="567" w:val="left"/>
        </w:tabs>
        <w:ind w:left="567" w:hanging="567"/>
      </w:pPr>
      <w:r>
        <w:t>1.</w:t>
      </w:r>
      <w:r>
        <w:tab/>
      </w:r>
      <w:r>
        <w:t xml:space="preserve">über die Übermittlung der Daten durch den Hersteller von Führerscheinen an das Kraftfahrt-Bundesamt und die dortige Speicherung nach </w:t>
      </w:r>
      <w:hyperlink w:anchor="b104" w:history="1">
        <w:r>
          <w:rPr>
            <w:color w:val="0A3A8C"/>
            <w:u w:val="single"/>
          </w:rPr>
          <w:t xml:space="preserve">§ 48</w:t>
        </w:r>
      </w:hyperlink>
      <w:r>
        <w:t xml:space="preserve"> Abs. 3 Satz 4,</w:t>
      </w:r>
    </w:p>
    <w:p>
      <w:pPr>
        <w:tabs>
          <w:tab w:pos="567" w:val="left"/>
        </w:tabs>
        <w:ind w:left="567" w:hanging="567"/>
      </w:pPr>
      <w:r>
        <w:t>2.</w:t>
      </w:r>
      <w:r>
        <w:tab/>
      </w:r>
      <w:r>
        <w:t>darüber, welche Daten nach § 50 Abs. 1 Nr. 2 und Abs. 2 Nr. 2 im örtlichen und im Zentralen Fahrerlaubnisregister jeweils gespeichert werden dürfen,</w:t>
      </w:r>
    </w:p>
    <w:p>
      <w:pPr>
        <w:tabs>
          <w:tab w:pos="567" w:val="left"/>
        </w:tabs>
        <w:ind w:left="567" w:hanging="567"/>
      </w:pPr>
      <w:r>
        <w:t>3.</w:t>
      </w:r>
      <w:r>
        <w:tab/>
      </w:r>
      <w:r>
        <w:t xml:space="preserve">über die Art und den Umfang der zu übermittelnden Daten nach den </w:t>
      </w:r>
      <w:hyperlink w:anchor="b108" w:history="1">
        <w:r>
          <w:rPr>
            <w:color w:val="0A3A8C"/>
            <w:u w:val="single"/>
          </w:rPr>
          <w:t xml:space="preserve">§§ 52</w:t>
        </w:r>
      </w:hyperlink>
      <w:r>
        <w:t xml:space="preserve"> und </w:t>
      </w:r>
      <w:hyperlink w:anchor="b111" w:history="1">
        <w:r>
          <w:rPr>
            <w:color w:val="0A3A8C"/>
            <w:u w:val="single"/>
          </w:rPr>
          <w:t xml:space="preserve">55</w:t>
        </w:r>
      </w:hyperlink>
      <w:r>
        <w:t xml:space="preserve"> sowie die Bestimmung der Empfänger und den Geschäftsweg bei Übermittlungen nach </w:t>
      </w:r>
      <w:hyperlink w:anchor="b111" w:history="1">
        <w:r>
          <w:rPr>
            <w:color w:val="0A3A8C"/>
            <w:u w:val="single"/>
          </w:rPr>
          <w:t xml:space="preserve">§ 55</w:t>
        </w:r>
      </w:hyperlink>
      <w:r>
        <w:t>,</w:t>
      </w:r>
    </w:p>
    <w:p>
      <w:pPr>
        <w:tabs>
          <w:tab w:pos="567" w:val="left"/>
        </w:tabs>
        <w:ind w:left="567" w:hanging="567"/>
      </w:pPr>
      <w:r>
        <w:t>4.</w:t>
      </w:r>
      <w:r>
        <w:tab/>
      </w:r>
      <w:r>
        <w:t xml:space="preserve">über die Art und den Umfang der zu übermittelnden Daten, die Maßnahmen zur Sicherung gegen Missbrauch und die weiteren Aufzeichnungen beim Abruf im automatisierten Verfahren nach </w:t>
      </w:r>
      <w:hyperlink w:anchor="b109" w:history="1">
        <w:r>
          <w:rPr>
            <w:color w:val="0A3A8C"/>
            <w:u w:val="single"/>
          </w:rPr>
          <w:t xml:space="preserve">§ 53</w:t>
        </w:r>
      </w:hyperlink>
      <w:r>
        <w:t>,</w:t>
      </w:r>
    </w:p>
    <w:p>
      <w:pPr>
        <w:tabs>
          <w:tab w:pos="567" w:val="left"/>
        </w:tabs>
        <w:ind w:left="567" w:hanging="567"/>
      </w:pPr>
      <w:r>
        <w:t>5.</w:t>
      </w:r>
      <w:r>
        <w:tab/>
      </w:r>
      <w:r>
        <w:t>(weggefallen)</w:t>
      </w:r>
    </w:p>
    <w:p>
      <w:pPr>
        <w:tabs>
          <w:tab w:pos="567" w:val="left"/>
        </w:tabs>
        <w:ind w:left="567" w:hanging="567"/>
      </w:pPr>
      <w:r>
        <w:t>6.</w:t>
      </w:r>
      <w:r>
        <w:tab/>
      </w:r>
      <w:r>
        <w:t xml:space="preserve">darüber, welche Daten durch Abruf im automatisierten Verfahren nach </w:t>
      </w:r>
      <w:hyperlink w:anchor="b112" w:history="1">
        <w:r>
          <w:rPr>
            <w:color w:val="0A3A8C"/>
            <w:u w:val="single"/>
          </w:rPr>
          <w:t xml:space="preserve">§ 56</w:t>
        </w:r>
      </w:hyperlink>
      <w:r>
        <w:t xml:space="preserve"> übermittelt werden dürfen,</w:t>
      </w:r>
    </w:p>
    <w:p>
      <w:pPr>
        <w:tabs>
          <w:tab w:pos="567" w:val="left"/>
        </w:tabs>
        <w:ind w:left="567" w:hanging="567"/>
      </w:pPr>
      <w:r>
        <w:t>7.</w:t>
      </w:r>
      <w:r>
        <w:tab/>
      </w:r>
      <w:r>
        <w:t xml:space="preserve">über die Bestimmung, welche ausländischen öffentlichen Stellen zum Abruf im automatisierten Verfahren nach </w:t>
      </w:r>
      <w:hyperlink w:anchor="b112" w:history="1">
        <w:r>
          <w:rPr>
            <w:color w:val="0A3A8C"/>
            <w:u w:val="single"/>
          </w:rPr>
          <w:t xml:space="preserve">§ 56</w:t>
        </w:r>
      </w:hyperlink>
      <w:r>
        <w:t xml:space="preserve"> befugt sind,</w:t>
      </w:r>
    </w:p>
    <w:p>
      <w:pPr>
        <w:tabs>
          <w:tab w:pos="567" w:val="left"/>
        </w:tabs>
        <w:ind w:left="567" w:hanging="567"/>
      </w:pPr>
      <w:r>
        <w:t>8.</w:t>
      </w:r>
      <w:r>
        <w:tab/>
      </w:r>
      <w:r>
        <w:t xml:space="preserve">über den Identitätsnachweis bei Auskünften nach </w:t>
      </w:r>
      <w:hyperlink w:anchor="b114" w:history="1">
        <w:r>
          <w:rPr>
            <w:color w:val="0A3A8C"/>
            <w:u w:val="single"/>
          </w:rPr>
          <w:t xml:space="preserve">§ 58</w:t>
        </w:r>
      </w:hyperlink>
      <w:r>
        <w:t xml:space="preserve"> und</w:t>
      </w:r>
    </w:p>
    <w:p>
      <w:pPr>
        <w:tabs>
          <w:tab w:pos="567" w:val="left"/>
        </w:tabs>
        <w:ind w:left="567" w:hanging="567"/>
      </w:pPr>
      <w:r>
        <w:t>9.</w:t>
      </w:r>
      <w:r>
        <w:tab/>
      </w:r>
      <w:r>
        <w:t xml:space="preserve">über Sonderbestimmungen für die Fahrerlaubnisregister der Bundeswehr nach </w:t>
      </w:r>
      <w:hyperlink w:anchor="b118" w:history="1">
        <w:r>
          <w:rPr>
            <w:color w:val="0A3A8C"/>
            <w:u w:val="single"/>
          </w:rPr>
          <w:t xml:space="preserve">§ 62</w:t>
        </w:r>
      </w:hyperlink>
      <w:r>
        <w:t xml:space="preserve"> Abs. 4 Satz 2.</w:t>
      </w:r>
    </w:p>
    <w:p>
      <w:pPr>
        <w:pStyle w:val="Heading1"/>
      </w:pPr>
      <w:bookmarkStart w:id="121" w:name="b120"/>
      <w:r>
        <w:t>VIa. Datenverarbeitung</w:t>
      </w:r>
      <w:bookmarkEnd w:id="121"/>
    </w:p>
    <w:p>
      <w:pPr>
        <w:pStyle w:val="Heading2"/>
      </w:pPr>
      <w:bookmarkStart w:id="122" w:name="b121"/>
      <w:r>
        <w:t>§ 63a Datenverarbeitung bei Kraftfahrzeugen mit automatisierter Fahrfunktion</w:t>
      </w:r>
      <w:r>
        <w:t xml:space="preserve"> </w:t>
      </w:r>
      <w:r>
        <w:rPr>
          <w:rStyle w:val="Suchmarke"/>
        </w:rPr>
        <w:t>#63a#</w:t>
      </w:r>
      <w:bookmarkEnd w:id="122"/>
    </w:p>
    <w:p>
      <w:r>
        <w:t xml:space="preserve">(1) </w:t>
      </w:r>
      <w:r>
        <w:rPr>
          <w:rStyle w:val="Satznummer"/>
        </w:rPr>
        <w:t>1</w:t>
      </w:r>
      <w:r>
        <w:t xml:space="preserve">Kraftfahrzeuge gemäß </w:t>
      </w:r>
      <w:hyperlink w:anchor="b2" w:history="1">
        <w:r>
          <w:rPr>
            <w:color w:val="0A3A8C"/>
            <w:u w:val="single"/>
          </w:rPr>
          <w:t xml:space="preserve">§ 1a</w:t>
        </w:r>
      </w:hyperlink>
      <w:r>
        <w:t xml:space="preserve"> speichern die durch ein Satellitennavigationssystem ermittelten Positions- und Zeitangaben, wenn ein Wechsel der Fahrzeugsteuerung zwischen Fahrzeugführer und dem automatisierter System erfolgt. </w:t>
      </w:r>
      <w:r>
        <w:rPr>
          <w:rStyle w:val="Satznummer"/>
        </w:rPr>
        <w:t>2</w:t>
      </w:r>
      <w:r>
        <w:t>Eine derartige Speicherung erfolgt auch, wenn der Fahrzeugführer durch das System aufgefordert wird, die Fahrzeugsteuerung zu übernehmen oder eine technische Störung des Systems auftritt.</w:t>
      </w:r>
    </w:p>
    <w:p>
      <w:r>
        <w:t xml:space="preserve">(2) </w:t>
      </w:r>
      <w:r>
        <w:rPr>
          <w:rStyle w:val="Satznummer"/>
        </w:rPr>
        <w:t>1</w:t>
      </w:r>
      <w:r>
        <w:t xml:space="preserve">Die gemäß Absatz 1 gespeicherten Daten dürfen den nach Landesrecht für die Ahndung von Verkehrsverstößen zuständigen Behörden auf deren Verlangen übermittelt werden. </w:t>
      </w:r>
      <w:r>
        <w:rPr>
          <w:rStyle w:val="Satznummer"/>
        </w:rPr>
        <w:t>2</w:t>
      </w:r>
      <w:r>
        <w:t xml:space="preserve">Die übermittelten Daten dürfen durch diese gespeichert und verwendet werden. </w:t>
      </w:r>
      <w:r>
        <w:rPr>
          <w:rStyle w:val="Satznummer"/>
        </w:rPr>
        <w:t>3</w:t>
      </w:r>
      <w:r>
        <w:t xml:space="preserve">Der Umfang der Datenübermittlung ist auf das Maß zu beschränken, das für den Zweck der Feststellung des Absatzes 1 im Zusammenhang mit dem durch diese Behörden geführten Verfahren der eingeleiteten Kontrolle notwendig ist. </w:t>
      </w:r>
      <w:r>
        <w:rPr>
          <w:rStyle w:val="Satznummer"/>
        </w:rPr>
        <w:t>4</w:t>
      </w:r>
      <w:r>
        <w:t>Davon unberührt bleiben die allgemeinen Regelungen zur Verarbeitung personenbezogener Daten.</w:t>
      </w:r>
    </w:p>
    <w:p>
      <w:r>
        <w:t>(3) Der Fahrzeughalter hat die Übermittlung der gemäß Absatz 1 gespeicherten Daten an Dritte zu veranlassen, wenn</w:t>
      </w:r>
    </w:p>
    <w:p>
      <w:pPr>
        <w:tabs>
          <w:tab w:pos="567" w:val="left"/>
        </w:tabs>
        <w:ind w:left="567" w:hanging="567"/>
      </w:pPr>
      <w:r>
        <w:t>1.</w:t>
      </w:r>
      <w:r>
        <w:tab/>
      </w:r>
      <w:r>
        <w:t xml:space="preserve">die Daten zur Geltendmachung, Befriedigung oder Abwehr von Rechtsansprüchen im Zusammenhang mit einem in </w:t>
      </w:r>
      <w:hyperlink w:anchor="b35" w:history="1">
        <w:r>
          <w:rPr>
            <w:color w:val="0A3A8C"/>
            <w:u w:val="single"/>
          </w:rPr>
          <w:t xml:space="preserve">§ 7</w:t>
        </w:r>
      </w:hyperlink>
      <w:r>
        <w:t xml:space="preserve"> Absatz 1 geregelten Ereignis erforderlich sind und</w:t>
      </w:r>
    </w:p>
    <w:p>
      <w:pPr>
        <w:tabs>
          <w:tab w:pos="567" w:val="left"/>
        </w:tabs>
        <w:ind w:left="567" w:hanging="567"/>
      </w:pPr>
      <w:r>
        <w:t>2.</w:t>
      </w:r>
      <w:r>
        <w:tab/>
      </w:r>
      <w:r>
        <w:t xml:space="preserve">das entsprechende Kraftfahrzeug mit automatisierter Fahrfunktion an diesem Ereignis beteiligt war. </w:t>
      </w:r>
      <w:r>
        <w:rPr>
          <w:rStyle w:val="Satznummer"/>
        </w:rPr>
        <w:t>2</w:t>
      </w:r>
      <w:r>
        <w:t>Absatz 2 Satz 3 findet entsprechend Anwendung.</w:t>
      </w:r>
    </w:p>
    <w:p>
      <w:r>
        <w:t xml:space="preserve">(4) Die gemäß Absatz 1 gespeicherten Daten sind nach sechs Monaten zu löschen, es sei denn, das Kraftfahrzeug war an einem in </w:t>
      </w:r>
      <w:hyperlink w:anchor="b35" w:history="1">
        <w:r>
          <w:rPr>
            <w:color w:val="0A3A8C"/>
            <w:u w:val="single"/>
          </w:rPr>
          <w:t xml:space="preserve">§ 7</w:t>
        </w:r>
      </w:hyperlink>
      <w:r>
        <w:t xml:space="preserve"> Absatz 1 geregelten Ereignis beteiligt; in diesem Fall sind die Daten nach drei Jahren zu löschen.</w:t>
      </w:r>
    </w:p>
    <w:p>
      <w:r>
        <w:t xml:space="preserve">(5) Im Zusammenhang mit einem in </w:t>
      </w:r>
      <w:hyperlink w:anchor="b35" w:history="1">
        <w:r>
          <w:rPr>
            <w:color w:val="0A3A8C"/>
            <w:u w:val="single"/>
          </w:rPr>
          <w:t xml:space="preserve">§ 7</w:t>
        </w:r>
      </w:hyperlink>
      <w:r>
        <w:t xml:space="preserve"> Absatz 1 geregelten Ereignis können die gemäß Absatz 1 gespeicherten Daten in anonymisierter Form zu Zwecken der Unfallforschung an Dritte übermittelt werden.</w:t>
      </w:r>
    </w:p>
    <w:p>
      <w:pPr>
        <w:pStyle w:val="Heading2"/>
      </w:pPr>
      <w:bookmarkStart w:id="123" w:name="b122"/>
      <w:r>
        <w:t>§ 63b Verordnungsermächtigungen</w:t>
      </w:r>
      <w:r>
        <w:t xml:space="preserve"> </w:t>
      </w:r>
      <w:r>
        <w:rPr>
          <w:rStyle w:val="Suchmarke"/>
        </w:rPr>
        <w:t>#63b#</w:t>
      </w:r>
      <w:bookmarkEnd w:id="123"/>
    </w:p>
    <w:p>
      <w:r>
        <w:rPr>
          <w:rStyle w:val="Satznummer"/>
        </w:rPr>
        <w:t>1</w:t>
      </w:r>
      <w:r>
        <w:t>Das Bundesministerium für Verkehr wird ermächtigt, im Benehmen mit der Beauftragten für den Datenschutz und die Informationsfreiheit, zur Durchführung von § 63a Rechtsverordnungen zu erlassen über</w:t>
      </w:r>
    </w:p>
    <w:p>
      <w:pPr>
        <w:tabs>
          <w:tab w:pos="567" w:val="left"/>
        </w:tabs>
        <w:ind w:left="567" w:hanging="567"/>
      </w:pPr>
      <w:r>
        <w:t>1.</w:t>
      </w:r>
      <w:r>
        <w:tab/>
      </w:r>
      <w:r>
        <w:t xml:space="preserve">die technische Ausgestaltung und den Ort des Speichermediums sowie die Art und Weise der Speicherung gemäß </w:t>
      </w:r>
      <w:hyperlink w:anchor="b121" w:history="1">
        <w:r>
          <w:rPr>
            <w:color w:val="0A3A8C"/>
            <w:u w:val="single"/>
          </w:rPr>
          <w:t xml:space="preserve">§ 63a</w:t>
        </w:r>
      </w:hyperlink>
      <w:r>
        <w:t xml:space="preserve"> Absatz 1,</w:t>
      </w:r>
    </w:p>
    <w:p>
      <w:pPr>
        <w:tabs>
          <w:tab w:pos="567" w:val="left"/>
        </w:tabs>
        <w:ind w:left="567" w:hanging="567"/>
      </w:pPr>
      <w:r>
        <w:t>2.</w:t>
      </w:r>
      <w:r>
        <w:tab/>
      </w:r>
      <w:r>
        <w:t xml:space="preserve">den Adressaten der Speicherpflicht nach </w:t>
      </w:r>
      <w:hyperlink w:anchor="b121" w:history="1">
        <w:r>
          <w:rPr>
            <w:color w:val="0A3A8C"/>
            <w:u w:val="single"/>
          </w:rPr>
          <w:t xml:space="preserve">§ 63a</w:t>
        </w:r>
      </w:hyperlink>
      <w:r>
        <w:t xml:space="preserve"> Absatz 1,</w:t>
      </w:r>
    </w:p>
    <w:p>
      <w:pPr>
        <w:tabs>
          <w:tab w:pos="567" w:val="left"/>
        </w:tabs>
        <w:ind w:left="567" w:hanging="567"/>
      </w:pPr>
      <w:r>
        <w:t>3.</w:t>
      </w:r>
      <w:r>
        <w:tab/>
      </w:r>
      <w:r>
        <w:t>Maßnahmen zur Sicherung der gespeicherten Daten gegen unbefugten Zugriff bei Verkauf des Kraftfahrzeugs.</w:t>
      </w:r>
    </w:p>
    <w:p>
      <w:r>
        <w:rPr>
          <w:rStyle w:val="Satznummer"/>
        </w:rPr>
        <w:t>2</w:t>
      </w:r>
      <w:r>
        <w:t>Rechtsverordnungen nach Satz 1 sind vor Verkündung dem Deutschen Bundestag zur Kenntnis zuzuleiten.</w:t>
      </w:r>
    </w:p>
    <w:p>
      <w:pPr>
        <w:pStyle w:val="Heading2"/>
      </w:pPr>
      <w:bookmarkStart w:id="124" w:name="b123"/>
      <w:r>
        <w:t>§ 63c Datenverarbeitung im Rahmen der Überprüfung der Einhaltung von Verkehrsbeschränkungen und Verkehrsverboten aufgrund immissionsschutzrechtlicher Vorschriften oder aufgrund straßenverkehrsrechtlicher Vorschriften zum Schutz vor Abgasen</w:t>
      </w:r>
      <w:r>
        <w:t xml:space="preserve"> </w:t>
      </w:r>
      <w:r>
        <w:rPr>
          <w:rStyle w:val="Suchmarke"/>
        </w:rPr>
        <w:t>#63c#</w:t>
      </w:r>
      <w:bookmarkEnd w:id="124"/>
    </w:p>
    <w:p>
      <w:r>
        <w:t xml:space="preserve">(1) </w:t>
      </w:r>
      <w:r>
        <w:rPr>
          <w:rStyle w:val="Satznummer"/>
        </w:rPr>
        <w:t>1</w:t>
      </w:r>
      <w:r>
        <w:t>Zur Überprüfung der Einhaltung von Verkehrsbeschränkungen und Verkehrsverboten, die aufgrund des § 40 des Bundes-Immissionsschutzgesetzes nach Maßgabe der straßenverkehrsrechtlichen Vorschriften angeordnet worden sind oder aufgrund straßenverkehrsrechtlicher Vorschriften zum Schutz der Wohnbevölkerung oder der Bevölkerung vor Abgasen zur Abwehr von immissionsbedingten Gefahren ergangen sind, darf die nach Landesrecht zuständige Behörde im Rahmen von stichprobenartigen Überprüfungen mit mobilen Geräten folgende Daten, auch durch selbsttätiges Wirken des von ihr verwendeten Gerätes, erheben, speichern und verwenden:</w:t>
      </w:r>
    </w:p>
    <w:p>
      <w:pPr>
        <w:tabs>
          <w:tab w:pos="567" w:val="left"/>
        </w:tabs>
        <w:ind w:left="567" w:hanging="567"/>
      </w:pPr>
      <w:r>
        <w:t>1.</w:t>
      </w:r>
      <w:r>
        <w:tab/>
      </w:r>
      <w:r>
        <w:t>das Kennzeichen des Fahrzeugs oder der Fahrzeugkombination, die in einem Gebiet mit Verkehrsbeschränkungen oder Verkehrsverboten am Verkehr teilnehmen,</w:t>
      </w:r>
    </w:p>
    <w:p>
      <w:pPr>
        <w:tabs>
          <w:tab w:pos="567" w:val="left"/>
        </w:tabs>
        <w:ind w:left="567" w:hanging="567"/>
      </w:pPr>
      <w:r>
        <w:t>2.</w:t>
      </w:r>
      <w:r>
        <w:tab/>
      </w:r>
      <w:r>
        <w:t>die für die Berechtigung zur Teilnahme am Verkehr in Gebieten mit Verkehrsbeschränkungen oder Verkehrsverboten erforderlichen Merkmale des Fahrzeugs oder der Fahrzeugkombination,</w:t>
      </w:r>
    </w:p>
    <w:p>
      <w:pPr>
        <w:tabs>
          <w:tab w:pos="567" w:val="left"/>
        </w:tabs>
        <w:ind w:left="567" w:hanging="567"/>
      </w:pPr>
      <w:r>
        <w:t>3.</w:t>
      </w:r>
      <w:r>
        <w:tab/>
      </w:r>
      <w:r>
        <w:t>das durch eine Einzelaufnahme hergestellte Bild des Fahrzeugs und des Fahrers,</w:t>
      </w:r>
    </w:p>
    <w:p>
      <w:pPr>
        <w:tabs>
          <w:tab w:pos="567" w:val="left"/>
        </w:tabs>
        <w:ind w:left="567" w:hanging="567"/>
      </w:pPr>
      <w:r>
        <w:t>4.</w:t>
      </w:r>
      <w:r>
        <w:tab/>
      </w:r>
      <w:r>
        <w:t>den Ort und die Zeit der Teilnahme am Verkehr im Gebiet mit Verkehrsbeschränkungen oder Verkehrsverboten.</w:t>
      </w:r>
    </w:p>
    <w:p>
      <w:r>
        <w:rPr>
          <w:rStyle w:val="Satznummer"/>
        </w:rPr>
        <w:t>2</w:t>
      </w:r>
      <w:r>
        <w:t>Eine verdeckte Datenerhebung ist unzulässig.</w:t>
      </w:r>
    </w:p>
    <w:p>
      <w:r>
        <w:t xml:space="preserve">(2) </w:t>
      </w:r>
      <w:r>
        <w:rPr>
          <w:rStyle w:val="Satznummer"/>
        </w:rPr>
        <w:t>1</w:t>
      </w:r>
      <w:r>
        <w:t xml:space="preserve">Die nach Landesrecht zuständige Behörde darf anhand der Daten nach Absatz 1 Satz 1 Nummer 1 beim Zentralen Fahrzeugregister die nach </w:t>
      </w:r>
      <w:hyperlink w:anchor="b80" w:history="1">
        <w:r>
          <w:rPr>
            <w:color w:val="0A3A8C"/>
            <w:u w:val="single"/>
          </w:rPr>
          <w:t xml:space="preserve">§ 33</w:t>
        </w:r>
      </w:hyperlink>
      <w:r>
        <w:t xml:space="preserve"> Absatz 1 Satz 1 Nummer 1 für das jeweilige Fahrzeug gespeicherten und für die Überprüfung der Einhaltung der jeweiligen Verkehrsbeschränkungen und Verkehrsverbote erforderlichen Fahrzeugdaten in dem in </w:t>
      </w:r>
      <w:hyperlink w:anchor="b83" w:history="1">
        <w:r>
          <w:rPr>
            <w:color w:val="0A3A8C"/>
            <w:u w:val="single"/>
          </w:rPr>
          <w:t xml:space="preserve">§ 36</w:t>
        </w:r>
      </w:hyperlink>
      <w:r>
        <w:t xml:space="preserve"> Absatz 2i vorgesehenen Verfahren abrufen, um festzustellen, ob für das Fahrzeug eine Verkehrsbeschränkung oder ein Verkehrsverbot gilt. </w:t>
      </w:r>
      <w:r>
        <w:rPr>
          <w:rStyle w:val="Satznummer"/>
        </w:rPr>
        <w:t>2</w:t>
      </w:r>
      <w:r>
        <w:t>Der Abruf und die Feststellung haben unverzüglich zu erfolgen.</w:t>
      </w:r>
    </w:p>
    <w:p>
      <w:r>
        <w:t xml:space="preserve">(3) </w:t>
      </w:r>
      <w:r>
        <w:rPr>
          <w:rStyle w:val="Satznummer"/>
        </w:rPr>
        <w:t>1</w:t>
      </w:r>
      <w:r>
        <w:t xml:space="preserve">Die Daten nach Absatz 1 Satz 1 Nummer 1 bis 4 und Absatz 2 dürfen ausschließlich zum Zweck der Verfolgung von diesbezüglichen Ordnungswidrigkeiten an die hierfür zuständige Verwaltungsbehörde übermittelt werden. </w:t>
      </w:r>
      <w:r>
        <w:rPr>
          <w:rStyle w:val="Satznummer"/>
        </w:rPr>
        <w:t>2</w:t>
      </w:r>
      <w:r>
        <w:t>Diese Datenübermittlung hat unverzüglich nach Abschluss der Prüfung nach Absatz 2 zu erfolgen.</w:t>
      </w:r>
    </w:p>
    <w:p>
      <w:r>
        <w:t xml:space="preserve">(4) </w:t>
      </w:r>
      <w:r>
        <w:rPr>
          <w:rStyle w:val="Satznummer"/>
        </w:rPr>
        <w:t>1</w:t>
      </w:r>
      <w:r>
        <w:t>Die Daten nach Absatz 1 Satz 1 Nummer 1 bis 4 und Absatz 2 sind von der in Absatz 1 genannten Behörde unverzüglich zu löschen,</w:t>
      </w:r>
    </w:p>
    <w:p>
      <w:pPr>
        <w:tabs>
          <w:tab w:pos="567" w:val="left"/>
        </w:tabs>
        <w:ind w:left="567" w:hanging="567"/>
      </w:pPr>
      <w:r>
        <w:t>1.</w:t>
      </w:r>
      <w:r>
        <w:tab/>
      </w:r>
      <w:r>
        <w:t>sobald die nach Absatz 2 vorzunehmende Prüfung ergibt, dass das Fahrzeug berechtigt ist, am Verkehr im Gebiet mit Verkehrsbeschränkungen oder Verkehrsverboten teilzunehmen, oder</w:t>
      </w:r>
    </w:p>
    <w:p>
      <w:pPr>
        <w:tabs>
          <w:tab w:pos="567" w:val="left"/>
        </w:tabs>
        <w:ind w:left="567" w:hanging="567"/>
      </w:pPr>
      <w:r>
        <w:t>2.</w:t>
      </w:r>
      <w:r>
        <w:tab/>
      </w:r>
      <w:r>
        <w:t>nach der Übermittlung an die in Absatz 3 genannte, für die Verfolgung von diesbezüglichen Ordnungswidrigkeiten zuständige Verwaltungsbehörde, wenn die nach Absatz 2 vorzunehmende Prüfung ergibt, dass das Fahrzeug nicht berechtigt ist, am Verkehr im Gebiet mit Verkehrsbeschränkungen oder Verkehrsverboten teilzunehmen.</w:t>
      </w:r>
    </w:p>
    <w:p>
      <w:r>
        <w:rPr>
          <w:rStyle w:val="Satznummer"/>
        </w:rPr>
        <w:t>2</w:t>
      </w:r>
      <w:r>
        <w:t>Alle Daten sind von der in Absatz 1 genannten Behörde, sofern sie nach den vorgenannten Vorschriften nicht vorher zu löschen sind, spätestens zwei Wochen nach ihrer erstmaligen Erhebung zu löschen.</w:t>
      </w:r>
    </w:p>
    <w:p>
      <w:r>
        <w:t>(5) Für die Löschung der Daten nach Absatz 1 Satz 1 Nummer 1 bis 4 und Absatz 2 durch die für die Verfolgung von diesbezüglichen Ordnungswidrigkeiten zuständige Verwaltungsbehörde gelten die Vorschriften für das Bußgeldverfahren.</w:t>
      </w:r>
    </w:p>
    <w:p>
      <w:r>
        <w:t>(6) Sonstige Regelungen über die Überprüfung der Einhaltung des Straßenverkehrsrechts, insbesondere des Landesrechts, bleiben unberührt.</w:t>
      </w:r>
    </w:p>
    <w:p>
      <w:pPr>
        <w:pStyle w:val="Heading2"/>
      </w:pPr>
      <w:bookmarkStart w:id="125" w:name="b124"/>
      <w:r>
        <w:t>§ 63d Informationen an die Halter</w:t>
      </w:r>
      <w:r>
        <w:t xml:space="preserve"> </w:t>
      </w:r>
      <w:r>
        <w:rPr>
          <w:rStyle w:val="Suchmarke"/>
        </w:rPr>
        <w:t>#63d#</w:t>
      </w:r>
      <w:bookmarkEnd w:id="125"/>
    </w:p>
    <w:p>
      <w:r>
        <w:rPr>
          <w:rStyle w:val="Satznummer"/>
        </w:rPr>
        <w:t>1</w:t>
      </w:r>
      <w:r>
        <w:t xml:space="preserve">Das Kraftfahrt-Bundesamt darf die nach </w:t>
      </w:r>
      <w:hyperlink w:anchor="b80" w:history="1">
        <w:r>
          <w:rPr>
            <w:color w:val="0A3A8C"/>
            <w:u w:val="single"/>
          </w:rPr>
          <w:t xml:space="preserve">§ 33</w:t>
        </w:r>
      </w:hyperlink>
      <w:r>
        <w:t xml:space="preserve"> Absatz 1 gespeicherten Fahrzeugdaten und Halterdaten im Einvernehmen mit dem Bundesministerium für Verkehr zu den in </w:t>
      </w:r>
      <w:hyperlink w:anchor="b79" w:history="1">
        <w:r>
          <w:rPr>
            <w:color w:val="0A3A8C"/>
            <w:u w:val="single"/>
          </w:rPr>
          <w:t xml:space="preserve">§ 32</w:t>
        </w:r>
      </w:hyperlink>
      <w:r>
        <w:t xml:space="preserve"> Absatz 3 genannten Zwecken verwenden und im Einzelfall schriftliche Informationen an die Fahrzeughalter übermitteln, um sie über Maßnahmen im Sinne des </w:t>
      </w:r>
      <w:hyperlink w:anchor="b79" w:history="1">
        <w:r>
          <w:rPr>
            <w:color w:val="0A3A8C"/>
            <w:u w:val="single"/>
          </w:rPr>
          <w:t xml:space="preserve">§ 32</w:t>
        </w:r>
      </w:hyperlink>
      <w:r>
        <w:t xml:space="preserve"> Absatz 3 zu informieren. </w:t>
      </w:r>
      <w:r>
        <w:rPr>
          <w:rStyle w:val="Satznummer"/>
        </w:rPr>
        <w:t>2</w:t>
      </w:r>
      <w:r>
        <w:t xml:space="preserve">Das Bundesministerium für Verkehr erteilt sein Einvernehmen nach Satz 1, wenn es die jeweilige Maßnahme für geeignet hält, die in </w:t>
      </w:r>
      <w:hyperlink w:anchor="b79" w:history="1">
        <w:r>
          <w:rPr>
            <w:color w:val="0A3A8C"/>
            <w:u w:val="single"/>
          </w:rPr>
          <w:t xml:space="preserve">§ 32</w:t>
        </w:r>
      </w:hyperlink>
      <w:r>
        <w:t xml:space="preserve"> Absatz 3 Nummer 2 genannten Zwecke unter Berücksichtigung der Umstände des Einzelfalls und unter Abwägung dieser Zwecke mit den Interessen der betroffenen Fahrzeughalter angemessen zu fördern. </w:t>
      </w:r>
      <w:r>
        <w:rPr>
          <w:rStyle w:val="Satznummer"/>
        </w:rPr>
        <w:t>3</w:t>
      </w:r>
      <w:r>
        <w:t>Die Eignung der angemessenen Zweckförderung wird bei staatlich geförderten Maßnahmen vermutet, so dass das Einvernehmen ohne nähere Prüfung erteilt werden darf.</w:t>
      </w:r>
    </w:p>
    <w:p>
      <w:pPr>
        <w:pStyle w:val="Heading2"/>
      </w:pPr>
      <w:bookmarkStart w:id="126" w:name="b125"/>
      <w:r>
        <w:t>§ 63e Datenerhebung, Datenspeicherung und Datenverwendung für das Verkehrsmanagement</w:t>
      </w:r>
      <w:r>
        <w:t xml:space="preserve"> </w:t>
      </w:r>
      <w:r>
        <w:rPr>
          <w:rStyle w:val="Suchmarke"/>
        </w:rPr>
        <w:t>#63e#</w:t>
      </w:r>
      <w:bookmarkEnd w:id="126"/>
    </w:p>
    <w:p>
      <w:r>
        <w:t>(1) Der jeweils zuständige Straßenbaulastträger oder die abweichend hiervon nach Landesrecht für das Verkehrsmanagement zuständige Behörde darf folgende Daten, soweit sie von Kraftfahrzeugen regelmäßig oder ereignisbezogen auf elektronischem Weg erhoben werden und soweit sie aus diesen Fahrzeugen an andere Kraftfahrzeuge oder an die informationstechnische Straßeninfrastruktur automatisiert versenden werden, zum Zweck des Verkehrsmanagements erheben, speichern und verwenden:</w:t>
      </w:r>
    </w:p>
    <w:p>
      <w:pPr>
        <w:tabs>
          <w:tab w:pos="567" w:val="left"/>
        </w:tabs>
        <w:ind w:left="567" w:hanging="567"/>
      </w:pPr>
      <w:r>
        <w:t>1.</w:t>
      </w:r>
      <w:r>
        <w:tab/>
      </w:r>
      <w:r>
        <w:t>Position des Fahrzeugs,</w:t>
      </w:r>
    </w:p>
    <w:p>
      <w:pPr>
        <w:tabs>
          <w:tab w:pos="567" w:val="left"/>
        </w:tabs>
        <w:ind w:left="567" w:hanging="567"/>
      </w:pPr>
      <w:r>
        <w:t>2.</w:t>
      </w:r>
      <w:r>
        <w:tab/>
      </w:r>
      <w:r>
        <w:t>Zeitangabe,</w:t>
      </w:r>
    </w:p>
    <w:p>
      <w:pPr>
        <w:tabs>
          <w:tab w:pos="567" w:val="left"/>
        </w:tabs>
        <w:ind w:left="567" w:hanging="567"/>
      </w:pPr>
      <w:r>
        <w:t>3.</w:t>
      </w:r>
      <w:r>
        <w:tab/>
      </w:r>
      <w:r>
        <w:t>Fahrtrichtung,</w:t>
      </w:r>
    </w:p>
    <w:p>
      <w:pPr>
        <w:tabs>
          <w:tab w:pos="567" w:val="left"/>
        </w:tabs>
        <w:ind w:left="567" w:hanging="567"/>
      </w:pPr>
      <w:r>
        <w:t>4.</w:t>
      </w:r>
      <w:r>
        <w:tab/>
      </w:r>
      <w:r>
        <w:t>Geschwindigkeit,</w:t>
      </w:r>
    </w:p>
    <w:p>
      <w:pPr>
        <w:tabs>
          <w:tab w:pos="567" w:val="left"/>
        </w:tabs>
        <w:ind w:left="567" w:hanging="567"/>
      </w:pPr>
      <w:r>
        <w:t>5.</w:t>
      </w:r>
      <w:r>
        <w:tab/>
      </w:r>
      <w:r>
        <w:t>Beschleunigung oder Verzögerung,</w:t>
      </w:r>
    </w:p>
    <w:p>
      <w:pPr>
        <w:tabs>
          <w:tab w:pos="567" w:val="left"/>
        </w:tabs>
        <w:ind w:left="567" w:hanging="567"/>
      </w:pPr>
      <w:r>
        <w:t>6.</w:t>
      </w:r>
      <w:r>
        <w:tab/>
      </w:r>
      <w:r>
        <w:t>Lenkwinkel,</w:t>
      </w:r>
    </w:p>
    <w:p>
      <w:pPr>
        <w:tabs>
          <w:tab w:pos="567" w:val="left"/>
        </w:tabs>
        <w:ind w:left="567" w:hanging="567"/>
      </w:pPr>
      <w:r>
        <w:t>7.</w:t>
      </w:r>
      <w:r>
        <w:tab/>
      </w:r>
      <w:r>
        <w:t>Lenkradwinkel,</w:t>
      </w:r>
    </w:p>
    <w:p>
      <w:pPr>
        <w:tabs>
          <w:tab w:pos="567" w:val="left"/>
        </w:tabs>
        <w:ind w:left="567" w:hanging="567"/>
      </w:pPr>
      <w:r>
        <w:t>8.</w:t>
      </w:r>
      <w:r>
        <w:tab/>
      </w:r>
      <w:r>
        <w:t>Fahrzeugbreite,</w:t>
      </w:r>
    </w:p>
    <w:p>
      <w:pPr>
        <w:tabs>
          <w:tab w:pos="567" w:val="left"/>
        </w:tabs>
        <w:ind w:left="567" w:hanging="567"/>
      </w:pPr>
      <w:r>
        <w:t>9.</w:t>
      </w:r>
      <w:r>
        <w:tab/>
      </w:r>
      <w:r>
        <w:t>Fahrzeuglänge,</w:t>
      </w:r>
    </w:p>
    <w:p>
      <w:pPr>
        <w:tabs>
          <w:tab w:pos="567" w:val="left"/>
        </w:tabs>
        <w:ind w:left="567" w:hanging="567"/>
      </w:pPr>
      <w:r>
        <w:t>10.</w:t>
      </w:r>
      <w:r>
        <w:tab/>
      </w:r>
      <w:r>
        <w:t>Status der Fahrzeugbeleuchtungseinrichtungen und der Scheibenwischer,</w:t>
      </w:r>
    </w:p>
    <w:p>
      <w:pPr>
        <w:tabs>
          <w:tab w:pos="567" w:val="left"/>
        </w:tabs>
        <w:ind w:left="567" w:hanging="567"/>
      </w:pPr>
      <w:r>
        <w:t>11.</w:t>
      </w:r>
      <w:r>
        <w:tab/>
      </w:r>
      <w:r>
        <w:t>Drehbewegung um die Fahrzeughochachse,</w:t>
      </w:r>
    </w:p>
    <w:p>
      <w:pPr>
        <w:tabs>
          <w:tab w:pos="567" w:val="left"/>
        </w:tabs>
        <w:ind w:left="567" w:hanging="567"/>
      </w:pPr>
      <w:r>
        <w:t>12.</w:t>
      </w:r>
      <w:r>
        <w:tab/>
      </w:r>
      <w:r>
        <w:t>Fahrzeugcharakteristik: Pkw, Lkw, Krad, öffentliches Verkehrsmittel, Fahrzeug mit Sonderrechten oder Fahrzeug des öffentlichen Personennahverkehrs,</w:t>
      </w:r>
    </w:p>
    <w:p>
      <w:pPr>
        <w:tabs>
          <w:tab w:pos="567" w:val="left"/>
        </w:tabs>
        <w:ind w:left="567" w:hanging="567"/>
      </w:pPr>
      <w:r>
        <w:t>13.</w:t>
      </w:r>
      <w:r>
        <w:tab/>
      </w:r>
      <w:r>
        <w:t>plötzlich eintretende Ereignisse mit Sicherheitsrelevanz, auf Grund derer ereignisbasierte Fahrzeugmeldungen generiert werden: Stauende, Notbremsung, vorübergehend rutschige Fahrbahn, Tiere, Personen, Hindernisse, Gegenstände auf der Fahrbahn, ungesicherte Unfallstellen, Kurzzeitbaustellen, eingeschränkte Sicht, Falschfahrer, nicht ausgeschilderte Straßenblockierungen oder außergewöhnliche Witterungsbedingungen, sowie</w:t>
      </w:r>
    </w:p>
    <w:p>
      <w:pPr>
        <w:tabs>
          <w:tab w:pos="567" w:val="left"/>
        </w:tabs>
        <w:ind w:left="567" w:hanging="567"/>
      </w:pPr>
      <w:r>
        <w:t>14.</w:t>
      </w:r>
      <w:r>
        <w:tab/>
      </w:r>
      <w:r>
        <w:t>ZertifikatsID der in den Nummern 1 bis 13 genannten Daten.</w:t>
      </w:r>
    </w:p>
    <w:p>
      <w:r>
        <w:t xml:space="preserve">(2) </w:t>
      </w:r>
      <w:r>
        <w:rPr>
          <w:rStyle w:val="Satznummer"/>
        </w:rPr>
        <w:t>1</w:t>
      </w:r>
      <w:r>
        <w:t>Verkehrsmanagement im Sinne dieser Vorschrift ist</w:t>
      </w:r>
    </w:p>
    <w:p>
      <w:pPr>
        <w:tabs>
          <w:tab w:pos="567" w:val="left"/>
        </w:tabs>
        <w:ind w:left="567" w:hanging="567"/>
      </w:pPr>
      <w:r>
        <w:t>1.</w:t>
      </w:r>
      <w:r>
        <w:tab/>
      </w:r>
      <w:r>
        <w:t>die Erfassung der Verkehrsstärke und der sonstigen Verkehrssituation einschließlich sicherheitsrelevanter Umfeldsituationen anhand</w:t>
      </w:r>
    </w:p>
    <w:p>
      <w:pPr>
        <w:tabs>
          <w:tab w:pos="1134" w:val="left"/>
        </w:tabs>
        <w:ind w:left="1134" w:hanging="567"/>
      </w:pPr>
      <w:r>
        <w:t>a)</w:t>
      </w:r>
      <w:r>
        <w:tab/>
      </w:r>
      <w:r>
        <w:t>der Anzahl der Fahrzeuge,</w:t>
      </w:r>
    </w:p>
    <w:p>
      <w:pPr>
        <w:tabs>
          <w:tab w:pos="1134" w:val="left"/>
        </w:tabs>
        <w:ind w:left="1134" w:hanging="567"/>
      </w:pPr>
      <w:r>
        <w:t>b)</w:t>
      </w:r>
      <w:r>
        <w:tab/>
      </w:r>
      <w:r>
        <w:t>der Fahrzeuggeschwindigkeit,</w:t>
      </w:r>
    </w:p>
    <w:p>
      <w:pPr>
        <w:tabs>
          <w:tab w:pos="1134" w:val="left"/>
        </w:tabs>
        <w:ind w:left="1134" w:hanging="567"/>
      </w:pPr>
      <w:r>
        <w:t>c)</w:t>
      </w:r>
      <w:r>
        <w:tab/>
      </w:r>
      <w:r>
        <w:t>der Art und Maße des Fahrzeugs,</w:t>
      </w:r>
    </w:p>
    <w:p>
      <w:pPr>
        <w:tabs>
          <w:tab w:pos="1134" w:val="left"/>
        </w:tabs>
        <w:ind w:left="1134" w:hanging="567"/>
      </w:pPr>
      <w:r>
        <w:t>d)</w:t>
      </w:r>
      <w:r>
        <w:tab/>
      </w:r>
      <w:r>
        <w:t>der Lenkung, des Beleuchtungs- und des Scheibenwischerstatus des Fahrzeugs,</w:t>
      </w:r>
    </w:p>
    <w:p>
      <w:pPr>
        <w:tabs>
          <w:tab w:pos="1134" w:val="left"/>
        </w:tabs>
        <w:ind w:left="1134" w:hanging="567"/>
      </w:pPr>
      <w:r>
        <w:t>e)</w:t>
      </w:r>
      <w:r>
        <w:tab/>
      </w:r>
      <w:r>
        <w:t>der zum Durchfahren eines bestimmten Abschnitts erforderlichen Zeit (Reisezeit),</w:t>
      </w:r>
    </w:p>
    <w:p>
      <w:pPr>
        <w:tabs>
          <w:tab w:pos="1134" w:val="left"/>
        </w:tabs>
        <w:ind w:left="1134" w:hanging="567"/>
      </w:pPr>
      <w:r>
        <w:t>f)</w:t>
      </w:r>
      <w:r>
        <w:tab/>
      </w:r>
      <w:r>
        <w:t>abrupter Fahrzeugverzögerungen und</w:t>
      </w:r>
    </w:p>
    <w:p>
      <w:pPr>
        <w:tabs>
          <w:tab w:pos="1134" w:val="left"/>
        </w:tabs>
        <w:ind w:left="1134" w:hanging="567"/>
      </w:pPr>
      <w:r>
        <w:t>g)</w:t>
      </w:r>
      <w:r>
        <w:tab/>
      </w:r>
      <w:r>
        <w:t>des Liegenbleibens von Fahrzeugen auf der Fahrbahn sowie</w:t>
      </w:r>
    </w:p>
    <w:p>
      <w:pPr>
        <w:tabs>
          <w:tab w:pos="567" w:val="left"/>
        </w:tabs>
        <w:ind w:left="567" w:hanging="567"/>
      </w:pPr>
      <w:r>
        <w:t>2.</w:t>
      </w:r>
      <w:r>
        <w:tab/>
      </w:r>
      <w:r>
        <w:t>die unverzügliche statistische Auswertung der erfassten Daten zum Zwecke der Verkehrslenkung sowie der Verbesserung des Verkehrsflusses und der Verkehrssicherheit.</w:t>
      </w:r>
    </w:p>
    <w:p>
      <w:r>
        <w:rPr>
          <w:rStyle w:val="Satznummer"/>
        </w:rPr>
        <w:t>2</w:t>
      </w:r>
      <w:r>
        <w:t>Die Verarbeitung der Daten zu anderen Zwecken ist unzulässig.</w:t>
      </w:r>
    </w:p>
    <w:p>
      <w:r>
        <w:t>(3) Der jeweils für das Verkehrsmanagement zuständige Straßenbaulastträger oder die abweichend hiervon nach Landesrecht für das Verkehrsmanagement zuständige Behörde hat die in Absatz 1 genannten Daten zu dem in Absatz 2 genannten Zweck</w:t>
      </w:r>
    </w:p>
    <w:p>
      <w:pPr>
        <w:tabs>
          <w:tab w:pos="567" w:val="left"/>
        </w:tabs>
        <w:ind w:left="567" w:hanging="567"/>
      </w:pPr>
      <w:r>
        <w:t>1.</w:t>
      </w:r>
      <w:r>
        <w:tab/>
      </w:r>
      <w:r>
        <w:t>unverzüglich hinsichtlich Vollständigkeit und Mehrfachempfang zu prüfen und unbrauchbar unvollständige Datensätze oder mehr als einmal empfangene Datensätze bis auf den zuerst empfangenen Datensatz vor Beginn der Auswertung automatisiert zu löschen,</w:t>
      </w:r>
    </w:p>
    <w:p>
      <w:pPr>
        <w:tabs>
          <w:tab w:pos="567" w:val="left"/>
        </w:tabs>
        <w:ind w:left="567" w:hanging="567"/>
      </w:pPr>
      <w:r>
        <w:t>2.</w:t>
      </w:r>
      <w:r>
        <w:tab/>
      </w:r>
      <w:r>
        <w:t>vor Beginn der Auswertung durch unverzügliche Löschung des Datums nach Absatz 1 Nummer 14 zu anonymisieren, dies gilt nicht im Fall der Auswertung von Reisezeiten zur Optimierung der Netzsteuerung, und</w:t>
      </w:r>
    </w:p>
    <w:p>
      <w:pPr>
        <w:tabs>
          <w:tab w:pos="567" w:val="left"/>
        </w:tabs>
        <w:ind w:left="567" w:hanging="567"/>
      </w:pPr>
      <w:r>
        <w:t>3.</w:t>
      </w:r>
      <w:r>
        <w:tab/>
      </w:r>
      <w:r>
        <w:t>nach vollzogener Anonymisierung gemäß Nummer 2 unverzüglich auszuwerten.</w:t>
      </w:r>
    </w:p>
    <w:p>
      <w:r>
        <w:t xml:space="preserve">(4) </w:t>
      </w:r>
      <w:r>
        <w:rPr>
          <w:rStyle w:val="Satznummer"/>
        </w:rPr>
        <w:t>1</w:t>
      </w:r>
      <w:r>
        <w:t xml:space="preserve">Nach der Auswertung sind die in Absatz 1 genannten Daten unverzüglich zu löschen. </w:t>
      </w:r>
      <w:r>
        <w:rPr>
          <w:rStyle w:val="Satznummer"/>
        </w:rPr>
        <w:t>2</w:t>
      </w:r>
      <w:r>
        <w:t>Das Erstellen von Verkehrsstatistiken gilt als Auswertung.</w:t>
      </w:r>
    </w:p>
    <w:p>
      <w:pPr>
        <w:pStyle w:val="Heading2"/>
      </w:pPr>
      <w:bookmarkStart w:id="127" w:name="b126"/>
      <w:r>
        <w:t>§ 63f Verkehrsunfallforschung, Verordnungsermächtigung</w:t>
      </w:r>
      <w:r>
        <w:t xml:space="preserve"> </w:t>
      </w:r>
      <w:r>
        <w:rPr>
          <w:rStyle w:val="Suchmarke"/>
        </w:rPr>
        <w:t>#63f#</w:t>
      </w:r>
      <w:bookmarkEnd w:id="127"/>
    </w:p>
    <w:p>
      <w:r>
        <w:t>(1) Die Bundesanstalt für Straßen- und Verkehrswesen darf zum Zweck der Verkehrsunfallforschung die folgenden personenbezogenen Daten der Unfallbeteiligten, der Mitfahrer zum Unfallzeitpunkt und der sonstigen Verletzten nach Maßgabe der Absätze 2 und 3 sowie nach näherer Bestimmung durch Rechtsverordnung nach Absatz 4 Nummer 2 erheben, übermitteln, speichern und verwenden:</w:t>
      </w:r>
    </w:p>
    <w:p>
      <w:pPr>
        <w:tabs>
          <w:tab w:pos="567" w:val="left"/>
        </w:tabs>
        <w:ind w:left="567" w:hanging="567"/>
      </w:pPr>
      <w:r>
        <w:t>1.</w:t>
      </w:r>
      <w:r>
        <w:tab/>
      </w:r>
      <w:r>
        <w:t>Vornamen, Name, Anschrift, Telefonnummern, Geburtsdatum, Erreichbarkeit in einer medizinischen Versorgungseinrichtung,</w:t>
      </w:r>
    </w:p>
    <w:p>
      <w:pPr>
        <w:tabs>
          <w:tab w:pos="567" w:val="left"/>
        </w:tabs>
        <w:ind w:left="567" w:hanging="567"/>
      </w:pPr>
      <w:r>
        <w:t>2.</w:t>
      </w:r>
      <w:r>
        <w:tab/>
      </w:r>
      <w:r>
        <w:t>Geschlecht, Familienstand, Nationalität,</w:t>
      </w:r>
    </w:p>
    <w:p>
      <w:pPr>
        <w:tabs>
          <w:tab w:pos="567" w:val="left"/>
        </w:tabs>
        <w:ind w:left="567" w:hanging="567"/>
      </w:pPr>
      <w:r>
        <w:t>3.</w:t>
      </w:r>
      <w:r>
        <w:tab/>
      </w:r>
      <w:r>
        <w:t>folgende Gesundheitsdaten der Verletzten, soweit sie unfallrelevant sind: Körpergröße, Körpergewicht, Statur und Medikation zum Unfallzeitpunkt, Vorerkrankungen, Art und Schwere der erlittenen Einzelverletzungen und deren Folgen, Art und Durchführung der Behandlung,</w:t>
      </w:r>
    </w:p>
    <w:p>
      <w:pPr>
        <w:tabs>
          <w:tab w:pos="567" w:val="left"/>
        </w:tabs>
        <w:ind w:left="567" w:hanging="567"/>
      </w:pPr>
      <w:r>
        <w:t>4.</w:t>
      </w:r>
      <w:r>
        <w:tab/>
      </w:r>
      <w:r>
        <w:t>Einfluss von Medikamenten, Alkohol und anderen berauschenden Mitteln auf Unfallbeteiligte zum Unfallzeitpunkt,</w:t>
      </w:r>
    </w:p>
    <w:p>
      <w:pPr>
        <w:tabs>
          <w:tab w:pos="567" w:val="left"/>
        </w:tabs>
        <w:ind w:left="567" w:hanging="567"/>
      </w:pPr>
      <w:r>
        <w:t>5.</w:t>
      </w:r>
      <w:r>
        <w:tab/>
      </w:r>
      <w:r>
        <w:t>Art der Verkehrsbeteiligung, Position im oder auf dem Fahrzeug, Bekleidung, Körpergröße, Körpergewicht und Statur zum Unfallzeitpunkt,</w:t>
      </w:r>
    </w:p>
    <w:p>
      <w:pPr>
        <w:tabs>
          <w:tab w:pos="567" w:val="left"/>
        </w:tabs>
        <w:ind w:left="567" w:hanging="567"/>
      </w:pPr>
      <w:r>
        <w:t>6.</w:t>
      </w:r>
      <w:r>
        <w:tab/>
      </w:r>
      <w:r>
        <w:t>amtliches Kennzeichen und Fahrzeugidentifikationsnummer der beteiligten Fahrzeuge,</w:t>
      </w:r>
    </w:p>
    <w:p>
      <w:pPr>
        <w:tabs>
          <w:tab w:pos="567" w:val="left"/>
        </w:tabs>
        <w:ind w:left="567" w:hanging="567"/>
      </w:pPr>
      <w:r>
        <w:t>7.</w:t>
      </w:r>
      <w:r>
        <w:tab/>
      </w:r>
      <w:r>
        <w:t>polizeiliche Verkehrsunfallanzeigen, Unfallgutachten von Sachverständigen.</w:t>
      </w:r>
    </w:p>
    <w:p>
      <w:r>
        <w:t xml:space="preserve">(2) </w:t>
      </w:r>
      <w:r>
        <w:rPr>
          <w:rStyle w:val="Satznummer"/>
        </w:rPr>
        <w:t>1</w:t>
      </w:r>
      <w:r>
        <w:t>Eine Erhebung, Übermittlung, Speicherung und Verwendung personenbezogener Straßenverkehrs- und Unfalldaten nach Absatz 1 ist nur zulässig,</w:t>
      </w:r>
    </w:p>
    <w:p>
      <w:pPr>
        <w:tabs>
          <w:tab w:pos="567" w:val="left"/>
        </w:tabs>
        <w:ind w:left="567" w:hanging="567"/>
      </w:pPr>
      <w:r>
        <w:t>1.</w:t>
      </w:r>
      <w:r>
        <w:tab/>
      </w:r>
      <w:r>
        <w:t>soweit dies zur Erfüllung des in Absatz 1 genannten Zwecks erforderlich ist und</w:t>
      </w:r>
    </w:p>
    <w:p>
      <w:pPr>
        <w:tabs>
          <w:tab w:pos="567" w:val="left"/>
        </w:tabs>
        <w:ind w:left="567" w:hanging="567"/>
      </w:pPr>
      <w:r>
        <w:t>2.</w:t>
      </w:r>
      <w:r>
        <w:tab/>
      </w:r>
      <w:r>
        <w:t>soweit eine Einwilligung der betroffenen Person gemäß Artikel 4 Nummer 11 der Verordnung (EU) 2016/679 vorliegt.</w:t>
      </w:r>
    </w:p>
    <w:p>
      <w:r>
        <w:rPr>
          <w:rStyle w:val="Satznummer"/>
        </w:rPr>
        <w:t>2</w:t>
      </w:r>
      <w:r>
        <w:t xml:space="preserve">Die Bundesanstalt für Straßen- und Verkehrswesen darf die personenbezogenen Daten nach Absatz 1 Nummer 1 der jeweils betroffenen Person und die amtlichen Kennzeichen der beteiligten Fahrzeuge zunächst ohne Einwilligung bei der Stelle, die den Unfall aufgenommen hat, erheben sowie die erhobenen Daten speichern und verwenden, um die Einwilligung nach Satz 1 Nummer 2 einzuholen. </w:t>
      </w:r>
      <w:r>
        <w:rPr>
          <w:rStyle w:val="Satznummer"/>
        </w:rPr>
        <w:t>3</w:t>
      </w:r>
      <w:r>
        <w:t>Wird die Einwilligung nicht innerhalb von drei Monaten erteilt oder wird die Einwilligung verweigert, so hat die Bundesanstalt für Straßen- und Verkehrswesen die personenbezogenen Daten der betroffenen Person unverzüglich zu löschen.</w:t>
      </w:r>
    </w:p>
    <w:p>
      <w:r>
        <w:t xml:space="preserve">(3) </w:t>
      </w:r>
      <w:r>
        <w:rPr>
          <w:rStyle w:val="Satznummer"/>
        </w:rPr>
        <w:t>1</w:t>
      </w:r>
      <w:r>
        <w:t xml:space="preserve">Die personenbezogenen Daten nach Absatz 1 dürfen von der Bundesanstalt für Straßen- und Verkehrswesen ausschließlich für den in Absatz 1 genannten Zweck verarbeitet werden und nur zum Zweck der Erhebung weiterer Daten nach Absatz 1 übermittelt werden. </w:t>
      </w:r>
      <w:r>
        <w:rPr>
          <w:rStyle w:val="Satznummer"/>
        </w:rPr>
        <w:t>2</w:t>
      </w:r>
      <w:r>
        <w:t xml:space="preserve">Sie sind unverzüglich nach Erreichen des Erhebungsumfangs in der Unfallakte oder nach sonstiger Beendigung der Erhebung zu anonymisieren. </w:t>
      </w:r>
      <w:r>
        <w:rPr>
          <w:rStyle w:val="Satznummer"/>
        </w:rPr>
        <w:t>3</w:t>
      </w:r>
      <w:r>
        <w:t>Eine Verarbeitung der personenbezogenen Daten durch Dritte zu anderen Zwecken oder eine Beschlagnahme dieser Daten bei der Bundesanstalt für Straßen- und Verkehrswesen nach anderen Rechtsvorschriften ist unzulässig.</w:t>
      </w:r>
    </w:p>
    <w:p>
      <w:r>
        <w:t>(4) Das Bundesministerium für Digitales und Verkehr wird ermächtigt, Rechtsverordnungen zu erlassen über die Verarbeitung von Straßenverkehrs- und Unfalldaten durch die Bundesanstalt für Straßen- und Verkehrswesen zum Zweck der Verkehrsunfallforschung, insbesondere über</w:t>
      </w:r>
    </w:p>
    <w:p>
      <w:pPr>
        <w:tabs>
          <w:tab w:pos="567" w:val="left"/>
        </w:tabs>
        <w:ind w:left="567" w:hanging="567"/>
      </w:pPr>
      <w:r>
        <w:t>1.</w:t>
      </w:r>
      <w:r>
        <w:tab/>
      </w:r>
      <w:r>
        <w:t>die Art und den Umfang der zu verarbeitenden nichtpersonenbezogenen Daten und</w:t>
      </w:r>
    </w:p>
    <w:p>
      <w:pPr>
        <w:tabs>
          <w:tab w:pos="567" w:val="left"/>
        </w:tabs>
        <w:ind w:left="567" w:hanging="567"/>
      </w:pPr>
      <w:r>
        <w:t>2.</w:t>
      </w:r>
      <w:r>
        <w:tab/>
      </w:r>
      <w:r>
        <w:t>die näheren technischen Bestimmungen der Art und Weise der Erhebung und der sonstigen Verarbeitung der personenbezogenen Daten nach Absatz 1.</w:t>
      </w:r>
    </w:p>
    <w:p>
      <w:pPr>
        <w:pStyle w:val="Heading2"/>
      </w:pPr>
      <w:bookmarkStart w:id="128" w:name="b127"/>
      <w:r>
        <w:t>§ 63g Datenverarbeitung zur Kontrolle des ruhenden Verkehrs</w:t>
      </w:r>
      <w:r>
        <w:t xml:space="preserve"> </w:t>
      </w:r>
      <w:r>
        <w:rPr>
          <w:rStyle w:val="Suchmarke"/>
        </w:rPr>
        <w:t>#63g#</w:t>
      </w:r>
      <w:bookmarkEnd w:id="128"/>
    </w:p>
    <w:p>
      <w:r>
        <w:t xml:space="preserve">(1) </w:t>
      </w:r>
      <w:r>
        <w:rPr>
          <w:rStyle w:val="Satznummer"/>
        </w:rPr>
        <w:t>1</w:t>
      </w:r>
      <w:r>
        <w:t xml:space="preserve">Die zuständigen Behörden können bestimmen, dass an Einrichtungen und Vorrichtungen zur Überwachung der Parkzeit das amtliche Kennzeichen des Fahrzeugs anzugeben ist. </w:t>
      </w:r>
      <w:r>
        <w:rPr>
          <w:rStyle w:val="Satznummer"/>
        </w:rPr>
        <w:t>2</w:t>
      </w:r>
      <w:r>
        <w:t>Sie dürfen zum Zweck der Kontrolle der Parkberechtigung folgende Daten bis zu 24 Stunden nach Ende des Geltungszeitraums der Parkberechtigung automatisiert speichern:</w:t>
      </w:r>
    </w:p>
    <w:p>
      <w:pPr>
        <w:tabs>
          <w:tab w:pos="567" w:val="left"/>
        </w:tabs>
        <w:ind w:left="567" w:hanging="567"/>
      </w:pPr>
      <w:r>
        <w:t>1.</w:t>
      </w:r>
      <w:r>
        <w:tab/>
      </w:r>
      <w:r>
        <w:t>das angegebene Kennzeichen und</w:t>
      </w:r>
    </w:p>
    <w:p>
      <w:pPr>
        <w:tabs>
          <w:tab w:pos="567" w:val="left"/>
        </w:tabs>
        <w:ind w:left="567" w:hanging="567"/>
      </w:pPr>
      <w:r>
        <w:t>2.</w:t>
      </w:r>
      <w:r>
        <w:tab/>
      </w:r>
      <w:r>
        <w:t>den Geltungsbereich und den Geltungszeitraum der Parkberechtigung.</w:t>
      </w:r>
    </w:p>
    <w:p>
      <w:r>
        <w:rPr>
          <w:rStyle w:val="Satznummer"/>
        </w:rPr>
        <w:t>3</w:t>
      </w:r>
      <w:r>
        <w:t>Die nach Satz 2 gespeicherten Daten sowie die im Rahmen der Erteilung dauerhafter Parkberechtigungen gespeicherten amtlichen Kennzeichen und die Geltungsbereiche und Geltungszeiträume der damit jeweils verbundenen Parkberechtigungen dürfen von den zuständigen Behörden verarbeitet werden, soweit es zur Kontrolle der Parkberechtigung erforderlich ist.</w:t>
      </w:r>
    </w:p>
    <w:p>
      <w:r>
        <w:t xml:space="preserve">(2) </w:t>
      </w:r>
      <w:r>
        <w:rPr>
          <w:rStyle w:val="Satznummer"/>
        </w:rPr>
        <w:t>1</w:t>
      </w:r>
      <w:r>
        <w:t>Die zuständigen Behörden dürfen im Rahmen einer stichprobenartigen Überwachung des ruhenden Verkehrs mittels mobiler optisch-elektronischer Einrichtungen (Videokontrolle) folgende Daten zum Zweck der Kontrolle der Parkberechtigung automatisiert erheben, übermitteln und speichern:</w:t>
      </w:r>
    </w:p>
    <w:p>
      <w:pPr>
        <w:tabs>
          <w:tab w:pos="567" w:val="left"/>
        </w:tabs>
        <w:ind w:left="567" w:hanging="567"/>
      </w:pPr>
      <w:r>
        <w:t>1.</w:t>
      </w:r>
      <w:r>
        <w:tab/>
      </w:r>
      <w:r>
        <w:t>Bilder des Fahrzeuges, seines amtlichen Kennzeichens und seiner unmittelbaren Umgebung, sofern bei Erstellung der Aufnahmen alle anderen personenbezogenen Daten, insbesondere erkennbare Personen und weitere amtliche Kennzeichen, nach dem Stand der Technik automatisiert unkenntlich gemacht werden,</w:t>
      </w:r>
    </w:p>
    <w:p>
      <w:pPr>
        <w:tabs>
          <w:tab w:pos="567" w:val="left"/>
        </w:tabs>
        <w:ind w:left="567" w:hanging="567"/>
      </w:pPr>
      <w:r>
        <w:t>2.</w:t>
      </w:r>
      <w:r>
        <w:tab/>
      </w:r>
      <w:r>
        <w:t>den Standort des Fahrzeugs,</w:t>
      </w:r>
    </w:p>
    <w:p>
      <w:pPr>
        <w:tabs>
          <w:tab w:pos="567" w:val="left"/>
        </w:tabs>
        <w:ind w:left="567" w:hanging="567"/>
      </w:pPr>
      <w:r>
        <w:t>3.</w:t>
      </w:r>
      <w:r>
        <w:tab/>
      </w:r>
      <w:r>
        <w:t>das Datum und die Uhrzeit der Kontrolle.</w:t>
      </w:r>
    </w:p>
    <w:p>
      <w:r>
        <w:rPr>
          <w:rStyle w:val="Satznummer"/>
        </w:rPr>
        <w:t>2</w:t>
      </w:r>
      <w:r>
        <w:t xml:space="preserve">Die nach Satz 1 gespeicherten Daten sind nach der Erhebung unverzüglich automatisiert mit den Daten nach Absatz 1 Satz 2 und 3 abzugleichen und sofort automatisiert zu löschen, wenn der Abgleich zum Ergebnis hat, dass eine Parkberechtigung besteht. </w:t>
      </w:r>
      <w:r>
        <w:rPr>
          <w:rStyle w:val="Satznummer"/>
        </w:rPr>
        <w:t>3</w:t>
      </w:r>
      <w:r>
        <w:t xml:space="preserve">Ergibt der Abgleich nach Satz 2 keine Parkberechtigung und wird das Fehlen einer Parkberechtigung mittels Sichtkontrolle des Fahrzeugs durch eine Überwachungskraft innerhalb von 24 Stunden bestätigt, so dürfen die nach Satz 1 gespeicherten Daten und das Ergebnis des Abgleichs zum Zweck der Verfolgung entsprechender Verkehrsordnungswidrigkeiten weiterverarbeitet werden. </w:t>
      </w:r>
      <w:r>
        <w:rPr>
          <w:rStyle w:val="Satznummer"/>
        </w:rPr>
        <w:t>4</w:t>
      </w:r>
      <w:r>
        <w:t xml:space="preserve">Anderenfalls sind die nach Satz 1 gespeicherten Daten und das Ergebnis des Abgleichs spätestens 24 Stunden nach dem Abgleich automatisiert zu löschen. </w:t>
      </w:r>
      <w:r>
        <w:rPr>
          <w:rStyle w:val="Satznummer"/>
        </w:rPr>
        <w:t>5</w:t>
      </w:r>
      <w:r>
        <w:t>Einer Sichtkontrolle nach Satz 3 bedarf es nicht, wenn sichergestellt ist, dass sich der Abgleich nach Satz 2 auf alle in Betracht kommenden Parkberechtigungen erstreckt.</w:t>
      </w:r>
    </w:p>
    <w:p>
      <w:r>
        <w:t xml:space="preserve">(3) </w:t>
      </w:r>
      <w:r>
        <w:rPr>
          <w:rStyle w:val="Satznummer"/>
        </w:rPr>
        <w:t>1</w:t>
      </w:r>
      <w:r>
        <w:t xml:space="preserve">Die zuständigen Behörden dürfen im Rahmen einer stichprobenartigen Überwachung des ruhenden Verkehrs zur automatisierten Ermittlung von Fahrzeugen, die unzulässig an einem Ort oder in einer Weise halten oder parken, die unabhängig von einer Parkberechtigung regelwidrig ist, Videokontrolle einsetzen. </w:t>
      </w:r>
      <w:r>
        <w:rPr>
          <w:rStyle w:val="Satznummer"/>
        </w:rPr>
        <w:t>2</w:t>
      </w:r>
      <w:r>
        <w:t>Ergibt die Videokontrolle hinreichend sicher einen Verstoß nach Satz 1, so dürfen folgende Daten zum Zweck der Verfolgung entsprechender Verkehrsordnungswidrigkeiten automatisiert verarbeitet werden:</w:t>
      </w:r>
    </w:p>
    <w:p>
      <w:pPr>
        <w:tabs>
          <w:tab w:pos="567" w:val="left"/>
        </w:tabs>
        <w:ind w:left="567" w:hanging="567"/>
      </w:pPr>
      <w:r>
        <w:t>1.</w:t>
      </w:r>
      <w:r>
        <w:tab/>
      </w:r>
      <w:r>
        <w:t>Bilder des Fahrzeugs, seines amtlichen Kennzeichens und seiner unmittelbaren Umgebung, sofern bei Erstellung der Aufnahmen alle anderen personenbezogenen Daten, insbesondere erkennbare Personen und weitere amtliche Kennzeichen, nach dem Stand der Technik automatisiert unkenntlich gemacht werden,</w:t>
      </w:r>
    </w:p>
    <w:p>
      <w:pPr>
        <w:tabs>
          <w:tab w:pos="567" w:val="left"/>
        </w:tabs>
        <w:ind w:left="567" w:hanging="567"/>
      </w:pPr>
      <w:r>
        <w:t>2.</w:t>
      </w:r>
      <w:r>
        <w:tab/>
      </w:r>
      <w:r>
        <w:t>der Standort des Fahrzeugs,</w:t>
      </w:r>
    </w:p>
    <w:p>
      <w:pPr>
        <w:tabs>
          <w:tab w:pos="567" w:val="left"/>
        </w:tabs>
        <w:ind w:left="567" w:hanging="567"/>
      </w:pPr>
      <w:r>
        <w:t>3.</w:t>
      </w:r>
      <w:r>
        <w:tab/>
      </w:r>
      <w:r>
        <w:t>das Datum und die Uhrzeit der Kontrolle.</w:t>
      </w:r>
    </w:p>
    <w:p>
      <w:r>
        <w:rPr>
          <w:rStyle w:val="Satznummer"/>
        </w:rPr>
        <w:t>3</w:t>
      </w:r>
      <w:r>
        <w:t xml:space="preserve">Ergibt die Videokontrolle lediglich Anhaltspunkte für einen Verstoß nach Satz 1, die erst durch erneute Videokontrolle mit zeitlichem Abstand oder durch Kontrolle einer Überwachungskraft bestätigt werden können, so dürfen die Daten nach Satz 2 mit der Maßgabe erhoben und gespeichert werden, dass das Kennzeichen des betroffenen Fahrzeugs unkenntlich zu machen ist; ein nach dem Stand der Technik erzeugter Hash-Wert des Kennzeichens darf gespeichert werden. </w:t>
      </w:r>
      <w:r>
        <w:rPr>
          <w:rStyle w:val="Satznummer"/>
        </w:rPr>
        <w:t>4</w:t>
      </w:r>
      <w:r>
        <w:t xml:space="preserve">Bestätigt sich innerhalb von 24 Stunden nach der Videokontrolle durch erneute Videokontrolle oder durch Kontrolle einer Überwachungskraft ein Verstoß nach Satz 1, so dürfen die Daten nach den Sätzen 2 und 3 zum Zweck der Verfolgung entsprechender Verkehrsordnungswidrigkeiten weiterverarbeitet werden. </w:t>
      </w:r>
      <w:r>
        <w:rPr>
          <w:rStyle w:val="Satznummer"/>
        </w:rPr>
        <w:t>5</w:t>
      </w:r>
      <w:r>
        <w:t>Anderenfalls sind sie spätestens 24 Stunden nach der Erhebung automatisiert zu löschen.</w:t>
      </w:r>
    </w:p>
    <w:p>
      <w:r>
        <w:t xml:space="preserve">(4) </w:t>
      </w:r>
      <w:r>
        <w:rPr>
          <w:rStyle w:val="Satznummer"/>
        </w:rPr>
        <w:t>1</w:t>
      </w:r>
      <w:r>
        <w:t xml:space="preserve">Die zuständigen Behörden haben über die Abrufe der in Absatz 1 Satz 2 und 3 genannten Daten Aufzeichnungen zu fertigen, welche die bei der Durchführung der Abrufe verwendeten Daten, den Tag und die Uhrzeit der Abrufe, die Kennung der abrufenden Dienststelle und die abgerufenen Daten enthalten müssen. </w:t>
      </w:r>
      <w:r>
        <w:rPr>
          <w:rStyle w:val="Satznummer"/>
        </w:rPr>
        <w:t>2</w:t>
      </w:r>
      <w:r>
        <w:t xml:space="preserve">Die zuständigen Behörden haben über die Erhebung, Kombination und Löschung von Daten nach Absatz 2 Satz 1, 2 und 4 sowie nach Absatz 3 Satz 2, 3 und 5 Aufzeichnungen zu fertigen, die das amtliche Kennzeichen oder im Fall von Absatz 3 Satz 3 den Hash-Wert des Kennzeichens, den Standort des Fahrzeugs und das Datum und die Uhrzeit des Verarbeitungsvorgangs enthalten müssen. </w:t>
      </w:r>
      <w:r>
        <w:rPr>
          <w:rStyle w:val="Satznummer"/>
        </w:rPr>
        <w:t>3</w:t>
      </w:r>
      <w:r>
        <w:t xml:space="preserve">Die protokollierten Daten dürfen nur für Zwecke der Datenschutzkontrolle, der Datensicherung oder zur Sicherstellung eines ordnungsgemäßen Betriebs der Datenverarbeitungsanlage verwendet werden. </w:t>
      </w:r>
      <w:r>
        <w:rPr>
          <w:rStyle w:val="Satznummer"/>
        </w:rPr>
        <w:t>4</w:t>
      </w:r>
      <w:r>
        <w:t>Die Protokolldaten sind durch technische und organisatorische Vorkehrungen gegen zweckfremde Verwendung und gegen sonstigen Missbrauch zu schützen und nach 30 Tagen zu löschen.</w:t>
      </w:r>
    </w:p>
    <w:p>
      <w:r>
        <w:t xml:space="preserve">(5) </w:t>
      </w:r>
      <w:r>
        <w:rPr>
          <w:rStyle w:val="Satznummer"/>
        </w:rPr>
        <w:t>1</w:t>
      </w:r>
      <w:r>
        <w:t xml:space="preserve">Eine verdeckte Durchführung der Videokontrolle nach den Absätzen 2 und 3 ist unzulässig. </w:t>
      </w:r>
      <w:r>
        <w:rPr>
          <w:rStyle w:val="Satznummer"/>
        </w:rPr>
        <w:t>2</w:t>
      </w:r>
      <w:r>
        <w:t>Sowohl die überwachten Gebiete als auch die Durchführung der Videokontrollen einschließlich der dazu eingesetzten Fahrzeuge sind als solche kenntlich zu machen.</w:t>
      </w:r>
    </w:p>
    <w:p>
      <w:r>
        <w:t xml:space="preserve">(6) </w:t>
      </w:r>
      <w:r>
        <w:rPr>
          <w:rStyle w:val="Satznummer"/>
        </w:rPr>
        <w:t>1</w:t>
      </w:r>
      <w:r>
        <w:t xml:space="preserve">Die Verarbeitung der nach den Absätzen 1 bis 4 gespeicherten Daten für andere Zwecke oder zur Profilbildung sowie die Beschlagnahme der Daten nach anderen Rechtsvorschriften sind unzulässig. </w:t>
      </w:r>
      <w:r>
        <w:rPr>
          <w:rStyle w:val="Satznummer"/>
        </w:rPr>
        <w:t>2</w:t>
      </w:r>
      <w:r>
        <w:t>Nach dieser Vorschrift gespeicherte Daten dürfen in anonymisierter Form für statistische Zwecke und für Zwecke des Verkehrsmanagements verwendet werden.</w:t>
      </w:r>
    </w:p>
    <w:p>
      <w:pPr>
        <w:pStyle w:val="Heading1"/>
      </w:pPr>
      <w:bookmarkStart w:id="129" w:name="b128"/>
      <w:r>
        <w:t>VII. Gemeinsame Vorschriften, Übergangsbestimmungen</w:t>
      </w:r>
      <w:bookmarkEnd w:id="129"/>
    </w:p>
    <w:p>
      <w:pPr>
        <w:pStyle w:val="Heading2"/>
      </w:pPr>
      <w:bookmarkStart w:id="130" w:name="b129"/>
      <w:r>
        <w:t>§ 64 Gemeinsame Vorschriften</w:t>
      </w:r>
      <w:r>
        <w:t xml:space="preserve"> </w:t>
      </w:r>
      <w:r>
        <w:rPr>
          <w:rStyle w:val="Suchmarke"/>
        </w:rPr>
        <w:t>#64#</w:t>
      </w:r>
      <w:bookmarkEnd w:id="130"/>
    </w:p>
    <w:p>
      <w:r>
        <w:t xml:space="preserve">(1) </w:t>
      </w:r>
      <w:r>
        <w:rPr>
          <w:rStyle w:val="Satznummer"/>
        </w:rPr>
        <w:t>1</w:t>
      </w:r>
      <w:r>
        <w:t>Die Meldebehörden haben dem Kraftfahrt-Bundesamt bei der Änderung des Geburtsnamens oder des Vornamens einer Person, die das 14. Lebensjahr vollendet hat, für den in Satz 2 genannten Zweck neben dem bisherigen Namen folgende weitere Daten zu übermitteln:</w:t>
      </w:r>
    </w:p>
    <w:p>
      <w:pPr>
        <w:tabs>
          <w:tab w:pos="567" w:val="left"/>
        </w:tabs>
        <w:ind w:left="567" w:hanging="567"/>
      </w:pPr>
      <w:r>
        <w:t>1.</w:t>
      </w:r>
      <w:r>
        <w:tab/>
      </w:r>
      <w:r>
        <w:t>Geburtsname,</w:t>
      </w:r>
    </w:p>
    <w:p>
      <w:pPr>
        <w:tabs>
          <w:tab w:pos="567" w:val="left"/>
        </w:tabs>
        <w:ind w:left="567" w:hanging="567"/>
      </w:pPr>
      <w:r>
        <w:t>2.</w:t>
      </w:r>
      <w:r>
        <w:tab/>
      </w:r>
      <w:r>
        <w:t>Familienname,</w:t>
      </w:r>
    </w:p>
    <w:p>
      <w:pPr>
        <w:tabs>
          <w:tab w:pos="567" w:val="left"/>
        </w:tabs>
        <w:ind w:left="567" w:hanging="567"/>
      </w:pPr>
      <w:r>
        <w:t>3.</w:t>
      </w:r>
      <w:r>
        <w:tab/>
      </w:r>
      <w:r>
        <w:t>Vornamen,</w:t>
      </w:r>
    </w:p>
    <w:p>
      <w:pPr>
        <w:tabs>
          <w:tab w:pos="567" w:val="left"/>
        </w:tabs>
        <w:ind w:left="567" w:hanging="567"/>
      </w:pPr>
      <w:r>
        <w:t>4.</w:t>
      </w:r>
      <w:r>
        <w:tab/>
      </w:r>
      <w:r>
        <w:t>Tag der Geburt,</w:t>
      </w:r>
    </w:p>
    <w:p>
      <w:pPr>
        <w:tabs>
          <w:tab w:pos="567" w:val="left"/>
        </w:tabs>
        <w:ind w:left="567" w:hanging="567"/>
      </w:pPr>
      <w:r>
        <w:t>5.</w:t>
      </w:r>
      <w:r>
        <w:tab/>
      </w:r>
      <w:r>
        <w:t>Geburtsort,</w:t>
      </w:r>
    </w:p>
    <w:p>
      <w:pPr>
        <w:tabs>
          <w:tab w:pos="567" w:val="left"/>
        </w:tabs>
        <w:ind w:left="567" w:hanging="567"/>
      </w:pPr>
      <w:r>
        <w:t>6.</w:t>
      </w:r>
      <w:r>
        <w:tab/>
      </w:r>
      <w:r>
        <w:t>Geschlecht,</w:t>
      </w:r>
    </w:p>
    <w:p>
      <w:pPr>
        <w:tabs>
          <w:tab w:pos="567" w:val="left"/>
        </w:tabs>
        <w:ind w:left="567" w:hanging="567"/>
      </w:pPr>
      <w:r>
        <w:t>7.</w:t>
      </w:r>
      <w:r>
        <w:tab/>
      </w:r>
      <w:r>
        <w:t>Bezeichnung der Behörde, die die Namensänderung im Melderegister veranlasst hat, sowie</w:t>
      </w:r>
    </w:p>
    <w:p>
      <w:pPr>
        <w:tabs>
          <w:tab w:pos="567" w:val="left"/>
        </w:tabs>
        <w:ind w:left="567" w:hanging="567"/>
      </w:pPr>
      <w:r>
        <w:t>8.</w:t>
      </w:r>
      <w:r>
        <w:tab/>
      </w:r>
      <w:r>
        <w:t>Datum und Aktenzeichen des zugrunde liegenden Rechtsakts.</w:t>
      </w:r>
    </w:p>
    <w:p>
      <w:r>
        <w:rPr>
          <w:rStyle w:val="Satznummer"/>
        </w:rPr>
        <w:t>2</w:t>
      </w:r>
      <w:r>
        <w:t xml:space="preserve">Enthält das Fahreignungsregister oder das Zentrale Fahrerlaubnisregister eine Eintragung über diese Person, so ist der neue Name bei der Eintragung zu vermerken. </w:t>
      </w:r>
      <w:r>
        <w:rPr>
          <w:rStyle w:val="Satznummer"/>
        </w:rPr>
        <w:t>3</w:t>
      </w:r>
      <w:r>
        <w:t xml:space="preserve">Eine Mitteilung nach Satz 1 darf nur für den in Satz 2 genannten Zweck verwendet werden. </w:t>
      </w:r>
      <w:r>
        <w:rPr>
          <w:rStyle w:val="Satznummer"/>
        </w:rPr>
        <w:t>4</w:t>
      </w:r>
      <w:r>
        <w:t>Enthalten die Register keine Eintragung über diese Person, ist die Mitteilung vom Kraftfahrt-Bundesamt unverzüglich zu vernichten.</w:t>
      </w:r>
    </w:p>
    <w:p>
      <w:r>
        <w:t>(2) Unbeschadet anderer landesrechtlicher Regelungen können durch Landesrecht Aufgaben der Zulassung von Kraftfahrzeugen auf die für das Meldewesen zuständigen Behörden übertragen werden, sofern kein neues Kennzeichen erteilt werden muss oder sich die technischen Daten des Fahrzeugs nicht ändern.</w:t>
      </w:r>
    </w:p>
    <w:p>
      <w:r>
        <w:t>(3) Die Vorschriften der Abschnitte IV bis VI sind für den Zugang zu amtlichen Informationen abschließend.</w:t>
      </w:r>
    </w:p>
    <w:p>
      <w:pPr>
        <w:pStyle w:val="Heading2"/>
      </w:pPr>
      <w:bookmarkStart w:id="131" w:name="b130"/>
      <w:r>
        <w:t>§ 65 Übergangsbestimmungen</w:t>
      </w:r>
      <w:r>
        <w:t xml:space="preserve"> </w:t>
      </w:r>
      <w:r>
        <w:rPr>
          <w:rStyle w:val="Suchmarke"/>
        </w:rPr>
        <w:t>#65#</w:t>
      </w:r>
      <w:bookmarkEnd w:id="131"/>
    </w:p>
    <w:p>
      <w:r>
        <w:t xml:space="preserve">(1) </w:t>
      </w:r>
      <w:r>
        <w:rPr>
          <w:rStyle w:val="Satznummer"/>
        </w:rPr>
        <w:t>1</w:t>
      </w:r>
      <w:r>
        <w:t xml:space="preserve">Registerauskünfte, Führungszeugnisse, Gutachten und Gesundheitszeugnisse, die sich am 1. Januar 1999 bereits in den Akten befinden, brauchen abweichend von </w:t>
      </w:r>
      <w:hyperlink w:anchor="b14" w:history="1">
        <w:r>
          <w:rPr>
            <w:color w:val="0A3A8C"/>
            <w:u w:val="single"/>
          </w:rPr>
          <w:t xml:space="preserve">§ 2</w:t>
        </w:r>
      </w:hyperlink>
      <w:r>
        <w:t xml:space="preserve"> Abs. 9 Satz 2 bis 4 erst dann vernichtet zu werden, wenn sich die Fahrerlaubnisbehörde aus anderem Anlass mit dem Vorgang befasst. </w:t>
      </w:r>
      <w:r>
        <w:rPr>
          <w:rStyle w:val="Satznummer"/>
        </w:rPr>
        <w:t>2</w:t>
      </w:r>
      <w:r>
        <w:t xml:space="preserve">Eine Überprüfung der Akten muss jedoch spätestens bis zum 1. Januar 2014 durchgeführt werden. </w:t>
      </w:r>
      <w:r>
        <w:rPr>
          <w:rStyle w:val="Satznummer"/>
        </w:rPr>
        <w:t>3</w:t>
      </w:r>
      <w:r>
        <w:t>Anstelle einer Vernichtung der Unterlagen sind die darin enthaltenen Daten zu sperren, wenn die Vernichtung wegen der besonderen Art der Führung der Akten nicht oder nur mit unverhältnismäßigem Aufwand möglich ist.</w:t>
      </w:r>
    </w:p>
    <w:p>
      <w:r>
        <w:t xml:space="preserve">(2) </w:t>
      </w:r>
      <w:r>
        <w:rPr>
          <w:rStyle w:val="Satznummer"/>
        </w:rPr>
        <w:t>1</w:t>
      </w:r>
      <w:r>
        <w:t>Ein örtliches Fahrerlaubnisregister (</w:t>
      </w:r>
      <w:hyperlink w:anchor="b104" w:history="1">
        <w:r>
          <w:rPr>
            <w:color w:val="0A3A8C"/>
            <w:u w:val="single"/>
          </w:rPr>
          <w:t xml:space="preserve">§ 48</w:t>
        </w:r>
      </w:hyperlink>
      <w:r>
        <w:t xml:space="preserve"> Abs. 1) darf nicht mehr geführt werden, sobald</w:t>
      </w:r>
    </w:p>
    <w:p>
      <w:pPr>
        <w:tabs>
          <w:tab w:pos="567" w:val="left"/>
        </w:tabs>
        <w:ind w:left="567" w:hanging="567"/>
      </w:pPr>
      <w:r>
        <w:t>1.</w:t>
      </w:r>
      <w:r>
        <w:tab/>
      </w:r>
      <w:r>
        <w:t xml:space="preserve">sein Datenbestand mit den in </w:t>
      </w:r>
      <w:hyperlink w:anchor="b106" w:history="1">
        <w:r>
          <w:rPr>
            <w:color w:val="0A3A8C"/>
            <w:u w:val="single"/>
          </w:rPr>
          <w:t xml:space="preserve">§ 50</w:t>
        </w:r>
      </w:hyperlink>
      <w:r>
        <w:t xml:space="preserve"> Abs. 1 genannten Daten in das Zentrale Fahrerlaubnisregister übernommen worden ist,</w:t>
      </w:r>
    </w:p>
    <w:p>
      <w:pPr>
        <w:tabs>
          <w:tab w:pos="567" w:val="left"/>
        </w:tabs>
        <w:ind w:left="567" w:hanging="567"/>
      </w:pPr>
      <w:r>
        <w:t>2.</w:t>
      </w:r>
      <w:r>
        <w:tab/>
      </w:r>
      <w:r>
        <w:t>die getroffenen Maßnahmen der Fahrerlaubnisbehörde nach § 2a Abs. 2 und § 4 Absatz 5 in das Fahreignungsregister übernommen worden sind und</w:t>
      </w:r>
    </w:p>
    <w:p>
      <w:pPr>
        <w:tabs>
          <w:tab w:pos="567" w:val="left"/>
        </w:tabs>
        <w:ind w:left="567" w:hanging="567"/>
      </w:pPr>
      <w:r>
        <w:t>3.</w:t>
      </w:r>
      <w:r>
        <w:tab/>
      </w:r>
      <w:r>
        <w:t>der Fahrerlaubnisbehörde die Daten, die ihr nach § 30 Abs. 1 Nr. 3 und § 52 Abs. 1 Nr. 3 aus den zentralen Registern mitgeteilt werden dürfen, durch Abruf im automatisierten Verfahren mitgeteilt werden können.</w:t>
      </w:r>
    </w:p>
    <w:p>
      <w:r>
        <w:rPr>
          <w:rStyle w:val="Satznummer"/>
        </w:rPr>
        <w:t>2</w:t>
      </w:r>
      <w:r>
        <w:t xml:space="preserve">Die Fahrerlaubnisbehörden löschen aus ihrem örtlichen Fahrerlaubnisregister spätestens bis zum 31. Dezember 2014 die im Zentralen Fahrerlaubnisregister gespeicherten Daten, nachdem sie sich von der Vollständigkeit und Richtigkeit der in das Zentrale Fahrerlaubnisregister übernommenen Einträge überzeugt haben. </w:t>
      </w:r>
      <w:r>
        <w:rPr>
          <w:rStyle w:val="Satznummer"/>
        </w:rPr>
        <w:t>3</w:t>
      </w:r>
      <w:r>
        <w:t xml:space="preserve">Die noch nicht im Zentralen Fahrerlaubnisregister gespeicherten Daten der Fahrerlaubnisbehörden werden bis zur jeweiligen Übernahme im örtlichen Register gespeichert. </w:t>
      </w:r>
      <w:r>
        <w:rPr>
          <w:rStyle w:val="Satznummer"/>
        </w:rPr>
        <w:t>4</w:t>
      </w:r>
      <w:r>
        <w:t xml:space="preserve">Maßnahmen der Fahrerlaubnisbehörde nach </w:t>
      </w:r>
      <w:hyperlink w:anchor="b15" w:history="1">
        <w:r>
          <w:rPr>
            <w:color w:val="0A3A8C"/>
            <w:u w:val="single"/>
          </w:rPr>
          <w:t xml:space="preserve">§ 2a</w:t>
        </w:r>
      </w:hyperlink>
      <w:r>
        <w:t xml:space="preserve"> Abs. 2 Satz 1 Nr. 1 und 2 und </w:t>
      </w:r>
      <w:hyperlink w:anchor="b19" w:history="1">
        <w:r>
          <w:rPr>
            <w:color w:val="0A3A8C"/>
            <w:u w:val="single"/>
          </w:rPr>
          <w:t xml:space="preserve">§ 4</w:t>
        </w:r>
      </w:hyperlink>
      <w:r>
        <w:t xml:space="preserve"> Absatz 5 Satz 1 Nr. 1 und 2 werden erst dann im Fahreignungsregister gespeichert, wenn eine Speicherung im örtlichen Fahrerlaubnisregister nicht mehr vorgenommen wird.</w:t>
      </w:r>
    </w:p>
    <w:p>
      <w:r>
        <w:t>(2a) Absatz 2 ist nicht auf die Daten anzuwenden, die vor dem 1. Januar 1999 in örtlichen Fahrerlaubnisregistern gespeichert worden sind.</w:t>
      </w:r>
    </w:p>
    <w:p>
      <w:r>
        <w:t>(3) Die Regelungen über das Verkehrszentralregister und das Punktsystem werden in die Regelungen über das Fahreignungsregister und das Fahreignungs-Bewertungssystem nach folgenden Maßgaben überführt:</w:t>
      </w:r>
    </w:p>
    <w:p>
      <w:pPr>
        <w:tabs>
          <w:tab w:pos="567" w:val="left"/>
        </w:tabs>
        <w:ind w:left="567" w:hanging="567"/>
      </w:pPr>
      <w:r>
        <w:t>1.</w:t>
      </w:r>
      <w:r>
        <w:tab/>
      </w:r>
      <w:r>
        <w:t xml:space="preserve">Entscheidungen, die nach § 28 Absatz 3 in der bis zum Ablauf des 30. April 2014 anwendbaren Fassung im Verkehrszentralregister gespeichert worden sind und nach § 28 Absatz 3 in der ab dem 1. Mai 2014 anwendbaren Fassung nicht mehr zu speichern wären, werden am 1. Mai 2014 gelöscht. </w:t>
      </w:r>
      <w:r>
        <w:rPr>
          <w:rStyle w:val="Satznummer"/>
        </w:rPr>
        <w:t>2</w:t>
      </w:r>
      <w:r>
        <w:t>Für die Feststellung nach Satz 1, ob eine Entscheidung nach § 28 Absatz 3 in der ab dem 1. Mai 2014 anwendbaren Fassung nicht mehr zu speichern wäre, bleibt die Höhe der festgesetzten Geldbuße außer Betracht.</w:t>
      </w:r>
    </w:p>
    <w:p>
      <w:pPr>
        <w:tabs>
          <w:tab w:pos="567" w:val="left"/>
        </w:tabs>
        <w:ind w:left="567" w:hanging="567"/>
      </w:pPr>
      <w:r>
        <w:t>2.</w:t>
      </w:r>
      <w:r>
        <w:tab/>
      </w:r>
      <w:r>
        <w:t xml:space="preserve">Entscheidungen, die nach § 28 Absatz 3 in der bis zum Ablauf des 30. April 2014 anwendbaren Fassung im Verkehrszentralregister gespeichert worden und nicht von Nummer 1 erfasst sind, werden bis zum Ablauf des 30. April 2019 nach den Bestimmungen des § 29 in der bis zum Ablauf des 30. April 2014 anwendbaren Fassung getilgt und gelöscht. </w:t>
      </w:r>
      <w:r>
        <w:rPr>
          <w:rStyle w:val="Satznummer"/>
        </w:rPr>
        <w:t>2</w:t>
      </w:r>
      <w:r>
        <w:t xml:space="preserve">Dabei kann eine Ablaufhemmung nach § 29 Absatz 6 Satz 2 in der bis zum Ablauf des 30. April 2014 anwendbaren Fassung nicht durch Entscheidungen, die erst ab dem 1. Mai 2014 im Fahreignungsregister gespeichert werden, ausgelöst werden. </w:t>
      </w:r>
      <w:r>
        <w:rPr>
          <w:rStyle w:val="Satznummer"/>
        </w:rPr>
        <w:t>3</w:t>
      </w:r>
      <w:r>
        <w:t xml:space="preserve">Für Entscheidungen wegen Ordnungswidrigkeiten nach </w:t>
      </w:r>
      <w:hyperlink w:anchor="b60" w:history="1">
        <w:r>
          <w:rPr>
            <w:color w:val="0A3A8C"/>
            <w:u w:val="single"/>
          </w:rPr>
          <w:t xml:space="preserve">§ 24a</w:t>
        </w:r>
      </w:hyperlink>
      <w:r>
        <w:t xml:space="preserve"> gilt Satz 1 mit der Maßgabe, dass sie spätestens fünf Jahre nach Rechtskraft der Entscheidung getilgt werden. </w:t>
      </w:r>
      <w:r>
        <w:rPr>
          <w:rStyle w:val="Satznummer"/>
        </w:rPr>
        <w:t>4</w:t>
      </w:r>
      <w:r>
        <w:t>Ab dem 1. Mai 2019 gilt</w:t>
      </w:r>
    </w:p>
    <w:p>
      <w:pPr>
        <w:tabs>
          <w:tab w:pos="1134" w:val="left"/>
        </w:tabs>
        <w:ind w:left="1134" w:hanging="567"/>
      </w:pPr>
      <w:r>
        <w:t>a)</w:t>
      </w:r>
      <w:r>
        <w:tab/>
      </w:r>
      <w:r>
        <w:t>für die Berechnung der Tilgungsfrist § 29 Absatz 1 bis 5 in der ab dem 1. Mai 2014 anwendbaren Fassung mit der Maßgabe, dass die nach Satz 1 bisher abgelaufene Tilgungsfrist angerechnet wird,</w:t>
      </w:r>
    </w:p>
    <w:p>
      <w:pPr>
        <w:tabs>
          <w:tab w:pos="1134" w:val="left"/>
        </w:tabs>
        <w:ind w:left="1134" w:hanging="567"/>
      </w:pPr>
      <w:r>
        <w:t>b)</w:t>
      </w:r>
      <w:r>
        <w:tab/>
      </w:r>
      <w:r>
        <w:t>für die Löschung § 29 Absatz 6 in der ab dem 1. Mai 2014 anwendbaren Fassung.</w:t>
      </w:r>
    </w:p>
    <w:p>
      <w:pPr>
        <w:tabs>
          <w:tab w:pos="567" w:val="left"/>
        </w:tabs>
        <w:ind w:left="567" w:hanging="567"/>
      </w:pPr>
      <w:r>
        <w:t>3.</w:t>
      </w:r>
      <w:r>
        <w:tab/>
      </w:r>
      <w:r>
        <w:t xml:space="preserve">Auf Entscheidungen, die bis zum Ablauf des 30. April 2014 begangene Zuwiderhandlungen ahnden und erst ab dem 1. Mai 2014 im Fahreignungsregister gespeichert werden, sind dieses Gesetz und die auf Grund des § 6 Absatz 1 Nummer 1 Buchstabe s in der bis zum 27. Juli 2021 geltenden Fassung erlassenen Rechtsverordnungen in der ab dem 1. Mai 2014 geltenden Fassung anzuwenden. </w:t>
      </w:r>
      <w:r>
        <w:rPr>
          <w:rStyle w:val="Satznummer"/>
        </w:rPr>
        <w:t>2</w:t>
      </w:r>
      <w:r>
        <w:t>Dabei sind § 28 Absatz 3 Nummer 3 Buchstabe a Doppelbuchstabe bb und § 28a in der ab dem 1. Mai 2014 geltenden Fassung mit der Maßgabe anzuwenden, dass jeweils anstelle der dortigen Grenze von sechzig Euro die Grenze von vierzig Euro gilt.</w:t>
      </w:r>
    </w:p>
    <w:p>
      <w:pPr>
        <w:tabs>
          <w:tab w:pos="567" w:val="left"/>
        </w:tabs>
        <w:ind w:left="567" w:hanging="567"/>
      </w:pPr>
      <w:r>
        <w:t>4.</w:t>
      </w:r>
      <w:r>
        <w:tab/>
      </w:r>
      <w:r>
        <w:t>Personen, zu denen bis zum Ablauf des 30. April 2014 im Verkehrszentralregister eine oder mehrere Entscheidungen nach § 28 Absatz 3 Satz 1 Nummer 1 bis 3 in der bis zum Ablauf des 30. April 2014 anwendbaren Fassung gespeichert worden sind, sind wie folgt in das Fahreignungs-Bewertungssystem einzuordnen:</w:t>
      </w:r>
    </w:p>
    <w:tbl>
      <w:tblPr>
        <w:tblStyle w:val="TableGrid"/>
        <w:tblW w:type="pct" w:w="5000"/>
        <w:tblLook w:firstColumn="1" w:firstRow="1" w:lastColumn="0" w:lastRow="0" w:noHBand="0" w:noVBand="1" w:val="04A0"/>
        <w:tblCaption w:val="Tabelle 1 zu § 65"/>
      </w:tblPr>
      <w:tblGrid>
        <w:gridCol w:w="3135"/>
        <w:gridCol w:w="3135"/>
        <w:gridCol w:w="3135"/>
      </w:tblGrid>
      <w:tr>
        <w:trPr>
          <w:cantSplit/>
          <w:tblHeader/>
        </w:trPr>
        <w:tc>
          <w:tcPr>
            <w:tcW w:type="dxa" w:w="3135"/>
            <w:vMerge w:val="restart"/>
          </w:tcPr>
          <w:p>
            <w:r>
              <w:rPr>
                <w:b/>
              </w:rPr>
              <w:t>Punktestand</w:t>
            </w:r>
            <w:r>
              <w:rPr>
                <w:b/>
              </w:rPr>
              <w:br/>
            </w:r>
            <w:r>
              <w:rPr>
                <w:b/>
              </w:rPr>
              <w:t>vor dem</w:t>
            </w:r>
            <w:r>
              <w:rPr>
                <w:b/>
              </w:rPr>
              <w:br/>
            </w:r>
            <w:r>
              <w:rPr>
                <w:b/>
              </w:rPr>
              <w:t>1. Mai 2014</w:t>
            </w:r>
          </w:p>
        </w:tc>
        <w:tc>
          <w:tcPr>
            <w:tcW w:type="dxa" w:w="6270"/>
            <w:gridSpan w:val="2"/>
          </w:tcPr>
          <w:p>
            <w:r>
              <w:rPr>
                <w:b/>
              </w:rPr>
              <w:t>Fahreignungs-Bewertungssystem ab dem 1. Mai 2014</w:t>
            </w:r>
          </w:p>
        </w:tc>
      </w:tr>
      <w:tr>
        <w:trPr>
          <w:cantSplit/>
          <w:tblHeader/>
        </w:trPr>
        <w:tc>
          <w:tcPr>
            <w:tcW w:type="dxa" w:w="3135"/>
            <w:vMerge/>
          </w:tcPr>
          <w:p/>
        </w:tc>
        <w:tc>
          <w:tcPr>
            <w:tcW w:type="dxa" w:w="3135"/>
          </w:tcPr>
          <w:p>
            <w:r>
              <w:rPr>
                <w:b/>
              </w:rPr>
              <w:t>Punktestand</w:t>
            </w:r>
          </w:p>
        </w:tc>
        <w:tc>
          <w:tcPr>
            <w:tcW w:type="dxa" w:w="3135"/>
          </w:tcPr>
          <w:p>
            <w:r>
              <w:rPr>
                <w:b/>
              </w:rPr>
              <w:t>Stufe</w:t>
            </w:r>
          </w:p>
        </w:tc>
      </w:tr>
      <w:tr>
        <w:trPr>
          <w:cantSplit/>
        </w:trPr>
        <w:tc>
          <w:tcPr>
            <w:tcW w:type="dxa" w:w="3135"/>
          </w:tcPr>
          <w:p>
            <w:r>
              <w:t xml:space="preserve"> 1 –  3</w:t>
            </w:r>
          </w:p>
        </w:tc>
        <w:tc>
          <w:tcPr>
            <w:tcW w:type="dxa" w:w="3135"/>
          </w:tcPr>
          <w:p>
            <w:r>
              <w:t>1</w:t>
            </w:r>
          </w:p>
        </w:tc>
        <w:tc>
          <w:tcPr>
            <w:tcW w:type="dxa" w:w="3135"/>
            <w:vMerge w:val="restart"/>
          </w:tcPr>
          <w:p>
            <w:r>
              <w:t>Vormerkung</w:t>
            </w:r>
            <w:r>
              <w:br/>
            </w:r>
            <w:r>
              <w:t>(</w:t>
            </w:r>
            <w:hyperlink w:anchor="b19" w:history="1">
              <w:r>
                <w:rPr>
                  <w:color w:val="0A3A8C"/>
                  <w:u w:val="single"/>
                </w:rPr>
                <w:t xml:space="preserve">§ 4</w:t>
              </w:r>
            </w:hyperlink>
            <w:r>
              <w:t xml:space="preserve"> Absatz 4)</w:t>
            </w:r>
          </w:p>
        </w:tc>
      </w:tr>
      <w:tr>
        <w:trPr>
          <w:cantSplit/>
        </w:trPr>
        <w:tc>
          <w:tcPr>
            <w:tcW w:type="dxa" w:w="3135"/>
          </w:tcPr>
          <w:p>
            <w:r>
              <w:t xml:space="preserve"> 4 –  5</w:t>
            </w:r>
          </w:p>
        </w:tc>
        <w:tc>
          <w:tcPr>
            <w:tcW w:type="dxa" w:w="3135"/>
          </w:tcPr>
          <w:p>
            <w:r>
              <w:t>2</w:t>
            </w:r>
          </w:p>
        </w:tc>
        <w:tc>
          <w:tcPr>
            <w:tcW w:type="dxa" w:w="3135"/>
            <w:vMerge/>
          </w:tcPr>
          <w:p/>
        </w:tc>
      </w:tr>
      <w:tr>
        <w:trPr>
          <w:cantSplit/>
        </w:trPr>
        <w:tc>
          <w:tcPr>
            <w:tcW w:type="dxa" w:w="3135"/>
          </w:tcPr>
          <w:p>
            <w:r>
              <w:t xml:space="preserve"> 6 –  7</w:t>
            </w:r>
          </w:p>
        </w:tc>
        <w:tc>
          <w:tcPr>
            <w:tcW w:type="dxa" w:w="3135"/>
          </w:tcPr>
          <w:p>
            <w:r>
              <w:t>3</w:t>
            </w:r>
          </w:p>
        </w:tc>
        <w:tc>
          <w:tcPr>
            <w:tcW w:type="dxa" w:w="3135"/>
            <w:vMerge/>
          </w:tcPr>
          <w:p/>
        </w:tc>
      </w:tr>
      <w:tr>
        <w:trPr>
          <w:cantSplit/>
        </w:trPr>
        <w:tc>
          <w:tcPr>
            <w:tcW w:type="dxa" w:w="3135"/>
          </w:tcPr>
          <w:p>
            <w:r>
              <w:t xml:space="preserve"> 8 – 10</w:t>
            </w:r>
          </w:p>
        </w:tc>
        <w:tc>
          <w:tcPr>
            <w:tcW w:type="dxa" w:w="3135"/>
          </w:tcPr>
          <w:p>
            <w:r>
              <w:t>4</w:t>
            </w:r>
          </w:p>
        </w:tc>
        <w:tc>
          <w:tcPr>
            <w:tcW w:type="dxa" w:w="3135"/>
            <w:vMerge w:val="restart"/>
          </w:tcPr>
          <w:p>
            <w:r>
              <w:rPr>
                <w:b/>
              </w:rPr>
              <w:t>1</w:t>
            </w:r>
            <w:r>
              <w:t>: Ermahnung</w:t>
            </w:r>
            <w:r>
              <w:br/>
            </w:r>
            <w:r>
              <w:t>(</w:t>
            </w:r>
            <w:hyperlink w:anchor="b19" w:history="1">
              <w:r>
                <w:rPr>
                  <w:color w:val="0A3A8C"/>
                  <w:u w:val="single"/>
                </w:rPr>
                <w:t xml:space="preserve">§ 4</w:t>
              </w:r>
            </w:hyperlink>
            <w:r>
              <w:t xml:space="preserve"> Absatz 5 Satz 1 Nummer 1)</w:t>
            </w:r>
          </w:p>
        </w:tc>
      </w:tr>
      <w:tr>
        <w:trPr>
          <w:cantSplit/>
        </w:trPr>
        <w:tc>
          <w:tcPr>
            <w:tcW w:type="dxa" w:w="3135"/>
          </w:tcPr>
          <w:p>
            <w:r>
              <w:t>11 – 13</w:t>
            </w:r>
          </w:p>
        </w:tc>
        <w:tc>
          <w:tcPr>
            <w:tcW w:type="dxa" w:w="3135"/>
          </w:tcPr>
          <w:p>
            <w:r>
              <w:t>5</w:t>
            </w:r>
          </w:p>
        </w:tc>
        <w:tc>
          <w:tcPr>
            <w:tcW w:type="dxa" w:w="3135"/>
            <w:vMerge/>
          </w:tcPr>
          <w:p/>
        </w:tc>
      </w:tr>
      <w:tr>
        <w:trPr>
          <w:cantSplit/>
        </w:trPr>
        <w:tc>
          <w:tcPr>
            <w:tcW w:type="dxa" w:w="3135"/>
          </w:tcPr>
          <w:p>
            <w:r>
              <w:t>14 – 15</w:t>
            </w:r>
          </w:p>
        </w:tc>
        <w:tc>
          <w:tcPr>
            <w:tcW w:type="dxa" w:w="3135"/>
          </w:tcPr>
          <w:p>
            <w:r>
              <w:t>6</w:t>
            </w:r>
          </w:p>
        </w:tc>
        <w:tc>
          <w:tcPr>
            <w:tcW w:type="dxa" w:w="3135"/>
            <w:vMerge w:val="restart"/>
          </w:tcPr>
          <w:p>
            <w:r>
              <w:rPr>
                <w:b/>
              </w:rPr>
              <w:t>2</w:t>
            </w:r>
            <w:r>
              <w:t>: Verwarnung</w:t>
            </w:r>
            <w:r>
              <w:br/>
            </w:r>
            <w:r>
              <w:t>(</w:t>
            </w:r>
            <w:hyperlink w:anchor="b19" w:history="1">
              <w:r>
                <w:rPr>
                  <w:color w:val="0A3A8C"/>
                  <w:u w:val="single"/>
                </w:rPr>
                <w:t xml:space="preserve">§ 4</w:t>
              </w:r>
            </w:hyperlink>
            <w:r>
              <w:t xml:space="preserve"> Absatz 5 Satz 1 Nummer 2)</w:t>
            </w:r>
          </w:p>
        </w:tc>
      </w:tr>
      <w:tr>
        <w:trPr>
          <w:cantSplit/>
        </w:trPr>
        <w:tc>
          <w:tcPr>
            <w:tcW w:type="dxa" w:w="3135"/>
          </w:tcPr>
          <w:p>
            <w:r>
              <w:t>16 – 17</w:t>
            </w:r>
          </w:p>
        </w:tc>
        <w:tc>
          <w:tcPr>
            <w:tcW w:type="dxa" w:w="3135"/>
          </w:tcPr>
          <w:p>
            <w:r>
              <w:t>7</w:t>
            </w:r>
          </w:p>
        </w:tc>
        <w:tc>
          <w:tcPr>
            <w:tcW w:type="dxa" w:w="3135"/>
            <w:vMerge/>
          </w:tcPr>
          <w:p/>
        </w:tc>
      </w:tr>
      <w:tr>
        <w:trPr>
          <w:cantSplit/>
        </w:trPr>
        <w:tc>
          <w:tcPr>
            <w:tcW w:type="dxa" w:w="3135"/>
          </w:tcPr>
          <w:p>
            <w:r>
              <w:t>&gt; = 18</w:t>
            </w:r>
          </w:p>
        </w:tc>
        <w:tc>
          <w:tcPr>
            <w:tcW w:type="dxa" w:w="3135"/>
          </w:tcPr>
          <w:p>
            <w:r>
              <w:t>8</w:t>
            </w:r>
          </w:p>
        </w:tc>
        <w:tc>
          <w:tcPr>
            <w:tcW w:type="dxa" w:w="3135"/>
          </w:tcPr>
          <w:p>
            <w:r>
              <w:rPr>
                <w:b/>
              </w:rPr>
              <w:t>3</w:t>
            </w:r>
            <w:r>
              <w:t>: Entzug</w:t>
            </w:r>
            <w:r>
              <w:br/>
            </w:r>
            <w:r>
              <w:t>(</w:t>
            </w:r>
            <w:hyperlink w:anchor="b19" w:history="1">
              <w:r>
                <w:rPr>
                  <w:color w:val="0A3A8C"/>
                  <w:u w:val="single"/>
                </w:rPr>
                <w:t xml:space="preserve">§ 4</w:t>
              </w:r>
            </w:hyperlink>
            <w:r>
              <w:t xml:space="preserve"> Absatz 5 Satz 1 Nummer 3)</w:t>
            </w:r>
          </w:p>
        </w:tc>
      </w:tr>
    </w:tbl>
    <w:p>
      <w:pPr>
        <w:spacing w:after="0"/>
      </w:pPr>
    </w:p>
    <w:p>
      <w:pPr>
        <w:ind w:left="567"/>
      </w:pPr>
      <w:r>
        <w:rPr>
          <w:rStyle w:val="Satznummer"/>
        </w:rPr>
        <w:t>2</w:t>
      </w:r>
      <w:r>
        <w:t xml:space="preserve">Die am 1. Mai 2014 erreichte Stufe wird für Maßnahmen nach dem Fahreignungs-Bewertungssystem zugrunde gelegt. </w:t>
      </w:r>
      <w:r>
        <w:rPr>
          <w:rStyle w:val="Satznummer"/>
        </w:rPr>
        <w:t>3</w:t>
      </w:r>
      <w:r>
        <w:t>Die Einordnung nach Satz 1 führt allein nicht zu einer Maßnahme nach dem Fahreignungs-Bewertungssystem.</w:t>
      </w:r>
    </w:p>
    <w:p>
      <w:pPr>
        <w:tabs>
          <w:tab w:pos="567" w:val="left"/>
        </w:tabs>
        <w:ind w:left="567" w:hanging="567"/>
      </w:pPr>
      <w:r>
        <w:t>5.</w:t>
      </w:r>
      <w:r>
        <w:tab/>
      </w:r>
      <w:r>
        <w:t>Die Regelungen über Punkteabzüge und Aufbauseminare werden wie folgt überführt:</w:t>
      </w:r>
    </w:p>
    <w:p>
      <w:pPr>
        <w:tabs>
          <w:tab w:pos="1134" w:val="left"/>
        </w:tabs>
        <w:ind w:left="1134" w:hanging="567"/>
      </w:pPr>
      <w:r>
        <w:t>a)</w:t>
      </w:r>
      <w:r>
        <w:tab/>
      </w:r>
      <w:r>
        <w:t xml:space="preserve">Punkteabzüge nach § 4 Absatz 4 Satz 1 und 2 in der bis zum Ablauf des 30. April 2014 anwendbaren Fassung sind vorzunehmen, wenn die Bescheinigung über die Teilnahme an einem Aufbauseminar oder einer verkehrspsychologischen Beratung bis zum Ablauf des 30. April 2014 der nach Landesrecht zuständigen Behörde vorgelegt worden ist. </w:t>
      </w:r>
      <w:r>
        <w:rPr>
          <w:rStyle w:val="Satznummer"/>
        </w:rPr>
        <w:t>2</w:t>
      </w:r>
      <w:r>
        <w:t>Punkteabzüge nach § 4 Absatz 4 Satz 1 und 2 in der bis zum Ablauf des 30. April 2014 anwendbaren Fassung bleiben bis zur Tilgung der letzten Eintragung wegen einer Straftat oder einer Ordnungswidrigkeit nach § 28 Absatz 3 Nummer 1 bis 3 in der bis zum Ablauf des 30. April 2014 anwendbaren Fassung, längstens aber zehn Jahre ab dem 1. Mai 2014 im Fahreignungsregister gespeichert.</w:t>
      </w:r>
    </w:p>
    <w:p>
      <w:pPr>
        <w:tabs>
          <w:tab w:pos="1134" w:val="left"/>
        </w:tabs>
        <w:ind w:left="1134" w:hanging="567"/>
      </w:pPr>
      <w:r>
        <w:t>b)</w:t>
      </w:r>
      <w:r>
        <w:tab/>
      </w:r>
      <w:r>
        <w:t xml:space="preserve">Bei der Berechnung der Fünfjahresfrist nach </w:t>
      </w:r>
      <w:hyperlink w:anchor="b19" w:history="1">
        <w:r>
          <w:rPr>
            <w:color w:val="0A3A8C"/>
            <w:u w:val="single"/>
          </w:rPr>
          <w:t xml:space="preserve">§ 4</w:t>
        </w:r>
      </w:hyperlink>
      <w:r>
        <w:t xml:space="preserve"> Absatz 7 Satz 2 und 3 sind auch Punkteabzüge zu berücksichtigen, die nach § 4 Absatz 4 Satz 1 und 2 in der bis zum Ablauf des 30. April 2014 anwendbaren Fassung vorgenommen worden sind.</w:t>
      </w:r>
    </w:p>
    <w:p>
      <w:pPr>
        <w:tabs>
          <w:tab w:pos="1134" w:val="left"/>
        </w:tabs>
        <w:ind w:left="1134" w:hanging="567"/>
      </w:pPr>
      <w:r>
        <w:t>c)</w:t>
      </w:r>
      <w:r>
        <w:tab/>
      </w:r>
      <w:r>
        <w:t>Aufbauseminare, die bis zum Ablauf des 30. April 2014 nach § 4 Absatz 3 Satz 1 Nummer 2 in der bis zum Ablauf des 30. April 2014 anwendbaren Fassung angeordnet, aber bis zum Ablauf des 30. April 2014 nicht abgeschlossen worden sind, sind bis zum Ablauf des 30. November 2014 nach dem bis zum Ablauf des 30. April 2014 anwendbaren Recht durchzuführen.</w:t>
      </w:r>
    </w:p>
    <w:p>
      <w:pPr>
        <w:tabs>
          <w:tab w:pos="1134" w:val="left"/>
        </w:tabs>
        <w:ind w:left="1134" w:hanging="567"/>
      </w:pPr>
      <w:r>
        <w:t>d)</w:t>
      </w:r>
      <w:r>
        <w:tab/>
      </w:r>
      <w:r>
        <w:t>Abweichend von Buchstabe c kann anstelle von Aufbauseminaren, die bis zum Ablauf des 30. April 2014 nach § 4 Absatz 3 Satz 1 Nummer 2 in der bis zum Ablauf des 30. April 2014 anwendbaren Fassung angeordnet, aber bis zum Ablauf des 30. April 2014 noch nicht begonnen worden sind, die verkehrspädagogische Teilmaßnahme des Fahreignungsseminars absolviert werden.</w:t>
      </w:r>
    </w:p>
    <w:p>
      <w:pPr>
        <w:tabs>
          <w:tab w:pos="1134" w:val="left"/>
        </w:tabs>
        <w:ind w:left="1134" w:hanging="567"/>
      </w:pPr>
      <w:r>
        <w:t>e)</w:t>
      </w:r>
      <w:r>
        <w:tab/>
      </w:r>
      <w:r>
        <w:t>Die nach Landesrecht zuständige Behörde hat dem Kraftfahrt-Bundesamt unverzüglich die Teilnahme an einem Aufbauseminar oder einer verkehrspsychologischen Beratung mitzuteilen.</w:t>
      </w:r>
    </w:p>
    <w:p>
      <w:pPr>
        <w:tabs>
          <w:tab w:pos="567" w:val="left"/>
        </w:tabs>
        <w:ind w:left="567" w:hanging="567"/>
      </w:pPr>
      <w:r>
        <w:t>6.</w:t>
      </w:r>
      <w:r>
        <w:tab/>
      </w:r>
      <w:r>
        <w:t>Nachträgliche Veränderungen des Punktestandes nach den Nummern 2 oder 5 führen zu einer Aktualisierung der nach der Tabelle zu Nummer 4 erreichten Stufe im Fahreignungs-Bewertungssystem.</w:t>
      </w:r>
    </w:p>
    <w:p>
      <w:pPr>
        <w:tabs>
          <w:tab w:pos="567" w:val="left"/>
        </w:tabs>
        <w:ind w:left="567" w:hanging="567"/>
      </w:pPr>
      <w:r>
        <w:t>7.</w:t>
      </w:r>
      <w:r>
        <w:tab/>
      </w:r>
      <w:r>
        <w:t xml:space="preserve">Sofern eine Fahrerlaubnis nach § 4 Absatz 7 in der bis zum 30. April 2014 anwendbaren Fassung entzogen worden ist, ist </w:t>
      </w:r>
      <w:hyperlink w:anchor="b19" w:history="1">
        <w:r>
          <w:rPr>
            <w:color w:val="0A3A8C"/>
            <w:u w:val="single"/>
          </w:rPr>
          <w:t xml:space="preserve">§ 4</w:t>
        </w:r>
      </w:hyperlink>
      <w:r>
        <w:t xml:space="preserve"> Absatz 3 Satz 1 bis 3 auf die Erteilung einer neuen Fahrerlaubnis nicht anwendbar.</w:t>
      </w:r>
    </w:p>
    <w:p>
      <w:r>
        <w:t>(4) Auf Unfälle, die sich vor dem 1. Oktober 2026 ereignet haben, ist § 8 Nummer 1 in seiner bis zum Ablauf des 30. September 2026 geltenden Fassung weiter anzuwenden.</w:t>
      </w:r>
    </w:p>
    <w:p>
      <w:r>
        <w:t xml:space="preserve">(5) </w:t>
      </w:r>
      <w:r>
        <w:rPr>
          <w:rStyle w:val="Satznummer"/>
        </w:rPr>
        <w:t>1</w:t>
      </w:r>
      <w:r>
        <w:t xml:space="preserve">Bis zum Erlass einer Rechtsverordnung nach </w:t>
      </w:r>
      <w:hyperlink w:anchor="b32" w:history="1">
        <w:r>
          <w:rPr>
            <w:color w:val="0A3A8C"/>
            <w:u w:val="single"/>
          </w:rPr>
          <w:t xml:space="preserve">§ 6f</w:t>
        </w:r>
      </w:hyperlink>
      <w:r>
        <w:t xml:space="preserve"> Absatz 2, längstens bis zum Ablauf des 31. Juli 2018, gelten die in den Gebührennummern 451 bis 455 der Anlage der Gebührenordnung für Maßnahmen im Straßenverkehr vom 25. Januar 2011 (BGBl. I S. 98), die zuletzt durch Artikel 3 der Verordnung vom 15. September 2015 (BGBl. I S. 1573) geändert worden ist, in der am 6. Dezember 2016 geltenden Fassung festgesetzten Gebühren als Entgelte im Sinne des </w:t>
      </w:r>
      <w:hyperlink w:anchor="b32" w:history="1">
        <w:r>
          <w:rPr>
            <w:color w:val="0A3A8C"/>
            <w:u w:val="single"/>
          </w:rPr>
          <w:t xml:space="preserve">§ 6f</w:t>
        </w:r>
      </w:hyperlink>
      <w:r>
        <w:t xml:space="preserve"> Absatz 1. </w:t>
      </w:r>
      <w:r>
        <w:rPr>
          <w:rStyle w:val="Satznummer"/>
        </w:rPr>
        <w:t>2</w:t>
      </w:r>
      <w:r>
        <w:t>Die Gebührennummern 403 und 451 bis 455 der Anlage der Gebührenordnung für Maßnahmen im Straßenverkehr sind nicht mehr anzuwenden.</w:t>
      </w:r>
    </w:p>
    <w:p>
      <w:r>
        <w:t>(6) Die durch das Gesetz zur Haftung bei Unfällen mit Anhängern und Gespannen im Straßenverkehr vom 10. Juli 2020 (BGBl. I S. 1653) geänderten Vorschriften des Straßenverkehrsgesetzes sind nicht anzuwenden, sofern der Unfall vor dem 17. Juli 2020 eingetreten ist.</w:t>
      </w:r>
    </w:p>
    <w:p>
      <w:r>
        <w:t>(7) Ordnungswidrigkeiten nach § 23 in der bis zum Ablauf des 27. Juli 2021 geltenden Fassung können abweichend von § 4 Absatz 3 des Gesetzes über Ordnungswidrigkeiten nach den zum Zeitpunkt der Tat geltenden Bestimmungen geahndet werden.</w:t>
      </w:r>
    </w:p>
    <w:p>
      <w:pPr>
        <w:pStyle w:val="Heading2"/>
      </w:pPr>
      <w:bookmarkStart w:id="132" w:name="b131"/>
      <w:r>
        <w:t>§ 66 (weggefallen)</w:t>
      </w:r>
      <w:r>
        <w:t xml:space="preserve"> </w:t>
      </w:r>
      <w:r>
        <w:rPr>
          <w:rStyle w:val="Suchmarke"/>
        </w:rPr>
        <w:t>#66#</w:t>
      </w:r>
      <w:bookmarkEnd w:id="132"/>
    </w:p>
    <w:p>
      <w:pPr>
        <w:pStyle w:val="Heading2"/>
      </w:pPr>
      <w:bookmarkStart w:id="133" w:name="b132"/>
      <w:r>
        <w:t>Anlage (zu § 24a)</w:t>
      </w:r>
      <w:bookmarkEnd w:id="133"/>
    </w:p>
    <w:p>
      <w:r>
        <w:rPr>
          <w:color w:val="404040"/>
          <w:sz w:val="21"/>
        </w:rPr>
        <w:t>(Fundstelle: BGBl. I 2007, 1045)</w:t>
      </w:r>
    </w:p>
    <w:tbl>
      <w:tblPr>
        <w:tblStyle w:val="TableGrid"/>
        <w:tblW w:type="pct" w:w="5000"/>
        <w:tblLook w:firstColumn="1" w:firstRow="1" w:lastColumn="0" w:lastRow="0" w:noHBand="0" w:noVBand="1" w:val="04A0"/>
        <w:tblCaption w:val="Tabelle 1 zu Anlage"/>
      </w:tblPr>
      <w:tblGrid>
        <w:gridCol w:w="4703"/>
        <w:gridCol w:w="4703"/>
      </w:tblGrid>
      <w:tr>
        <w:trPr>
          <w:cantSplit/>
          <w:tblHeader/>
        </w:trPr>
        <w:tc>
          <w:tcPr>
            <w:tcW w:type="dxa" w:w="4703"/>
          </w:tcPr>
          <w:p>
            <w:r>
              <w:rPr>
                <w:b/>
              </w:rPr>
              <w:t>Berauschende Mittel</w:t>
            </w:r>
          </w:p>
        </w:tc>
        <w:tc>
          <w:tcPr>
            <w:tcW w:type="dxa" w:w="4703"/>
          </w:tcPr>
          <w:p>
            <w:r>
              <w:rPr>
                <w:b/>
              </w:rPr>
              <w:t>Substanzen</w:t>
            </w:r>
          </w:p>
        </w:tc>
      </w:tr>
      <w:tr>
        <w:trPr>
          <w:cantSplit/>
        </w:trPr>
        <w:tc>
          <w:tcPr>
            <w:tcW w:type="dxa" w:w="4703"/>
          </w:tcPr>
          <w:p>
            <w:r>
              <w:t>Heroin</w:t>
            </w:r>
          </w:p>
        </w:tc>
        <w:tc>
          <w:tcPr>
            <w:tcW w:type="dxa" w:w="4703"/>
          </w:tcPr>
          <w:p>
            <w:r>
              <w:t>Morphin</w:t>
            </w:r>
          </w:p>
        </w:tc>
      </w:tr>
      <w:tr>
        <w:trPr>
          <w:cantSplit/>
        </w:trPr>
        <w:tc>
          <w:tcPr>
            <w:tcW w:type="dxa" w:w="4703"/>
          </w:tcPr>
          <w:p>
            <w:r>
              <w:t>Morphin</w:t>
            </w:r>
          </w:p>
        </w:tc>
        <w:tc>
          <w:tcPr>
            <w:tcW w:type="dxa" w:w="4703"/>
          </w:tcPr>
          <w:p>
            <w:r>
              <w:t>Morphin</w:t>
            </w:r>
          </w:p>
        </w:tc>
      </w:tr>
      <w:tr>
        <w:trPr>
          <w:cantSplit/>
        </w:trPr>
        <w:tc>
          <w:tcPr>
            <w:tcW w:type="dxa" w:w="4703"/>
          </w:tcPr>
          <w:p>
            <w:r>
              <w:t>Cocain</w:t>
            </w:r>
          </w:p>
        </w:tc>
        <w:tc>
          <w:tcPr>
            <w:tcW w:type="dxa" w:w="4703"/>
          </w:tcPr>
          <w:p>
            <w:r>
              <w:t>Cocain</w:t>
            </w:r>
          </w:p>
        </w:tc>
      </w:tr>
      <w:tr>
        <w:trPr>
          <w:cantSplit/>
        </w:trPr>
        <w:tc>
          <w:tcPr>
            <w:tcW w:type="dxa" w:w="4703"/>
          </w:tcPr>
          <w:p>
            <w:r>
              <w:t>Cocain</w:t>
            </w:r>
          </w:p>
        </w:tc>
        <w:tc>
          <w:tcPr>
            <w:tcW w:type="dxa" w:w="4703"/>
          </w:tcPr>
          <w:p>
            <w:r>
              <w:t>Benzoylecgonin</w:t>
            </w:r>
          </w:p>
        </w:tc>
      </w:tr>
      <w:tr>
        <w:trPr>
          <w:cantSplit/>
        </w:trPr>
        <w:tc>
          <w:tcPr>
            <w:tcW w:type="dxa" w:w="4703"/>
          </w:tcPr>
          <w:p>
            <w:r>
              <w:t>Amfetamin</w:t>
            </w:r>
          </w:p>
        </w:tc>
        <w:tc>
          <w:tcPr>
            <w:tcW w:type="dxa" w:w="4703"/>
          </w:tcPr>
          <w:p>
            <w:r>
              <w:t>Amfetamin</w:t>
            </w:r>
          </w:p>
        </w:tc>
      </w:tr>
      <w:tr>
        <w:trPr>
          <w:cantSplit/>
        </w:trPr>
        <w:tc>
          <w:tcPr>
            <w:tcW w:type="dxa" w:w="4703"/>
          </w:tcPr>
          <w:p>
            <w:r>
              <w:t>Designer-Amfetamin</w:t>
            </w:r>
          </w:p>
        </w:tc>
        <w:tc>
          <w:tcPr>
            <w:tcW w:type="dxa" w:w="4703"/>
          </w:tcPr>
          <w:p>
            <w:r>
              <w:t>Methylendioxyamfetamin (MDA)</w:t>
            </w:r>
          </w:p>
        </w:tc>
      </w:tr>
      <w:tr>
        <w:trPr>
          <w:cantSplit/>
        </w:trPr>
        <w:tc>
          <w:tcPr>
            <w:tcW w:type="dxa" w:w="4703"/>
          </w:tcPr>
          <w:p>
            <w:r>
              <w:t>Designer-Amfetamin</w:t>
            </w:r>
          </w:p>
        </w:tc>
        <w:tc>
          <w:tcPr>
            <w:tcW w:type="dxa" w:w="4703"/>
          </w:tcPr>
          <w:p>
            <w:r>
              <w:t>Methylendioxyethylamfetamin (MDE)</w:t>
            </w:r>
          </w:p>
        </w:tc>
      </w:tr>
      <w:tr>
        <w:trPr>
          <w:cantSplit/>
        </w:trPr>
        <w:tc>
          <w:tcPr>
            <w:tcW w:type="dxa" w:w="4703"/>
          </w:tcPr>
          <w:p>
            <w:r>
              <w:t>Designer-Amfetamin</w:t>
            </w:r>
          </w:p>
        </w:tc>
        <w:tc>
          <w:tcPr>
            <w:tcW w:type="dxa" w:w="4703"/>
          </w:tcPr>
          <w:p>
            <w:r>
              <w:t>Methylendioxymetamfetamin (MDMA)</w:t>
            </w:r>
          </w:p>
        </w:tc>
      </w:tr>
      <w:tr>
        <w:trPr>
          <w:cantSplit/>
        </w:trPr>
        <w:tc>
          <w:tcPr>
            <w:tcW w:type="dxa" w:w="4703"/>
          </w:tcPr>
          <w:p>
            <w:r>
              <w:t>Metamfetamin</w:t>
            </w:r>
          </w:p>
        </w:tc>
        <w:tc>
          <w:tcPr>
            <w:tcW w:type="dxa" w:w="4703"/>
          </w:tcPr>
          <w:p>
            <w:r>
              <w:t>Metamfetamin</w:t>
            </w:r>
          </w:p>
        </w:tc>
      </w:tr>
    </w:tbl>
    <w:p>
      <w:pPr>
        <w:spacing w:after="0"/>
      </w:pPr>
    </w:p>
    <w:p>
      <w:pPr>
        <w:pStyle w:val="Heading2"/>
      </w:pPr>
      <w:bookmarkStart w:id="134" w:name="b133"/>
      <w:r>
        <w:t>Anhang EV Auszug aus EinigVtr Anlage I Kapitel XI Sachgebiet B Abschnitt III(BGBl. II 1990, 889, 1099)- Maßgaben für das beigetretene Gebiet (Art. 3 EinigVtr) -</w:t>
      </w:r>
      <w:bookmarkEnd w:id="134"/>
    </w:p>
    <w:p>
      <w:r>
        <w:t>Abschnitt III</w:t>
      </w:r>
      <w:r>
        <w:br/>
      </w:r>
      <w:r>
        <w:t>Bundesrecht tritt in dem in Artikel 3 des Vertrages genannten Gebiet mit folgenden Maßgaben in Kraft:</w:t>
      </w:r>
    </w:p>
    <w:p>
      <w:pPr>
        <w:tabs>
          <w:tab w:pos="567" w:val="left"/>
        </w:tabs>
        <w:ind w:left="567" w:hanging="567"/>
      </w:pPr>
      <w:r>
        <w:t>1.</w:t>
      </w:r>
      <w:r>
        <w:tab/>
      </w:r>
      <w:r>
        <w:t>Straßenverkehrsgesetz in der im Bundesgesetzblatt Teil III, Gliederungsnummer 9231-1, veröffentlichten bereinigten Fassung, zuletzt geändert durch Gesetz vom 28. Januar 1987 (BGBl. I S. 486),</w:t>
      </w:r>
    </w:p>
    <w:p>
      <w:pPr>
        <w:ind w:left="567"/>
      </w:pPr>
      <w:r>
        <w:t>mit folgenden Maßgaben:</w:t>
      </w:r>
    </w:p>
    <w:p>
      <w:pPr>
        <w:tabs>
          <w:tab w:pos="1134" w:val="left"/>
        </w:tabs>
        <w:ind w:left="1134" w:hanging="567"/>
      </w:pPr>
      <w:r>
        <w:rPr>
          <w:i/>
        </w:rPr>
        <w:t>a)</w:t>
      </w:r>
      <w:r>
        <w:tab/>
      </w:r>
      <w:r>
        <w:rPr>
          <w:i/>
        </w:rPr>
        <w:t>§ 24a findet bis zum 31. Dezember 1992 keine Anwendung.</w:t>
      </w:r>
    </w:p>
    <w:p>
      <w:pPr>
        <w:tabs>
          <w:tab w:pos="1134" w:val="left"/>
        </w:tabs>
        <w:ind w:left="1134" w:hanging="567"/>
      </w:pPr>
      <w:r>
        <w:rPr>
          <w:i/>
        </w:rPr>
        <w:t>b)</w:t>
      </w:r>
      <w:r>
        <w:tab/>
      </w:r>
      <w:r>
        <w:rPr>
          <w:i/>
        </w:rPr>
        <w:t>Für die nach bisherigem Recht der Deutschen Demokratischen Republik erfolgten Zulassungen dürfen die örtlichen Fahrzeugregister von den für die Zulassung zuständigen Behörden unter entsprechender Anwendung der § 31 Abs. 1, §§ 32 bis 35, 37 bis 47 des Straßenverkehrsgesetzes sowie der §§ 1 bis 3, 5, 8 und 15 der Fahrzeugregisterverordnung vom 20. Oktober 1987 (BGBl. I S. 2305) bis zum 31. Dezember 1993 weitergeführt werden.</w:t>
      </w:r>
    </w:p>
    <w:p>
      <w:pPr>
        <w:tabs>
          <w:tab w:pos="1134" w:val="left"/>
        </w:tabs>
        <w:ind w:left="1134" w:hanging="567"/>
      </w:pPr>
      <w:r>
        <w:rPr>
          <w:i/>
        </w:rPr>
        <w:t>c)</w:t>
      </w:r>
      <w:r>
        <w:tab/>
      </w:r>
      <w:r>
        <w:rPr>
          <w:i/>
        </w:rPr>
        <w:t>Nach bisherigem Recht der Deutschen Demokratischen Republik erfolgte Zulassungen dürfen an das Zentrale Fahrzeugregister übermittelt und dort unter entsprechender Anwendung der § 31 Abs. 2, §§ 32 bis 47 des Straßenverkehrsgesetzes sowie der §§ 4, 5, 12 Abs. 1, §§ 13 bis 15, 17 der Fahrzeugregisterverordnung bis zum 31. Dezember 1993 verarbeitet werden.</w:t>
      </w:r>
    </w:p>
    <w:p>
      <w:pPr>
        <w:tabs>
          <w:tab w:pos="1134" w:val="left"/>
        </w:tabs>
        <w:ind w:left="1134" w:hanging="567"/>
      </w:pPr>
      <w:r>
        <w:rPr>
          <w:i/>
        </w:rPr>
        <w:t>d)</w:t>
      </w:r>
      <w:r>
        <w:tab/>
      </w:r>
      <w:r>
        <w:rPr>
          <w:i/>
        </w:rPr>
        <w:t>Die Vorschriften des Straßenverkehrsgesetzes und der Fahrzeugregisterverordnung, die sich auf das Versicherungskennzeichen beziehen, gelten erst ab 1. Januar 1991; § 34 Abs. 5 Satz 2 gilt erst ab 1. März 1991.</w:t>
      </w:r>
    </w:p>
    <w:p>
      <w:pPr>
        <w:tabs>
          <w:tab w:pos="1134" w:val="left"/>
        </w:tabs>
        <w:ind w:left="1134" w:hanging="567"/>
      </w:pPr>
      <w:r>
        <w:rPr>
          <w:i/>
        </w:rPr>
        <w:t>e)</w:t>
      </w:r>
      <w:r>
        <w:tab/>
      </w:r>
      <w:r>
        <w:rPr>
          <w:i/>
        </w:rPr>
        <w:t>Der Bundesminister für Verkehr bestimmt nach Anhörung der zuständigen obersten Landesbehörden durch Rechtsverordnung ohne Zustimmung des Bundesrates die Festlegung von Unterscheidungszeichen der Verwaltungsbezirke und von Erkennungsnummern nach § 23 Abs. 2 der Straßenverkehrs-Zulassungs-Ordnung für das in Artikel 3 des Vertrages genannte Gebiet. Die Ermächtigung ist bis zum 31. Dezember 1991 befristet.</w:t>
      </w:r>
    </w:p>
    <w:p>
      <w:pPr>
        <w:tabs>
          <w:tab w:pos="1134" w:val="left"/>
        </w:tabs>
        <w:ind w:left="1134" w:hanging="567"/>
      </w:pPr>
      <w:r>
        <w:rPr>
          <w:i/>
        </w:rPr>
        <w:t>f)</w:t>
      </w:r>
      <w:r>
        <w:tab/>
      </w:r>
      <w:r>
        <w:rPr>
          <w:i/>
        </w:rPr>
        <w:t>Das Kraftfahrt-Bundesamt darf das bestehende Zentrale Fahrerlaubnisregister für das in Artikel 3 des Vertrages genannte Gebiet unter entsprechender Anwendung der §§ 29 bis 30a des Straßenverkehrsgesetzes sowie der §§ 13a bis 13d der Straßenverkehrs-Zulassungs-Ordnung bis zu einer gesetzlichen Regelung über die Übernahme in das Verkehrszentralregister weiterführen.</w:t>
      </w:r>
    </w:p>
    <w:p>
      <w:pPr>
        <w:tabs>
          <w:tab w:pos="1134" w:val="left"/>
        </w:tabs>
        <w:ind w:left="1134" w:hanging="567"/>
      </w:pPr>
      <w:r>
        <w:rPr>
          <w:i/>
        </w:rPr>
        <w:t>g)</w:t>
      </w:r>
      <w:r>
        <w:tab/>
      </w:r>
      <w:r>
        <w:rPr>
          <w:i/>
        </w:rPr>
        <w:t>Die Aufgaben der medizinisch-psychologischen Untersuchungsstellen können bis zum 31. Dezember 1991 vom Verkehrsmedizinischen Dienst der Deutschen Demokratischen Republik wahrgenommen werden.</w:t>
      </w:r>
    </w:p>
    <w:p>
      <w:pPr>
        <w:tabs>
          <w:tab w:pos="1134" w:val="left"/>
        </w:tabs>
        <w:ind w:left="1134" w:hanging="567"/>
      </w:pPr>
      <w:r>
        <w:rPr>
          <w:i/>
        </w:rPr>
        <w:t>h)</w:t>
      </w:r>
      <w:r>
        <w:tab/>
      </w:r>
      <w:r>
        <w:rPr>
          <w:i/>
        </w:rPr>
        <w:t>Für Maßnahmen nach den Vorschriften für die Fahrerlaubnis auf Probe tritt an die Stelle der Regelung des § 24a des Straßenverkehrsgesetzes die entsprechende Regelung, die in dem in Artikel 3 des Vertrages genannten Gebiet gilt.</w:t>
      </w:r>
    </w:p>
    <w:p>
      <w:pPr>
        <w:tabs>
          <w:tab w:pos="1134" w:val="left"/>
        </w:tabs>
        <w:ind w:left="1134" w:hanging="567"/>
      </w:pPr>
      <w:r>
        <w:t>i)</w:t>
      </w:r>
      <w:r>
        <w:tab/>
      </w:r>
      <w:r>
        <w:t>Die §§ 7 bis 20 des Straßenverkehrsgesetzes finden nur auf solche Schadensereignisse Anwendung, die nach Wirksamwerden des Beitritts eingetreten sind.</w:t>
      </w:r>
    </w:p>
    <w:p>
      <w:r>
        <w:t>...</w:t>
      </w:r>
    </w:p>
    <w:p>
      <w:pPr>
        <w:spacing w:before="480"/>
      </w:pPr>
      <w:r>
        <w:t xml:space="preserve">Ende des Gesetzes: Straßenverkehrsgesetz (StVG) </w:t>
      </w:r>
      <w:r>
        <w:rPr>
          <w:rStyle w:val="Suchmarke"/>
        </w:rPr>
        <w:t>#Ende#</w:t>
      </w:r>
    </w:p>
    <w:sectPr w:rsidR="00FC693F" w:rsidRPr="0006063C" w:rsidSect="00034616">
      <w:footerReference w:type="default" r:id="rId9"/>
      <w:pgSz w:w="12240" w:h="15840"/>
      <w:pgMar w:top="1247" w:right="1417"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tand"/>
    </w:pPr>
    <w:r>
      <w:t xml:space="preserve">Seite </w:t>
    </w:r>
    <w:r>
      <w:fldChar w:fldCharType="begin"/>
    </w:r>
    <w:r>
      <w:instrText xml:space="preserve"> PAGE </w:instrText>
    </w:r>
    <w:r>
      <w:fldChar w:fldCharType="separate"/>
    </w:r>
    <w:r>
      <w:t>1</w:t>
    </w:r>
    <w: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22"/>
        <w:szCs w:val="22"/>
        <w:lang w:val="de-DE" w:eastAsia="de-DE" w:bidi="de-DE"/>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00" w:lineRule="auto"/>
    </w:pPr>
    <w:rPr>
      <w:rFonts w:ascii="Arial" w:hAnsi="Arial" w:eastAsia="Arial"/>
      <w:sz w:val="24"/>
      <w:lang w:val="de-DE" w:eastAsia="de-DE" w:bidi="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Arial" w:hAnsi="Arial" w:eastAsia="Arial"/>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Arial" w:hAnsi="Arial" w:eastAsia="Arial"/>
      <w:b/>
      <w:bCs/>
      <w:color w:val="000000"/>
      <w:sz w:val="32"/>
      <w:szCs w:val="26"/>
    </w:rPr>
  </w:style>
  <w:style w:type="paragraph" w:styleId="Heading3">
    <w:name w:val="heading 3"/>
    <w:basedOn w:val="Normal"/>
    <w:next w:val="Normal"/>
    <w:link w:val="Heading3Char"/>
    <w:uiPriority w:val="9"/>
    <w:unhideWhenUsed/>
    <w:qFormat/>
    <w:rsid w:val="00FC693F"/>
    <w:pPr>
      <w:keepNext/>
      <w:keepLines/>
      <w:spacing w:before="280" w:after="120"/>
      <w:outlineLvl w:val="2"/>
    </w:pPr>
    <w:rPr>
      <w:rFonts w:ascii="Arial" w:hAnsi="Arial" w:eastAsia="Arial"/>
      <w:b/>
      <w:bCs/>
      <w:color w:val="000000"/>
      <w:sz w:val="28"/>
    </w:rPr>
  </w:style>
  <w:style w:type="paragraph" w:styleId="Heading4">
    <w:name w:val="heading 4"/>
    <w:basedOn w:val="Normal"/>
    <w:next w:val="Normal"/>
    <w:link w:val="Heading4Char"/>
    <w:uiPriority w:val="9"/>
    <w:semiHidden/>
    <w:unhideWhenUsed/>
    <w:qFormat/>
    <w:rsid w:val="00FC693F"/>
    <w:pPr>
      <w:keepNext/>
      <w:keepLines/>
      <w:spacing w:before="280" w:after="120"/>
      <w:outlineLvl w:val="3"/>
    </w:pPr>
    <w:rPr>
      <w:rFonts w:ascii="Arial" w:hAnsi="Arial" w:eastAsia="Arial"/>
      <w:b/>
      <w:bCs/>
      <w:i/>
      <w:iCs/>
      <w:color w:val="000000"/>
      <w:sz w:val="26"/>
    </w:rPr>
  </w:style>
  <w:style w:type="paragraph" w:styleId="Heading5">
    <w:name w:val="heading 5"/>
    <w:basedOn w:val="Normal"/>
    <w:next w:val="Normal"/>
    <w:link w:val="Heading5Char"/>
    <w:uiPriority w:val="9"/>
    <w:semiHidden/>
    <w:unhideWhenUsed/>
    <w:qFormat/>
    <w:rsid w:val="00FC693F"/>
    <w:pPr>
      <w:keepNext/>
      <w:keepLines/>
      <w:spacing w:before="280" w:after="120"/>
      <w:outlineLvl w:val="4"/>
    </w:pPr>
    <w:rPr>
      <w:rFonts w:ascii="Arial" w:hAnsi="Arial" w:eastAsia="Arial"/>
      <w:b/>
      <w:color w:val="000000"/>
      <w:sz w:val="26"/>
    </w:rPr>
  </w:style>
  <w:style w:type="paragraph" w:styleId="Heading6">
    <w:name w:val="heading 6"/>
    <w:basedOn w:val="Normal"/>
    <w:next w:val="Normal"/>
    <w:link w:val="Heading6Char"/>
    <w:uiPriority w:val="9"/>
    <w:semiHidden/>
    <w:unhideWhenUsed/>
    <w:qFormat/>
    <w:rsid w:val="00FC693F"/>
    <w:pPr>
      <w:keepNext/>
      <w:keepLines/>
      <w:spacing w:before="280" w:after="120"/>
      <w:outlineLvl w:val="5"/>
    </w:pPr>
    <w:rPr>
      <w:rFonts w:ascii="Arial" w:hAnsi="Arial" w:eastAsia="Arial"/>
      <w:b/>
      <w:i/>
      <w:iCs/>
      <w:color w:val="000000"/>
      <w:sz w:val="26"/>
    </w:rPr>
  </w:style>
  <w:style w:type="paragraph" w:styleId="Heading7">
    <w:name w:val="heading 7"/>
    <w:basedOn w:val="Normal"/>
    <w:next w:val="Normal"/>
    <w:link w:val="Heading7Char"/>
    <w:uiPriority w:val="9"/>
    <w:semiHidden/>
    <w:unhideWhenUsed/>
    <w:qFormat/>
    <w:rsid w:val="00FC693F"/>
    <w:pPr>
      <w:keepNext/>
      <w:keepLines/>
      <w:spacing w:before="280" w:after="120"/>
      <w:outlineLvl w:val="6"/>
    </w:pPr>
    <w:rPr>
      <w:rFonts w:ascii="Arial" w:hAnsi="Arial" w:eastAsia="Arial"/>
      <w:b/>
      <w:i/>
      <w:iCs/>
      <w:color w:val="000000"/>
      <w:sz w:val="26"/>
    </w:rPr>
  </w:style>
  <w:style w:type="paragraph" w:styleId="Heading8">
    <w:name w:val="heading 8"/>
    <w:basedOn w:val="Normal"/>
    <w:next w:val="Normal"/>
    <w:link w:val="Heading8Char"/>
    <w:uiPriority w:val="9"/>
    <w:semiHidden/>
    <w:unhideWhenUsed/>
    <w:qFormat/>
    <w:rsid w:val="00FC693F"/>
    <w:pPr>
      <w:keepNext/>
      <w:keepLines/>
      <w:spacing w:before="280" w:after="120"/>
      <w:outlineLvl w:val="7"/>
    </w:pPr>
    <w:rPr>
      <w:rFonts w:ascii="Arial" w:hAnsi="Arial" w:eastAsia="Arial"/>
      <w:b/>
      <w:color w:val="000000"/>
      <w:sz w:val="26"/>
      <w:szCs w:val="20"/>
    </w:rPr>
  </w:style>
  <w:style w:type="paragraph" w:styleId="Heading9">
    <w:name w:val="heading 9"/>
    <w:basedOn w:val="Normal"/>
    <w:next w:val="Normal"/>
    <w:link w:val="Heading9Char"/>
    <w:uiPriority w:val="9"/>
    <w:semiHidden/>
    <w:unhideWhenUsed/>
    <w:qFormat/>
    <w:rsid w:val="00FC693F"/>
    <w:pPr>
      <w:keepNext/>
      <w:keepLines/>
      <w:spacing w:before="280" w:after="120"/>
      <w:outlineLvl w:val="8"/>
    </w:pPr>
    <w:rPr>
      <w:rFonts w:ascii="Arial" w:hAnsi="Arial" w:eastAsia="Arial"/>
      <w:b/>
      <w:i/>
      <w:iCs/>
      <w:color w:val="000000"/>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Arial" w:hAnsi="Arial"/>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nd">
    <w:name w:val="Stand"/>
    <w:basedOn w:val="Normal"/>
  </w:style>
  <w:style w:type="paragraph" w:customStyle="1" w:styleId="Zwischentitel">
    <w:name w:val="Zwischentitel"/>
    <w:basedOn w:val="Normal"/>
    <w:pPr>
      <w:keepNext/>
    </w:pPr>
    <w:rPr>
      <w:b/>
    </w:rPr>
  </w:style>
  <w:style w:type="paragraph" w:customStyle="1" w:styleId="Fußnote">
    <w:name w:val="Fußnote"/>
    <w:basedOn w:val="Normal"/>
    <w:rPr>
      <w:sz w:val="22"/>
    </w:rPr>
  </w:style>
  <w:style w:type="paragraph" w:customStyle="1" w:styleId="Übersicht">
    <w:name w:val="Übersicht"/>
    <w:basedOn w:val="Normal"/>
    <w:pPr>
      <w:spacing w:after="40"/>
    </w:pPr>
  </w:style>
  <w:style w:type="character" w:customStyle="1" w:styleId="Satznummer">
    <w:name w:val="Satznummer"/>
    <w:rPr>
      <w:vertAlign w:val="superscript"/>
    </w:rPr>
  </w:style>
  <w:style w:type="character" w:customStyle="1" w:styleId="Fussnotenmarke">
    <w:name w:val="Fussnotenmarke"/>
    <w:rPr>
      <w:vertAlign w:val="superscript"/>
    </w:rPr>
  </w:style>
  <w:style w:type="character" w:customStyle="1" w:styleId="Suchmarke">
    <w:name w:val="Suchmarke"/>
    <w:rPr>
      <w:b w:val="0"/>
      <w:color w:val="4A2F00"/>
      <w:sz w:val="18"/>
    </w:rPr>
  </w:style>
  <w:style w:type="character" w:customStyle="1" w:styleId="Zusatz">
    <w:name w:val="Zusatz"/>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gesetze-im-internet.de/stv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1</Pages>
  <Words>0</Words>
  <Characters>0</Characters>
  <Application>Barrierefreie Gesetze</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Straßenverkehrsgesetz (StVG)</dc:title>
  <dc:subject>Nicht amtliche Fassung</dc:subject>
  <dc:creator>Barrierefreie Gesetze</dc:creator>
  <cp:keywords/>
  <dc:description/>
  <cp:lastModifiedBy>Barrierefreie Gesetze</cp:lastModifiedBy>
  <cp:revision>1</cp:revision>
  <dcterms:created xsi:type="dcterms:W3CDTF">2026-10-19T19:51:25Z</dcterms:created>
  <dcterms:modified xsi:type="dcterms:W3CDTF">2026-10-19T19:51:25Z</dcterms:modified>
  <cp:category/>
  <dc:language>de-DE</dc:language>
</cp:coreProperties>
</file>