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Strafprozeßordnung (StPO)</w:t>
      </w:r>
    </w:p>
    <w:p>
      <w:pPr>
        <w:pStyle w:val="Stand"/>
      </w:pPr>
      <w:r>
        <w:rPr>
          <w:b/>
        </w:rPr>
        <w:t>Nicht amtliche Fassung.</w:t>
      </w:r>
    </w:p>
    <w:p>
      <w:pPr>
        <w:pStyle w:val="Stand"/>
      </w:pPr>
      <w:r>
        <w:t>Die Satznummern sind berechnet, nicht amtlich.</w:t>
      </w:r>
    </w:p>
    <w:p>
      <w:pPr>
        <w:pStyle w:val="Stand"/>
      </w:pPr>
      <w:r>
        <w:rPr>
          <w:b/>
        </w:rPr>
        <w:t xml:space="preserve">Erstfassung/Ausfertigung: </w:t>
      </w:r>
      <w:r>
        <w:t>12.09.1950</w:t>
      </w:r>
    </w:p>
    <w:p>
      <w:pPr>
        <w:pStyle w:val="Stand"/>
      </w:pPr>
      <w:r>
        <w:rPr>
          <w:b/>
        </w:rPr>
        <w:t xml:space="preserve">Letzte Änderung: </w:t>
      </w:r>
      <w:r>
        <w:t>Art. 2 Abs. 7 G v. 20.03.2026 I Nr. 95</w:t>
      </w:r>
    </w:p>
    <w:p>
      <w:pPr>
        <w:pStyle w:val="Stand"/>
      </w:pPr>
      <w:r>
        <w:rPr>
          <w:b/>
        </w:rPr>
        <w:t xml:space="preserve">Neufassung: </w:t>
      </w:r>
      <w:r>
        <w:t>Bek. v. 07.04.1987 I 1074, 1319</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Erstes Buch Allgemeine Vorschriften</w:t>
        </w:r>
      </w:hyperlink>
    </w:p>
    <w:p>
      <w:pPr>
        <w:pStyle w:val="Übersicht"/>
        <w:ind w:left="340"/>
      </w:pPr>
      <w:hyperlink w:anchor="b1" w:history="1">
        <w:r>
          <w:rPr>
            <w:b/>
            <w:color w:val="0A3A8C"/>
            <w:u w:val="single"/>
          </w:rPr>
          <w:t xml:space="preserve">Erster Abschnitt Sachliche Zuständigkeit der Gerichte</w:t>
        </w:r>
      </w:hyperlink>
    </w:p>
    <w:p>
      <w:pPr>
        <w:pStyle w:val="Übersicht"/>
        <w:ind w:left="680"/>
      </w:pPr>
      <w:hyperlink w:anchor="b2" w:history="1">
        <w:r>
          <w:rPr>
            <w:color w:val="0A3A8C"/>
            <w:u w:val="single"/>
          </w:rPr>
          <w:t xml:space="preserve">§ 1 Anwendbarkeit des Gerichtsverfassungsgesetzes</w:t>
        </w:r>
      </w:hyperlink>
    </w:p>
    <w:p>
      <w:pPr>
        <w:pStyle w:val="Übersicht"/>
        <w:ind w:left="680"/>
      </w:pPr>
      <w:hyperlink w:anchor="b3" w:history="1">
        <w:r>
          <w:rPr>
            <w:color w:val="0A3A8C"/>
            <w:u w:val="single"/>
          </w:rPr>
          <w:t xml:space="preserve">§ 2 Verbindung und Trennung von Strafsachen</w:t>
        </w:r>
      </w:hyperlink>
    </w:p>
    <w:p>
      <w:pPr>
        <w:pStyle w:val="Übersicht"/>
        <w:ind w:left="680"/>
      </w:pPr>
      <w:hyperlink w:anchor="b4" w:history="1">
        <w:r>
          <w:rPr>
            <w:color w:val="0A3A8C"/>
            <w:u w:val="single"/>
          </w:rPr>
          <w:t xml:space="preserve">§ 3 Begriff des Zusammenhanges</w:t>
        </w:r>
      </w:hyperlink>
    </w:p>
    <w:p>
      <w:pPr>
        <w:pStyle w:val="Übersicht"/>
        <w:ind w:left="680"/>
      </w:pPr>
      <w:hyperlink w:anchor="b5" w:history="1">
        <w:r>
          <w:rPr>
            <w:color w:val="0A3A8C"/>
            <w:u w:val="single"/>
          </w:rPr>
          <w:t xml:space="preserve">§ 4 Verbindung und Trennung rechtshängiger Strafsachen</w:t>
        </w:r>
      </w:hyperlink>
    </w:p>
    <w:p>
      <w:pPr>
        <w:pStyle w:val="Übersicht"/>
        <w:ind w:left="680"/>
      </w:pPr>
      <w:hyperlink w:anchor="b6" w:history="1">
        <w:r>
          <w:rPr>
            <w:color w:val="0A3A8C"/>
            <w:u w:val="single"/>
          </w:rPr>
          <w:t xml:space="preserve">§ 5 Maßgebendes Verfahren</w:t>
        </w:r>
      </w:hyperlink>
    </w:p>
    <w:p>
      <w:pPr>
        <w:pStyle w:val="Übersicht"/>
        <w:ind w:left="680"/>
      </w:pPr>
      <w:hyperlink w:anchor="b7" w:history="1">
        <w:r>
          <w:rPr>
            <w:color w:val="0A3A8C"/>
            <w:u w:val="single"/>
          </w:rPr>
          <w:t xml:space="preserve">§ 6 Prüfung der sachlichen Zuständigkeit</w:t>
        </w:r>
      </w:hyperlink>
    </w:p>
    <w:p>
      <w:pPr>
        <w:pStyle w:val="Übersicht"/>
        <w:ind w:left="680"/>
      </w:pPr>
      <w:hyperlink w:anchor="b8" w:history="1">
        <w:r>
          <w:rPr>
            <w:color w:val="0A3A8C"/>
            <w:u w:val="single"/>
          </w:rPr>
          <w:t xml:space="preserve">§ 6a Zuständigkeit besonderer Strafkammern</w:t>
        </w:r>
      </w:hyperlink>
    </w:p>
    <w:p>
      <w:pPr>
        <w:pStyle w:val="Übersicht"/>
        <w:ind w:left="340"/>
      </w:pPr>
      <w:hyperlink w:anchor="b9" w:history="1">
        <w:r>
          <w:rPr>
            <w:b/>
            <w:color w:val="0A3A8C"/>
            <w:u w:val="single"/>
          </w:rPr>
          <w:t xml:space="preserve">Zweiter Abschnitt Gerichtsstand</w:t>
        </w:r>
      </w:hyperlink>
    </w:p>
    <w:p>
      <w:pPr>
        <w:pStyle w:val="Übersicht"/>
        <w:ind w:left="680"/>
      </w:pPr>
      <w:hyperlink w:anchor="b10" w:history="1">
        <w:r>
          <w:rPr>
            <w:color w:val="0A3A8C"/>
            <w:u w:val="single"/>
          </w:rPr>
          <w:t xml:space="preserve">§ 7 Gerichtsstand des Tatortes</w:t>
        </w:r>
      </w:hyperlink>
    </w:p>
    <w:p>
      <w:pPr>
        <w:pStyle w:val="Übersicht"/>
        <w:ind w:left="680"/>
      </w:pPr>
      <w:hyperlink w:anchor="b11" w:history="1">
        <w:r>
          <w:rPr>
            <w:color w:val="0A3A8C"/>
            <w:u w:val="single"/>
          </w:rPr>
          <w:t xml:space="preserve">§ 8 Gerichtsstand des Wohnsitzes oder Aufenthaltsortes</w:t>
        </w:r>
      </w:hyperlink>
    </w:p>
    <w:p>
      <w:pPr>
        <w:pStyle w:val="Übersicht"/>
        <w:ind w:left="680"/>
      </w:pPr>
      <w:hyperlink w:anchor="b12" w:history="1">
        <w:r>
          <w:rPr>
            <w:color w:val="0A3A8C"/>
            <w:u w:val="single"/>
          </w:rPr>
          <w:t xml:space="preserve">§ 9 Gerichtsstand des Ergreifungsortes</w:t>
        </w:r>
      </w:hyperlink>
    </w:p>
    <w:p>
      <w:pPr>
        <w:pStyle w:val="Übersicht"/>
        <w:ind w:left="680"/>
      </w:pPr>
      <w:hyperlink w:anchor="b13" w:history="1">
        <w:r>
          <w:rPr>
            <w:color w:val="0A3A8C"/>
            <w:u w:val="single"/>
          </w:rPr>
          <w:t xml:space="preserve">§ 10 Gerichtsstand bei Auslandstaten auf Schiffen oder in Luftfahrzeugen</w:t>
        </w:r>
      </w:hyperlink>
    </w:p>
    <w:p>
      <w:pPr>
        <w:pStyle w:val="Übersicht"/>
        <w:ind w:left="680"/>
      </w:pPr>
      <w:hyperlink w:anchor="b14" w:history="1">
        <w:r>
          <w:rPr>
            <w:color w:val="0A3A8C"/>
            <w:u w:val="single"/>
          </w:rPr>
          <w:t xml:space="preserve">§ 10a Gerichtsstand bei Auslandstaten im Bereich des Meeres</w:t>
        </w:r>
      </w:hyperlink>
    </w:p>
    <w:p>
      <w:pPr>
        <w:pStyle w:val="Übersicht"/>
        <w:ind w:left="680"/>
      </w:pPr>
      <w:hyperlink w:anchor="b15" w:history="1">
        <w:r>
          <w:rPr>
            <w:color w:val="0A3A8C"/>
            <w:u w:val="single"/>
          </w:rPr>
          <w:t xml:space="preserve">§ 11 Gerichtsstand bei Auslandstaten exterritorialer Deutscher und deutscher Beamter</w:t>
        </w:r>
      </w:hyperlink>
    </w:p>
    <w:p>
      <w:pPr>
        <w:pStyle w:val="Übersicht"/>
        <w:ind w:left="680"/>
      </w:pPr>
      <w:hyperlink w:anchor="b16" w:history="1">
        <w:r>
          <w:rPr>
            <w:color w:val="0A3A8C"/>
            <w:u w:val="single"/>
          </w:rPr>
          <w:t xml:space="preserve">§ 11a Gerichtsstand bei Auslandstaten von Soldaten in besonderer Auslandsverwendung</w:t>
        </w:r>
      </w:hyperlink>
    </w:p>
    <w:p>
      <w:pPr>
        <w:pStyle w:val="Übersicht"/>
        <w:ind w:left="680"/>
      </w:pPr>
      <w:hyperlink w:anchor="b17" w:history="1">
        <w:r>
          <w:rPr>
            <w:color w:val="0A3A8C"/>
            <w:u w:val="single"/>
          </w:rPr>
          <w:t xml:space="preserve">§ 12 Zusammentreffen mehrerer Gerichtsstände</w:t>
        </w:r>
      </w:hyperlink>
    </w:p>
    <w:p>
      <w:pPr>
        <w:pStyle w:val="Übersicht"/>
        <w:ind w:left="680"/>
      </w:pPr>
      <w:hyperlink w:anchor="b18" w:history="1">
        <w:r>
          <w:rPr>
            <w:color w:val="0A3A8C"/>
            <w:u w:val="single"/>
          </w:rPr>
          <w:t xml:space="preserve">§ 13 Gerichtsstand bei zusammenhängenden Strafsachen</w:t>
        </w:r>
      </w:hyperlink>
    </w:p>
    <w:p>
      <w:pPr>
        <w:pStyle w:val="Übersicht"/>
        <w:ind w:left="680"/>
      </w:pPr>
      <w:hyperlink w:anchor="b19" w:history="1">
        <w:r>
          <w:rPr>
            <w:color w:val="0A3A8C"/>
            <w:u w:val="single"/>
          </w:rPr>
          <w:t xml:space="preserve">§ 13a Zuständigkeitsbestimmung durch den Bundesgerichtshof</w:t>
        </w:r>
      </w:hyperlink>
    </w:p>
    <w:p>
      <w:pPr>
        <w:pStyle w:val="Übersicht"/>
        <w:ind w:left="680"/>
      </w:pPr>
      <w:hyperlink w:anchor="b20" w:history="1">
        <w:r>
          <w:rPr>
            <w:color w:val="0A3A8C"/>
            <w:u w:val="single"/>
          </w:rPr>
          <w:t xml:space="preserve">§ 14 Zuständigkeitsbestimmung durch das gemeinschaftliche obere Gericht</w:t>
        </w:r>
      </w:hyperlink>
    </w:p>
    <w:p>
      <w:pPr>
        <w:pStyle w:val="Übersicht"/>
        <w:ind w:left="680"/>
      </w:pPr>
      <w:hyperlink w:anchor="b21" w:history="1">
        <w:r>
          <w:rPr>
            <w:color w:val="0A3A8C"/>
            <w:u w:val="single"/>
          </w:rPr>
          <w:t xml:space="preserve">§ 15 Gerichtsstand kraft Übertragung bei Hinderung des zuständigen Gerichts</w:t>
        </w:r>
      </w:hyperlink>
    </w:p>
    <w:p>
      <w:pPr>
        <w:pStyle w:val="Übersicht"/>
        <w:ind w:left="680"/>
      </w:pPr>
      <w:hyperlink w:anchor="b22" w:history="1">
        <w:r>
          <w:rPr>
            <w:color w:val="0A3A8C"/>
            <w:u w:val="single"/>
          </w:rPr>
          <w:t xml:space="preserve">§ 16 Prüfung der örtlichen Zuständigkeit; Einwand der Unzuständigkeit</w:t>
        </w:r>
      </w:hyperlink>
    </w:p>
    <w:p>
      <w:pPr>
        <w:pStyle w:val="Übersicht"/>
        <w:ind w:left="680"/>
      </w:pPr>
      <w:hyperlink w:anchor="b23" w:history="1">
        <w:r>
          <w:rPr>
            <w:color w:val="0A3A8C"/>
            <w:u w:val="single"/>
          </w:rPr>
          <w:t xml:space="preserve">§§ 17 und 18 (weggefallen)</w:t>
        </w:r>
      </w:hyperlink>
    </w:p>
    <w:p>
      <w:pPr>
        <w:pStyle w:val="Übersicht"/>
        <w:ind w:left="680"/>
      </w:pPr>
      <w:hyperlink w:anchor="b24" w:history="1">
        <w:r>
          <w:rPr>
            <w:color w:val="0A3A8C"/>
            <w:u w:val="single"/>
          </w:rPr>
          <w:t xml:space="preserve">§ 19 Zuständigkeitsbestimmung bei Zuständigkeitsstreit</w:t>
        </w:r>
      </w:hyperlink>
    </w:p>
    <w:p>
      <w:pPr>
        <w:pStyle w:val="Übersicht"/>
        <w:ind w:left="680"/>
      </w:pPr>
      <w:hyperlink w:anchor="b25" w:history="1">
        <w:r>
          <w:rPr>
            <w:color w:val="0A3A8C"/>
            <w:u w:val="single"/>
          </w:rPr>
          <w:t xml:space="preserve">§ 20 Untersuchungshandlungen eines unzuständigen Gerichts</w:t>
        </w:r>
      </w:hyperlink>
    </w:p>
    <w:p>
      <w:pPr>
        <w:pStyle w:val="Übersicht"/>
        <w:ind w:left="680"/>
      </w:pPr>
      <w:hyperlink w:anchor="b26" w:history="1">
        <w:r>
          <w:rPr>
            <w:color w:val="0A3A8C"/>
            <w:u w:val="single"/>
          </w:rPr>
          <w:t xml:space="preserve">§ 21 Befugnisse bei Gefahr im Verzug</w:t>
        </w:r>
      </w:hyperlink>
    </w:p>
    <w:p>
      <w:pPr>
        <w:pStyle w:val="Übersicht"/>
        <w:ind w:left="340"/>
      </w:pPr>
      <w:hyperlink w:anchor="b27" w:history="1">
        <w:r>
          <w:rPr>
            <w:b/>
            <w:color w:val="0A3A8C"/>
            <w:u w:val="single"/>
          </w:rPr>
          <w:t xml:space="preserve">Dritter Abschnitt Ausschließung und Ablehnung der Gerichtspersonen</w:t>
        </w:r>
      </w:hyperlink>
    </w:p>
    <w:p>
      <w:pPr>
        <w:pStyle w:val="Übersicht"/>
        <w:ind w:left="680"/>
      </w:pPr>
      <w:hyperlink w:anchor="b28" w:history="1">
        <w:r>
          <w:rPr>
            <w:color w:val="0A3A8C"/>
            <w:u w:val="single"/>
          </w:rPr>
          <w:t xml:space="preserve">§ 22 Ausschließung von der Ausübung des Richteramtes kraft Gesetzes</w:t>
        </w:r>
      </w:hyperlink>
    </w:p>
    <w:p>
      <w:pPr>
        <w:pStyle w:val="Übersicht"/>
        <w:ind w:left="680"/>
      </w:pPr>
      <w:hyperlink w:anchor="b29" w:history="1">
        <w:r>
          <w:rPr>
            <w:color w:val="0A3A8C"/>
            <w:u w:val="single"/>
          </w:rPr>
          <w:t xml:space="preserve">§ 23 Ausschließung eines Richters wegen Mitwirkung an der angefochtenen Entscheidung</w:t>
        </w:r>
      </w:hyperlink>
    </w:p>
    <w:p>
      <w:pPr>
        <w:pStyle w:val="Übersicht"/>
        <w:ind w:left="680"/>
      </w:pPr>
      <w:hyperlink w:anchor="b30" w:history="1">
        <w:r>
          <w:rPr>
            <w:color w:val="0A3A8C"/>
            <w:u w:val="single"/>
          </w:rPr>
          <w:t xml:space="preserve">§ 24 Ablehnung eines Richters; Besorgnis der Befangenheit</w:t>
        </w:r>
      </w:hyperlink>
    </w:p>
    <w:p>
      <w:pPr>
        <w:pStyle w:val="Übersicht"/>
        <w:ind w:left="680"/>
      </w:pPr>
      <w:hyperlink w:anchor="b31" w:history="1">
        <w:r>
          <w:rPr>
            <w:color w:val="0A3A8C"/>
            <w:u w:val="single"/>
          </w:rPr>
          <w:t xml:space="preserve">§ 25 Ablehnungszeitpunkt</w:t>
        </w:r>
      </w:hyperlink>
    </w:p>
    <w:p>
      <w:pPr>
        <w:pStyle w:val="Übersicht"/>
        <w:ind w:left="680"/>
      </w:pPr>
      <w:hyperlink w:anchor="b32" w:history="1">
        <w:r>
          <w:rPr>
            <w:color w:val="0A3A8C"/>
            <w:u w:val="single"/>
          </w:rPr>
          <w:t xml:space="preserve">§ 26 Ablehnungsverfahren</w:t>
        </w:r>
      </w:hyperlink>
    </w:p>
    <w:p>
      <w:pPr>
        <w:pStyle w:val="Übersicht"/>
        <w:ind w:left="680"/>
      </w:pPr>
      <w:hyperlink w:anchor="b33" w:history="1">
        <w:r>
          <w:rPr>
            <w:color w:val="0A3A8C"/>
            <w:u w:val="single"/>
          </w:rPr>
          <w:t xml:space="preserve">§ 26a Verwerfung eines unzulässigen Ablehnungsantrags</w:t>
        </w:r>
      </w:hyperlink>
    </w:p>
    <w:p>
      <w:pPr>
        <w:pStyle w:val="Übersicht"/>
        <w:ind w:left="680"/>
      </w:pPr>
      <w:hyperlink w:anchor="b34" w:history="1">
        <w:r>
          <w:rPr>
            <w:color w:val="0A3A8C"/>
            <w:u w:val="single"/>
          </w:rPr>
          <w:t xml:space="preserve">§ 27 Entscheidung über einen zulässigen Ablehnungsantrag</w:t>
        </w:r>
      </w:hyperlink>
    </w:p>
    <w:p>
      <w:pPr>
        <w:pStyle w:val="Übersicht"/>
        <w:ind w:left="680"/>
      </w:pPr>
      <w:hyperlink w:anchor="b35" w:history="1">
        <w:r>
          <w:rPr>
            <w:color w:val="0A3A8C"/>
            <w:u w:val="single"/>
          </w:rPr>
          <w:t xml:space="preserve">§ 28 Rechtsmittel</w:t>
        </w:r>
      </w:hyperlink>
    </w:p>
    <w:p>
      <w:pPr>
        <w:pStyle w:val="Übersicht"/>
        <w:ind w:left="680"/>
      </w:pPr>
      <w:hyperlink w:anchor="b36" w:history="1">
        <w:r>
          <w:rPr>
            <w:color w:val="0A3A8C"/>
            <w:u w:val="single"/>
          </w:rPr>
          <w:t xml:space="preserve">§ 29 Verfahren nach Ablehnung eines Richters</w:t>
        </w:r>
      </w:hyperlink>
    </w:p>
    <w:p>
      <w:pPr>
        <w:pStyle w:val="Übersicht"/>
        <w:ind w:left="680"/>
      </w:pPr>
      <w:hyperlink w:anchor="b37" w:history="1">
        <w:r>
          <w:rPr>
            <w:color w:val="0A3A8C"/>
            <w:u w:val="single"/>
          </w:rPr>
          <w:t xml:space="preserve">§ 30 Ablehnung eines Richters bei Selbstanzeige und von Amts wegen</w:t>
        </w:r>
      </w:hyperlink>
    </w:p>
    <w:p>
      <w:pPr>
        <w:pStyle w:val="Übersicht"/>
        <w:ind w:left="680"/>
      </w:pPr>
      <w:hyperlink w:anchor="b38" w:history="1">
        <w:r>
          <w:rPr>
            <w:color w:val="0A3A8C"/>
            <w:u w:val="single"/>
          </w:rPr>
          <w:t xml:space="preserve">§ 31 Schöffen, Urkundsbeamte</w:t>
        </w:r>
      </w:hyperlink>
    </w:p>
    <w:p>
      <w:pPr>
        <w:pStyle w:val="Übersicht"/>
        <w:ind w:left="340"/>
      </w:pPr>
      <w:hyperlink w:anchor="b39" w:history="1">
        <w:r>
          <w:rPr>
            <w:b/>
            <w:color w:val="0A3A8C"/>
            <w:u w:val="single"/>
          </w:rPr>
          <w:t xml:space="preserve">Vierter Abschnitt Aktenführung und Kommunikation im Verfahren</w:t>
        </w:r>
      </w:hyperlink>
    </w:p>
    <w:p>
      <w:pPr>
        <w:pStyle w:val="Übersicht"/>
        <w:ind w:left="680"/>
      </w:pPr>
      <w:hyperlink w:anchor="b40" w:history="1">
        <w:r>
          <w:rPr>
            <w:color w:val="0A3A8C"/>
            <w:u w:val="single"/>
          </w:rPr>
          <w:t xml:space="preserve">§ 32 Elektronische Aktenführung; Verordnungsermächtigungen</w:t>
        </w:r>
      </w:hyperlink>
    </w:p>
    <w:p>
      <w:pPr>
        <w:pStyle w:val="Übersicht"/>
        <w:ind w:left="680"/>
      </w:pPr>
      <w:hyperlink w:anchor="b41" w:history="1">
        <w:r>
          <w:rPr>
            <w:color w:val="0A3A8C"/>
            <w:u w:val="single"/>
          </w:rPr>
          <w:t xml:space="preserve">§ 32a Elektronischer Rechtsverkehr mit Strafverfolgungsbehörden und Gerichten; Verordnungsermächtigungen</w:t>
        </w:r>
      </w:hyperlink>
    </w:p>
    <w:p>
      <w:pPr>
        <w:pStyle w:val="Übersicht"/>
        <w:ind w:left="680"/>
      </w:pPr>
      <w:hyperlink w:anchor="b42" w:history="1">
        <w:r>
          <w:rPr>
            <w:color w:val="0A3A8C"/>
            <w:u w:val="single"/>
          </w:rPr>
          <w:t xml:space="preserve">§ 32b Erstellung und Übermittlung strafverfolgungsbehördlicher und gerichtlicher elektronischer Dokumente; Verordnungsermächtigung</w:t>
        </w:r>
      </w:hyperlink>
    </w:p>
    <w:p>
      <w:pPr>
        <w:pStyle w:val="Übersicht"/>
        <w:ind w:left="680"/>
      </w:pPr>
      <w:hyperlink w:anchor="b43" w:history="1">
        <w:r>
          <w:rPr>
            <w:color w:val="0A3A8C"/>
            <w:u w:val="single"/>
          </w:rPr>
          <w:t xml:space="preserve">§ 32c Elektronische Formulare; Verordnungsermächtigung</w:t>
        </w:r>
      </w:hyperlink>
    </w:p>
    <w:p>
      <w:pPr>
        <w:pStyle w:val="Übersicht"/>
        <w:ind w:left="680"/>
      </w:pPr>
      <w:hyperlink w:anchor="b44" w:history="1">
        <w:r>
          <w:rPr>
            <w:color w:val="0A3A8C"/>
            <w:u w:val="single"/>
          </w:rPr>
          <w:t xml:space="preserve">§ 32d Pflicht zur elektronischen Übermittlung</w:t>
        </w:r>
      </w:hyperlink>
    </w:p>
    <w:p>
      <w:pPr>
        <w:pStyle w:val="Übersicht"/>
        <w:ind w:left="680"/>
      </w:pPr>
      <w:hyperlink w:anchor="b45" w:history="1">
        <w:r>
          <w:rPr>
            <w:color w:val="0A3A8C"/>
            <w:u w:val="single"/>
          </w:rPr>
          <w:t xml:space="preserve">§ 32e Übertragung von Dokumenten zu Aktenführungszwecken</w:t>
        </w:r>
      </w:hyperlink>
    </w:p>
    <w:p>
      <w:pPr>
        <w:pStyle w:val="Übersicht"/>
        <w:ind w:left="680"/>
      </w:pPr>
      <w:hyperlink w:anchor="b46" w:history="1">
        <w:r>
          <w:rPr>
            <w:color w:val="0A3A8C"/>
            <w:u w:val="single"/>
          </w:rPr>
          <w:t xml:space="preserve">§ 32f Form der Gewährung von Akteneinsicht; Verordnungsermächtigung</w:t>
        </w:r>
      </w:hyperlink>
    </w:p>
    <w:p>
      <w:pPr>
        <w:pStyle w:val="Übersicht"/>
        <w:ind w:left="680"/>
      </w:pPr>
      <w:hyperlink w:anchor="b47" w:history="1">
        <w:r>
          <w:rPr>
            <w:b/>
            <w:color w:val="0A3A8C"/>
            <w:u w:val="single"/>
          </w:rPr>
          <w:t xml:space="preserve">Abschnitt 4a Gerichtliche Entscheidungen</w:t>
        </w:r>
      </w:hyperlink>
    </w:p>
    <w:p>
      <w:pPr>
        <w:pStyle w:val="Übersicht"/>
        <w:ind w:left="1020"/>
      </w:pPr>
      <w:hyperlink w:anchor="b48" w:history="1">
        <w:r>
          <w:rPr>
            <w:color w:val="0A3A8C"/>
            <w:u w:val="single"/>
          </w:rPr>
          <w:t xml:space="preserve">§ 33 Gewährung rechtlichen Gehörs vor einer Entscheidung</w:t>
        </w:r>
      </w:hyperlink>
    </w:p>
    <w:p>
      <w:pPr>
        <w:pStyle w:val="Übersicht"/>
        <w:ind w:left="1020"/>
      </w:pPr>
      <w:hyperlink w:anchor="b49" w:history="1">
        <w:r>
          <w:rPr>
            <w:color w:val="0A3A8C"/>
            <w:u w:val="single"/>
          </w:rPr>
          <w:t xml:space="preserve">§ 33a Wiedereinsetzung in den vorigen Stand bei Nichtgewährung rechtlichen Gehörs</w:t>
        </w:r>
      </w:hyperlink>
    </w:p>
    <w:p>
      <w:pPr>
        <w:pStyle w:val="Übersicht"/>
        <w:ind w:left="1020"/>
      </w:pPr>
      <w:hyperlink w:anchor="b50" w:history="1">
        <w:r>
          <w:rPr>
            <w:color w:val="0A3A8C"/>
            <w:u w:val="single"/>
          </w:rPr>
          <w:t xml:space="preserve">§ 34 Begründung anfechtbarer und ablehnender Entscheidungen</w:t>
        </w:r>
      </w:hyperlink>
    </w:p>
    <w:p>
      <w:pPr>
        <w:pStyle w:val="Übersicht"/>
        <w:ind w:left="1020"/>
      </w:pPr>
      <w:hyperlink w:anchor="b51" w:history="1">
        <w:r>
          <w:rPr>
            <w:color w:val="0A3A8C"/>
            <w:u w:val="single"/>
          </w:rPr>
          <w:t xml:space="preserve">§ 34a Eintritt der Rechtskraft bei Verwerfung eines Rechtsmittels durch Beschluss</w:t>
        </w:r>
      </w:hyperlink>
    </w:p>
    <w:p>
      <w:pPr>
        <w:pStyle w:val="Übersicht"/>
        <w:ind w:left="1020"/>
      </w:pPr>
      <w:hyperlink w:anchor="b52" w:history="1">
        <w:r>
          <w:rPr>
            <w:color w:val="0A3A8C"/>
            <w:u w:val="single"/>
          </w:rPr>
          <w:t xml:space="preserve">§ 35 Bekanntmachung</w:t>
        </w:r>
      </w:hyperlink>
    </w:p>
    <w:p>
      <w:pPr>
        <w:pStyle w:val="Übersicht"/>
        <w:ind w:left="1020"/>
      </w:pPr>
      <w:hyperlink w:anchor="b53" w:history="1">
        <w:r>
          <w:rPr>
            <w:color w:val="0A3A8C"/>
            <w:u w:val="single"/>
          </w:rPr>
          <w:t xml:space="preserve">§ 35a Rechtsmittelbelehrung</w:t>
        </w:r>
      </w:hyperlink>
    </w:p>
    <w:p>
      <w:pPr>
        <w:pStyle w:val="Übersicht"/>
        <w:ind w:left="680"/>
      </w:pPr>
      <w:hyperlink w:anchor="b54" w:history="1">
        <w:r>
          <w:rPr>
            <w:b/>
            <w:color w:val="0A3A8C"/>
            <w:u w:val="single"/>
          </w:rPr>
          <w:t xml:space="preserve">Abschnitt 4b Verfahren bei Zustellungen</w:t>
        </w:r>
      </w:hyperlink>
    </w:p>
    <w:p>
      <w:pPr>
        <w:pStyle w:val="Übersicht"/>
        <w:ind w:left="1020"/>
      </w:pPr>
      <w:hyperlink w:anchor="b55" w:history="1">
        <w:r>
          <w:rPr>
            <w:color w:val="0A3A8C"/>
            <w:u w:val="single"/>
          </w:rPr>
          <w:t xml:space="preserve">§ 36 Zustellung und Vollstreckung</w:t>
        </w:r>
      </w:hyperlink>
    </w:p>
    <w:p>
      <w:pPr>
        <w:pStyle w:val="Übersicht"/>
        <w:ind w:left="1020"/>
      </w:pPr>
      <w:hyperlink w:anchor="b56" w:history="1">
        <w:r>
          <w:rPr>
            <w:color w:val="0A3A8C"/>
            <w:u w:val="single"/>
          </w:rPr>
          <w:t xml:space="preserve">§ 37 Zustellungsverfahren</w:t>
        </w:r>
      </w:hyperlink>
    </w:p>
    <w:p>
      <w:pPr>
        <w:pStyle w:val="Übersicht"/>
        <w:ind w:left="1020"/>
      </w:pPr>
      <w:hyperlink w:anchor="b57" w:history="1">
        <w:r>
          <w:rPr>
            <w:color w:val="0A3A8C"/>
            <w:u w:val="single"/>
          </w:rPr>
          <w:t xml:space="preserve">§ 38 Unmittelbare Ladung</w:t>
        </w:r>
      </w:hyperlink>
    </w:p>
    <w:p>
      <w:pPr>
        <w:pStyle w:val="Übersicht"/>
        <w:ind w:left="1020"/>
      </w:pPr>
      <w:hyperlink w:anchor="b58" w:history="1">
        <w:r>
          <w:rPr>
            <w:color w:val="0A3A8C"/>
            <w:u w:val="single"/>
          </w:rPr>
          <w:t xml:space="preserve">§ 39 (weggefallen)</w:t>
        </w:r>
      </w:hyperlink>
    </w:p>
    <w:p>
      <w:pPr>
        <w:pStyle w:val="Übersicht"/>
        <w:ind w:left="1020"/>
      </w:pPr>
      <w:hyperlink w:anchor="b59" w:history="1">
        <w:r>
          <w:rPr>
            <w:color w:val="0A3A8C"/>
            <w:u w:val="single"/>
          </w:rPr>
          <w:t xml:space="preserve">§ 40 Öffentliche Zustellung</w:t>
        </w:r>
      </w:hyperlink>
    </w:p>
    <w:p>
      <w:pPr>
        <w:pStyle w:val="Übersicht"/>
        <w:ind w:left="1020"/>
      </w:pPr>
      <w:hyperlink w:anchor="b60" w:history="1">
        <w:r>
          <w:rPr>
            <w:color w:val="0A3A8C"/>
            <w:u w:val="single"/>
          </w:rPr>
          <w:t xml:space="preserve">§ 41 Zustellungen an die Staatsanwaltschaft</w:t>
        </w:r>
      </w:hyperlink>
    </w:p>
    <w:p>
      <w:pPr>
        <w:pStyle w:val="Übersicht"/>
        <w:ind w:left="340"/>
      </w:pPr>
      <w:hyperlink w:anchor="b61" w:history="1">
        <w:r>
          <w:rPr>
            <w:b/>
            <w:color w:val="0A3A8C"/>
            <w:u w:val="single"/>
          </w:rPr>
          <w:t xml:space="preserve">Fünfter Abschnitt Fristen und Wiedereinsetzung in den vorigen Stand</w:t>
        </w:r>
      </w:hyperlink>
    </w:p>
    <w:p>
      <w:pPr>
        <w:pStyle w:val="Übersicht"/>
        <w:ind w:left="680"/>
      </w:pPr>
      <w:hyperlink w:anchor="b62" w:history="1">
        <w:r>
          <w:rPr>
            <w:color w:val="0A3A8C"/>
            <w:u w:val="single"/>
          </w:rPr>
          <w:t xml:space="preserve">§ 42 Berechnung von Tagesfristen</w:t>
        </w:r>
      </w:hyperlink>
    </w:p>
    <w:p>
      <w:pPr>
        <w:pStyle w:val="Übersicht"/>
        <w:ind w:left="680"/>
      </w:pPr>
      <w:hyperlink w:anchor="b63" w:history="1">
        <w:r>
          <w:rPr>
            <w:color w:val="0A3A8C"/>
            <w:u w:val="single"/>
          </w:rPr>
          <w:t xml:space="preserve">§ 43 Berechnung von Wochen- und Monatsfristen</w:t>
        </w:r>
      </w:hyperlink>
    </w:p>
    <w:p>
      <w:pPr>
        <w:pStyle w:val="Übersicht"/>
        <w:ind w:left="680"/>
      </w:pPr>
      <w:hyperlink w:anchor="b64" w:history="1">
        <w:r>
          <w:rPr>
            <w:color w:val="0A3A8C"/>
            <w:u w:val="single"/>
          </w:rPr>
          <w:t xml:space="preserve">§ 44 Wiedereinsetzung in den vorigen Stand bei Fristversäumung</w:t>
        </w:r>
      </w:hyperlink>
    </w:p>
    <w:p>
      <w:pPr>
        <w:pStyle w:val="Übersicht"/>
        <w:ind w:left="680"/>
      </w:pPr>
      <w:hyperlink w:anchor="b65" w:history="1">
        <w:r>
          <w:rPr>
            <w:color w:val="0A3A8C"/>
            <w:u w:val="single"/>
          </w:rPr>
          <w:t xml:space="preserve">§ 45 Anforderungen an einen Wiedereinsetzungsantrag</w:t>
        </w:r>
      </w:hyperlink>
    </w:p>
    <w:p>
      <w:pPr>
        <w:pStyle w:val="Übersicht"/>
        <w:ind w:left="680"/>
      </w:pPr>
      <w:hyperlink w:anchor="b66" w:history="1">
        <w:r>
          <w:rPr>
            <w:color w:val="0A3A8C"/>
            <w:u w:val="single"/>
          </w:rPr>
          <w:t xml:space="preserve">§ 46 Zuständigkeit; Rechtsmittel</w:t>
        </w:r>
      </w:hyperlink>
    </w:p>
    <w:p>
      <w:pPr>
        <w:pStyle w:val="Übersicht"/>
        <w:ind w:left="680"/>
      </w:pPr>
      <w:hyperlink w:anchor="b67" w:history="1">
        <w:r>
          <w:rPr>
            <w:color w:val="0A3A8C"/>
            <w:u w:val="single"/>
          </w:rPr>
          <w:t xml:space="preserve">§ 47 Keine Vollstreckungshemmung</w:t>
        </w:r>
      </w:hyperlink>
    </w:p>
    <w:p>
      <w:pPr>
        <w:pStyle w:val="Übersicht"/>
        <w:ind w:left="340"/>
      </w:pPr>
      <w:hyperlink w:anchor="b68" w:history="1">
        <w:r>
          <w:rPr>
            <w:b/>
            <w:color w:val="0A3A8C"/>
            <w:u w:val="single"/>
          </w:rPr>
          <w:t xml:space="preserve">Sechster Abschnitt Zeugen</w:t>
        </w:r>
      </w:hyperlink>
    </w:p>
    <w:p>
      <w:pPr>
        <w:pStyle w:val="Übersicht"/>
        <w:ind w:left="680"/>
      </w:pPr>
      <w:hyperlink w:anchor="b69" w:history="1">
        <w:r>
          <w:rPr>
            <w:color w:val="0A3A8C"/>
            <w:u w:val="single"/>
          </w:rPr>
          <w:t xml:space="preserve">§ 48 Zeugenpflichten; Ladung</w:t>
        </w:r>
      </w:hyperlink>
    </w:p>
    <w:p>
      <w:pPr>
        <w:pStyle w:val="Übersicht"/>
        <w:ind w:left="680"/>
      </w:pPr>
      <w:hyperlink w:anchor="b70" w:history="1">
        <w:r>
          <w:rPr>
            <w:color w:val="0A3A8C"/>
            <w:u w:val="single"/>
          </w:rPr>
          <w:t xml:space="preserve">§ 48a Besonders schutzbedürftige Zeugen; Beschleunigungsgebot</w:t>
        </w:r>
      </w:hyperlink>
    </w:p>
    <w:p>
      <w:pPr>
        <w:pStyle w:val="Übersicht"/>
        <w:ind w:left="680"/>
      </w:pPr>
      <w:hyperlink w:anchor="b71" w:history="1">
        <w:r>
          <w:rPr>
            <w:color w:val="0A3A8C"/>
            <w:u w:val="single"/>
          </w:rPr>
          <w:t xml:space="preserve">§ 49 Vernehmung des Bundespräsidenten</w:t>
        </w:r>
      </w:hyperlink>
    </w:p>
    <w:p>
      <w:pPr>
        <w:pStyle w:val="Übersicht"/>
        <w:ind w:left="680"/>
      </w:pPr>
      <w:hyperlink w:anchor="b72" w:history="1">
        <w:r>
          <w:rPr>
            <w:color w:val="0A3A8C"/>
            <w:u w:val="single"/>
          </w:rPr>
          <w:t xml:space="preserve">§ 50 Vernehmung von Abgeordneten und Mitgliedern einer Regierung</w:t>
        </w:r>
      </w:hyperlink>
    </w:p>
    <w:p>
      <w:pPr>
        <w:pStyle w:val="Übersicht"/>
        <w:ind w:left="680"/>
      </w:pPr>
      <w:hyperlink w:anchor="b73" w:history="1">
        <w:r>
          <w:rPr>
            <w:color w:val="0A3A8C"/>
            <w:u w:val="single"/>
          </w:rPr>
          <w:t xml:space="preserve">§ 51 Folgen des Ausbleibens eines Zeugen</w:t>
        </w:r>
      </w:hyperlink>
    </w:p>
    <w:p>
      <w:pPr>
        <w:pStyle w:val="Übersicht"/>
        <w:ind w:left="680"/>
      </w:pPr>
      <w:hyperlink w:anchor="b74" w:history="1">
        <w:r>
          <w:rPr>
            <w:color w:val="0A3A8C"/>
            <w:u w:val="single"/>
          </w:rPr>
          <w:t xml:space="preserve">§ 52 Zeugnisverweigerungsrecht der Angehörigen des Beschuldigten</w:t>
        </w:r>
      </w:hyperlink>
    </w:p>
    <w:p>
      <w:pPr>
        <w:pStyle w:val="Übersicht"/>
        <w:ind w:left="680"/>
      </w:pPr>
      <w:hyperlink w:anchor="b75" w:history="1">
        <w:r>
          <w:rPr>
            <w:color w:val="0A3A8C"/>
            <w:u w:val="single"/>
          </w:rPr>
          <w:t xml:space="preserve">§ 53 Zeugnisverweigerungsrecht der Berufsgeheimnisträger</w:t>
        </w:r>
      </w:hyperlink>
    </w:p>
    <w:p>
      <w:pPr>
        <w:pStyle w:val="Übersicht"/>
        <w:ind w:left="680"/>
      </w:pPr>
      <w:hyperlink w:anchor="b76" w:history="1">
        <w:r>
          <w:rPr>
            <w:color w:val="0A3A8C"/>
            <w:u w:val="single"/>
          </w:rPr>
          <w:t xml:space="preserve">§ 53a Zeugnisverweigerungsrecht der mitwirkenden Personen</w:t>
        </w:r>
      </w:hyperlink>
    </w:p>
    <w:p>
      <w:pPr>
        <w:pStyle w:val="Übersicht"/>
        <w:ind w:left="680"/>
      </w:pPr>
      <w:hyperlink w:anchor="b77" w:history="1">
        <w:r>
          <w:rPr>
            <w:color w:val="0A3A8C"/>
            <w:u w:val="single"/>
          </w:rPr>
          <w:t xml:space="preserve">§ 54 Aussagegenehmigung für Angehörige des öffentlichen Dienstes</w:t>
        </w:r>
      </w:hyperlink>
    </w:p>
    <w:p>
      <w:pPr>
        <w:pStyle w:val="Übersicht"/>
        <w:ind w:left="680"/>
      </w:pPr>
      <w:hyperlink w:anchor="b78" w:history="1">
        <w:r>
          <w:rPr>
            <w:color w:val="0A3A8C"/>
            <w:u w:val="single"/>
          </w:rPr>
          <w:t xml:space="preserve">§ 55 Auskunftsverweigerungsrecht</w:t>
        </w:r>
      </w:hyperlink>
    </w:p>
    <w:p>
      <w:pPr>
        <w:pStyle w:val="Übersicht"/>
        <w:ind w:left="680"/>
      </w:pPr>
      <w:hyperlink w:anchor="b79" w:history="1">
        <w:r>
          <w:rPr>
            <w:color w:val="0A3A8C"/>
            <w:u w:val="single"/>
          </w:rPr>
          <w:t xml:space="preserve">§ 56 Glaubhaftmachung des Verweigerungsgrundes</w:t>
        </w:r>
      </w:hyperlink>
    </w:p>
    <w:p>
      <w:pPr>
        <w:pStyle w:val="Übersicht"/>
        <w:ind w:left="680"/>
      </w:pPr>
      <w:hyperlink w:anchor="b80" w:history="1">
        <w:r>
          <w:rPr>
            <w:color w:val="0A3A8C"/>
            <w:u w:val="single"/>
          </w:rPr>
          <w:t xml:space="preserve">§ 57 Belehrung</w:t>
        </w:r>
      </w:hyperlink>
    </w:p>
    <w:p>
      <w:pPr>
        <w:pStyle w:val="Übersicht"/>
        <w:ind w:left="680"/>
      </w:pPr>
      <w:hyperlink w:anchor="b81" w:history="1">
        <w:r>
          <w:rPr>
            <w:color w:val="0A3A8C"/>
            <w:u w:val="single"/>
          </w:rPr>
          <w:t xml:space="preserve">§ 58 Vernehmung; Gegenüberstellung</w:t>
        </w:r>
      </w:hyperlink>
    </w:p>
    <w:p>
      <w:pPr>
        <w:pStyle w:val="Übersicht"/>
        <w:ind w:left="680"/>
      </w:pPr>
      <w:hyperlink w:anchor="b82" w:history="1">
        <w:r>
          <w:rPr>
            <w:color w:val="0A3A8C"/>
            <w:u w:val="single"/>
          </w:rPr>
          <w:t xml:space="preserve">§ 58a Aufzeichnung der Vernehmung in Bild und Ton</w:t>
        </w:r>
      </w:hyperlink>
    </w:p>
    <w:p>
      <w:pPr>
        <w:pStyle w:val="Übersicht"/>
        <w:ind w:left="680"/>
      </w:pPr>
      <w:hyperlink w:anchor="b83" w:history="1">
        <w:r>
          <w:rPr>
            <w:color w:val="0A3A8C"/>
            <w:u w:val="single"/>
          </w:rPr>
          <w:t xml:space="preserve">§ 58b Vernehmung im Wege der Bild- und Tonübertragung</w:t>
        </w:r>
      </w:hyperlink>
    </w:p>
    <w:p>
      <w:pPr>
        <w:pStyle w:val="Übersicht"/>
        <w:ind w:left="680"/>
      </w:pPr>
      <w:hyperlink w:anchor="b84" w:history="1">
        <w:r>
          <w:rPr>
            <w:color w:val="0A3A8C"/>
            <w:u w:val="single"/>
          </w:rPr>
          <w:t xml:space="preserve">§ 59 Vereidigung</w:t>
        </w:r>
      </w:hyperlink>
    </w:p>
    <w:p>
      <w:pPr>
        <w:pStyle w:val="Übersicht"/>
        <w:ind w:left="680"/>
      </w:pPr>
      <w:hyperlink w:anchor="b85" w:history="1">
        <w:r>
          <w:rPr>
            <w:color w:val="0A3A8C"/>
            <w:u w:val="single"/>
          </w:rPr>
          <w:t xml:space="preserve">§ 60 Vereidigungsverbote</w:t>
        </w:r>
      </w:hyperlink>
    </w:p>
    <w:p>
      <w:pPr>
        <w:pStyle w:val="Übersicht"/>
        <w:ind w:left="680"/>
      </w:pPr>
      <w:hyperlink w:anchor="b86" w:history="1">
        <w:r>
          <w:rPr>
            <w:color w:val="0A3A8C"/>
            <w:u w:val="single"/>
          </w:rPr>
          <w:t xml:space="preserve">§ 61 Recht zur Eidesverweigerung</w:t>
        </w:r>
      </w:hyperlink>
    </w:p>
    <w:p>
      <w:pPr>
        <w:pStyle w:val="Übersicht"/>
        <w:ind w:left="680"/>
      </w:pPr>
      <w:hyperlink w:anchor="b87" w:history="1">
        <w:r>
          <w:rPr>
            <w:color w:val="0A3A8C"/>
            <w:u w:val="single"/>
          </w:rPr>
          <w:t xml:space="preserve">§ 62 Vereidigung im vorbereitenden Verfahren</w:t>
        </w:r>
      </w:hyperlink>
    </w:p>
    <w:p>
      <w:pPr>
        <w:pStyle w:val="Übersicht"/>
        <w:ind w:left="680"/>
      </w:pPr>
      <w:hyperlink w:anchor="b88" w:history="1">
        <w:r>
          <w:rPr>
            <w:color w:val="0A3A8C"/>
            <w:u w:val="single"/>
          </w:rPr>
          <w:t xml:space="preserve">§ 63 Vereidigung bei Vernehmung durch den beauftragten oder ersuchten Richter</w:t>
        </w:r>
      </w:hyperlink>
    </w:p>
    <w:p>
      <w:pPr>
        <w:pStyle w:val="Übersicht"/>
        <w:ind w:left="680"/>
      </w:pPr>
      <w:hyperlink w:anchor="b89" w:history="1">
        <w:r>
          <w:rPr>
            <w:color w:val="0A3A8C"/>
            <w:u w:val="single"/>
          </w:rPr>
          <w:t xml:space="preserve">§ 64 Eidesformel</w:t>
        </w:r>
      </w:hyperlink>
    </w:p>
    <w:p>
      <w:pPr>
        <w:pStyle w:val="Übersicht"/>
        <w:ind w:left="680"/>
      </w:pPr>
      <w:hyperlink w:anchor="b90" w:history="1">
        <w:r>
          <w:rPr>
            <w:color w:val="0A3A8C"/>
            <w:u w:val="single"/>
          </w:rPr>
          <w:t xml:space="preserve">§ 65 Eidesgleiche Bekräftigung der Wahrheit von Aussagen</w:t>
        </w:r>
      </w:hyperlink>
    </w:p>
    <w:p>
      <w:pPr>
        <w:pStyle w:val="Übersicht"/>
        <w:ind w:left="680"/>
      </w:pPr>
      <w:hyperlink w:anchor="b91" w:history="1">
        <w:r>
          <w:rPr>
            <w:color w:val="0A3A8C"/>
            <w:u w:val="single"/>
          </w:rPr>
          <w:t xml:space="preserve">§ 66 Eidesleistung bei Hör- oder Sprachbehinderung</w:t>
        </w:r>
      </w:hyperlink>
    </w:p>
    <w:p>
      <w:pPr>
        <w:pStyle w:val="Übersicht"/>
        <w:ind w:left="680"/>
      </w:pPr>
      <w:hyperlink w:anchor="b92" w:history="1">
        <w:r>
          <w:rPr>
            <w:color w:val="0A3A8C"/>
            <w:u w:val="single"/>
          </w:rPr>
          <w:t xml:space="preserve">§ 67 Berufung auf einen früheren Eid</w:t>
        </w:r>
      </w:hyperlink>
    </w:p>
    <w:p>
      <w:pPr>
        <w:pStyle w:val="Übersicht"/>
        <w:ind w:left="680"/>
      </w:pPr>
      <w:hyperlink w:anchor="b93" w:history="1">
        <w:r>
          <w:rPr>
            <w:color w:val="0A3A8C"/>
            <w:u w:val="single"/>
          </w:rPr>
          <w:t xml:space="preserve">§ 68 Vernehmung zur Person; Beschränkung von Angaben, Zeugenschutz</w:t>
        </w:r>
      </w:hyperlink>
    </w:p>
    <w:p>
      <w:pPr>
        <w:pStyle w:val="Übersicht"/>
        <w:ind w:left="680"/>
      </w:pPr>
      <w:hyperlink w:anchor="b94" w:history="1">
        <w:r>
          <w:rPr>
            <w:color w:val="0A3A8C"/>
            <w:u w:val="single"/>
          </w:rPr>
          <w:t xml:space="preserve">§ 68a Beschränkung des Fragerechts aus Gründen des Persönlichkeitsschutzes</w:t>
        </w:r>
      </w:hyperlink>
    </w:p>
    <w:p>
      <w:pPr>
        <w:pStyle w:val="Übersicht"/>
        <w:ind w:left="680"/>
      </w:pPr>
      <w:hyperlink w:anchor="b95" w:history="1">
        <w:r>
          <w:rPr>
            <w:color w:val="0A3A8C"/>
            <w:u w:val="single"/>
          </w:rPr>
          <w:t xml:space="preserve">§ 68b Zeugenbeistand</w:t>
        </w:r>
      </w:hyperlink>
    </w:p>
    <w:p>
      <w:pPr>
        <w:pStyle w:val="Übersicht"/>
        <w:ind w:left="680"/>
      </w:pPr>
      <w:hyperlink w:anchor="b96" w:history="1">
        <w:r>
          <w:rPr>
            <w:color w:val="0A3A8C"/>
            <w:u w:val="single"/>
          </w:rPr>
          <w:t xml:space="preserve">§ 69 Vernehmung zur Sache</w:t>
        </w:r>
      </w:hyperlink>
    </w:p>
    <w:p>
      <w:pPr>
        <w:pStyle w:val="Übersicht"/>
        <w:ind w:left="680"/>
      </w:pPr>
      <w:hyperlink w:anchor="b97" w:history="1">
        <w:r>
          <w:rPr>
            <w:color w:val="0A3A8C"/>
            <w:u w:val="single"/>
          </w:rPr>
          <w:t xml:space="preserve">§ 70 Folgen unberechtigter Zeugnis- oder Eidesverweigerung</w:t>
        </w:r>
      </w:hyperlink>
    </w:p>
    <w:p>
      <w:pPr>
        <w:pStyle w:val="Übersicht"/>
        <w:ind w:left="680"/>
      </w:pPr>
      <w:hyperlink w:anchor="b98" w:history="1">
        <w:r>
          <w:rPr>
            <w:color w:val="0A3A8C"/>
            <w:u w:val="single"/>
          </w:rPr>
          <w:t xml:space="preserve">§ 71 Zeugenentschädigung</w:t>
        </w:r>
      </w:hyperlink>
    </w:p>
    <w:p>
      <w:pPr>
        <w:pStyle w:val="Übersicht"/>
        <w:ind w:left="340"/>
      </w:pPr>
      <w:hyperlink w:anchor="b99" w:history="1">
        <w:r>
          <w:rPr>
            <w:b/>
            <w:color w:val="0A3A8C"/>
            <w:u w:val="single"/>
          </w:rPr>
          <w:t xml:space="preserve">Siebter Abschnitt Sachverständige und Augenschein</w:t>
        </w:r>
      </w:hyperlink>
    </w:p>
    <w:p>
      <w:pPr>
        <w:pStyle w:val="Übersicht"/>
        <w:ind w:left="680"/>
      </w:pPr>
      <w:hyperlink w:anchor="b100" w:history="1">
        <w:r>
          <w:rPr>
            <w:color w:val="0A3A8C"/>
            <w:u w:val="single"/>
          </w:rPr>
          <w:t xml:space="preserve">§ 72 Anwendung der Vorschriften über Zeugen auf Sachverständige</w:t>
        </w:r>
      </w:hyperlink>
    </w:p>
    <w:p>
      <w:pPr>
        <w:pStyle w:val="Übersicht"/>
        <w:ind w:left="680"/>
      </w:pPr>
      <w:hyperlink w:anchor="b101" w:history="1">
        <w:r>
          <w:rPr>
            <w:color w:val="0A3A8C"/>
            <w:u w:val="single"/>
          </w:rPr>
          <w:t xml:space="preserve">§ 73 Auswahl des Sachverständigen</w:t>
        </w:r>
      </w:hyperlink>
    </w:p>
    <w:p>
      <w:pPr>
        <w:pStyle w:val="Übersicht"/>
        <w:ind w:left="680"/>
      </w:pPr>
      <w:hyperlink w:anchor="b102" w:history="1">
        <w:r>
          <w:rPr>
            <w:color w:val="0A3A8C"/>
            <w:u w:val="single"/>
          </w:rPr>
          <w:t xml:space="preserve">§ 74 Ablehnung des Sachverständigen</w:t>
        </w:r>
      </w:hyperlink>
    </w:p>
    <w:p>
      <w:pPr>
        <w:pStyle w:val="Übersicht"/>
        <w:ind w:left="680"/>
      </w:pPr>
      <w:hyperlink w:anchor="b103" w:history="1">
        <w:r>
          <w:rPr>
            <w:color w:val="0A3A8C"/>
            <w:u w:val="single"/>
          </w:rPr>
          <w:t xml:space="preserve">§ 75 Pflicht des Sachverständigen zur Erstattung des Gutachtens</w:t>
        </w:r>
      </w:hyperlink>
    </w:p>
    <w:p>
      <w:pPr>
        <w:pStyle w:val="Übersicht"/>
        <w:ind w:left="680"/>
      </w:pPr>
      <w:hyperlink w:anchor="b104" w:history="1">
        <w:r>
          <w:rPr>
            <w:color w:val="0A3A8C"/>
            <w:u w:val="single"/>
          </w:rPr>
          <w:t xml:space="preserve">§ 76 Gutachtenverweigerungsrecht des Sachverständigen</w:t>
        </w:r>
      </w:hyperlink>
    </w:p>
    <w:p>
      <w:pPr>
        <w:pStyle w:val="Übersicht"/>
        <w:ind w:left="680"/>
      </w:pPr>
      <w:hyperlink w:anchor="b105" w:history="1">
        <w:r>
          <w:rPr>
            <w:color w:val="0A3A8C"/>
            <w:u w:val="single"/>
          </w:rPr>
          <w:t xml:space="preserve">§ 77 Ausbleiben oder unberechtigte Gutachtenverweigerung des Sachverständigen</w:t>
        </w:r>
      </w:hyperlink>
    </w:p>
    <w:p>
      <w:pPr>
        <w:pStyle w:val="Übersicht"/>
        <w:ind w:left="680"/>
      </w:pPr>
      <w:hyperlink w:anchor="b106" w:history="1">
        <w:r>
          <w:rPr>
            <w:color w:val="0A3A8C"/>
            <w:u w:val="single"/>
          </w:rPr>
          <w:t xml:space="preserve">§ 78 Richterliche Leitung der Tätigkeit des Sachverständigen</w:t>
        </w:r>
      </w:hyperlink>
    </w:p>
    <w:p>
      <w:pPr>
        <w:pStyle w:val="Übersicht"/>
        <w:ind w:left="680"/>
      </w:pPr>
      <w:hyperlink w:anchor="b107" w:history="1">
        <w:r>
          <w:rPr>
            <w:color w:val="0A3A8C"/>
            <w:u w:val="single"/>
          </w:rPr>
          <w:t xml:space="preserve">§ 79 Vereidigung des Sachverständigen</w:t>
        </w:r>
      </w:hyperlink>
    </w:p>
    <w:p>
      <w:pPr>
        <w:pStyle w:val="Übersicht"/>
        <w:ind w:left="680"/>
      </w:pPr>
      <w:hyperlink w:anchor="b108" w:history="1">
        <w:r>
          <w:rPr>
            <w:color w:val="0A3A8C"/>
            <w:u w:val="single"/>
          </w:rPr>
          <w:t xml:space="preserve">§ 80 Vorbereitung des Gutachtens durch weitere Aufklärung</w:t>
        </w:r>
      </w:hyperlink>
    </w:p>
    <w:p>
      <w:pPr>
        <w:pStyle w:val="Übersicht"/>
        <w:ind w:left="680"/>
      </w:pPr>
      <w:hyperlink w:anchor="b109" w:history="1">
        <w:r>
          <w:rPr>
            <w:color w:val="0A3A8C"/>
            <w:u w:val="single"/>
          </w:rPr>
          <w:t xml:space="preserve">§ 80a Vorbereitung des Gutachtens im Vorverfahren</w:t>
        </w:r>
      </w:hyperlink>
    </w:p>
    <w:p>
      <w:pPr>
        <w:pStyle w:val="Übersicht"/>
        <w:ind w:left="680"/>
      </w:pPr>
      <w:hyperlink w:anchor="b110" w:history="1">
        <w:r>
          <w:rPr>
            <w:color w:val="0A3A8C"/>
            <w:u w:val="single"/>
          </w:rPr>
          <w:t xml:space="preserve">§ 81 Unterbringung des Beschuldigten zur Vorbereitung eines Gutachtens</w:t>
        </w:r>
      </w:hyperlink>
    </w:p>
    <w:p>
      <w:pPr>
        <w:pStyle w:val="Übersicht"/>
        <w:ind w:left="680"/>
      </w:pPr>
      <w:hyperlink w:anchor="b111" w:history="1">
        <w:r>
          <w:rPr>
            <w:color w:val="0A3A8C"/>
            <w:u w:val="single"/>
          </w:rPr>
          <w:t xml:space="preserve">§ 81a Körperliche Untersuchung des Beschuldigten; Zulässigkeit körperlicher Eingriffe</w:t>
        </w:r>
      </w:hyperlink>
    </w:p>
    <w:p>
      <w:pPr>
        <w:pStyle w:val="Übersicht"/>
        <w:ind w:left="680"/>
      </w:pPr>
      <w:hyperlink w:anchor="b112" w:history="1">
        <w:r>
          <w:rPr>
            <w:color w:val="0A3A8C"/>
            <w:u w:val="single"/>
          </w:rPr>
          <w:t xml:space="preserve">§ 81b Erkennungsdienstliche Maßnahmen bei dem Beschuldigten</w:t>
        </w:r>
      </w:hyperlink>
    </w:p>
    <w:p>
      <w:pPr>
        <w:pStyle w:val="Übersicht"/>
        <w:ind w:left="680"/>
      </w:pPr>
      <w:hyperlink w:anchor="b113" w:history="1">
        <w:r>
          <w:rPr>
            <w:color w:val="0A3A8C"/>
            <w:u w:val="single"/>
          </w:rPr>
          <w:t xml:space="preserve">§ 81c Untersuchung anderer Personen</w:t>
        </w:r>
      </w:hyperlink>
    </w:p>
    <w:p>
      <w:pPr>
        <w:pStyle w:val="Übersicht"/>
        <w:ind w:left="680"/>
      </w:pPr>
      <w:hyperlink w:anchor="b114" w:history="1">
        <w:r>
          <w:rPr>
            <w:color w:val="0A3A8C"/>
            <w:u w:val="single"/>
          </w:rPr>
          <w:t xml:space="preserve">§ 81d Durchführung körperlicher Untersuchungen durch Personen gleichen Geschlechts</w:t>
        </w:r>
      </w:hyperlink>
    </w:p>
    <w:p>
      <w:pPr>
        <w:pStyle w:val="Übersicht"/>
        <w:ind w:left="680"/>
      </w:pPr>
      <w:hyperlink w:anchor="b115" w:history="1">
        <w:r>
          <w:rPr>
            <w:color w:val="0A3A8C"/>
            <w:u w:val="single"/>
          </w:rPr>
          <w:t xml:space="preserve">§ 81e Molekulargenetische Untersuchung</w:t>
        </w:r>
      </w:hyperlink>
    </w:p>
    <w:p>
      <w:pPr>
        <w:pStyle w:val="Übersicht"/>
        <w:ind w:left="680"/>
      </w:pPr>
      <w:hyperlink w:anchor="b116" w:history="1">
        <w:r>
          <w:rPr>
            <w:color w:val="0A3A8C"/>
            <w:u w:val="single"/>
          </w:rPr>
          <w:t xml:space="preserve">§ 81f Verfahren bei der molekulargenetischen Untersuchung</w:t>
        </w:r>
      </w:hyperlink>
    </w:p>
    <w:p>
      <w:pPr>
        <w:pStyle w:val="Übersicht"/>
        <w:ind w:left="680"/>
      </w:pPr>
      <w:hyperlink w:anchor="b117" w:history="1">
        <w:r>
          <w:rPr>
            <w:color w:val="0A3A8C"/>
            <w:u w:val="single"/>
          </w:rPr>
          <w:t xml:space="preserve">§ 81g DNA-Identitätsfeststellung</w:t>
        </w:r>
      </w:hyperlink>
    </w:p>
    <w:p>
      <w:pPr>
        <w:pStyle w:val="Übersicht"/>
        <w:ind w:left="680"/>
      </w:pPr>
      <w:hyperlink w:anchor="b118" w:history="1">
        <w:r>
          <w:rPr>
            <w:color w:val="0A3A8C"/>
            <w:u w:val="single"/>
          </w:rPr>
          <w:t xml:space="preserve">§ 81h DNA-Reihenuntersuchung</w:t>
        </w:r>
      </w:hyperlink>
    </w:p>
    <w:p>
      <w:pPr>
        <w:pStyle w:val="Übersicht"/>
        <w:ind w:left="680"/>
      </w:pPr>
      <w:hyperlink w:anchor="b119" w:history="1">
        <w:r>
          <w:rPr>
            <w:color w:val="0A3A8C"/>
            <w:u w:val="single"/>
          </w:rPr>
          <w:t xml:space="preserve">§ 82 Form der Erstattung eines Gutachtens im Vorverfahren</w:t>
        </w:r>
      </w:hyperlink>
    </w:p>
    <w:p>
      <w:pPr>
        <w:pStyle w:val="Übersicht"/>
        <w:ind w:left="680"/>
      </w:pPr>
      <w:hyperlink w:anchor="b120" w:history="1">
        <w:r>
          <w:rPr>
            <w:color w:val="0A3A8C"/>
            <w:u w:val="single"/>
          </w:rPr>
          <w:t xml:space="preserve">§ 83 Anordnung einer neuen Begutachtung</w:t>
        </w:r>
      </w:hyperlink>
    </w:p>
    <w:p>
      <w:pPr>
        <w:pStyle w:val="Übersicht"/>
        <w:ind w:left="680"/>
      </w:pPr>
      <w:hyperlink w:anchor="b121" w:history="1">
        <w:r>
          <w:rPr>
            <w:color w:val="0A3A8C"/>
            <w:u w:val="single"/>
          </w:rPr>
          <w:t xml:space="preserve">§ 84 Sachverständigenvergütung</w:t>
        </w:r>
      </w:hyperlink>
    </w:p>
    <w:p>
      <w:pPr>
        <w:pStyle w:val="Übersicht"/>
        <w:ind w:left="680"/>
      </w:pPr>
      <w:hyperlink w:anchor="b122" w:history="1">
        <w:r>
          <w:rPr>
            <w:color w:val="0A3A8C"/>
            <w:u w:val="single"/>
          </w:rPr>
          <w:t xml:space="preserve">§ 85 Sachverständige Zeugen</w:t>
        </w:r>
      </w:hyperlink>
    </w:p>
    <w:p>
      <w:pPr>
        <w:pStyle w:val="Übersicht"/>
        <w:ind w:left="680"/>
      </w:pPr>
      <w:hyperlink w:anchor="b123" w:history="1">
        <w:r>
          <w:rPr>
            <w:color w:val="0A3A8C"/>
            <w:u w:val="single"/>
          </w:rPr>
          <w:t xml:space="preserve">§ 86 Richterlicher Augenschein</w:t>
        </w:r>
      </w:hyperlink>
    </w:p>
    <w:p>
      <w:pPr>
        <w:pStyle w:val="Übersicht"/>
        <w:ind w:left="680"/>
      </w:pPr>
      <w:hyperlink w:anchor="b124" w:history="1">
        <w:r>
          <w:rPr>
            <w:color w:val="0A3A8C"/>
            <w:u w:val="single"/>
          </w:rPr>
          <w:t xml:space="preserve">§ 87 Leichenschau, Leichenöffnung, Ausgrabung der Leiche</w:t>
        </w:r>
      </w:hyperlink>
    </w:p>
    <w:p>
      <w:pPr>
        <w:pStyle w:val="Übersicht"/>
        <w:ind w:left="680"/>
      </w:pPr>
      <w:hyperlink w:anchor="b125" w:history="1">
        <w:r>
          <w:rPr>
            <w:color w:val="0A3A8C"/>
            <w:u w:val="single"/>
          </w:rPr>
          <w:t xml:space="preserve">§ 88 Identifizierung des Verstorbenen vor Leichenöffnung</w:t>
        </w:r>
      </w:hyperlink>
    </w:p>
    <w:p>
      <w:pPr>
        <w:pStyle w:val="Übersicht"/>
        <w:ind w:left="680"/>
      </w:pPr>
      <w:hyperlink w:anchor="b126" w:history="1">
        <w:r>
          <w:rPr>
            <w:color w:val="0A3A8C"/>
            <w:u w:val="single"/>
          </w:rPr>
          <w:t xml:space="preserve">§ 89 Umfang der Leichenöffnung</w:t>
        </w:r>
      </w:hyperlink>
    </w:p>
    <w:p>
      <w:pPr>
        <w:pStyle w:val="Übersicht"/>
        <w:ind w:left="680"/>
      </w:pPr>
      <w:hyperlink w:anchor="b127" w:history="1">
        <w:r>
          <w:rPr>
            <w:color w:val="0A3A8C"/>
            <w:u w:val="single"/>
          </w:rPr>
          <w:t xml:space="preserve">§ 90 Öffnung der Leiche eines Neugeborenen</w:t>
        </w:r>
      </w:hyperlink>
    </w:p>
    <w:p>
      <w:pPr>
        <w:pStyle w:val="Übersicht"/>
        <w:ind w:left="680"/>
      </w:pPr>
      <w:hyperlink w:anchor="b128" w:history="1">
        <w:r>
          <w:rPr>
            <w:color w:val="0A3A8C"/>
            <w:u w:val="single"/>
          </w:rPr>
          <w:t xml:space="preserve">§ 91 Untersuchung der Leiche bei Verdacht einer Vergiftung</w:t>
        </w:r>
      </w:hyperlink>
    </w:p>
    <w:p>
      <w:pPr>
        <w:pStyle w:val="Übersicht"/>
        <w:ind w:left="680"/>
      </w:pPr>
      <w:hyperlink w:anchor="b129" w:history="1">
        <w:r>
          <w:rPr>
            <w:color w:val="0A3A8C"/>
            <w:u w:val="single"/>
          </w:rPr>
          <w:t xml:space="preserve">§ 92 Gutachten bei Verdacht einer Geld- oder Wertzeichenfälschung</w:t>
        </w:r>
      </w:hyperlink>
    </w:p>
    <w:p>
      <w:pPr>
        <w:pStyle w:val="Übersicht"/>
        <w:ind w:left="680"/>
      </w:pPr>
      <w:hyperlink w:anchor="b130" w:history="1">
        <w:r>
          <w:rPr>
            <w:color w:val="0A3A8C"/>
            <w:u w:val="single"/>
          </w:rPr>
          <w:t xml:space="preserve">§ 93 Schriftgutachten</w:t>
        </w:r>
      </w:hyperlink>
    </w:p>
    <w:p>
      <w:pPr>
        <w:pStyle w:val="Übersicht"/>
        <w:ind w:left="340"/>
      </w:pPr>
      <w:hyperlink w:anchor="b131" w:history="1">
        <w:r>
          <w:rPr>
            <w:b/>
            <w:color w:val="0A3A8C"/>
            <w:u w:val="single"/>
          </w:rPr>
          <w:t xml:space="preserve">Achter Abschnitt Ermittlungsmaßnahmen</w:t>
        </w:r>
      </w:hyperlink>
    </w:p>
    <w:p>
      <w:pPr>
        <w:pStyle w:val="Übersicht"/>
        <w:ind w:left="680"/>
      </w:pPr>
      <w:hyperlink w:anchor="b132" w:history="1">
        <w:r>
          <w:rPr>
            <w:color w:val="0A3A8C"/>
            <w:u w:val="single"/>
          </w:rPr>
          <w:t xml:space="preserve">§ 94 Sicherstellung und Beschlagnahme von Gegenständen zu Beweiszwecken</w:t>
        </w:r>
      </w:hyperlink>
    </w:p>
    <w:p>
      <w:pPr>
        <w:pStyle w:val="Übersicht"/>
        <w:ind w:left="680"/>
      </w:pPr>
      <w:hyperlink w:anchor="b133" w:history="1">
        <w:r>
          <w:rPr>
            <w:color w:val="0A3A8C"/>
            <w:u w:val="single"/>
          </w:rPr>
          <w:t xml:space="preserve">§ 95 Herausgabepflicht</w:t>
        </w:r>
      </w:hyperlink>
    </w:p>
    <w:p>
      <w:pPr>
        <w:pStyle w:val="Übersicht"/>
        <w:ind w:left="680"/>
      </w:pPr>
      <w:hyperlink w:anchor="b134" w:history="1">
        <w:r>
          <w:rPr>
            <w:color w:val="0A3A8C"/>
            <w:u w:val="single"/>
          </w:rPr>
          <w:t xml:space="preserve">§ 95a Zurückstellung der Benachrichtigung des Beschuldigten; Offenbarungsverbot</w:t>
        </w:r>
      </w:hyperlink>
    </w:p>
    <w:p>
      <w:pPr>
        <w:pStyle w:val="Übersicht"/>
        <w:ind w:left="680"/>
      </w:pPr>
      <w:hyperlink w:anchor="b135" w:history="1">
        <w:r>
          <w:rPr>
            <w:color w:val="0A3A8C"/>
            <w:u w:val="single"/>
          </w:rPr>
          <w:t xml:space="preserve">§ 96 Amtlich verwahrte Schriftstücke</w:t>
        </w:r>
      </w:hyperlink>
    </w:p>
    <w:p>
      <w:pPr>
        <w:pStyle w:val="Übersicht"/>
        <w:ind w:left="680"/>
      </w:pPr>
      <w:hyperlink w:anchor="b136" w:history="1">
        <w:r>
          <w:rPr>
            <w:color w:val="0A3A8C"/>
            <w:u w:val="single"/>
          </w:rPr>
          <w:t xml:space="preserve">§ 97 Beschlagnahmeverbot</w:t>
        </w:r>
      </w:hyperlink>
    </w:p>
    <w:p>
      <w:pPr>
        <w:pStyle w:val="Übersicht"/>
        <w:ind w:left="680"/>
      </w:pPr>
      <w:hyperlink w:anchor="b137" w:history="1">
        <w:r>
          <w:rPr>
            <w:color w:val="0A3A8C"/>
            <w:u w:val="single"/>
          </w:rPr>
          <w:t xml:space="preserve">§ 98 Verfahren bei der Beschlagnahme</w:t>
        </w:r>
      </w:hyperlink>
    </w:p>
    <w:p>
      <w:pPr>
        <w:pStyle w:val="Übersicht"/>
        <w:ind w:left="680"/>
      </w:pPr>
      <w:hyperlink w:anchor="b138" w:history="1">
        <w:r>
          <w:rPr>
            <w:color w:val="0A3A8C"/>
            <w:u w:val="single"/>
          </w:rPr>
          <w:t xml:space="preserve">§ 98a Rasterfahndung</w:t>
        </w:r>
      </w:hyperlink>
    </w:p>
    <w:p>
      <w:pPr>
        <w:pStyle w:val="Übersicht"/>
        <w:ind w:left="680"/>
      </w:pPr>
      <w:hyperlink w:anchor="b139" w:history="1">
        <w:r>
          <w:rPr>
            <w:color w:val="0A3A8C"/>
            <w:u w:val="single"/>
          </w:rPr>
          <w:t xml:space="preserve">§ 98b Verfahren bei der Rasterfahndung</w:t>
        </w:r>
      </w:hyperlink>
    </w:p>
    <w:p>
      <w:pPr>
        <w:pStyle w:val="Übersicht"/>
        <w:ind w:left="680"/>
      </w:pPr>
      <w:hyperlink w:anchor="b140" w:history="1">
        <w:r>
          <w:rPr>
            <w:color w:val="0A3A8C"/>
            <w:u w:val="single"/>
          </w:rPr>
          <w:t xml:space="preserve">§ 98c Maschineller Abgleich mit vorhandenen Daten</w:t>
        </w:r>
      </w:hyperlink>
    </w:p>
    <w:p>
      <w:pPr>
        <w:pStyle w:val="Übersicht"/>
        <w:ind w:left="680"/>
      </w:pPr>
      <w:hyperlink w:anchor="b141" w:history="1">
        <w:r>
          <w:rPr>
            <w:color w:val="0A3A8C"/>
            <w:u w:val="single"/>
          </w:rPr>
          <w:t xml:space="preserve">§ 99 Postbeschlagnahme und Auskunftsverlangen</w:t>
        </w:r>
      </w:hyperlink>
    </w:p>
    <w:p>
      <w:pPr>
        <w:pStyle w:val="Übersicht"/>
        <w:ind w:left="680"/>
      </w:pPr>
      <w:hyperlink w:anchor="b142" w:history="1">
        <w:r>
          <w:rPr>
            <w:color w:val="0A3A8C"/>
            <w:u w:val="single"/>
          </w:rPr>
          <w:t xml:space="preserve">§ 100 Verfahren bei der Postbeschlagnahme und Auskunftsverlangen</w:t>
        </w:r>
      </w:hyperlink>
    </w:p>
    <w:p>
      <w:pPr>
        <w:pStyle w:val="Übersicht"/>
        <w:ind w:left="680"/>
      </w:pPr>
      <w:hyperlink w:anchor="b143" w:history="1">
        <w:r>
          <w:rPr>
            <w:color w:val="0A3A8C"/>
            <w:u w:val="single"/>
          </w:rPr>
          <w:t xml:space="preserve">§ 100a Telekommunikationsüberwachung</w:t>
        </w:r>
      </w:hyperlink>
    </w:p>
    <w:p>
      <w:pPr>
        <w:pStyle w:val="Übersicht"/>
        <w:ind w:left="680"/>
      </w:pPr>
      <w:hyperlink w:anchor="b144" w:history="1">
        <w:r>
          <w:rPr>
            <w:color w:val="0A3A8C"/>
            <w:u w:val="single"/>
          </w:rPr>
          <w:t xml:space="preserve">§ 100b Online-Durchsuchung</w:t>
        </w:r>
      </w:hyperlink>
    </w:p>
    <w:p>
      <w:pPr>
        <w:pStyle w:val="Übersicht"/>
        <w:ind w:left="680"/>
      </w:pPr>
      <w:hyperlink w:anchor="b145" w:history="1">
        <w:r>
          <w:rPr>
            <w:color w:val="0A3A8C"/>
            <w:u w:val="single"/>
          </w:rPr>
          <w:t xml:space="preserve">§ 100c Akustische Wohnraumüberwachung</w:t>
        </w:r>
      </w:hyperlink>
    </w:p>
    <w:p>
      <w:pPr>
        <w:pStyle w:val="Übersicht"/>
        <w:ind w:left="680"/>
      </w:pPr>
      <w:hyperlink w:anchor="b146" w:history="1">
        <w:r>
          <w:rPr>
            <w:color w:val="0A3A8C"/>
            <w:u w:val="single"/>
          </w:rPr>
          <w:t xml:space="preserve">§ 100d Kernbereich privater Lebensgestaltung; Zeugnisverweigerungsberechtigte</w:t>
        </w:r>
      </w:hyperlink>
    </w:p>
    <w:p>
      <w:pPr>
        <w:pStyle w:val="Übersicht"/>
        <w:ind w:left="680"/>
      </w:pPr>
      <w:hyperlink w:anchor="b147" w:history="1">
        <w:r>
          <w:rPr>
            <w:color w:val="0A3A8C"/>
            <w:u w:val="single"/>
          </w:rPr>
          <w:t xml:space="preserve">§ 100e Verfahren bei Maßnahmen nach den §§ 100a bis 100c</w:t>
        </w:r>
      </w:hyperlink>
    </w:p>
    <w:p>
      <w:pPr>
        <w:pStyle w:val="Übersicht"/>
        <w:ind w:left="680"/>
      </w:pPr>
      <w:hyperlink w:anchor="b148" w:history="1">
        <w:r>
          <w:rPr>
            <w:color w:val="0A3A8C"/>
            <w:u w:val="single"/>
          </w:rPr>
          <w:t xml:space="preserve">§ 100f Akustische Überwachung außerhalb von Wohnraum</w:t>
        </w:r>
      </w:hyperlink>
    </w:p>
    <w:p>
      <w:pPr>
        <w:pStyle w:val="Übersicht"/>
        <w:ind w:left="680"/>
      </w:pPr>
      <w:hyperlink w:anchor="b149" w:history="1">
        <w:r>
          <w:rPr>
            <w:color w:val="0A3A8C"/>
            <w:u w:val="single"/>
          </w:rPr>
          <w:t xml:space="preserve">§ 100g Erhebung von Verkehrsdaten</w:t>
        </w:r>
      </w:hyperlink>
    </w:p>
    <w:p>
      <w:pPr>
        <w:pStyle w:val="Übersicht"/>
        <w:ind w:left="680"/>
      </w:pPr>
      <w:hyperlink w:anchor="b150" w:history="1">
        <w:r>
          <w:rPr>
            <w:color w:val="0A3A8C"/>
            <w:u w:val="single"/>
          </w:rPr>
          <w:t xml:space="preserve">§ 100h Weitere Maßnahmen außerhalb von Wohnraum</w:t>
        </w:r>
      </w:hyperlink>
    </w:p>
    <w:p>
      <w:pPr>
        <w:pStyle w:val="Übersicht"/>
        <w:ind w:left="680"/>
      </w:pPr>
      <w:hyperlink w:anchor="b151" w:history="1">
        <w:r>
          <w:rPr>
            <w:color w:val="0A3A8C"/>
            <w:u w:val="single"/>
          </w:rPr>
          <w:t xml:space="preserve">§ 100i Technische Ermittlungsmaßnahmen bei Mobilfunkendgeräten</w:t>
        </w:r>
      </w:hyperlink>
    </w:p>
    <w:p>
      <w:pPr>
        <w:pStyle w:val="Übersicht"/>
        <w:ind w:left="680"/>
      </w:pPr>
      <w:hyperlink w:anchor="b152" w:history="1">
        <w:r>
          <w:rPr>
            <w:color w:val="0A3A8C"/>
            <w:u w:val="single"/>
          </w:rPr>
          <w:t xml:space="preserve">§ 100j Bestandsdatenauskunft</w:t>
        </w:r>
      </w:hyperlink>
    </w:p>
    <w:p>
      <w:pPr>
        <w:pStyle w:val="Übersicht"/>
        <w:ind w:left="680"/>
      </w:pPr>
      <w:hyperlink w:anchor="b153" w:history="1">
        <w:r>
          <w:rPr>
            <w:color w:val="0A3A8C"/>
            <w:u w:val="single"/>
          </w:rPr>
          <w:t xml:space="preserve">§ 100k Erhebung von Nutzungsdaten bei digitalen Diensten</w:t>
        </w:r>
      </w:hyperlink>
    </w:p>
    <w:p>
      <w:pPr>
        <w:pStyle w:val="Übersicht"/>
        <w:ind w:left="680"/>
      </w:pPr>
      <w:hyperlink w:anchor="b154" w:history="1">
        <w:r>
          <w:rPr>
            <w:color w:val="0A3A8C"/>
            <w:u w:val="single"/>
          </w:rPr>
          <w:t xml:space="preserve">§ 101 Verfahrensregelungen bei verdeckten Maßnahmen</w:t>
        </w:r>
      </w:hyperlink>
    </w:p>
    <w:p>
      <w:pPr>
        <w:pStyle w:val="Übersicht"/>
        <w:ind w:left="680"/>
      </w:pPr>
      <w:hyperlink w:anchor="b155" w:history="1">
        <w:r>
          <w:rPr>
            <w:color w:val="0A3A8C"/>
            <w:u w:val="single"/>
          </w:rPr>
          <w:t xml:space="preserve">§ 101a Gerichtliche Entscheidung; Datenkennzeichnung und -auswertung; Benachrichtigungspflichten bei Verkehrs- und Nutzungsdaten</w:t>
        </w:r>
      </w:hyperlink>
    </w:p>
    <w:p>
      <w:pPr>
        <w:pStyle w:val="Übersicht"/>
        <w:ind w:left="680"/>
      </w:pPr>
      <w:hyperlink w:anchor="b156" w:history="1">
        <w:r>
          <w:rPr>
            <w:color w:val="0A3A8C"/>
            <w:u w:val="single"/>
          </w:rPr>
          <w:t xml:space="preserve">§ 101b Statistische Erfassung; Berichtspflichten</w:t>
        </w:r>
      </w:hyperlink>
    </w:p>
    <w:p>
      <w:pPr>
        <w:pStyle w:val="Übersicht"/>
        <w:ind w:left="680"/>
      </w:pPr>
      <w:hyperlink w:anchor="b157" w:history="1">
        <w:r>
          <w:rPr>
            <w:color w:val="0A3A8C"/>
            <w:u w:val="single"/>
          </w:rPr>
          <w:t xml:space="preserve">§ 102 Durchsuchung bei Beschuldigten</w:t>
        </w:r>
      </w:hyperlink>
    </w:p>
    <w:p>
      <w:pPr>
        <w:pStyle w:val="Übersicht"/>
        <w:ind w:left="680"/>
      </w:pPr>
      <w:hyperlink w:anchor="b158" w:history="1">
        <w:r>
          <w:rPr>
            <w:color w:val="0A3A8C"/>
            <w:u w:val="single"/>
          </w:rPr>
          <w:t xml:space="preserve">§ 103 Durchsuchung bei anderen Personen</w:t>
        </w:r>
      </w:hyperlink>
    </w:p>
    <w:p>
      <w:pPr>
        <w:pStyle w:val="Übersicht"/>
        <w:ind w:left="680"/>
      </w:pPr>
      <w:hyperlink w:anchor="b159" w:history="1">
        <w:r>
          <w:rPr>
            <w:color w:val="0A3A8C"/>
            <w:u w:val="single"/>
          </w:rPr>
          <w:t xml:space="preserve">§ 104 Durchsuchung von Räumen zur Nachtzeit</w:t>
        </w:r>
      </w:hyperlink>
    </w:p>
    <w:p>
      <w:pPr>
        <w:pStyle w:val="Übersicht"/>
        <w:ind w:left="680"/>
      </w:pPr>
      <w:hyperlink w:anchor="b160" w:history="1">
        <w:r>
          <w:rPr>
            <w:color w:val="0A3A8C"/>
            <w:u w:val="single"/>
          </w:rPr>
          <w:t xml:space="preserve">§ 105 Verfahren bei der Durchsuchung</w:t>
        </w:r>
      </w:hyperlink>
    </w:p>
    <w:p>
      <w:pPr>
        <w:pStyle w:val="Übersicht"/>
        <w:ind w:left="680"/>
      </w:pPr>
      <w:hyperlink w:anchor="b161" w:history="1">
        <w:r>
          <w:rPr>
            <w:color w:val="0A3A8C"/>
            <w:u w:val="single"/>
          </w:rPr>
          <w:t xml:space="preserve">§ 106 Hinzuziehung des Inhabers eines Durchsuchungsobjekts</w:t>
        </w:r>
      </w:hyperlink>
    </w:p>
    <w:p>
      <w:pPr>
        <w:pStyle w:val="Übersicht"/>
        <w:ind w:left="680"/>
      </w:pPr>
      <w:hyperlink w:anchor="b162" w:history="1">
        <w:r>
          <w:rPr>
            <w:color w:val="0A3A8C"/>
            <w:u w:val="single"/>
          </w:rPr>
          <w:t xml:space="preserve">§ 107 Durchsuchungsbescheinigung; Beschlagnahmeverzeichnis</w:t>
        </w:r>
      </w:hyperlink>
    </w:p>
    <w:p>
      <w:pPr>
        <w:pStyle w:val="Übersicht"/>
        <w:ind w:left="680"/>
      </w:pPr>
      <w:hyperlink w:anchor="b163" w:history="1">
        <w:r>
          <w:rPr>
            <w:color w:val="0A3A8C"/>
            <w:u w:val="single"/>
          </w:rPr>
          <w:t xml:space="preserve">§ 108 Beschlagnahme anderer Gegenstände</w:t>
        </w:r>
      </w:hyperlink>
    </w:p>
    <w:p>
      <w:pPr>
        <w:pStyle w:val="Übersicht"/>
        <w:ind w:left="680"/>
      </w:pPr>
      <w:hyperlink w:anchor="b164" w:history="1">
        <w:r>
          <w:rPr>
            <w:color w:val="0A3A8C"/>
            <w:u w:val="single"/>
          </w:rPr>
          <w:t xml:space="preserve">§ 109 Kenntlichmachung beschlagnahmter Gegenstände</w:t>
        </w:r>
      </w:hyperlink>
    </w:p>
    <w:p>
      <w:pPr>
        <w:pStyle w:val="Übersicht"/>
        <w:ind w:left="680"/>
      </w:pPr>
      <w:hyperlink w:anchor="b165" w:history="1">
        <w:r>
          <w:rPr>
            <w:color w:val="0A3A8C"/>
            <w:u w:val="single"/>
          </w:rPr>
          <w:t xml:space="preserve">§ 110 Durchsicht von Papieren und elektronischen Speichermedien</w:t>
        </w:r>
      </w:hyperlink>
    </w:p>
    <w:p>
      <w:pPr>
        <w:pStyle w:val="Übersicht"/>
        <w:ind w:left="680"/>
      </w:pPr>
      <w:hyperlink w:anchor="b166" w:history="1">
        <w:r>
          <w:rPr>
            <w:color w:val="0A3A8C"/>
            <w:u w:val="single"/>
          </w:rPr>
          <w:t xml:space="preserve">§ 110a Verdeckter Ermittler</w:t>
        </w:r>
      </w:hyperlink>
    </w:p>
    <w:p>
      <w:pPr>
        <w:pStyle w:val="Übersicht"/>
        <w:ind w:left="680"/>
      </w:pPr>
      <w:hyperlink w:anchor="b167" w:history="1">
        <w:r>
          <w:rPr>
            <w:color w:val="0A3A8C"/>
            <w:u w:val="single"/>
          </w:rPr>
          <w:t xml:space="preserve">§ 110b Verfahren beim Einsatz eines Verdeckten Ermittlers</w:t>
        </w:r>
      </w:hyperlink>
    </w:p>
    <w:p>
      <w:pPr>
        <w:pStyle w:val="Übersicht"/>
        <w:ind w:left="680"/>
      </w:pPr>
      <w:hyperlink w:anchor="b168" w:history="1">
        <w:r>
          <w:rPr>
            <w:color w:val="0A3A8C"/>
            <w:u w:val="single"/>
          </w:rPr>
          <w:t xml:space="preserve">§ 110c Befugnisse des Verdeckten Ermittlers</w:t>
        </w:r>
      </w:hyperlink>
    </w:p>
    <w:p>
      <w:pPr>
        <w:pStyle w:val="Übersicht"/>
        <w:ind w:left="680"/>
      </w:pPr>
      <w:hyperlink w:anchor="b169" w:history="1">
        <w:r>
          <w:rPr>
            <w:color w:val="0A3A8C"/>
            <w:u w:val="single"/>
          </w:rPr>
          <w:t xml:space="preserve">§ 110d Besonderes Verfahren bei Einsätzen zur Ermittlung von Straftaten nach den §§ 176e und 184b des Strafgesetzbuches</w:t>
        </w:r>
      </w:hyperlink>
    </w:p>
    <w:p>
      <w:pPr>
        <w:pStyle w:val="Übersicht"/>
        <w:ind w:left="680"/>
      </w:pPr>
      <w:hyperlink w:anchor="b170" w:history="1">
        <w:r>
          <w:rPr>
            <w:color w:val="0A3A8C"/>
            <w:u w:val="single"/>
          </w:rPr>
          <w:t xml:space="preserve">§ 111 Errichtung von Kontrollstellen an öffentlich zugänglichen Orten</w:t>
        </w:r>
      </w:hyperlink>
    </w:p>
    <w:p>
      <w:pPr>
        <w:pStyle w:val="Übersicht"/>
        <w:ind w:left="680"/>
      </w:pPr>
      <w:hyperlink w:anchor="b171" w:history="1">
        <w:r>
          <w:rPr>
            <w:color w:val="0A3A8C"/>
            <w:u w:val="single"/>
          </w:rPr>
          <w:t xml:space="preserve">§ 111a Vorläufige Entziehung der Fahrerlaubnis</w:t>
        </w:r>
      </w:hyperlink>
    </w:p>
    <w:p>
      <w:pPr>
        <w:pStyle w:val="Übersicht"/>
        <w:ind w:left="680"/>
      </w:pPr>
      <w:hyperlink w:anchor="b172" w:history="1">
        <w:r>
          <w:rPr>
            <w:color w:val="0A3A8C"/>
            <w:u w:val="single"/>
          </w:rPr>
          <w:t xml:space="preserve">§ 111b Beschlagnahme zur Sicherung der Einziehung oder Unbrauchbarmachung</w:t>
        </w:r>
      </w:hyperlink>
    </w:p>
    <w:p>
      <w:pPr>
        <w:pStyle w:val="Übersicht"/>
        <w:ind w:left="680"/>
      </w:pPr>
      <w:hyperlink w:anchor="b173" w:history="1">
        <w:r>
          <w:rPr>
            <w:color w:val="0A3A8C"/>
            <w:u w:val="single"/>
          </w:rPr>
          <w:t xml:space="preserve">§ 111c Vollziehung der Beschlagnahme</w:t>
        </w:r>
      </w:hyperlink>
    </w:p>
    <w:p>
      <w:pPr>
        <w:pStyle w:val="Übersicht"/>
        <w:ind w:left="680"/>
      </w:pPr>
      <w:hyperlink w:anchor="b174" w:history="1">
        <w:r>
          <w:rPr>
            <w:color w:val="0A3A8C"/>
            <w:u w:val="single"/>
          </w:rPr>
          <w:t xml:space="preserve">§ 111d Wirkung der Vollziehung der Beschlagnahme; Rückgabe beweglicher Sachen</w:t>
        </w:r>
      </w:hyperlink>
    </w:p>
    <w:p>
      <w:pPr>
        <w:pStyle w:val="Übersicht"/>
        <w:ind w:left="680"/>
      </w:pPr>
      <w:hyperlink w:anchor="b175" w:history="1">
        <w:r>
          <w:rPr>
            <w:color w:val="0A3A8C"/>
            <w:u w:val="single"/>
          </w:rPr>
          <w:t xml:space="preserve">§ 111e Vermögensarrest zur Sicherung der Wertersatzeinziehung</w:t>
        </w:r>
      </w:hyperlink>
    </w:p>
    <w:p>
      <w:pPr>
        <w:pStyle w:val="Übersicht"/>
        <w:ind w:left="680"/>
      </w:pPr>
      <w:hyperlink w:anchor="b176" w:history="1">
        <w:r>
          <w:rPr>
            <w:color w:val="0A3A8C"/>
            <w:u w:val="single"/>
          </w:rPr>
          <w:t xml:space="preserve">§ 111f Vollziehung des Vermögensarrestes</w:t>
        </w:r>
      </w:hyperlink>
    </w:p>
    <w:p>
      <w:pPr>
        <w:pStyle w:val="Übersicht"/>
        <w:ind w:left="680"/>
      </w:pPr>
      <w:hyperlink w:anchor="b177" w:history="1">
        <w:r>
          <w:rPr>
            <w:color w:val="0A3A8C"/>
            <w:u w:val="single"/>
          </w:rPr>
          <w:t xml:space="preserve">§ 111g Aufhebung der Vollziehung des Vermögensarrestes</w:t>
        </w:r>
      </w:hyperlink>
    </w:p>
    <w:p>
      <w:pPr>
        <w:pStyle w:val="Übersicht"/>
        <w:ind w:left="680"/>
      </w:pPr>
      <w:hyperlink w:anchor="b178" w:history="1">
        <w:r>
          <w:rPr>
            <w:color w:val="0A3A8C"/>
            <w:u w:val="single"/>
          </w:rPr>
          <w:t xml:space="preserve">§ 111h Wirkung der Vollziehung des Vermögensarrestes</w:t>
        </w:r>
      </w:hyperlink>
    </w:p>
    <w:p>
      <w:pPr>
        <w:pStyle w:val="Übersicht"/>
        <w:ind w:left="680"/>
      </w:pPr>
      <w:hyperlink w:anchor="b179" w:history="1">
        <w:r>
          <w:rPr>
            <w:color w:val="0A3A8C"/>
            <w:u w:val="single"/>
          </w:rPr>
          <w:t xml:space="preserve">§ 111i Insolvenzverfahren</w:t>
        </w:r>
      </w:hyperlink>
    </w:p>
    <w:p>
      <w:pPr>
        <w:pStyle w:val="Übersicht"/>
        <w:ind w:left="680"/>
      </w:pPr>
      <w:hyperlink w:anchor="b180" w:history="1">
        <w:r>
          <w:rPr>
            <w:color w:val="0A3A8C"/>
            <w:u w:val="single"/>
          </w:rPr>
          <w:t xml:space="preserve">§ 111j Verfahren bei der Anordnung der Beschlagnahme und des Vermögensarrestes</w:t>
        </w:r>
      </w:hyperlink>
    </w:p>
    <w:p>
      <w:pPr>
        <w:pStyle w:val="Übersicht"/>
        <w:ind w:left="680"/>
      </w:pPr>
      <w:hyperlink w:anchor="b181" w:history="1">
        <w:r>
          <w:rPr>
            <w:color w:val="0A3A8C"/>
            <w:u w:val="single"/>
          </w:rPr>
          <w:t xml:space="preserve">§ 111k Verfahren bei der Vollziehung der Beschlagnahme und des Vermögensarrestes</w:t>
        </w:r>
      </w:hyperlink>
    </w:p>
    <w:p>
      <w:pPr>
        <w:pStyle w:val="Übersicht"/>
        <w:ind w:left="680"/>
      </w:pPr>
      <w:hyperlink w:anchor="b182" w:history="1">
        <w:r>
          <w:rPr>
            <w:color w:val="0A3A8C"/>
            <w:u w:val="single"/>
          </w:rPr>
          <w:t xml:space="preserve">§ 111l Mitteilungen</w:t>
        </w:r>
      </w:hyperlink>
    </w:p>
    <w:p>
      <w:pPr>
        <w:pStyle w:val="Übersicht"/>
        <w:ind w:left="680"/>
      </w:pPr>
      <w:hyperlink w:anchor="b183" w:history="1">
        <w:r>
          <w:rPr>
            <w:color w:val="0A3A8C"/>
            <w:u w:val="single"/>
          </w:rPr>
          <w:t xml:space="preserve">§ 111m Verwaltung beschlagnahmter oder gepfändeter Gegenstände</w:t>
        </w:r>
      </w:hyperlink>
    </w:p>
    <w:p>
      <w:pPr>
        <w:pStyle w:val="Übersicht"/>
        <w:ind w:left="680"/>
      </w:pPr>
      <w:hyperlink w:anchor="b184" w:history="1">
        <w:r>
          <w:rPr>
            <w:color w:val="0A3A8C"/>
            <w:u w:val="single"/>
          </w:rPr>
          <w:t xml:space="preserve">§ 111n Herausgabe beweglicher Sachen</w:t>
        </w:r>
      </w:hyperlink>
    </w:p>
    <w:p>
      <w:pPr>
        <w:pStyle w:val="Übersicht"/>
        <w:ind w:left="680"/>
      </w:pPr>
      <w:hyperlink w:anchor="b185" w:history="1">
        <w:r>
          <w:rPr>
            <w:color w:val="0A3A8C"/>
            <w:u w:val="single"/>
          </w:rPr>
          <w:t xml:space="preserve">§ 111o Verfahren bei der Herausgabe</w:t>
        </w:r>
      </w:hyperlink>
    </w:p>
    <w:p>
      <w:pPr>
        <w:pStyle w:val="Übersicht"/>
        <w:ind w:left="680"/>
      </w:pPr>
      <w:hyperlink w:anchor="b186" w:history="1">
        <w:r>
          <w:rPr>
            <w:color w:val="0A3A8C"/>
            <w:u w:val="single"/>
          </w:rPr>
          <w:t xml:space="preserve">§ 111p Notveräußerung</w:t>
        </w:r>
      </w:hyperlink>
    </w:p>
    <w:p>
      <w:pPr>
        <w:pStyle w:val="Übersicht"/>
        <w:ind w:left="680"/>
      </w:pPr>
      <w:hyperlink w:anchor="b187" w:history="1">
        <w:r>
          <w:rPr>
            <w:color w:val="0A3A8C"/>
            <w:u w:val="single"/>
          </w:rPr>
          <w:t xml:space="preserve">§ 111q Beschlagnahme von Verkörperungen eines Inhalts und Vorrichtungen</w:t>
        </w:r>
      </w:hyperlink>
    </w:p>
    <w:p>
      <w:pPr>
        <w:pStyle w:val="Übersicht"/>
        <w:ind w:left="340"/>
      </w:pPr>
      <w:hyperlink w:anchor="b188" w:history="1">
        <w:r>
          <w:rPr>
            <w:b/>
            <w:color w:val="0A3A8C"/>
            <w:u w:val="single"/>
          </w:rPr>
          <w:t xml:space="preserve">Neunter Abschnitt Verhaftung und vorläufige Festnahme</w:t>
        </w:r>
      </w:hyperlink>
    </w:p>
    <w:p>
      <w:pPr>
        <w:pStyle w:val="Übersicht"/>
        <w:ind w:left="680"/>
      </w:pPr>
      <w:hyperlink w:anchor="b189" w:history="1">
        <w:r>
          <w:rPr>
            <w:color w:val="0A3A8C"/>
            <w:u w:val="single"/>
          </w:rPr>
          <w:t xml:space="preserve">§ 112 Voraussetzungen der Untersuchungshaft; Haftgründe</w:t>
        </w:r>
      </w:hyperlink>
    </w:p>
    <w:p>
      <w:pPr>
        <w:pStyle w:val="Übersicht"/>
        <w:ind w:left="680"/>
      </w:pPr>
      <w:hyperlink w:anchor="b190" w:history="1">
        <w:r>
          <w:rPr>
            <w:color w:val="0A3A8C"/>
            <w:u w:val="single"/>
          </w:rPr>
          <w:t xml:space="preserve">§ 112a Haftgrund der Wiederholungsgefahr</w:t>
        </w:r>
      </w:hyperlink>
    </w:p>
    <w:p>
      <w:pPr>
        <w:pStyle w:val="Übersicht"/>
        <w:ind w:left="680"/>
      </w:pPr>
      <w:hyperlink w:anchor="b191" w:history="1">
        <w:r>
          <w:rPr>
            <w:color w:val="0A3A8C"/>
            <w:u w:val="single"/>
          </w:rPr>
          <w:t xml:space="preserve">§ 113 Untersuchungshaft bei leichteren Taten</w:t>
        </w:r>
      </w:hyperlink>
    </w:p>
    <w:p>
      <w:pPr>
        <w:pStyle w:val="Übersicht"/>
        <w:ind w:left="680"/>
      </w:pPr>
      <w:hyperlink w:anchor="b192" w:history="1">
        <w:r>
          <w:rPr>
            <w:color w:val="0A3A8C"/>
            <w:u w:val="single"/>
          </w:rPr>
          <w:t xml:space="preserve">§ 114 Haftbefehl</w:t>
        </w:r>
      </w:hyperlink>
    </w:p>
    <w:p>
      <w:pPr>
        <w:pStyle w:val="Übersicht"/>
        <w:ind w:left="680"/>
      </w:pPr>
      <w:hyperlink w:anchor="b193" w:history="1">
        <w:r>
          <w:rPr>
            <w:color w:val="0A3A8C"/>
            <w:u w:val="single"/>
          </w:rPr>
          <w:t xml:space="preserve">§ 114a Aushändigung des Haftbefehls; Übersetzung</w:t>
        </w:r>
      </w:hyperlink>
    </w:p>
    <w:p>
      <w:pPr>
        <w:pStyle w:val="Übersicht"/>
        <w:ind w:left="680"/>
      </w:pPr>
      <w:hyperlink w:anchor="b194" w:history="1">
        <w:r>
          <w:rPr>
            <w:color w:val="0A3A8C"/>
            <w:u w:val="single"/>
          </w:rPr>
          <w:t xml:space="preserve">§ 114b Belehrung des verhafteten Beschuldigten</w:t>
        </w:r>
      </w:hyperlink>
    </w:p>
    <w:p>
      <w:pPr>
        <w:pStyle w:val="Übersicht"/>
        <w:ind w:left="680"/>
      </w:pPr>
      <w:hyperlink w:anchor="b195" w:history="1">
        <w:r>
          <w:rPr>
            <w:color w:val="0A3A8C"/>
            <w:u w:val="single"/>
          </w:rPr>
          <w:t xml:space="preserve">§ 114c Benachrichtigung von Angehörigen</w:t>
        </w:r>
      </w:hyperlink>
    </w:p>
    <w:p>
      <w:pPr>
        <w:pStyle w:val="Übersicht"/>
        <w:ind w:left="680"/>
      </w:pPr>
      <w:hyperlink w:anchor="b196" w:history="1">
        <w:r>
          <w:rPr>
            <w:color w:val="0A3A8C"/>
            <w:u w:val="single"/>
          </w:rPr>
          <w:t xml:space="preserve">§ 114d Mitteilungen an die Vollzugsanstalt</w:t>
        </w:r>
      </w:hyperlink>
    </w:p>
    <w:p>
      <w:pPr>
        <w:pStyle w:val="Übersicht"/>
        <w:ind w:left="680"/>
      </w:pPr>
      <w:hyperlink w:anchor="b197" w:history="1">
        <w:r>
          <w:rPr>
            <w:color w:val="0A3A8C"/>
            <w:u w:val="single"/>
          </w:rPr>
          <w:t xml:space="preserve">§ 114e Übermittlung von Erkenntnissen durch die Vollzugsanstalt</w:t>
        </w:r>
      </w:hyperlink>
    </w:p>
    <w:p>
      <w:pPr>
        <w:pStyle w:val="Übersicht"/>
        <w:ind w:left="680"/>
      </w:pPr>
      <w:hyperlink w:anchor="b198" w:history="1">
        <w:r>
          <w:rPr>
            <w:color w:val="0A3A8C"/>
            <w:u w:val="single"/>
          </w:rPr>
          <w:t xml:space="preserve">§ 115 Vorführung vor den zuständigen Richter</w:t>
        </w:r>
      </w:hyperlink>
    </w:p>
    <w:p>
      <w:pPr>
        <w:pStyle w:val="Übersicht"/>
        <w:ind w:left="680"/>
      </w:pPr>
      <w:hyperlink w:anchor="b199" w:history="1">
        <w:r>
          <w:rPr>
            <w:color w:val="0A3A8C"/>
            <w:u w:val="single"/>
          </w:rPr>
          <w:t xml:space="preserve">§ 115a Vorführung vor den Richter des nächsten Amtsgerichts</w:t>
        </w:r>
      </w:hyperlink>
    </w:p>
    <w:p>
      <w:pPr>
        <w:pStyle w:val="Übersicht"/>
        <w:ind w:left="680"/>
      </w:pPr>
      <w:hyperlink w:anchor="b200" w:history="1">
        <w:r>
          <w:rPr>
            <w:color w:val="0A3A8C"/>
            <w:u w:val="single"/>
          </w:rPr>
          <w:t xml:space="preserve">§ 116 Aussetzung des Vollzugs des Haftbefehls</w:t>
        </w:r>
      </w:hyperlink>
    </w:p>
    <w:p>
      <w:pPr>
        <w:pStyle w:val="Übersicht"/>
        <w:ind w:left="680"/>
      </w:pPr>
      <w:hyperlink w:anchor="b201" w:history="1">
        <w:r>
          <w:rPr>
            <w:color w:val="0A3A8C"/>
            <w:u w:val="single"/>
          </w:rPr>
          <w:t xml:space="preserve">§ 116a Aussetzung gegen Sicherheitsleistung</w:t>
        </w:r>
      </w:hyperlink>
    </w:p>
    <w:p>
      <w:pPr>
        <w:pStyle w:val="Übersicht"/>
        <w:ind w:left="680"/>
      </w:pPr>
      <w:hyperlink w:anchor="b202" w:history="1">
        <w:r>
          <w:rPr>
            <w:color w:val="0A3A8C"/>
            <w:u w:val="single"/>
          </w:rPr>
          <w:t xml:space="preserve">§ 116b Verhältnis von Untersuchungshaft zu anderen freiheitsentziehenden Maßnahmen</w:t>
        </w:r>
      </w:hyperlink>
    </w:p>
    <w:p>
      <w:pPr>
        <w:pStyle w:val="Übersicht"/>
        <w:ind w:left="680"/>
      </w:pPr>
      <w:hyperlink w:anchor="b203" w:history="1">
        <w:r>
          <w:rPr>
            <w:color w:val="0A3A8C"/>
            <w:u w:val="single"/>
          </w:rPr>
          <w:t xml:space="preserve">§ 117 Haftprüfung</w:t>
        </w:r>
      </w:hyperlink>
    </w:p>
    <w:p>
      <w:pPr>
        <w:pStyle w:val="Übersicht"/>
        <w:ind w:left="680"/>
      </w:pPr>
      <w:hyperlink w:anchor="b204" w:history="1">
        <w:r>
          <w:rPr>
            <w:color w:val="0A3A8C"/>
            <w:u w:val="single"/>
          </w:rPr>
          <w:t xml:space="preserve">§ 118 Verfahren bei der Haftprüfung</w:t>
        </w:r>
      </w:hyperlink>
    </w:p>
    <w:p>
      <w:pPr>
        <w:pStyle w:val="Übersicht"/>
        <w:ind w:left="680"/>
      </w:pPr>
      <w:hyperlink w:anchor="b205" w:history="1">
        <w:r>
          <w:rPr>
            <w:color w:val="0A3A8C"/>
            <w:u w:val="single"/>
          </w:rPr>
          <w:t xml:space="preserve">§ 118a Mündliche Verhandlung bei der Haftprüfung</w:t>
        </w:r>
      </w:hyperlink>
    </w:p>
    <w:p>
      <w:pPr>
        <w:pStyle w:val="Übersicht"/>
        <w:ind w:left="680"/>
      </w:pPr>
      <w:hyperlink w:anchor="b206" w:history="1">
        <w:r>
          <w:rPr>
            <w:color w:val="0A3A8C"/>
            <w:u w:val="single"/>
          </w:rPr>
          <w:t xml:space="preserve">§ 118b Anwendung von Rechtsmittelvorschriften</w:t>
        </w:r>
      </w:hyperlink>
    </w:p>
    <w:p>
      <w:pPr>
        <w:pStyle w:val="Übersicht"/>
        <w:ind w:left="680"/>
      </w:pPr>
      <w:hyperlink w:anchor="b207" w:history="1">
        <w:r>
          <w:rPr>
            <w:color w:val="0A3A8C"/>
            <w:u w:val="single"/>
          </w:rPr>
          <w:t xml:space="preserve">§ 119 Haftgrundbezogene Beschränkungen während der Untersuchungshaft</w:t>
        </w:r>
      </w:hyperlink>
    </w:p>
    <w:p>
      <w:pPr>
        <w:pStyle w:val="Übersicht"/>
        <w:ind w:left="680"/>
      </w:pPr>
      <w:hyperlink w:anchor="b208" w:history="1">
        <w:r>
          <w:rPr>
            <w:color w:val="0A3A8C"/>
            <w:u w:val="single"/>
          </w:rPr>
          <w:t xml:space="preserve">§ 119a Gerichtliche Entscheidung über eine Maßnahme der Vollzugsbehörde</w:t>
        </w:r>
      </w:hyperlink>
    </w:p>
    <w:p>
      <w:pPr>
        <w:pStyle w:val="Übersicht"/>
        <w:ind w:left="680"/>
      </w:pPr>
      <w:hyperlink w:anchor="b209" w:history="1">
        <w:r>
          <w:rPr>
            <w:color w:val="0A3A8C"/>
            <w:u w:val="single"/>
          </w:rPr>
          <w:t xml:space="preserve">§ 120 Aufhebung des Haftbefehls</w:t>
        </w:r>
      </w:hyperlink>
    </w:p>
    <w:p>
      <w:pPr>
        <w:pStyle w:val="Übersicht"/>
        <w:ind w:left="680"/>
      </w:pPr>
      <w:hyperlink w:anchor="b210" w:history="1">
        <w:r>
          <w:rPr>
            <w:color w:val="0A3A8C"/>
            <w:u w:val="single"/>
          </w:rPr>
          <w:t xml:space="preserve">§ 121 Fortdauer der Untersuchungshaft über sechs Monate</w:t>
        </w:r>
      </w:hyperlink>
    </w:p>
    <w:p>
      <w:pPr>
        <w:pStyle w:val="Übersicht"/>
        <w:ind w:left="680"/>
      </w:pPr>
      <w:hyperlink w:anchor="b211" w:history="1">
        <w:r>
          <w:rPr>
            <w:color w:val="0A3A8C"/>
            <w:u w:val="single"/>
          </w:rPr>
          <w:t xml:space="preserve">§ 122 Besondere Haftprüfung durch das Oberlandesgericht</w:t>
        </w:r>
      </w:hyperlink>
    </w:p>
    <w:p>
      <w:pPr>
        <w:pStyle w:val="Übersicht"/>
        <w:ind w:left="680"/>
      </w:pPr>
      <w:hyperlink w:anchor="b212" w:history="1">
        <w:r>
          <w:rPr>
            <w:color w:val="0A3A8C"/>
            <w:u w:val="single"/>
          </w:rPr>
          <w:t xml:space="preserve">§ 122a Höchstdauer der Untersuchungshaft bei Wiederholungsgefahr</w:t>
        </w:r>
      </w:hyperlink>
    </w:p>
    <w:p>
      <w:pPr>
        <w:pStyle w:val="Übersicht"/>
        <w:ind w:left="680"/>
      </w:pPr>
      <w:hyperlink w:anchor="b213" w:history="1">
        <w:r>
          <w:rPr>
            <w:color w:val="0A3A8C"/>
            <w:u w:val="single"/>
          </w:rPr>
          <w:t xml:space="preserve">§ 123 Aufhebung der Vollzugsaussetzung dienender Maßnahmen</w:t>
        </w:r>
      </w:hyperlink>
    </w:p>
    <w:p>
      <w:pPr>
        <w:pStyle w:val="Übersicht"/>
        <w:ind w:left="680"/>
      </w:pPr>
      <w:hyperlink w:anchor="b214" w:history="1">
        <w:r>
          <w:rPr>
            <w:color w:val="0A3A8C"/>
            <w:u w:val="single"/>
          </w:rPr>
          <w:t xml:space="preserve">§ 124 Verfall der geleisteten Sicherheit</w:t>
        </w:r>
      </w:hyperlink>
    </w:p>
    <w:p>
      <w:pPr>
        <w:pStyle w:val="Übersicht"/>
        <w:ind w:left="680"/>
      </w:pPr>
      <w:hyperlink w:anchor="b215" w:history="1">
        <w:r>
          <w:rPr>
            <w:color w:val="0A3A8C"/>
            <w:u w:val="single"/>
          </w:rPr>
          <w:t xml:space="preserve">§ 125 Zuständigkeit für den Erlass des Haftbefehls</w:t>
        </w:r>
      </w:hyperlink>
    </w:p>
    <w:p>
      <w:pPr>
        <w:pStyle w:val="Übersicht"/>
        <w:ind w:left="680"/>
      </w:pPr>
      <w:hyperlink w:anchor="b216" w:history="1">
        <w:r>
          <w:rPr>
            <w:color w:val="0A3A8C"/>
            <w:u w:val="single"/>
          </w:rPr>
          <w:t xml:space="preserve">§ 126 Zuständigkeit für weitere gerichtliche Entscheidungen</w:t>
        </w:r>
      </w:hyperlink>
    </w:p>
    <w:p>
      <w:pPr>
        <w:pStyle w:val="Übersicht"/>
        <w:ind w:left="680"/>
      </w:pPr>
      <w:hyperlink w:anchor="b217" w:history="1">
        <w:r>
          <w:rPr>
            <w:color w:val="0A3A8C"/>
            <w:u w:val="single"/>
          </w:rPr>
          <w:t xml:space="preserve">§ 126a Einstweilige Unterbringung</w:t>
        </w:r>
      </w:hyperlink>
    </w:p>
    <w:p>
      <w:pPr>
        <w:pStyle w:val="Übersicht"/>
        <w:ind w:left="680"/>
      </w:pPr>
      <w:hyperlink w:anchor="b218" w:history="1">
        <w:r>
          <w:rPr>
            <w:color w:val="0A3A8C"/>
            <w:u w:val="single"/>
          </w:rPr>
          <w:t xml:space="preserve">§ 127 Vorläufige Festnahme</w:t>
        </w:r>
      </w:hyperlink>
    </w:p>
    <w:p>
      <w:pPr>
        <w:pStyle w:val="Übersicht"/>
        <w:ind w:left="680"/>
      </w:pPr>
      <w:hyperlink w:anchor="b219" w:history="1">
        <w:r>
          <w:rPr>
            <w:color w:val="0A3A8C"/>
            <w:u w:val="single"/>
          </w:rPr>
          <w:t xml:space="preserve">§ 127a Absehen von der Anordnung oder Aufrechterhaltung der vorläufigen Festnahme</w:t>
        </w:r>
      </w:hyperlink>
    </w:p>
    <w:p>
      <w:pPr>
        <w:pStyle w:val="Übersicht"/>
        <w:ind w:left="680"/>
      </w:pPr>
      <w:hyperlink w:anchor="b220" w:history="1">
        <w:r>
          <w:rPr>
            <w:color w:val="0A3A8C"/>
            <w:u w:val="single"/>
          </w:rPr>
          <w:t xml:space="preserve">§ 127b Vorläufige Festnahme und Haftbefehl bei beschleunigtem Verfahren</w:t>
        </w:r>
      </w:hyperlink>
    </w:p>
    <w:p>
      <w:pPr>
        <w:pStyle w:val="Übersicht"/>
        <w:ind w:left="680"/>
      </w:pPr>
      <w:hyperlink w:anchor="b221" w:history="1">
        <w:r>
          <w:rPr>
            <w:color w:val="0A3A8C"/>
            <w:u w:val="single"/>
          </w:rPr>
          <w:t xml:space="preserve">§ 128 Vorführung bei vorläufiger Festnahme</w:t>
        </w:r>
      </w:hyperlink>
    </w:p>
    <w:p>
      <w:pPr>
        <w:pStyle w:val="Übersicht"/>
        <w:ind w:left="680"/>
      </w:pPr>
      <w:hyperlink w:anchor="b222" w:history="1">
        <w:r>
          <w:rPr>
            <w:color w:val="0A3A8C"/>
            <w:u w:val="single"/>
          </w:rPr>
          <w:t xml:space="preserve">§ 129 Vorführung bei vorläufiger Festnahme nach Anklageerhebung</w:t>
        </w:r>
      </w:hyperlink>
    </w:p>
    <w:p>
      <w:pPr>
        <w:pStyle w:val="Übersicht"/>
        <w:ind w:left="680"/>
      </w:pPr>
      <w:hyperlink w:anchor="b223" w:history="1">
        <w:r>
          <w:rPr>
            <w:color w:val="0A3A8C"/>
            <w:u w:val="single"/>
          </w:rPr>
          <w:t xml:space="preserve">§ 130 Haftbefehl vor Stellung eines Strafantrags</w:t>
        </w:r>
      </w:hyperlink>
    </w:p>
    <w:p>
      <w:pPr>
        <w:pStyle w:val="Übersicht"/>
        <w:ind w:left="340"/>
      </w:pPr>
      <w:hyperlink w:anchor="b224" w:history="1">
        <w:r>
          <w:rPr>
            <w:b/>
            <w:color w:val="0A3A8C"/>
            <w:u w:val="single"/>
          </w:rPr>
          <w:t xml:space="preserve">Abschnitt 9a Weitere Maßnahmen zur Sicherstellung der Strafverfolgung und Strafvollstreckung</w:t>
        </w:r>
      </w:hyperlink>
    </w:p>
    <w:p>
      <w:pPr>
        <w:pStyle w:val="Übersicht"/>
        <w:ind w:left="680"/>
      </w:pPr>
      <w:hyperlink w:anchor="b225" w:history="1">
        <w:r>
          <w:rPr>
            <w:color w:val="0A3A8C"/>
            <w:u w:val="single"/>
          </w:rPr>
          <w:t xml:space="preserve">§ 131 Ausschreibung zur Festnahme</w:t>
        </w:r>
      </w:hyperlink>
    </w:p>
    <w:p>
      <w:pPr>
        <w:pStyle w:val="Übersicht"/>
        <w:ind w:left="680"/>
      </w:pPr>
      <w:hyperlink w:anchor="b226" w:history="1">
        <w:r>
          <w:rPr>
            <w:color w:val="0A3A8C"/>
            <w:u w:val="single"/>
          </w:rPr>
          <w:t xml:space="preserve">§ 131a Ausschreibung zur Aufenthaltsermittlung</w:t>
        </w:r>
      </w:hyperlink>
    </w:p>
    <w:p>
      <w:pPr>
        <w:pStyle w:val="Übersicht"/>
        <w:ind w:left="680"/>
      </w:pPr>
      <w:hyperlink w:anchor="b227" w:history="1">
        <w:r>
          <w:rPr>
            <w:color w:val="0A3A8C"/>
            <w:u w:val="single"/>
          </w:rPr>
          <w:t xml:space="preserve">§ 131b Veröffentlichung von Abbildungen des Beschuldigten oder Zeugen</w:t>
        </w:r>
      </w:hyperlink>
    </w:p>
    <w:p>
      <w:pPr>
        <w:pStyle w:val="Übersicht"/>
        <w:ind w:left="680"/>
      </w:pPr>
      <w:hyperlink w:anchor="b228" w:history="1">
        <w:r>
          <w:rPr>
            <w:color w:val="0A3A8C"/>
            <w:u w:val="single"/>
          </w:rPr>
          <w:t xml:space="preserve">§ 131c Anordnung und Bestätigung von Fahndungsmaßnahmen</w:t>
        </w:r>
      </w:hyperlink>
    </w:p>
    <w:p>
      <w:pPr>
        <w:pStyle w:val="Übersicht"/>
        <w:ind w:left="680"/>
      </w:pPr>
      <w:hyperlink w:anchor="b229" w:history="1">
        <w:r>
          <w:rPr>
            <w:color w:val="0A3A8C"/>
            <w:u w:val="single"/>
          </w:rPr>
          <w:t xml:space="preserve">§ 132 Sicherheitsleistung, Zustellungsbevollmächtigter</w:t>
        </w:r>
      </w:hyperlink>
    </w:p>
    <w:p>
      <w:pPr>
        <w:pStyle w:val="Übersicht"/>
        <w:ind w:left="340"/>
      </w:pPr>
      <w:hyperlink w:anchor="b230" w:history="1">
        <w:r>
          <w:rPr>
            <w:b/>
            <w:color w:val="0A3A8C"/>
            <w:u w:val="single"/>
          </w:rPr>
          <w:t xml:space="preserve">Abschnitt 9b Vorläufiges Berufsverbot</w:t>
        </w:r>
      </w:hyperlink>
    </w:p>
    <w:p>
      <w:pPr>
        <w:pStyle w:val="Übersicht"/>
        <w:ind w:left="680"/>
      </w:pPr>
      <w:hyperlink w:anchor="b231" w:history="1">
        <w:r>
          <w:rPr>
            <w:color w:val="0A3A8C"/>
            <w:u w:val="single"/>
          </w:rPr>
          <w:t xml:space="preserve">§ 132a Anordnung und Aufhebung eines vorläufigen Berufsverbots</w:t>
        </w:r>
      </w:hyperlink>
    </w:p>
    <w:p>
      <w:pPr>
        <w:pStyle w:val="Übersicht"/>
        <w:ind w:left="340"/>
      </w:pPr>
      <w:hyperlink w:anchor="b232" w:history="1">
        <w:r>
          <w:rPr>
            <w:b/>
            <w:color w:val="0A3A8C"/>
            <w:u w:val="single"/>
          </w:rPr>
          <w:t xml:space="preserve">Zehnter Abschnitt Vernehmung des Beschuldigten</w:t>
        </w:r>
      </w:hyperlink>
    </w:p>
    <w:p>
      <w:pPr>
        <w:pStyle w:val="Übersicht"/>
        <w:ind w:left="680"/>
      </w:pPr>
      <w:hyperlink w:anchor="b233" w:history="1">
        <w:r>
          <w:rPr>
            <w:color w:val="0A3A8C"/>
            <w:u w:val="single"/>
          </w:rPr>
          <w:t xml:space="preserve">§ 133 Ladung</w:t>
        </w:r>
      </w:hyperlink>
    </w:p>
    <w:p>
      <w:pPr>
        <w:pStyle w:val="Übersicht"/>
        <w:ind w:left="680"/>
      </w:pPr>
      <w:hyperlink w:anchor="b234" w:history="1">
        <w:r>
          <w:rPr>
            <w:color w:val="0A3A8C"/>
            <w:u w:val="single"/>
          </w:rPr>
          <w:t xml:space="preserve">§ 134 Vorführung</w:t>
        </w:r>
      </w:hyperlink>
    </w:p>
    <w:p>
      <w:pPr>
        <w:pStyle w:val="Übersicht"/>
        <w:ind w:left="680"/>
      </w:pPr>
      <w:hyperlink w:anchor="b235" w:history="1">
        <w:r>
          <w:rPr>
            <w:color w:val="0A3A8C"/>
            <w:u w:val="single"/>
          </w:rPr>
          <w:t xml:space="preserve">§ 135 Sofortige Vernehmung</w:t>
        </w:r>
      </w:hyperlink>
    </w:p>
    <w:p>
      <w:pPr>
        <w:pStyle w:val="Übersicht"/>
        <w:ind w:left="680"/>
      </w:pPr>
      <w:hyperlink w:anchor="b236" w:history="1">
        <w:r>
          <w:rPr>
            <w:color w:val="0A3A8C"/>
            <w:u w:val="single"/>
          </w:rPr>
          <w:t xml:space="preserve">§ 136 Vernehmung</w:t>
        </w:r>
      </w:hyperlink>
    </w:p>
    <w:p>
      <w:pPr>
        <w:pStyle w:val="Übersicht"/>
        <w:ind w:left="680"/>
      </w:pPr>
      <w:hyperlink w:anchor="b237" w:history="1">
        <w:r>
          <w:rPr>
            <w:color w:val="0A3A8C"/>
            <w:u w:val="single"/>
          </w:rPr>
          <w:t xml:space="preserve">§ 136a Verbotene Vernehmungsmethoden; Beweisverwertungsverbote</w:t>
        </w:r>
      </w:hyperlink>
    </w:p>
    <w:p>
      <w:pPr>
        <w:pStyle w:val="Übersicht"/>
        <w:ind w:left="340"/>
      </w:pPr>
      <w:hyperlink w:anchor="b238" w:history="1">
        <w:r>
          <w:rPr>
            <w:b/>
            <w:color w:val="0A3A8C"/>
            <w:u w:val="single"/>
          </w:rPr>
          <w:t xml:space="preserve">Elfter Abschnitt Verteidigung</w:t>
        </w:r>
      </w:hyperlink>
    </w:p>
    <w:p>
      <w:pPr>
        <w:pStyle w:val="Übersicht"/>
        <w:ind w:left="680"/>
      </w:pPr>
      <w:hyperlink w:anchor="b239" w:history="1">
        <w:r>
          <w:rPr>
            <w:color w:val="0A3A8C"/>
            <w:u w:val="single"/>
          </w:rPr>
          <w:t xml:space="preserve">§ 137 Recht des Beschuldigten auf Hinzuziehung eines Verteidigers</w:t>
        </w:r>
      </w:hyperlink>
    </w:p>
    <w:p>
      <w:pPr>
        <w:pStyle w:val="Übersicht"/>
        <w:ind w:left="680"/>
      </w:pPr>
      <w:hyperlink w:anchor="b240" w:history="1">
        <w:r>
          <w:rPr>
            <w:color w:val="0A3A8C"/>
            <w:u w:val="single"/>
          </w:rPr>
          <w:t xml:space="preserve">§ 138 Wahlverteidiger</w:t>
        </w:r>
      </w:hyperlink>
    </w:p>
    <w:p>
      <w:pPr>
        <w:pStyle w:val="Übersicht"/>
        <w:ind w:left="680"/>
      </w:pPr>
      <w:hyperlink w:anchor="b241" w:history="1">
        <w:r>
          <w:rPr>
            <w:color w:val="0A3A8C"/>
            <w:u w:val="single"/>
          </w:rPr>
          <w:t xml:space="preserve">§ 138a Ausschließung des Verteidigers</w:t>
        </w:r>
      </w:hyperlink>
    </w:p>
    <w:p>
      <w:pPr>
        <w:pStyle w:val="Übersicht"/>
        <w:ind w:left="680"/>
      </w:pPr>
      <w:hyperlink w:anchor="b242" w:history="1">
        <w:r>
          <w:rPr>
            <w:color w:val="0A3A8C"/>
            <w:u w:val="single"/>
          </w:rPr>
          <w:t xml:space="preserve">§ 138b Ausschließung bei Gefahr für die Sicherheit der Bundesrepublik Deutschland</w:t>
        </w:r>
      </w:hyperlink>
    </w:p>
    <w:p>
      <w:pPr>
        <w:pStyle w:val="Übersicht"/>
        <w:ind w:left="680"/>
      </w:pPr>
      <w:hyperlink w:anchor="b243" w:history="1">
        <w:r>
          <w:rPr>
            <w:color w:val="0A3A8C"/>
            <w:u w:val="single"/>
          </w:rPr>
          <w:t xml:space="preserve">§ 138c Zuständigkeit für die Ausschließungsentscheidung</w:t>
        </w:r>
      </w:hyperlink>
    </w:p>
    <w:p>
      <w:pPr>
        <w:pStyle w:val="Übersicht"/>
        <w:ind w:left="680"/>
      </w:pPr>
      <w:hyperlink w:anchor="b244" w:history="1">
        <w:r>
          <w:rPr>
            <w:color w:val="0A3A8C"/>
            <w:u w:val="single"/>
          </w:rPr>
          <w:t xml:space="preserve">§ 138d Verfahren bei Ausschließung des Verteidigers</w:t>
        </w:r>
      </w:hyperlink>
    </w:p>
    <w:p>
      <w:pPr>
        <w:pStyle w:val="Übersicht"/>
        <w:ind w:left="680"/>
      </w:pPr>
      <w:hyperlink w:anchor="b245" w:history="1">
        <w:r>
          <w:rPr>
            <w:color w:val="0A3A8C"/>
            <w:u w:val="single"/>
          </w:rPr>
          <w:t xml:space="preserve">§ 139 Übertragung der Verteidigung auf einen Referendar</w:t>
        </w:r>
      </w:hyperlink>
    </w:p>
    <w:p>
      <w:pPr>
        <w:pStyle w:val="Übersicht"/>
        <w:ind w:left="680"/>
      </w:pPr>
      <w:hyperlink w:anchor="b246" w:history="1">
        <w:r>
          <w:rPr>
            <w:color w:val="0A3A8C"/>
            <w:u w:val="single"/>
          </w:rPr>
          <w:t xml:space="preserve">§ 140 Notwendige Verteidigung</w:t>
        </w:r>
      </w:hyperlink>
    </w:p>
    <w:p>
      <w:pPr>
        <w:pStyle w:val="Übersicht"/>
        <w:ind w:left="680"/>
      </w:pPr>
      <w:hyperlink w:anchor="b247" w:history="1">
        <w:r>
          <w:rPr>
            <w:color w:val="0A3A8C"/>
            <w:u w:val="single"/>
          </w:rPr>
          <w:t xml:space="preserve">§ 141 Zeitpunkt der Bestellung eines Pflichtverteidigers</w:t>
        </w:r>
      </w:hyperlink>
    </w:p>
    <w:p>
      <w:pPr>
        <w:pStyle w:val="Übersicht"/>
        <w:ind w:left="680"/>
      </w:pPr>
      <w:hyperlink w:anchor="b248" w:history="1">
        <w:r>
          <w:rPr>
            <w:color w:val="0A3A8C"/>
            <w:u w:val="single"/>
          </w:rPr>
          <w:t xml:space="preserve">§ 141a Vernehmungen und Gegenüberstellungen vor der Bestellung eines Pflichtverteidigers</w:t>
        </w:r>
      </w:hyperlink>
    </w:p>
    <w:p>
      <w:pPr>
        <w:pStyle w:val="Übersicht"/>
        <w:ind w:left="680"/>
      </w:pPr>
      <w:hyperlink w:anchor="b249" w:history="1">
        <w:r>
          <w:rPr>
            <w:color w:val="0A3A8C"/>
            <w:u w:val="single"/>
          </w:rPr>
          <w:t xml:space="preserve">§ 142 Zuständigkeit und Bestellungsverfahren</w:t>
        </w:r>
      </w:hyperlink>
    </w:p>
    <w:p>
      <w:pPr>
        <w:pStyle w:val="Übersicht"/>
        <w:ind w:left="680"/>
      </w:pPr>
      <w:hyperlink w:anchor="b250" w:history="1">
        <w:r>
          <w:rPr>
            <w:color w:val="0A3A8C"/>
            <w:u w:val="single"/>
          </w:rPr>
          <w:t xml:space="preserve">§ 143 Dauer und Aufhebung der Bestellung</w:t>
        </w:r>
      </w:hyperlink>
    </w:p>
    <w:p>
      <w:pPr>
        <w:pStyle w:val="Übersicht"/>
        <w:ind w:left="680"/>
      </w:pPr>
      <w:hyperlink w:anchor="b251" w:history="1">
        <w:r>
          <w:rPr>
            <w:color w:val="0A3A8C"/>
            <w:u w:val="single"/>
          </w:rPr>
          <w:t xml:space="preserve">§ 143a Verteidigerwechsel</w:t>
        </w:r>
      </w:hyperlink>
    </w:p>
    <w:p>
      <w:pPr>
        <w:pStyle w:val="Übersicht"/>
        <w:ind w:left="680"/>
      </w:pPr>
      <w:hyperlink w:anchor="b252" w:history="1">
        <w:r>
          <w:rPr>
            <w:color w:val="0A3A8C"/>
            <w:u w:val="single"/>
          </w:rPr>
          <w:t xml:space="preserve">§ 144 Zusätzliche Pflichtverteidiger</w:t>
        </w:r>
      </w:hyperlink>
    </w:p>
    <w:p>
      <w:pPr>
        <w:pStyle w:val="Übersicht"/>
        <w:ind w:left="680"/>
      </w:pPr>
      <w:hyperlink w:anchor="b253" w:history="1">
        <w:r>
          <w:rPr>
            <w:color w:val="0A3A8C"/>
            <w:u w:val="single"/>
          </w:rPr>
          <w:t xml:space="preserve">§ 145 Ausbleiben oder Weigerung des Pflichtverteidigers</w:t>
        </w:r>
      </w:hyperlink>
    </w:p>
    <w:p>
      <w:pPr>
        <w:pStyle w:val="Übersicht"/>
        <w:ind w:left="680"/>
      </w:pPr>
      <w:hyperlink w:anchor="b254" w:history="1">
        <w:r>
          <w:rPr>
            <w:color w:val="0A3A8C"/>
            <w:u w:val="single"/>
          </w:rPr>
          <w:t xml:space="preserve">§ 145a Zustellungen an den Verteidiger</w:t>
        </w:r>
      </w:hyperlink>
    </w:p>
    <w:p>
      <w:pPr>
        <w:pStyle w:val="Übersicht"/>
        <w:ind w:left="680"/>
      </w:pPr>
      <w:hyperlink w:anchor="b255" w:history="1">
        <w:r>
          <w:rPr>
            <w:color w:val="0A3A8C"/>
            <w:u w:val="single"/>
          </w:rPr>
          <w:t xml:space="preserve">§ 146 Verbot der Mehrfachverteidigung</w:t>
        </w:r>
      </w:hyperlink>
    </w:p>
    <w:p>
      <w:pPr>
        <w:pStyle w:val="Übersicht"/>
        <w:ind w:left="680"/>
      </w:pPr>
      <w:hyperlink w:anchor="b256" w:history="1">
        <w:r>
          <w:rPr>
            <w:color w:val="0A3A8C"/>
            <w:u w:val="single"/>
          </w:rPr>
          <w:t xml:space="preserve">§ 146a Zurückweisung eines Wahlverteidigers</w:t>
        </w:r>
      </w:hyperlink>
    </w:p>
    <w:p>
      <w:pPr>
        <w:pStyle w:val="Übersicht"/>
        <w:ind w:left="680"/>
      </w:pPr>
      <w:hyperlink w:anchor="b257" w:history="1">
        <w:r>
          <w:rPr>
            <w:color w:val="0A3A8C"/>
            <w:u w:val="single"/>
          </w:rPr>
          <w:t xml:space="preserve">§ 147 Akteneinsichtsrecht, Besichtigungsrecht; Auskunftsrecht des Beschuldigten</w:t>
        </w:r>
      </w:hyperlink>
    </w:p>
    <w:p>
      <w:pPr>
        <w:pStyle w:val="Übersicht"/>
        <w:ind w:left="680"/>
      </w:pPr>
      <w:hyperlink w:anchor="b258" w:history="1">
        <w:r>
          <w:rPr>
            <w:color w:val="0A3A8C"/>
            <w:u w:val="single"/>
          </w:rPr>
          <w:t xml:space="preserve">§ 148 Kommunikation des Beschuldigten mit dem Verteidiger</w:t>
        </w:r>
      </w:hyperlink>
    </w:p>
    <w:p>
      <w:pPr>
        <w:pStyle w:val="Übersicht"/>
        <w:ind w:left="680"/>
      </w:pPr>
      <w:hyperlink w:anchor="b259" w:history="1">
        <w:r>
          <w:rPr>
            <w:color w:val="0A3A8C"/>
            <w:u w:val="single"/>
          </w:rPr>
          <w:t xml:space="preserve">§ 148a Durchführung von Überwachungsmaßnahmen</w:t>
        </w:r>
      </w:hyperlink>
    </w:p>
    <w:p>
      <w:pPr>
        <w:pStyle w:val="Übersicht"/>
        <w:ind w:left="680"/>
      </w:pPr>
      <w:hyperlink w:anchor="b260" w:history="1">
        <w:r>
          <w:rPr>
            <w:color w:val="0A3A8C"/>
            <w:u w:val="single"/>
          </w:rPr>
          <w:t xml:space="preserve">§ 149 Zulassung von Beiständen</w:t>
        </w:r>
      </w:hyperlink>
    </w:p>
    <w:p>
      <w:pPr>
        <w:pStyle w:val="Übersicht"/>
        <w:ind w:left="680"/>
      </w:pPr>
      <w:hyperlink w:anchor="b261" w:history="1">
        <w:r>
          <w:rPr>
            <w:color w:val="0A3A8C"/>
            <w:u w:val="single"/>
          </w:rPr>
          <w:t xml:space="preserve">§ 150 (weggefallen)</w:t>
        </w:r>
      </w:hyperlink>
    </w:p>
    <w:p>
      <w:pPr>
        <w:pStyle w:val="Übersicht"/>
        <w:ind w:left="0"/>
      </w:pPr>
      <w:hyperlink w:anchor="b262" w:history="1">
        <w:r>
          <w:rPr>
            <w:b/>
            <w:color w:val="0A3A8C"/>
            <w:u w:val="single"/>
          </w:rPr>
          <w:t xml:space="preserve">Zweites Buch Verfahren im ersten Rechtszug</w:t>
        </w:r>
      </w:hyperlink>
    </w:p>
    <w:p>
      <w:pPr>
        <w:pStyle w:val="Übersicht"/>
        <w:ind w:left="340"/>
      </w:pPr>
      <w:hyperlink w:anchor="b263" w:history="1">
        <w:r>
          <w:rPr>
            <w:b/>
            <w:color w:val="0A3A8C"/>
            <w:u w:val="single"/>
          </w:rPr>
          <w:t xml:space="preserve">Erster Abschnitt Öffentliche Klage</w:t>
        </w:r>
      </w:hyperlink>
    </w:p>
    <w:p>
      <w:pPr>
        <w:pStyle w:val="Übersicht"/>
        <w:ind w:left="680"/>
      </w:pPr>
      <w:hyperlink w:anchor="b264" w:history="1">
        <w:r>
          <w:rPr>
            <w:color w:val="0A3A8C"/>
            <w:u w:val="single"/>
          </w:rPr>
          <w:t xml:space="preserve">§ 151 Anklagegrundsatz</w:t>
        </w:r>
      </w:hyperlink>
    </w:p>
    <w:p>
      <w:pPr>
        <w:pStyle w:val="Übersicht"/>
        <w:ind w:left="680"/>
      </w:pPr>
      <w:hyperlink w:anchor="b265" w:history="1">
        <w:r>
          <w:rPr>
            <w:color w:val="0A3A8C"/>
            <w:u w:val="single"/>
          </w:rPr>
          <w:t xml:space="preserve">§ 152 Anklagebehörde; Legalitätsgrundsatz</w:t>
        </w:r>
      </w:hyperlink>
    </w:p>
    <w:p>
      <w:pPr>
        <w:pStyle w:val="Übersicht"/>
        <w:ind w:left="680"/>
      </w:pPr>
      <w:hyperlink w:anchor="b266" w:history="1">
        <w:r>
          <w:rPr>
            <w:color w:val="0A3A8C"/>
            <w:u w:val="single"/>
          </w:rPr>
          <w:t xml:space="preserve">§ 152a Landesgesetzliche Vorschriften über die Strafverfolgung von Abgeordneten</w:t>
        </w:r>
      </w:hyperlink>
    </w:p>
    <w:p>
      <w:pPr>
        <w:pStyle w:val="Übersicht"/>
        <w:ind w:left="680"/>
      </w:pPr>
      <w:hyperlink w:anchor="b267" w:history="1">
        <w:r>
          <w:rPr>
            <w:color w:val="0A3A8C"/>
            <w:u w:val="single"/>
          </w:rPr>
          <w:t xml:space="preserve">§ 153 Absehen von der Verfolgung bei Geringfügigkeit</w:t>
        </w:r>
      </w:hyperlink>
    </w:p>
    <w:p>
      <w:pPr>
        <w:pStyle w:val="Übersicht"/>
        <w:ind w:left="680"/>
      </w:pPr>
      <w:hyperlink w:anchor="b268" w:history="1">
        <w:r>
          <w:rPr>
            <w:color w:val="0A3A8C"/>
            <w:u w:val="single"/>
          </w:rPr>
          <w:t xml:space="preserve">§ 153a Absehen von der Verfolgung unter Auflagen und Weisungen</w:t>
        </w:r>
      </w:hyperlink>
    </w:p>
    <w:p>
      <w:pPr>
        <w:pStyle w:val="Übersicht"/>
        <w:ind w:left="680"/>
      </w:pPr>
      <w:hyperlink w:anchor="b269" w:history="1">
        <w:r>
          <w:rPr>
            <w:color w:val="0A3A8C"/>
            <w:u w:val="single"/>
          </w:rPr>
          <w:t xml:space="preserve">§ 153b Absehen von der Verfolgung bei möglichem Absehen von Strafe</w:t>
        </w:r>
      </w:hyperlink>
    </w:p>
    <w:p>
      <w:pPr>
        <w:pStyle w:val="Übersicht"/>
        <w:ind w:left="680"/>
      </w:pPr>
      <w:hyperlink w:anchor="b270" w:history="1">
        <w:r>
          <w:rPr>
            <w:color w:val="0A3A8C"/>
            <w:u w:val="single"/>
          </w:rPr>
          <w:t xml:space="preserve">§ 153c Absehen von der Verfolgung bei Auslandstaten</w:t>
        </w:r>
      </w:hyperlink>
    </w:p>
    <w:p>
      <w:pPr>
        <w:pStyle w:val="Übersicht"/>
        <w:ind w:left="680"/>
      </w:pPr>
      <w:hyperlink w:anchor="b271" w:history="1">
        <w:r>
          <w:rPr>
            <w:color w:val="0A3A8C"/>
            <w:u w:val="single"/>
          </w:rPr>
          <w:t xml:space="preserve">§ 153d Absehen von der Verfolgung bei Staatsschutzdelikten wegen überwiegender öffentlicher Interessen</w:t>
        </w:r>
      </w:hyperlink>
    </w:p>
    <w:p>
      <w:pPr>
        <w:pStyle w:val="Übersicht"/>
        <w:ind w:left="680"/>
      </w:pPr>
      <w:hyperlink w:anchor="b272" w:history="1">
        <w:r>
          <w:rPr>
            <w:color w:val="0A3A8C"/>
            <w:u w:val="single"/>
          </w:rPr>
          <w:t xml:space="preserve">§ 153e Absehen von der Verfolgung bei Staatsschutzdelikten wegen tätiger Reue</w:t>
        </w:r>
      </w:hyperlink>
    </w:p>
    <w:p>
      <w:pPr>
        <w:pStyle w:val="Übersicht"/>
        <w:ind w:left="680"/>
      </w:pPr>
      <w:hyperlink w:anchor="b273" w:history="1">
        <w:r>
          <w:rPr>
            <w:color w:val="0A3A8C"/>
            <w:u w:val="single"/>
          </w:rPr>
          <w:t xml:space="preserve">§ 153f Absehen von der Verfolgung bei Straftaten nach dem Völkerstrafgesetzbuch</w:t>
        </w:r>
      </w:hyperlink>
    </w:p>
    <w:p>
      <w:pPr>
        <w:pStyle w:val="Übersicht"/>
        <w:ind w:left="680"/>
      </w:pPr>
      <w:hyperlink w:anchor="b274" w:history="1">
        <w:r>
          <w:rPr>
            <w:color w:val="0A3A8C"/>
            <w:u w:val="single"/>
          </w:rPr>
          <w:t xml:space="preserve">§ 154 Teileinstellung bei mehreren Taten</w:t>
        </w:r>
      </w:hyperlink>
    </w:p>
    <w:p>
      <w:pPr>
        <w:pStyle w:val="Übersicht"/>
        <w:ind w:left="680"/>
      </w:pPr>
      <w:hyperlink w:anchor="b275" w:history="1">
        <w:r>
          <w:rPr>
            <w:color w:val="0A3A8C"/>
            <w:u w:val="single"/>
          </w:rPr>
          <w:t xml:space="preserve">§ 154a Beschränkung der Verfolgung</w:t>
        </w:r>
      </w:hyperlink>
    </w:p>
    <w:p>
      <w:pPr>
        <w:pStyle w:val="Übersicht"/>
        <w:ind w:left="680"/>
      </w:pPr>
      <w:hyperlink w:anchor="b276" w:history="1">
        <w:r>
          <w:rPr>
            <w:color w:val="0A3A8C"/>
            <w:u w:val="single"/>
          </w:rPr>
          <w:t xml:space="preserve">§ 154b Absehen von der Verfolgung bei Auslieferung und Ausweisung</w:t>
        </w:r>
      </w:hyperlink>
    </w:p>
    <w:p>
      <w:pPr>
        <w:pStyle w:val="Übersicht"/>
        <w:ind w:left="680"/>
      </w:pPr>
      <w:hyperlink w:anchor="b277" w:history="1">
        <w:r>
          <w:rPr>
            <w:color w:val="0A3A8C"/>
            <w:u w:val="single"/>
          </w:rPr>
          <w:t xml:space="preserve">§ 154c Absehen von der Verfolgung des Opfers einer Nötigung oder Erpressung</w:t>
        </w:r>
      </w:hyperlink>
    </w:p>
    <w:p>
      <w:pPr>
        <w:pStyle w:val="Übersicht"/>
        <w:ind w:left="680"/>
      </w:pPr>
      <w:hyperlink w:anchor="b278" w:history="1">
        <w:r>
          <w:rPr>
            <w:color w:val="0A3A8C"/>
            <w:u w:val="single"/>
          </w:rPr>
          <w:t xml:space="preserve">§ 154d Verfolgung bei zivil- oder verwaltungsrechtlicher Vorfrage</w:t>
        </w:r>
      </w:hyperlink>
    </w:p>
    <w:p>
      <w:pPr>
        <w:pStyle w:val="Übersicht"/>
        <w:ind w:left="680"/>
      </w:pPr>
      <w:hyperlink w:anchor="b279" w:history="1">
        <w:r>
          <w:rPr>
            <w:color w:val="0A3A8C"/>
            <w:u w:val="single"/>
          </w:rPr>
          <w:t xml:space="preserve">§ 154e Absehen von der Verfolgung bei falscher Verdächtigung oder Beleidigung</w:t>
        </w:r>
      </w:hyperlink>
    </w:p>
    <w:p>
      <w:pPr>
        <w:pStyle w:val="Übersicht"/>
        <w:ind w:left="680"/>
      </w:pPr>
      <w:hyperlink w:anchor="b280" w:history="1">
        <w:r>
          <w:rPr>
            <w:color w:val="0A3A8C"/>
            <w:u w:val="single"/>
          </w:rPr>
          <w:t xml:space="preserve">§ 154f Einstellung des Verfahrens bei vorübergehenden Hindernissen</w:t>
        </w:r>
      </w:hyperlink>
    </w:p>
    <w:p>
      <w:pPr>
        <w:pStyle w:val="Übersicht"/>
        <w:ind w:left="680"/>
      </w:pPr>
      <w:hyperlink w:anchor="b281" w:history="1">
        <w:r>
          <w:rPr>
            <w:color w:val="0A3A8C"/>
            <w:u w:val="single"/>
          </w:rPr>
          <w:t xml:space="preserve">§ 155 Umfang der gerichtlichen Untersuchung und Entscheidung</w:t>
        </w:r>
      </w:hyperlink>
    </w:p>
    <w:p>
      <w:pPr>
        <w:pStyle w:val="Übersicht"/>
        <w:ind w:left="680"/>
      </w:pPr>
      <w:hyperlink w:anchor="b282" w:history="1">
        <w:r>
          <w:rPr>
            <w:color w:val="0A3A8C"/>
            <w:u w:val="single"/>
          </w:rPr>
          <w:t xml:space="preserve">§ 155a Täter-Opfer-Ausgleich</w:t>
        </w:r>
      </w:hyperlink>
    </w:p>
    <w:p>
      <w:pPr>
        <w:pStyle w:val="Übersicht"/>
        <w:ind w:left="680"/>
      </w:pPr>
      <w:hyperlink w:anchor="b283" w:history="1">
        <w:r>
          <w:rPr>
            <w:color w:val="0A3A8C"/>
            <w:u w:val="single"/>
          </w:rPr>
          <w:t xml:space="preserve">§ 155b Durchführung des Täter-Opfer-Ausgleichs</w:t>
        </w:r>
      </w:hyperlink>
    </w:p>
    <w:p>
      <w:pPr>
        <w:pStyle w:val="Übersicht"/>
        <w:ind w:left="680"/>
      </w:pPr>
      <w:hyperlink w:anchor="b284" w:history="1">
        <w:r>
          <w:rPr>
            <w:color w:val="0A3A8C"/>
            <w:u w:val="single"/>
          </w:rPr>
          <w:t xml:space="preserve">§ 156 Anklagerücknahme</w:t>
        </w:r>
      </w:hyperlink>
    </w:p>
    <w:p>
      <w:pPr>
        <w:pStyle w:val="Übersicht"/>
        <w:ind w:left="680"/>
      </w:pPr>
      <w:hyperlink w:anchor="b285" w:history="1">
        <w:r>
          <w:rPr>
            <w:color w:val="0A3A8C"/>
            <w:u w:val="single"/>
          </w:rPr>
          <w:t xml:space="preserve">§ 157 Bezeichnung als Angeschuldigter oder Angeklagter</w:t>
        </w:r>
      </w:hyperlink>
    </w:p>
    <w:p>
      <w:pPr>
        <w:pStyle w:val="Übersicht"/>
        <w:ind w:left="340"/>
      </w:pPr>
      <w:hyperlink w:anchor="b286" w:history="1">
        <w:r>
          <w:rPr>
            <w:b/>
            <w:color w:val="0A3A8C"/>
            <w:u w:val="single"/>
          </w:rPr>
          <w:t xml:space="preserve">Zweiter Abschnitt Vorbereitung der öffentlichen Klage</w:t>
        </w:r>
      </w:hyperlink>
    </w:p>
    <w:p>
      <w:pPr>
        <w:pStyle w:val="Übersicht"/>
        <w:ind w:left="680"/>
      </w:pPr>
      <w:hyperlink w:anchor="b287" w:history="1">
        <w:r>
          <w:rPr>
            <w:color w:val="0A3A8C"/>
            <w:u w:val="single"/>
          </w:rPr>
          <w:t xml:space="preserve">§ 158 Strafanzeige; Strafantrag</w:t>
        </w:r>
      </w:hyperlink>
    </w:p>
    <w:p>
      <w:pPr>
        <w:pStyle w:val="Übersicht"/>
        <w:ind w:left="680"/>
      </w:pPr>
      <w:hyperlink w:anchor="b288" w:history="1">
        <w:r>
          <w:rPr>
            <w:color w:val="0A3A8C"/>
            <w:u w:val="single"/>
          </w:rPr>
          <w:t xml:space="preserve">§ 159 Anzeigepflicht bei Leichenfund und Verdacht auf unnatürlichen Tod</w:t>
        </w:r>
      </w:hyperlink>
    </w:p>
    <w:p>
      <w:pPr>
        <w:pStyle w:val="Übersicht"/>
        <w:ind w:left="680"/>
      </w:pPr>
      <w:hyperlink w:anchor="b289" w:history="1">
        <w:r>
          <w:rPr>
            <w:color w:val="0A3A8C"/>
            <w:u w:val="single"/>
          </w:rPr>
          <w:t xml:space="preserve">§ 160 Pflicht zur Sachverhaltsaufklärung</w:t>
        </w:r>
      </w:hyperlink>
    </w:p>
    <w:p>
      <w:pPr>
        <w:pStyle w:val="Übersicht"/>
        <w:ind w:left="680"/>
      </w:pPr>
      <w:hyperlink w:anchor="b290" w:history="1">
        <w:r>
          <w:rPr>
            <w:color w:val="0A3A8C"/>
            <w:u w:val="single"/>
          </w:rPr>
          <w:t xml:space="preserve">§ 160a Maßnahmen bei zeugnisverweigerungsberechtigten Berufsgeheimnisträgern</w:t>
        </w:r>
      </w:hyperlink>
    </w:p>
    <w:p>
      <w:pPr>
        <w:pStyle w:val="Übersicht"/>
        <w:ind w:left="680"/>
      </w:pPr>
      <w:hyperlink w:anchor="b291" w:history="1">
        <w:r>
          <w:rPr>
            <w:color w:val="0A3A8C"/>
            <w:u w:val="single"/>
          </w:rPr>
          <w:t xml:space="preserve">§ 160b Erörterung des Verfahrensstands mit den Verfahrensbeteiligten</w:t>
        </w:r>
      </w:hyperlink>
    </w:p>
    <w:p>
      <w:pPr>
        <w:pStyle w:val="Übersicht"/>
        <w:ind w:left="680"/>
      </w:pPr>
      <w:hyperlink w:anchor="b292" w:history="1">
        <w:r>
          <w:rPr>
            <w:color w:val="0A3A8C"/>
            <w:u w:val="single"/>
          </w:rPr>
          <w:t xml:space="preserve">§ 161 Allgemeine Ermittlungsbefugnis der Staatsanwaltschaft</w:t>
        </w:r>
      </w:hyperlink>
    </w:p>
    <w:p>
      <w:pPr>
        <w:pStyle w:val="Übersicht"/>
        <w:ind w:left="680"/>
      </w:pPr>
      <w:hyperlink w:anchor="b293" w:history="1">
        <w:r>
          <w:rPr>
            <w:color w:val="0A3A8C"/>
            <w:u w:val="single"/>
          </w:rPr>
          <w:t xml:space="preserve">§ 161a Vernehmung von Zeugen und Sachverständigen durch die Staatsanwaltschaft</w:t>
        </w:r>
      </w:hyperlink>
    </w:p>
    <w:p>
      <w:pPr>
        <w:pStyle w:val="Übersicht"/>
        <w:ind w:left="680"/>
      </w:pPr>
      <w:hyperlink w:anchor="b294" w:history="1">
        <w:r>
          <w:rPr>
            <w:color w:val="0A3A8C"/>
            <w:u w:val="single"/>
          </w:rPr>
          <w:t xml:space="preserve">§ 162 Ermittlungsrichter</w:t>
        </w:r>
      </w:hyperlink>
    </w:p>
    <w:p>
      <w:pPr>
        <w:pStyle w:val="Übersicht"/>
        <w:ind w:left="680"/>
      </w:pPr>
      <w:hyperlink w:anchor="b295" w:history="1">
        <w:r>
          <w:rPr>
            <w:color w:val="0A3A8C"/>
            <w:u w:val="single"/>
          </w:rPr>
          <w:t xml:space="preserve">§ 163 Aufgaben der Polizei im Ermittlungsverfahren</w:t>
        </w:r>
      </w:hyperlink>
    </w:p>
    <w:p>
      <w:pPr>
        <w:pStyle w:val="Übersicht"/>
        <w:ind w:left="680"/>
      </w:pPr>
      <w:hyperlink w:anchor="b296" w:history="1">
        <w:r>
          <w:rPr>
            <w:color w:val="0A3A8C"/>
            <w:u w:val="single"/>
          </w:rPr>
          <w:t xml:space="preserve">§ 163a Vernehmung des Beschuldigten</w:t>
        </w:r>
      </w:hyperlink>
    </w:p>
    <w:p>
      <w:pPr>
        <w:pStyle w:val="Übersicht"/>
        <w:ind w:left="680"/>
      </w:pPr>
      <w:hyperlink w:anchor="b297" w:history="1">
        <w:r>
          <w:rPr>
            <w:color w:val="0A3A8C"/>
            <w:u w:val="single"/>
          </w:rPr>
          <w:t xml:space="preserve">§ 163b Maßnahmen zur Identitätsfeststellung</w:t>
        </w:r>
      </w:hyperlink>
    </w:p>
    <w:p>
      <w:pPr>
        <w:pStyle w:val="Übersicht"/>
        <w:ind w:left="680"/>
      </w:pPr>
      <w:hyperlink w:anchor="b298" w:history="1">
        <w:r>
          <w:rPr>
            <w:color w:val="0A3A8C"/>
            <w:u w:val="single"/>
          </w:rPr>
          <w:t xml:space="preserve">§ 163c Freiheitsentziehung zur Identitätsfeststellung</w:t>
        </w:r>
      </w:hyperlink>
    </w:p>
    <w:p>
      <w:pPr>
        <w:pStyle w:val="Übersicht"/>
        <w:ind w:left="680"/>
      </w:pPr>
      <w:hyperlink w:anchor="b299" w:history="1">
        <w:r>
          <w:rPr>
            <w:color w:val="0A3A8C"/>
            <w:u w:val="single"/>
          </w:rPr>
          <w:t xml:space="preserve">§ 163d Speicherung und Abgleich von Daten aus Kontrollen</w:t>
        </w:r>
      </w:hyperlink>
    </w:p>
    <w:p>
      <w:pPr>
        <w:pStyle w:val="Übersicht"/>
        <w:ind w:left="680"/>
      </w:pPr>
      <w:hyperlink w:anchor="b300" w:history="1">
        <w:r>
          <w:rPr>
            <w:color w:val="0A3A8C"/>
            <w:u w:val="single"/>
          </w:rPr>
          <w:t xml:space="preserve">§ 163e Ausschreibung zur Beobachtung bei polizeilichen Kontrollen</w:t>
        </w:r>
      </w:hyperlink>
    </w:p>
    <w:p>
      <w:pPr>
        <w:pStyle w:val="Übersicht"/>
        <w:ind w:left="680"/>
      </w:pPr>
      <w:hyperlink w:anchor="b301" w:history="1">
        <w:r>
          <w:rPr>
            <w:color w:val="0A3A8C"/>
            <w:u w:val="single"/>
          </w:rPr>
          <w:t xml:space="preserve">§ 163f Längerfristige Observation</w:t>
        </w:r>
      </w:hyperlink>
    </w:p>
    <w:p>
      <w:pPr>
        <w:pStyle w:val="Übersicht"/>
        <w:ind w:left="680"/>
      </w:pPr>
      <w:hyperlink w:anchor="b302" w:history="1">
        <w:r>
          <w:rPr>
            <w:color w:val="0A3A8C"/>
            <w:u w:val="single"/>
          </w:rPr>
          <w:t xml:space="preserve">§ 163g Automatische Kennzeichenerfassung</w:t>
        </w:r>
      </w:hyperlink>
    </w:p>
    <w:p>
      <w:pPr>
        <w:pStyle w:val="Übersicht"/>
        <w:ind w:left="680"/>
      </w:pPr>
      <w:hyperlink w:anchor="b303" w:history="1">
        <w:r>
          <w:rPr>
            <w:color w:val="0A3A8C"/>
            <w:u w:val="single"/>
          </w:rPr>
          <w:t xml:space="preserve">§ 164 Festnahme von Störern</w:t>
        </w:r>
      </w:hyperlink>
    </w:p>
    <w:p>
      <w:pPr>
        <w:pStyle w:val="Übersicht"/>
        <w:ind w:left="680"/>
      </w:pPr>
      <w:hyperlink w:anchor="b304" w:history="1">
        <w:r>
          <w:rPr>
            <w:color w:val="0A3A8C"/>
            <w:u w:val="single"/>
          </w:rPr>
          <w:t xml:space="preserve">§ 165 Richterliche Untersuchungshandlungen bei Gefahr im Verzug</w:t>
        </w:r>
      </w:hyperlink>
    </w:p>
    <w:p>
      <w:pPr>
        <w:pStyle w:val="Übersicht"/>
        <w:ind w:left="680"/>
      </w:pPr>
      <w:hyperlink w:anchor="b305" w:history="1">
        <w:r>
          <w:rPr>
            <w:color w:val="0A3A8C"/>
            <w:u w:val="single"/>
          </w:rPr>
          <w:t xml:space="preserve">§ 166 Beweisanträge des Beschuldigten bei richterlichen Vernehmungen</w:t>
        </w:r>
      </w:hyperlink>
    </w:p>
    <w:p>
      <w:pPr>
        <w:pStyle w:val="Übersicht"/>
        <w:ind w:left="680"/>
      </w:pPr>
      <w:hyperlink w:anchor="b306" w:history="1">
        <w:r>
          <w:rPr>
            <w:color w:val="0A3A8C"/>
            <w:u w:val="single"/>
          </w:rPr>
          <w:t xml:space="preserve">§ 167 Weitere Verfügung der Staatsanwaltschaft</w:t>
        </w:r>
      </w:hyperlink>
    </w:p>
    <w:p>
      <w:pPr>
        <w:pStyle w:val="Übersicht"/>
        <w:ind w:left="680"/>
      </w:pPr>
      <w:hyperlink w:anchor="b307" w:history="1">
        <w:r>
          <w:rPr>
            <w:color w:val="0A3A8C"/>
            <w:u w:val="single"/>
          </w:rPr>
          <w:t xml:space="preserve">§ 168 Protokoll über richterliche Untersuchungshandlungen</w:t>
        </w:r>
      </w:hyperlink>
    </w:p>
    <w:p>
      <w:pPr>
        <w:pStyle w:val="Übersicht"/>
        <w:ind w:left="680"/>
      </w:pPr>
      <w:hyperlink w:anchor="b308" w:history="1">
        <w:r>
          <w:rPr>
            <w:color w:val="0A3A8C"/>
            <w:u w:val="single"/>
          </w:rPr>
          <w:t xml:space="preserve">§ 168a Art der Protokollierung; Aufzeichnungen</w:t>
        </w:r>
      </w:hyperlink>
    </w:p>
    <w:p>
      <w:pPr>
        <w:pStyle w:val="Übersicht"/>
        <w:ind w:left="680"/>
      </w:pPr>
      <w:hyperlink w:anchor="b309" w:history="1">
        <w:r>
          <w:rPr>
            <w:color w:val="0A3A8C"/>
            <w:u w:val="single"/>
          </w:rPr>
          <w:t xml:space="preserve">§ 168b Protokoll über ermittlungsbehördliche Untersuchungshandlungen</w:t>
        </w:r>
      </w:hyperlink>
    </w:p>
    <w:p>
      <w:pPr>
        <w:pStyle w:val="Übersicht"/>
        <w:ind w:left="680"/>
      </w:pPr>
      <w:hyperlink w:anchor="b310" w:history="1">
        <w:r>
          <w:rPr>
            <w:color w:val="0A3A8C"/>
            <w:u w:val="single"/>
          </w:rPr>
          <w:t xml:space="preserve">§ 168c Anwesenheitsrecht bei richterlichen Vernehmungen</w:t>
        </w:r>
      </w:hyperlink>
    </w:p>
    <w:p>
      <w:pPr>
        <w:pStyle w:val="Übersicht"/>
        <w:ind w:left="680"/>
      </w:pPr>
      <w:hyperlink w:anchor="b311" w:history="1">
        <w:r>
          <w:rPr>
            <w:color w:val="0A3A8C"/>
            <w:u w:val="single"/>
          </w:rPr>
          <w:t xml:space="preserve">§ 168d Anwesenheitsrecht bei Einnahme eines richterlichen Augenscheins</w:t>
        </w:r>
      </w:hyperlink>
    </w:p>
    <w:p>
      <w:pPr>
        <w:pStyle w:val="Übersicht"/>
        <w:ind w:left="680"/>
      </w:pPr>
      <w:hyperlink w:anchor="b312" w:history="1">
        <w:r>
          <w:rPr>
            <w:color w:val="0A3A8C"/>
            <w:u w:val="single"/>
          </w:rPr>
          <w:t xml:space="preserve">§ 168e Vernehmung von Zeugen getrennt von Anwesenheitsberechtigten</w:t>
        </w:r>
      </w:hyperlink>
    </w:p>
    <w:p>
      <w:pPr>
        <w:pStyle w:val="Übersicht"/>
        <w:ind w:left="680"/>
      </w:pPr>
      <w:hyperlink w:anchor="b313" w:history="1">
        <w:r>
          <w:rPr>
            <w:color w:val="0A3A8C"/>
            <w:u w:val="single"/>
          </w:rPr>
          <w:t xml:space="preserve">§ 169 Ermittlungsrichter des Oberlandesgerichts und des Bundesgerichtshofes</w:t>
        </w:r>
      </w:hyperlink>
    </w:p>
    <w:p>
      <w:pPr>
        <w:pStyle w:val="Übersicht"/>
        <w:ind w:left="680"/>
      </w:pPr>
      <w:hyperlink w:anchor="b314" w:history="1">
        <w:r>
          <w:rPr>
            <w:color w:val="0A3A8C"/>
            <w:u w:val="single"/>
          </w:rPr>
          <w:t xml:space="preserve">§ 169a Vermerk über den Abschluss der Ermittlungen</w:t>
        </w:r>
      </w:hyperlink>
    </w:p>
    <w:p>
      <w:pPr>
        <w:pStyle w:val="Übersicht"/>
        <w:ind w:left="680"/>
      </w:pPr>
      <w:hyperlink w:anchor="b315" w:history="1">
        <w:r>
          <w:rPr>
            <w:color w:val="0A3A8C"/>
            <w:u w:val="single"/>
          </w:rPr>
          <w:t xml:space="preserve">§ 170 Entscheidung über eine Anklageerhebung</w:t>
        </w:r>
      </w:hyperlink>
    </w:p>
    <w:p>
      <w:pPr>
        <w:pStyle w:val="Übersicht"/>
        <w:ind w:left="680"/>
      </w:pPr>
      <w:hyperlink w:anchor="b316" w:history="1">
        <w:r>
          <w:rPr>
            <w:color w:val="0A3A8C"/>
            <w:u w:val="single"/>
          </w:rPr>
          <w:t xml:space="preserve">§ 171 Einstellungsbescheid</w:t>
        </w:r>
      </w:hyperlink>
    </w:p>
    <w:p>
      <w:pPr>
        <w:pStyle w:val="Übersicht"/>
        <w:ind w:left="680"/>
      </w:pPr>
      <w:hyperlink w:anchor="b317" w:history="1">
        <w:r>
          <w:rPr>
            <w:color w:val="0A3A8C"/>
            <w:u w:val="single"/>
          </w:rPr>
          <w:t xml:space="preserve">§ 172 Beschwerde des Verletzten; Klageerzwingungsverfahren</w:t>
        </w:r>
      </w:hyperlink>
    </w:p>
    <w:p>
      <w:pPr>
        <w:pStyle w:val="Übersicht"/>
        <w:ind w:left="680"/>
      </w:pPr>
      <w:hyperlink w:anchor="b318" w:history="1">
        <w:r>
          <w:rPr>
            <w:color w:val="0A3A8C"/>
            <w:u w:val="single"/>
          </w:rPr>
          <w:t xml:space="preserve">§ 173 Verfahren des Gerichts nach Antragstellung</w:t>
        </w:r>
      </w:hyperlink>
    </w:p>
    <w:p>
      <w:pPr>
        <w:pStyle w:val="Übersicht"/>
        <w:ind w:left="680"/>
      </w:pPr>
      <w:hyperlink w:anchor="b319" w:history="1">
        <w:r>
          <w:rPr>
            <w:color w:val="0A3A8C"/>
            <w:u w:val="single"/>
          </w:rPr>
          <w:t xml:space="preserve">§ 174 Verwerfung des Antrags</w:t>
        </w:r>
      </w:hyperlink>
    </w:p>
    <w:p>
      <w:pPr>
        <w:pStyle w:val="Übersicht"/>
        <w:ind w:left="680"/>
      </w:pPr>
      <w:hyperlink w:anchor="b320" w:history="1">
        <w:r>
          <w:rPr>
            <w:color w:val="0A3A8C"/>
            <w:u w:val="single"/>
          </w:rPr>
          <w:t xml:space="preserve">§ 175 Anordnung der Anklageerhebung</w:t>
        </w:r>
      </w:hyperlink>
    </w:p>
    <w:p>
      <w:pPr>
        <w:pStyle w:val="Übersicht"/>
        <w:ind w:left="680"/>
      </w:pPr>
      <w:hyperlink w:anchor="b321" w:history="1">
        <w:r>
          <w:rPr>
            <w:color w:val="0A3A8C"/>
            <w:u w:val="single"/>
          </w:rPr>
          <w:t xml:space="preserve">§ 176 Sicherheitsleistung durch den Antragsteller</w:t>
        </w:r>
      </w:hyperlink>
    </w:p>
    <w:p>
      <w:pPr>
        <w:pStyle w:val="Übersicht"/>
        <w:ind w:left="680"/>
      </w:pPr>
      <w:hyperlink w:anchor="b322" w:history="1">
        <w:r>
          <w:rPr>
            <w:color w:val="0A3A8C"/>
            <w:u w:val="single"/>
          </w:rPr>
          <w:t xml:space="preserve">§ 177 Kosten</w:t>
        </w:r>
      </w:hyperlink>
    </w:p>
    <w:p>
      <w:pPr>
        <w:pStyle w:val="Übersicht"/>
        <w:ind w:left="340"/>
      </w:pPr>
      <w:hyperlink w:anchor="b323" w:history="1">
        <w:r>
          <w:rPr>
            <w:b/>
            <w:color w:val="0A3A8C"/>
            <w:u w:val="single"/>
          </w:rPr>
          <w:t xml:space="preserve">Dritter Abschnitt (weggefallen)</w:t>
        </w:r>
      </w:hyperlink>
    </w:p>
    <w:p>
      <w:pPr>
        <w:pStyle w:val="Übersicht"/>
        <w:ind w:left="340"/>
      </w:pPr>
      <w:hyperlink w:anchor="b324" w:history="1">
        <w:r>
          <w:rPr>
            <w:b/>
            <w:color w:val="0A3A8C"/>
            <w:u w:val="single"/>
          </w:rPr>
          <w:t xml:space="preserve">Vierter Abschnitt Entscheidung über die Eröffnung des Hauptverfahrens</w:t>
        </w:r>
      </w:hyperlink>
    </w:p>
    <w:p>
      <w:pPr>
        <w:pStyle w:val="Übersicht"/>
        <w:ind w:left="680"/>
      </w:pPr>
      <w:hyperlink w:anchor="b325" w:history="1">
        <w:r>
          <w:rPr>
            <w:color w:val="0A3A8C"/>
            <w:u w:val="single"/>
          </w:rPr>
          <w:t xml:space="preserve">§ 198 (weggefallen)</w:t>
        </w:r>
      </w:hyperlink>
    </w:p>
    <w:p>
      <w:pPr>
        <w:pStyle w:val="Übersicht"/>
        <w:ind w:left="680"/>
      </w:pPr>
      <w:hyperlink w:anchor="b326" w:history="1">
        <w:r>
          <w:rPr>
            <w:color w:val="0A3A8C"/>
            <w:u w:val="single"/>
          </w:rPr>
          <w:t xml:space="preserve">§ 199 Entscheidung über die Eröffnung des Hauptverfahrens</w:t>
        </w:r>
      </w:hyperlink>
    </w:p>
    <w:p>
      <w:pPr>
        <w:pStyle w:val="Übersicht"/>
        <w:ind w:left="680"/>
      </w:pPr>
      <w:hyperlink w:anchor="b327" w:history="1">
        <w:r>
          <w:rPr>
            <w:color w:val="0A3A8C"/>
            <w:u w:val="single"/>
          </w:rPr>
          <w:t xml:space="preserve">§ 200 Inhalt der Anklageschrift</w:t>
        </w:r>
      </w:hyperlink>
    </w:p>
    <w:p>
      <w:pPr>
        <w:pStyle w:val="Übersicht"/>
        <w:ind w:left="680"/>
      </w:pPr>
      <w:hyperlink w:anchor="b328" w:history="1">
        <w:r>
          <w:rPr>
            <w:color w:val="0A3A8C"/>
            <w:u w:val="single"/>
          </w:rPr>
          <w:t xml:space="preserve">§ 201 Übermittlung der Anklageschrift</w:t>
        </w:r>
      </w:hyperlink>
    </w:p>
    <w:p>
      <w:pPr>
        <w:pStyle w:val="Übersicht"/>
        <w:ind w:left="680"/>
      </w:pPr>
      <w:hyperlink w:anchor="b329" w:history="1">
        <w:r>
          <w:rPr>
            <w:color w:val="0A3A8C"/>
            <w:u w:val="single"/>
          </w:rPr>
          <w:t xml:space="preserve">§ 202 Anordnung ergänzender Beweiserhebungen</w:t>
        </w:r>
      </w:hyperlink>
    </w:p>
    <w:p>
      <w:pPr>
        <w:pStyle w:val="Übersicht"/>
        <w:ind w:left="680"/>
      </w:pPr>
      <w:hyperlink w:anchor="b330" w:history="1">
        <w:r>
          <w:rPr>
            <w:color w:val="0A3A8C"/>
            <w:u w:val="single"/>
          </w:rPr>
          <w:t xml:space="preserve">§ 202a Erörterung des Verfahrensstands mit den Verfahrensbeteiligten</w:t>
        </w:r>
      </w:hyperlink>
    </w:p>
    <w:p>
      <w:pPr>
        <w:pStyle w:val="Übersicht"/>
        <w:ind w:left="680"/>
      </w:pPr>
      <w:hyperlink w:anchor="b331" w:history="1">
        <w:r>
          <w:rPr>
            <w:color w:val="0A3A8C"/>
            <w:u w:val="single"/>
          </w:rPr>
          <w:t xml:space="preserve">§ 203 Eröffnungsbeschluss</w:t>
        </w:r>
      </w:hyperlink>
    </w:p>
    <w:p>
      <w:pPr>
        <w:pStyle w:val="Übersicht"/>
        <w:ind w:left="680"/>
      </w:pPr>
      <w:hyperlink w:anchor="b332" w:history="1">
        <w:r>
          <w:rPr>
            <w:color w:val="0A3A8C"/>
            <w:u w:val="single"/>
          </w:rPr>
          <w:t xml:space="preserve">§ 204 Nichteröffnungsbeschluss</w:t>
        </w:r>
      </w:hyperlink>
    </w:p>
    <w:p>
      <w:pPr>
        <w:pStyle w:val="Übersicht"/>
        <w:ind w:left="680"/>
      </w:pPr>
      <w:hyperlink w:anchor="b333" w:history="1">
        <w:r>
          <w:rPr>
            <w:color w:val="0A3A8C"/>
            <w:u w:val="single"/>
          </w:rPr>
          <w:t xml:space="preserve">§ 205 Einstellung des Verfahrens bei vorübergehenden Hindernissen</w:t>
        </w:r>
      </w:hyperlink>
    </w:p>
    <w:p>
      <w:pPr>
        <w:pStyle w:val="Übersicht"/>
        <w:ind w:left="680"/>
      </w:pPr>
      <w:hyperlink w:anchor="b334" w:history="1">
        <w:r>
          <w:rPr>
            <w:color w:val="0A3A8C"/>
            <w:u w:val="single"/>
          </w:rPr>
          <w:t xml:space="preserve">§ 206 Keine Bindung an Anträge</w:t>
        </w:r>
      </w:hyperlink>
    </w:p>
    <w:p>
      <w:pPr>
        <w:pStyle w:val="Übersicht"/>
        <w:ind w:left="680"/>
      </w:pPr>
      <w:hyperlink w:anchor="b335" w:history="1">
        <w:r>
          <w:rPr>
            <w:color w:val="0A3A8C"/>
            <w:u w:val="single"/>
          </w:rPr>
          <w:t xml:space="preserve">§ 206a Einstellung des Verfahrens bei Verfahrenshindernis</w:t>
        </w:r>
      </w:hyperlink>
    </w:p>
    <w:p>
      <w:pPr>
        <w:pStyle w:val="Übersicht"/>
        <w:ind w:left="680"/>
      </w:pPr>
      <w:hyperlink w:anchor="b336" w:history="1">
        <w:r>
          <w:rPr>
            <w:color w:val="0A3A8C"/>
            <w:u w:val="single"/>
          </w:rPr>
          <w:t xml:space="preserve">§ 206b Einstellung des Verfahrens wegen Gesetzesänderung</w:t>
        </w:r>
      </w:hyperlink>
    </w:p>
    <w:p>
      <w:pPr>
        <w:pStyle w:val="Übersicht"/>
        <w:ind w:left="680"/>
      </w:pPr>
      <w:hyperlink w:anchor="b337" w:history="1">
        <w:r>
          <w:rPr>
            <w:color w:val="0A3A8C"/>
            <w:u w:val="single"/>
          </w:rPr>
          <w:t xml:space="preserve">§ 207 Inhalt des Eröffnungsbeschlusses</w:t>
        </w:r>
      </w:hyperlink>
    </w:p>
    <w:p>
      <w:pPr>
        <w:pStyle w:val="Übersicht"/>
        <w:ind w:left="680"/>
      </w:pPr>
      <w:hyperlink w:anchor="b338" w:history="1">
        <w:r>
          <w:rPr>
            <w:color w:val="0A3A8C"/>
            <w:u w:val="single"/>
          </w:rPr>
          <w:t xml:space="preserve">§ 208 (weggefallen)</w:t>
        </w:r>
      </w:hyperlink>
    </w:p>
    <w:p>
      <w:pPr>
        <w:pStyle w:val="Übersicht"/>
        <w:ind w:left="680"/>
      </w:pPr>
      <w:hyperlink w:anchor="b339" w:history="1">
        <w:r>
          <w:rPr>
            <w:color w:val="0A3A8C"/>
            <w:u w:val="single"/>
          </w:rPr>
          <w:t xml:space="preserve">§ 209 Eröffnungszuständigkeit</w:t>
        </w:r>
      </w:hyperlink>
    </w:p>
    <w:p>
      <w:pPr>
        <w:pStyle w:val="Übersicht"/>
        <w:ind w:left="680"/>
      </w:pPr>
      <w:hyperlink w:anchor="b340" w:history="1">
        <w:r>
          <w:rPr>
            <w:color w:val="0A3A8C"/>
            <w:u w:val="single"/>
          </w:rPr>
          <w:t xml:space="preserve">§ 209a Besondere funktionelle Zuständigkeiten</w:t>
        </w:r>
      </w:hyperlink>
    </w:p>
    <w:p>
      <w:pPr>
        <w:pStyle w:val="Übersicht"/>
        <w:ind w:left="680"/>
      </w:pPr>
      <w:hyperlink w:anchor="b341" w:history="1">
        <w:r>
          <w:rPr>
            <w:color w:val="0A3A8C"/>
            <w:u w:val="single"/>
          </w:rPr>
          <w:t xml:space="preserve">§ 210 Rechtsmittel gegen den Eröffnungs- oder Ablehnungsbeschluss</w:t>
        </w:r>
      </w:hyperlink>
    </w:p>
    <w:p>
      <w:pPr>
        <w:pStyle w:val="Übersicht"/>
        <w:ind w:left="680"/>
      </w:pPr>
      <w:hyperlink w:anchor="b342" w:history="1">
        <w:r>
          <w:rPr>
            <w:color w:val="0A3A8C"/>
            <w:u w:val="single"/>
          </w:rPr>
          <w:t xml:space="preserve">§ 211 Wiederaufnahme nach Ablehnungsbeschluss</w:t>
        </w:r>
      </w:hyperlink>
    </w:p>
    <w:p>
      <w:pPr>
        <w:pStyle w:val="Übersicht"/>
        <w:ind w:left="340"/>
      </w:pPr>
      <w:hyperlink w:anchor="b343" w:history="1">
        <w:r>
          <w:rPr>
            <w:b/>
            <w:color w:val="0A3A8C"/>
            <w:u w:val="single"/>
          </w:rPr>
          <w:t xml:space="preserve">Fünfter Abschnitt Vorbereitung der Hauptverhandlung</w:t>
        </w:r>
      </w:hyperlink>
    </w:p>
    <w:p>
      <w:pPr>
        <w:pStyle w:val="Übersicht"/>
        <w:ind w:left="680"/>
      </w:pPr>
      <w:hyperlink w:anchor="b344" w:history="1">
        <w:r>
          <w:rPr>
            <w:color w:val="0A3A8C"/>
            <w:u w:val="single"/>
          </w:rPr>
          <w:t xml:space="preserve">§ 212 Erörterung des Verfahrensstands mit den Verfahrensbeteiligten</w:t>
        </w:r>
      </w:hyperlink>
    </w:p>
    <w:p>
      <w:pPr>
        <w:pStyle w:val="Übersicht"/>
        <w:ind w:left="680"/>
      </w:pPr>
      <w:hyperlink w:anchor="b345" w:history="1">
        <w:r>
          <w:rPr>
            <w:color w:val="0A3A8C"/>
            <w:u w:val="single"/>
          </w:rPr>
          <w:t xml:space="preserve">§ 213 Bestimmung eines Termins zur Hauptverhandlung</w:t>
        </w:r>
      </w:hyperlink>
    </w:p>
    <w:p>
      <w:pPr>
        <w:pStyle w:val="Übersicht"/>
        <w:ind w:left="680"/>
      </w:pPr>
      <w:hyperlink w:anchor="b346" w:history="1">
        <w:r>
          <w:rPr>
            <w:color w:val="0A3A8C"/>
            <w:u w:val="single"/>
          </w:rPr>
          <w:t xml:space="preserve">§ 214 Ladungen durch den Vorsitzenden; Herbeischaffung der Beweismittel</w:t>
        </w:r>
      </w:hyperlink>
    </w:p>
    <w:p>
      <w:pPr>
        <w:pStyle w:val="Übersicht"/>
        <w:ind w:left="680"/>
      </w:pPr>
      <w:hyperlink w:anchor="b347" w:history="1">
        <w:r>
          <w:rPr>
            <w:color w:val="0A3A8C"/>
            <w:u w:val="single"/>
          </w:rPr>
          <w:t xml:space="preserve">§ 215 Zustellung des Eröffnungsbeschlusses</w:t>
        </w:r>
      </w:hyperlink>
    </w:p>
    <w:p>
      <w:pPr>
        <w:pStyle w:val="Übersicht"/>
        <w:ind w:left="680"/>
      </w:pPr>
      <w:hyperlink w:anchor="b348" w:history="1">
        <w:r>
          <w:rPr>
            <w:color w:val="0A3A8C"/>
            <w:u w:val="single"/>
          </w:rPr>
          <w:t xml:space="preserve">§ 216 Ladung des Angeklagten</w:t>
        </w:r>
      </w:hyperlink>
    </w:p>
    <w:p>
      <w:pPr>
        <w:pStyle w:val="Übersicht"/>
        <w:ind w:left="680"/>
      </w:pPr>
      <w:hyperlink w:anchor="b349" w:history="1">
        <w:r>
          <w:rPr>
            <w:color w:val="0A3A8C"/>
            <w:u w:val="single"/>
          </w:rPr>
          <w:t xml:space="preserve">§ 217 Ladungsfrist</w:t>
        </w:r>
      </w:hyperlink>
    </w:p>
    <w:p>
      <w:pPr>
        <w:pStyle w:val="Übersicht"/>
        <w:ind w:left="680"/>
      </w:pPr>
      <w:hyperlink w:anchor="b350" w:history="1">
        <w:r>
          <w:rPr>
            <w:color w:val="0A3A8C"/>
            <w:u w:val="single"/>
          </w:rPr>
          <w:t xml:space="preserve">§ 218 Ladung des Verteidigers</w:t>
        </w:r>
      </w:hyperlink>
    </w:p>
    <w:p>
      <w:pPr>
        <w:pStyle w:val="Übersicht"/>
        <w:ind w:left="680"/>
      </w:pPr>
      <w:hyperlink w:anchor="b351" w:history="1">
        <w:r>
          <w:rPr>
            <w:color w:val="0A3A8C"/>
            <w:u w:val="single"/>
          </w:rPr>
          <w:t xml:space="preserve">§ 219 Beweisanträge des Angeklagten</w:t>
        </w:r>
      </w:hyperlink>
    </w:p>
    <w:p>
      <w:pPr>
        <w:pStyle w:val="Übersicht"/>
        <w:ind w:left="680"/>
      </w:pPr>
      <w:hyperlink w:anchor="b352" w:history="1">
        <w:r>
          <w:rPr>
            <w:color w:val="0A3A8C"/>
            <w:u w:val="single"/>
          </w:rPr>
          <w:t xml:space="preserve">§ 220 Unmittelbare Ladung durch den Angeklagten</w:t>
        </w:r>
      </w:hyperlink>
    </w:p>
    <w:p>
      <w:pPr>
        <w:pStyle w:val="Übersicht"/>
        <w:ind w:left="680"/>
      </w:pPr>
      <w:hyperlink w:anchor="b353" w:history="1">
        <w:r>
          <w:rPr>
            <w:color w:val="0A3A8C"/>
            <w:u w:val="single"/>
          </w:rPr>
          <w:t xml:space="preserve">§ 221 Herbeischaffung von Beweismitteln von Amts wegen</w:t>
        </w:r>
      </w:hyperlink>
    </w:p>
    <w:p>
      <w:pPr>
        <w:pStyle w:val="Übersicht"/>
        <w:ind w:left="680"/>
      </w:pPr>
      <w:hyperlink w:anchor="b354" w:history="1">
        <w:r>
          <w:rPr>
            <w:color w:val="0A3A8C"/>
            <w:u w:val="single"/>
          </w:rPr>
          <w:t xml:space="preserve">§ 222 Namhaftmachung von Zeugen und Sachverständigen</w:t>
        </w:r>
      </w:hyperlink>
    </w:p>
    <w:p>
      <w:pPr>
        <w:pStyle w:val="Übersicht"/>
        <w:ind w:left="680"/>
      </w:pPr>
      <w:hyperlink w:anchor="b355" w:history="1">
        <w:r>
          <w:rPr>
            <w:color w:val="0A3A8C"/>
            <w:u w:val="single"/>
          </w:rPr>
          <w:t xml:space="preserve">§ 222a Mitteilung der Besetzung des Gerichts</w:t>
        </w:r>
      </w:hyperlink>
    </w:p>
    <w:p>
      <w:pPr>
        <w:pStyle w:val="Übersicht"/>
        <w:ind w:left="680"/>
      </w:pPr>
      <w:hyperlink w:anchor="b356" w:history="1">
        <w:r>
          <w:rPr>
            <w:color w:val="0A3A8C"/>
            <w:u w:val="single"/>
          </w:rPr>
          <w:t xml:space="preserve">§ 222b Besetzungseinwand</w:t>
        </w:r>
      </w:hyperlink>
    </w:p>
    <w:p>
      <w:pPr>
        <w:pStyle w:val="Übersicht"/>
        <w:ind w:left="680"/>
      </w:pPr>
      <w:hyperlink w:anchor="b357" w:history="1">
        <w:r>
          <w:rPr>
            <w:color w:val="0A3A8C"/>
            <w:u w:val="single"/>
          </w:rPr>
          <w:t xml:space="preserve">§ 223 Vernehmungen durch beauftragte oder ersuchte Richter</w:t>
        </w:r>
      </w:hyperlink>
    </w:p>
    <w:p>
      <w:pPr>
        <w:pStyle w:val="Übersicht"/>
        <w:ind w:left="680"/>
      </w:pPr>
      <w:hyperlink w:anchor="b358" w:history="1">
        <w:r>
          <w:rPr>
            <w:color w:val="0A3A8C"/>
            <w:u w:val="single"/>
          </w:rPr>
          <w:t xml:space="preserve">§ 224 Benachrichtigung der Beteiligten über den Termin</w:t>
        </w:r>
      </w:hyperlink>
    </w:p>
    <w:p>
      <w:pPr>
        <w:pStyle w:val="Übersicht"/>
        <w:ind w:left="680"/>
      </w:pPr>
      <w:hyperlink w:anchor="b359" w:history="1">
        <w:r>
          <w:rPr>
            <w:color w:val="0A3A8C"/>
            <w:u w:val="single"/>
          </w:rPr>
          <w:t xml:space="preserve">§ 225 Einnahme des richterlichen Augenscheins durch beauftragte oder ersuchte Richter</w:t>
        </w:r>
      </w:hyperlink>
    </w:p>
    <w:p>
      <w:pPr>
        <w:pStyle w:val="Übersicht"/>
        <w:ind w:left="680"/>
      </w:pPr>
      <w:hyperlink w:anchor="b360" w:history="1">
        <w:r>
          <w:rPr>
            <w:color w:val="0A3A8C"/>
            <w:u w:val="single"/>
          </w:rPr>
          <w:t xml:space="preserve">§ 225a Zuständigkeitsänderung vor der Hauptverhandlung</w:t>
        </w:r>
      </w:hyperlink>
    </w:p>
    <w:p>
      <w:pPr>
        <w:pStyle w:val="Übersicht"/>
        <w:ind w:left="340"/>
      </w:pPr>
      <w:hyperlink w:anchor="b361" w:history="1">
        <w:r>
          <w:rPr>
            <w:b/>
            <w:color w:val="0A3A8C"/>
            <w:u w:val="single"/>
          </w:rPr>
          <w:t xml:space="preserve">Sechster Abschnitt Hauptverhandlung</w:t>
        </w:r>
      </w:hyperlink>
    </w:p>
    <w:p>
      <w:pPr>
        <w:pStyle w:val="Übersicht"/>
        <w:ind w:left="680"/>
      </w:pPr>
      <w:hyperlink w:anchor="b362" w:history="1">
        <w:r>
          <w:rPr>
            <w:color w:val="0A3A8C"/>
            <w:u w:val="single"/>
          </w:rPr>
          <w:t xml:space="preserve">§ 226 Ununterbrochene Gegenwart</w:t>
        </w:r>
      </w:hyperlink>
    </w:p>
    <w:p>
      <w:pPr>
        <w:pStyle w:val="Übersicht"/>
        <w:ind w:left="680"/>
      </w:pPr>
      <w:hyperlink w:anchor="b363" w:history="1">
        <w:r>
          <w:rPr>
            <w:color w:val="0A3A8C"/>
            <w:u w:val="single"/>
          </w:rPr>
          <w:t xml:space="preserve">§ 227 Mehrere Staatsanwälte und Verteidiger</w:t>
        </w:r>
      </w:hyperlink>
    </w:p>
    <w:p>
      <w:pPr>
        <w:pStyle w:val="Übersicht"/>
        <w:ind w:left="680"/>
      </w:pPr>
      <w:hyperlink w:anchor="b364" w:history="1">
        <w:r>
          <w:rPr>
            <w:color w:val="0A3A8C"/>
            <w:u w:val="single"/>
          </w:rPr>
          <w:t xml:space="preserve">§ 228 Aussetzung und Unterbrechung</w:t>
        </w:r>
      </w:hyperlink>
    </w:p>
    <w:p>
      <w:pPr>
        <w:pStyle w:val="Übersicht"/>
        <w:ind w:left="680"/>
      </w:pPr>
      <w:hyperlink w:anchor="b365" w:history="1">
        <w:r>
          <w:rPr>
            <w:color w:val="0A3A8C"/>
            <w:u w:val="single"/>
          </w:rPr>
          <w:t xml:space="preserve">§ 229 Höchstdauer einer Unterbrechung</w:t>
        </w:r>
      </w:hyperlink>
    </w:p>
    <w:p>
      <w:pPr>
        <w:pStyle w:val="Übersicht"/>
        <w:ind w:left="680"/>
      </w:pPr>
      <w:hyperlink w:anchor="b366" w:history="1">
        <w:r>
          <w:rPr>
            <w:color w:val="0A3A8C"/>
            <w:u w:val="single"/>
          </w:rPr>
          <w:t xml:space="preserve">§ 230 Ausbleiben des Angeklagten</w:t>
        </w:r>
      </w:hyperlink>
    </w:p>
    <w:p>
      <w:pPr>
        <w:pStyle w:val="Übersicht"/>
        <w:ind w:left="680"/>
      </w:pPr>
      <w:hyperlink w:anchor="b367" w:history="1">
        <w:r>
          <w:rPr>
            <w:color w:val="0A3A8C"/>
            <w:u w:val="single"/>
          </w:rPr>
          <w:t xml:space="preserve">§ 231 Anwesenheitspflicht des Angeklagten</w:t>
        </w:r>
      </w:hyperlink>
    </w:p>
    <w:p>
      <w:pPr>
        <w:pStyle w:val="Übersicht"/>
        <w:ind w:left="680"/>
      </w:pPr>
      <w:hyperlink w:anchor="b368" w:history="1">
        <w:r>
          <w:rPr>
            <w:color w:val="0A3A8C"/>
            <w:u w:val="single"/>
          </w:rPr>
          <w:t xml:space="preserve">§ 231a Herbeiführung der Verhandlungsunfähigkeit durch den Angeklagten</w:t>
        </w:r>
      </w:hyperlink>
    </w:p>
    <w:p>
      <w:pPr>
        <w:pStyle w:val="Übersicht"/>
        <w:ind w:left="680"/>
      </w:pPr>
      <w:hyperlink w:anchor="b369" w:history="1">
        <w:r>
          <w:rPr>
            <w:color w:val="0A3A8C"/>
            <w:u w:val="single"/>
          </w:rPr>
          <w:t xml:space="preserve">§ 231b Fortsetzung nach Entfernung des Angeklagten zur Aufrechterhaltung der Ordnung</w:t>
        </w:r>
      </w:hyperlink>
    </w:p>
    <w:p>
      <w:pPr>
        <w:pStyle w:val="Übersicht"/>
        <w:ind w:left="680"/>
      </w:pPr>
      <w:hyperlink w:anchor="b370" w:history="1">
        <w:r>
          <w:rPr>
            <w:color w:val="0A3A8C"/>
            <w:u w:val="single"/>
          </w:rPr>
          <w:t xml:space="preserve">§ 231c Beurlaubung einzelner Angeklagter und ihrer Pflichtverteidiger</w:t>
        </w:r>
      </w:hyperlink>
    </w:p>
    <w:p>
      <w:pPr>
        <w:pStyle w:val="Übersicht"/>
        <w:ind w:left="680"/>
      </w:pPr>
      <w:hyperlink w:anchor="b371" w:history="1">
        <w:r>
          <w:rPr>
            <w:color w:val="0A3A8C"/>
            <w:u w:val="single"/>
          </w:rPr>
          <w:t xml:space="preserve">§ 232 Durchführung der Hauptverhandlung trotz Ausbleibens des Angeklagten</w:t>
        </w:r>
      </w:hyperlink>
    </w:p>
    <w:p>
      <w:pPr>
        <w:pStyle w:val="Übersicht"/>
        <w:ind w:left="680"/>
      </w:pPr>
      <w:hyperlink w:anchor="b372" w:history="1">
        <w:r>
          <w:rPr>
            <w:color w:val="0A3A8C"/>
            <w:u w:val="single"/>
          </w:rPr>
          <w:t xml:space="preserve">§ 233 Entbindung des Angeklagten von der Pflicht zum Erscheinen</w:t>
        </w:r>
      </w:hyperlink>
    </w:p>
    <w:p>
      <w:pPr>
        <w:pStyle w:val="Übersicht"/>
        <w:ind w:left="680"/>
      </w:pPr>
      <w:hyperlink w:anchor="b373" w:history="1">
        <w:r>
          <w:rPr>
            <w:color w:val="0A3A8C"/>
            <w:u w:val="single"/>
          </w:rPr>
          <w:t xml:space="preserve">§ 234 Vertretung des abwesenden Angeklagten</w:t>
        </w:r>
      </w:hyperlink>
    </w:p>
    <w:p>
      <w:pPr>
        <w:pStyle w:val="Übersicht"/>
        <w:ind w:left="680"/>
      </w:pPr>
      <w:hyperlink w:anchor="b374" w:history="1">
        <w:r>
          <w:rPr>
            <w:color w:val="0A3A8C"/>
            <w:u w:val="single"/>
          </w:rPr>
          <w:t xml:space="preserve">§ 234a Befugnisse des Verteidigers bei Vertretung des abwesenden Angeklagten</w:t>
        </w:r>
      </w:hyperlink>
    </w:p>
    <w:p>
      <w:pPr>
        <w:pStyle w:val="Übersicht"/>
        <w:ind w:left="680"/>
      </w:pPr>
      <w:hyperlink w:anchor="b375" w:history="1">
        <w:r>
          <w:rPr>
            <w:color w:val="0A3A8C"/>
            <w:u w:val="single"/>
          </w:rPr>
          <w:t xml:space="preserve">§ 235 Wiedereinsetzung in den vorigen Stand bei Verhandlung ohne den Angeklagten</w:t>
        </w:r>
      </w:hyperlink>
    </w:p>
    <w:p>
      <w:pPr>
        <w:pStyle w:val="Übersicht"/>
        <w:ind w:left="680"/>
      </w:pPr>
      <w:hyperlink w:anchor="b376" w:history="1">
        <w:r>
          <w:rPr>
            <w:color w:val="0A3A8C"/>
            <w:u w:val="single"/>
          </w:rPr>
          <w:t xml:space="preserve">§ 236 Anordnung des persönlichen Erscheinens des Angeklagten</w:t>
        </w:r>
      </w:hyperlink>
    </w:p>
    <w:p>
      <w:pPr>
        <w:pStyle w:val="Übersicht"/>
        <w:ind w:left="680"/>
      </w:pPr>
      <w:hyperlink w:anchor="b377" w:history="1">
        <w:r>
          <w:rPr>
            <w:color w:val="0A3A8C"/>
            <w:u w:val="single"/>
          </w:rPr>
          <w:t xml:space="preserve">§ 237 Verbindung mehrerer Strafsachen</w:t>
        </w:r>
      </w:hyperlink>
    </w:p>
    <w:p>
      <w:pPr>
        <w:pStyle w:val="Übersicht"/>
        <w:ind w:left="680"/>
      </w:pPr>
      <w:hyperlink w:anchor="b378" w:history="1">
        <w:r>
          <w:rPr>
            <w:color w:val="0A3A8C"/>
            <w:u w:val="single"/>
          </w:rPr>
          <w:t xml:space="preserve">§ 238 Verhandlungsleitung</w:t>
        </w:r>
      </w:hyperlink>
    </w:p>
    <w:p>
      <w:pPr>
        <w:pStyle w:val="Übersicht"/>
        <w:ind w:left="680"/>
      </w:pPr>
      <w:hyperlink w:anchor="b379" w:history="1">
        <w:r>
          <w:rPr>
            <w:color w:val="0A3A8C"/>
            <w:u w:val="single"/>
          </w:rPr>
          <w:t xml:space="preserve">§ 239 Kreuzverhör</w:t>
        </w:r>
      </w:hyperlink>
    </w:p>
    <w:p>
      <w:pPr>
        <w:pStyle w:val="Übersicht"/>
        <w:ind w:left="680"/>
      </w:pPr>
      <w:hyperlink w:anchor="b380" w:history="1">
        <w:r>
          <w:rPr>
            <w:color w:val="0A3A8C"/>
            <w:u w:val="single"/>
          </w:rPr>
          <w:t xml:space="preserve">§ 240 Fragerecht</w:t>
        </w:r>
      </w:hyperlink>
    </w:p>
    <w:p>
      <w:pPr>
        <w:pStyle w:val="Übersicht"/>
        <w:ind w:left="680"/>
      </w:pPr>
      <w:hyperlink w:anchor="b381" w:history="1">
        <w:r>
          <w:rPr>
            <w:color w:val="0A3A8C"/>
            <w:u w:val="single"/>
          </w:rPr>
          <w:t xml:space="preserve">§ 241 Zurückweisung von Fragen durch den Vorsitzenden</w:t>
        </w:r>
      </w:hyperlink>
    </w:p>
    <w:p>
      <w:pPr>
        <w:pStyle w:val="Übersicht"/>
        <w:ind w:left="680"/>
      </w:pPr>
      <w:hyperlink w:anchor="b382" w:history="1">
        <w:r>
          <w:rPr>
            <w:color w:val="0A3A8C"/>
            <w:u w:val="single"/>
          </w:rPr>
          <w:t xml:space="preserve">§ 241a Vernehmung minderjähriger Zeugen durch den Vorsitzenden</w:t>
        </w:r>
      </w:hyperlink>
    </w:p>
    <w:p>
      <w:pPr>
        <w:pStyle w:val="Übersicht"/>
        <w:ind w:left="680"/>
      </w:pPr>
      <w:hyperlink w:anchor="b383" w:history="1">
        <w:r>
          <w:rPr>
            <w:color w:val="0A3A8C"/>
            <w:u w:val="single"/>
          </w:rPr>
          <w:t xml:space="preserve">§ 242 Entscheidung über die Zulässigkeit von Fragen</w:t>
        </w:r>
      </w:hyperlink>
    </w:p>
    <w:p>
      <w:pPr>
        <w:pStyle w:val="Übersicht"/>
        <w:ind w:left="680"/>
      </w:pPr>
      <w:hyperlink w:anchor="b384" w:history="1">
        <w:r>
          <w:rPr>
            <w:color w:val="0A3A8C"/>
            <w:u w:val="single"/>
          </w:rPr>
          <w:t xml:space="preserve">§ 243 Gang der Hauptverhandlung</w:t>
        </w:r>
      </w:hyperlink>
    </w:p>
    <w:p>
      <w:pPr>
        <w:pStyle w:val="Übersicht"/>
        <w:ind w:left="680"/>
      </w:pPr>
      <w:hyperlink w:anchor="b385" w:history="1">
        <w:r>
          <w:rPr>
            <w:color w:val="0A3A8C"/>
            <w:u w:val="single"/>
          </w:rPr>
          <w:t xml:space="preserve">§ 244 Beweisaufnahme; Untersuchungsgrundsatz; Ablehnung von Beweisanträgen</w:t>
        </w:r>
      </w:hyperlink>
    </w:p>
    <w:p>
      <w:pPr>
        <w:pStyle w:val="Übersicht"/>
        <w:ind w:left="680"/>
      </w:pPr>
      <w:hyperlink w:anchor="b386" w:history="1">
        <w:r>
          <w:rPr>
            <w:color w:val="0A3A8C"/>
            <w:u w:val="single"/>
          </w:rPr>
          <w:t xml:space="preserve">§ 245 Umfang der Beweisaufnahme; präsente Beweismittel</w:t>
        </w:r>
      </w:hyperlink>
    </w:p>
    <w:p>
      <w:pPr>
        <w:pStyle w:val="Übersicht"/>
        <w:ind w:left="680"/>
      </w:pPr>
      <w:hyperlink w:anchor="b387" w:history="1">
        <w:r>
          <w:rPr>
            <w:color w:val="0A3A8C"/>
            <w:u w:val="single"/>
          </w:rPr>
          <w:t xml:space="preserve">§ 246 Ablehnung von Beweisanträgen wegen Verspätung</w:t>
        </w:r>
      </w:hyperlink>
    </w:p>
    <w:p>
      <w:pPr>
        <w:pStyle w:val="Übersicht"/>
        <w:ind w:left="680"/>
      </w:pPr>
      <w:hyperlink w:anchor="b388" w:history="1">
        <w:r>
          <w:rPr>
            <w:color w:val="0A3A8C"/>
            <w:u w:val="single"/>
          </w:rPr>
          <w:t xml:space="preserve">§ 246a Vernehmung eines Sachverständigen vor Entscheidung über eine Unterbringung</w:t>
        </w:r>
      </w:hyperlink>
    </w:p>
    <w:p>
      <w:pPr>
        <w:pStyle w:val="Übersicht"/>
        <w:ind w:left="680"/>
      </w:pPr>
      <w:hyperlink w:anchor="b389" w:history="1">
        <w:r>
          <w:rPr>
            <w:color w:val="0A3A8C"/>
            <w:u w:val="single"/>
          </w:rPr>
          <w:t xml:space="preserve">§ 247 Entfernung des Angeklagten bei Vernehmung von Mitangeklagten und Zeugen</w:t>
        </w:r>
      </w:hyperlink>
    </w:p>
    <w:p>
      <w:pPr>
        <w:pStyle w:val="Übersicht"/>
        <w:ind w:left="680"/>
      </w:pPr>
      <w:hyperlink w:anchor="b390" w:history="1">
        <w:r>
          <w:rPr>
            <w:color w:val="0A3A8C"/>
            <w:u w:val="single"/>
          </w:rPr>
          <w:t xml:space="preserve">§ 247a Anordnung einer audiovisuellen Vernehmung von Zeugen</w:t>
        </w:r>
      </w:hyperlink>
    </w:p>
    <w:p>
      <w:pPr>
        <w:pStyle w:val="Übersicht"/>
        <w:ind w:left="680"/>
      </w:pPr>
      <w:hyperlink w:anchor="b391" w:history="1">
        <w:r>
          <w:rPr>
            <w:color w:val="0A3A8C"/>
            <w:u w:val="single"/>
          </w:rPr>
          <w:t xml:space="preserve">§ 248 Entlassung der Zeugen und Sachverständigen</w:t>
        </w:r>
      </w:hyperlink>
    </w:p>
    <w:p>
      <w:pPr>
        <w:pStyle w:val="Übersicht"/>
        <w:ind w:left="680"/>
      </w:pPr>
      <w:hyperlink w:anchor="b392" w:history="1">
        <w:r>
          <w:rPr>
            <w:color w:val="0A3A8C"/>
            <w:u w:val="single"/>
          </w:rPr>
          <w:t xml:space="preserve">§ 249 Führung des Urkundenbeweises durch Verlesung; Selbstleseverfahren</w:t>
        </w:r>
      </w:hyperlink>
    </w:p>
    <w:p>
      <w:pPr>
        <w:pStyle w:val="Übersicht"/>
        <w:ind w:left="680"/>
      </w:pPr>
      <w:hyperlink w:anchor="b393" w:history="1">
        <w:r>
          <w:rPr>
            <w:color w:val="0A3A8C"/>
            <w:u w:val="single"/>
          </w:rPr>
          <w:t xml:space="preserve">§ 250 Grundsatz der persönlichen Vernehmung</w:t>
        </w:r>
      </w:hyperlink>
    </w:p>
    <w:p>
      <w:pPr>
        <w:pStyle w:val="Übersicht"/>
        <w:ind w:left="680"/>
      </w:pPr>
      <w:hyperlink w:anchor="b394" w:history="1">
        <w:r>
          <w:rPr>
            <w:color w:val="0A3A8C"/>
            <w:u w:val="single"/>
          </w:rPr>
          <w:t xml:space="preserve">§ 251 Urkundenbeweis durch Verlesung von Protokollen</w:t>
        </w:r>
      </w:hyperlink>
    </w:p>
    <w:p>
      <w:pPr>
        <w:pStyle w:val="Übersicht"/>
        <w:ind w:left="680"/>
      </w:pPr>
      <w:hyperlink w:anchor="b395" w:history="1">
        <w:r>
          <w:rPr>
            <w:color w:val="0A3A8C"/>
            <w:u w:val="single"/>
          </w:rPr>
          <w:t xml:space="preserve">§ 252 Verbot der Protokollverlesung nach Zeugnisverweigerung</w:t>
        </w:r>
      </w:hyperlink>
    </w:p>
    <w:p>
      <w:pPr>
        <w:pStyle w:val="Übersicht"/>
        <w:ind w:left="680"/>
      </w:pPr>
      <w:hyperlink w:anchor="b396" w:history="1">
        <w:r>
          <w:rPr>
            <w:color w:val="0A3A8C"/>
            <w:u w:val="single"/>
          </w:rPr>
          <w:t xml:space="preserve">§ 253 Protokollverlesung zur Gedächtnisunterstützung</w:t>
        </w:r>
      </w:hyperlink>
    </w:p>
    <w:p>
      <w:pPr>
        <w:pStyle w:val="Übersicht"/>
        <w:ind w:left="680"/>
      </w:pPr>
      <w:hyperlink w:anchor="b397" w:history="1">
        <w:r>
          <w:rPr>
            <w:color w:val="0A3A8C"/>
            <w:u w:val="single"/>
          </w:rPr>
          <w:t xml:space="preserve">§ 254 Verlesung eines richterlichen Protokolls bei Geständnis oder Widersprüchen</w:t>
        </w:r>
      </w:hyperlink>
    </w:p>
    <w:p>
      <w:pPr>
        <w:pStyle w:val="Übersicht"/>
        <w:ind w:left="680"/>
      </w:pPr>
      <w:hyperlink w:anchor="b398" w:history="1">
        <w:r>
          <w:rPr>
            <w:color w:val="0A3A8C"/>
            <w:u w:val="single"/>
          </w:rPr>
          <w:t xml:space="preserve">§ 255 Protokollierung der Verlesung</w:t>
        </w:r>
      </w:hyperlink>
    </w:p>
    <w:p>
      <w:pPr>
        <w:pStyle w:val="Übersicht"/>
        <w:ind w:left="680"/>
      </w:pPr>
      <w:hyperlink w:anchor="b399" w:history="1">
        <w:r>
          <w:rPr>
            <w:color w:val="0A3A8C"/>
            <w:u w:val="single"/>
          </w:rPr>
          <w:t xml:space="preserve">§ 255a Vorführung einer aufgezeichneten Zeugenvernehmung</w:t>
        </w:r>
      </w:hyperlink>
    </w:p>
    <w:p>
      <w:pPr>
        <w:pStyle w:val="Übersicht"/>
        <w:ind w:left="680"/>
      </w:pPr>
      <w:hyperlink w:anchor="b400" w:history="1">
        <w:r>
          <w:rPr>
            <w:color w:val="0A3A8C"/>
            <w:u w:val="single"/>
          </w:rPr>
          <w:t xml:space="preserve">§ 256 Verlesung der Erklärungen von Behörden und Sachverständigen</w:t>
        </w:r>
      </w:hyperlink>
    </w:p>
    <w:p>
      <w:pPr>
        <w:pStyle w:val="Übersicht"/>
        <w:ind w:left="680"/>
      </w:pPr>
      <w:hyperlink w:anchor="b401" w:history="1">
        <w:r>
          <w:rPr>
            <w:color w:val="0A3A8C"/>
            <w:u w:val="single"/>
          </w:rPr>
          <w:t xml:space="preserve">§ 257 Befragung des Angeklagten und Erklärungsrechte nach einer Beweiserhebung</w:t>
        </w:r>
      </w:hyperlink>
    </w:p>
    <w:p>
      <w:pPr>
        <w:pStyle w:val="Übersicht"/>
        <w:ind w:left="680"/>
      </w:pPr>
      <w:hyperlink w:anchor="b402" w:history="1">
        <w:r>
          <w:rPr>
            <w:color w:val="0A3A8C"/>
            <w:u w:val="single"/>
          </w:rPr>
          <w:t xml:space="preserve">§ 257a Form von Anträgen und Anregungen zu Verfahrensfragen</w:t>
        </w:r>
      </w:hyperlink>
    </w:p>
    <w:p>
      <w:pPr>
        <w:pStyle w:val="Übersicht"/>
        <w:ind w:left="680"/>
      </w:pPr>
      <w:hyperlink w:anchor="b403" w:history="1">
        <w:r>
          <w:rPr>
            <w:color w:val="0A3A8C"/>
            <w:u w:val="single"/>
          </w:rPr>
          <w:t xml:space="preserve">§ 257b Erörterung des Verfahrensstands mit den Verfahrensbeteiligten</w:t>
        </w:r>
      </w:hyperlink>
    </w:p>
    <w:p>
      <w:pPr>
        <w:pStyle w:val="Übersicht"/>
        <w:ind w:left="680"/>
      </w:pPr>
      <w:hyperlink w:anchor="b404" w:history="1">
        <w:r>
          <w:rPr>
            <w:color w:val="0A3A8C"/>
            <w:u w:val="single"/>
          </w:rPr>
          <w:t xml:space="preserve">§ 257c Verständigung zwischen Gericht und Verfahrensbeteiligten</w:t>
        </w:r>
      </w:hyperlink>
    </w:p>
    <w:p>
      <w:pPr>
        <w:pStyle w:val="Übersicht"/>
        <w:ind w:left="680"/>
      </w:pPr>
      <w:hyperlink w:anchor="b405" w:history="1">
        <w:r>
          <w:rPr>
            <w:color w:val="0A3A8C"/>
            <w:u w:val="single"/>
          </w:rPr>
          <w:t xml:space="preserve">§ 258 Schlussvorträge; Recht des letzten Wortes</w:t>
        </w:r>
      </w:hyperlink>
    </w:p>
    <w:p>
      <w:pPr>
        <w:pStyle w:val="Übersicht"/>
        <w:ind w:left="680"/>
      </w:pPr>
      <w:hyperlink w:anchor="b406" w:history="1">
        <w:r>
          <w:rPr>
            <w:color w:val="0A3A8C"/>
            <w:u w:val="single"/>
          </w:rPr>
          <w:t xml:space="preserve">§ 259 Dolmetscher</w:t>
        </w:r>
      </w:hyperlink>
    </w:p>
    <w:p>
      <w:pPr>
        <w:pStyle w:val="Übersicht"/>
        <w:ind w:left="680"/>
      </w:pPr>
      <w:hyperlink w:anchor="b407" w:history="1">
        <w:r>
          <w:rPr>
            <w:color w:val="0A3A8C"/>
            <w:u w:val="single"/>
          </w:rPr>
          <w:t xml:space="preserve">§ 260 Urteil</w:t>
        </w:r>
      </w:hyperlink>
    </w:p>
    <w:p>
      <w:pPr>
        <w:pStyle w:val="Übersicht"/>
        <w:ind w:left="680"/>
      </w:pPr>
      <w:hyperlink w:anchor="b408" w:history="1">
        <w:r>
          <w:rPr>
            <w:color w:val="0A3A8C"/>
            <w:u w:val="single"/>
          </w:rPr>
          <w:t xml:space="preserve">§ 261 Grundsatz der freien richterlichen Beweiswürdigung</w:t>
        </w:r>
      </w:hyperlink>
    </w:p>
    <w:p>
      <w:pPr>
        <w:pStyle w:val="Übersicht"/>
        <w:ind w:left="680"/>
      </w:pPr>
      <w:hyperlink w:anchor="b409" w:history="1">
        <w:r>
          <w:rPr>
            <w:color w:val="0A3A8C"/>
            <w:u w:val="single"/>
          </w:rPr>
          <w:t xml:space="preserve">§ 262 Entscheidung zivilrechtlicher Vorfragen</w:t>
        </w:r>
      </w:hyperlink>
    </w:p>
    <w:p>
      <w:pPr>
        <w:pStyle w:val="Übersicht"/>
        <w:ind w:left="680"/>
      </w:pPr>
      <w:hyperlink w:anchor="b410" w:history="1">
        <w:r>
          <w:rPr>
            <w:color w:val="0A3A8C"/>
            <w:u w:val="single"/>
          </w:rPr>
          <w:t xml:space="preserve">§ 263 Abstimmung</w:t>
        </w:r>
      </w:hyperlink>
    </w:p>
    <w:p>
      <w:pPr>
        <w:pStyle w:val="Übersicht"/>
        <w:ind w:left="680"/>
      </w:pPr>
      <w:hyperlink w:anchor="b411" w:history="1">
        <w:r>
          <w:rPr>
            <w:color w:val="0A3A8C"/>
            <w:u w:val="single"/>
          </w:rPr>
          <w:t xml:space="preserve">§ 264 Gegenstand des Urteils</w:t>
        </w:r>
      </w:hyperlink>
    </w:p>
    <w:p>
      <w:pPr>
        <w:pStyle w:val="Übersicht"/>
        <w:ind w:left="680"/>
      </w:pPr>
      <w:hyperlink w:anchor="b412" w:history="1">
        <w:r>
          <w:rPr>
            <w:color w:val="0A3A8C"/>
            <w:u w:val="single"/>
          </w:rPr>
          <w:t xml:space="preserve">§ 265 Veränderung des rechtlichen Gesichtspunktes oder der Sachlage</w:t>
        </w:r>
      </w:hyperlink>
    </w:p>
    <w:p>
      <w:pPr>
        <w:pStyle w:val="Übersicht"/>
        <w:ind w:left="680"/>
      </w:pPr>
      <w:hyperlink w:anchor="b413" w:history="1">
        <w:r>
          <w:rPr>
            <w:color w:val="0A3A8C"/>
            <w:u w:val="single"/>
          </w:rPr>
          <w:t xml:space="preserve">§ 265a Befragung des Angeklagten vor Erteilung von Auflagen oder Weisungen</w:t>
        </w:r>
      </w:hyperlink>
    </w:p>
    <w:p>
      <w:pPr>
        <w:pStyle w:val="Übersicht"/>
        <w:ind w:left="680"/>
      </w:pPr>
      <w:hyperlink w:anchor="b414" w:history="1">
        <w:r>
          <w:rPr>
            <w:color w:val="0A3A8C"/>
            <w:u w:val="single"/>
          </w:rPr>
          <w:t xml:space="preserve">§ 266 Nachtragsanklage</w:t>
        </w:r>
      </w:hyperlink>
    </w:p>
    <w:p>
      <w:pPr>
        <w:pStyle w:val="Übersicht"/>
        <w:ind w:left="680"/>
      </w:pPr>
      <w:hyperlink w:anchor="b415" w:history="1">
        <w:r>
          <w:rPr>
            <w:color w:val="0A3A8C"/>
            <w:u w:val="single"/>
          </w:rPr>
          <w:t xml:space="preserve">§ 267 Urteilsgründe</w:t>
        </w:r>
      </w:hyperlink>
    </w:p>
    <w:p>
      <w:pPr>
        <w:pStyle w:val="Übersicht"/>
        <w:ind w:left="680"/>
      </w:pPr>
      <w:hyperlink w:anchor="b416" w:history="1">
        <w:r>
          <w:rPr>
            <w:color w:val="0A3A8C"/>
            <w:u w:val="single"/>
          </w:rPr>
          <w:t xml:space="preserve">§ 268 Urteilsverkündung</w:t>
        </w:r>
      </w:hyperlink>
    </w:p>
    <w:p>
      <w:pPr>
        <w:pStyle w:val="Übersicht"/>
        <w:ind w:left="680"/>
      </w:pPr>
      <w:hyperlink w:anchor="b417" w:history="1">
        <w:r>
          <w:rPr>
            <w:color w:val="0A3A8C"/>
            <w:u w:val="single"/>
          </w:rPr>
          <w:t xml:space="preserve">§ 268a Aussetzung der Vollstreckung von Strafen oder Maßregeln zur Bewährung</w:t>
        </w:r>
      </w:hyperlink>
    </w:p>
    <w:p>
      <w:pPr>
        <w:pStyle w:val="Übersicht"/>
        <w:ind w:left="680"/>
      </w:pPr>
      <w:hyperlink w:anchor="b418" w:history="1">
        <w:r>
          <w:rPr>
            <w:color w:val="0A3A8C"/>
            <w:u w:val="single"/>
          </w:rPr>
          <w:t xml:space="preserve">§ 268b Beschluss über die Fortdauer der Untersuchungshaft</w:t>
        </w:r>
      </w:hyperlink>
    </w:p>
    <w:p>
      <w:pPr>
        <w:pStyle w:val="Übersicht"/>
        <w:ind w:left="680"/>
      </w:pPr>
      <w:hyperlink w:anchor="b419" w:history="1">
        <w:r>
          <w:rPr>
            <w:color w:val="0A3A8C"/>
            <w:u w:val="single"/>
          </w:rPr>
          <w:t xml:space="preserve">§ 268c Belehrung bei Anordnung eines Fahrverbots</w:t>
        </w:r>
      </w:hyperlink>
    </w:p>
    <w:p>
      <w:pPr>
        <w:pStyle w:val="Übersicht"/>
        <w:ind w:left="680"/>
      </w:pPr>
      <w:hyperlink w:anchor="b420" w:history="1">
        <w:r>
          <w:rPr>
            <w:color w:val="0A3A8C"/>
            <w:u w:val="single"/>
          </w:rPr>
          <w:t xml:space="preserve">§ 268d Belehrung bei vorbehaltener Sicherungsverwahrung</w:t>
        </w:r>
      </w:hyperlink>
    </w:p>
    <w:p>
      <w:pPr>
        <w:pStyle w:val="Übersicht"/>
        <w:ind w:left="680"/>
      </w:pPr>
      <w:hyperlink w:anchor="b421" w:history="1">
        <w:r>
          <w:rPr>
            <w:color w:val="0A3A8C"/>
            <w:u w:val="single"/>
          </w:rPr>
          <w:t xml:space="preserve">§ 269 Verbot der Verweisung bei Zuständigkeit eines Gerichts niederer Ordnung</w:t>
        </w:r>
      </w:hyperlink>
    </w:p>
    <w:p>
      <w:pPr>
        <w:pStyle w:val="Übersicht"/>
        <w:ind w:left="680"/>
      </w:pPr>
      <w:hyperlink w:anchor="b422" w:history="1">
        <w:r>
          <w:rPr>
            <w:color w:val="0A3A8C"/>
            <w:u w:val="single"/>
          </w:rPr>
          <w:t xml:space="preserve">§ 270 Verweisung bei Zuständigkeit eines Gerichts höherer Ordnung</w:t>
        </w:r>
      </w:hyperlink>
    </w:p>
    <w:p>
      <w:pPr>
        <w:pStyle w:val="Übersicht"/>
        <w:ind w:left="680"/>
      </w:pPr>
      <w:hyperlink w:anchor="b423" w:history="1">
        <w:r>
          <w:rPr>
            <w:color w:val="0A3A8C"/>
            <w:u w:val="single"/>
          </w:rPr>
          <w:t xml:space="preserve">§ 271 Hauptverhandlungsprotokoll</w:t>
        </w:r>
      </w:hyperlink>
    </w:p>
    <w:p>
      <w:pPr>
        <w:pStyle w:val="Übersicht"/>
        <w:ind w:left="680"/>
      </w:pPr>
      <w:hyperlink w:anchor="b424" w:history="1">
        <w:r>
          <w:rPr>
            <w:color w:val="0A3A8C"/>
            <w:u w:val="single"/>
          </w:rPr>
          <w:t xml:space="preserve">§ 272 Inhalt des Hauptverhandlungsprotokolls</w:t>
        </w:r>
      </w:hyperlink>
    </w:p>
    <w:p>
      <w:pPr>
        <w:pStyle w:val="Übersicht"/>
        <w:ind w:left="680"/>
      </w:pPr>
      <w:hyperlink w:anchor="b425" w:history="1">
        <w:r>
          <w:rPr>
            <w:color w:val="0A3A8C"/>
            <w:u w:val="single"/>
          </w:rPr>
          <w:t xml:space="preserve">§ 273 Beurkundung der Hauptverhandlung</w:t>
        </w:r>
      </w:hyperlink>
    </w:p>
    <w:p>
      <w:pPr>
        <w:pStyle w:val="Übersicht"/>
        <w:ind w:left="680"/>
      </w:pPr>
      <w:hyperlink w:anchor="b426" w:history="1">
        <w:r>
          <w:rPr>
            <w:color w:val="0A3A8C"/>
            <w:u w:val="single"/>
          </w:rPr>
          <w:t xml:space="preserve">§ 274 Beweiskraft des Protokolls</w:t>
        </w:r>
      </w:hyperlink>
    </w:p>
    <w:p>
      <w:pPr>
        <w:pStyle w:val="Übersicht"/>
        <w:ind w:left="680"/>
      </w:pPr>
      <w:hyperlink w:anchor="b427" w:history="1">
        <w:r>
          <w:rPr>
            <w:color w:val="0A3A8C"/>
            <w:u w:val="single"/>
          </w:rPr>
          <w:t xml:space="preserve">§ 275 Absetzungsfrist und Form des Urteils</w:t>
        </w:r>
      </w:hyperlink>
    </w:p>
    <w:p>
      <w:pPr>
        <w:pStyle w:val="Übersicht"/>
        <w:ind w:left="340"/>
      </w:pPr>
      <w:hyperlink w:anchor="b428" w:history="1">
        <w:r>
          <w:rPr>
            <w:b/>
            <w:color w:val="0A3A8C"/>
            <w:u w:val="single"/>
          </w:rPr>
          <w:t xml:space="preserve">Siebter Abschnitt Entscheidung über die im Urteil vorbehaltene oder die nachträgliche Anordnung der Sicherungsverwahrung</w:t>
        </w:r>
      </w:hyperlink>
    </w:p>
    <w:p>
      <w:pPr>
        <w:pStyle w:val="Übersicht"/>
        <w:ind w:left="680"/>
      </w:pPr>
      <w:hyperlink w:anchor="b429" w:history="1">
        <w:r>
          <w:rPr>
            <w:color w:val="0A3A8C"/>
            <w:u w:val="single"/>
          </w:rPr>
          <w:t xml:space="preserve">§ 275a Einleitung des Verfahrens; Hauptverhandlung; Unterbringungsbefehl</w:t>
        </w:r>
      </w:hyperlink>
    </w:p>
    <w:p>
      <w:pPr>
        <w:pStyle w:val="Übersicht"/>
        <w:ind w:left="340"/>
      </w:pPr>
      <w:hyperlink w:anchor="b430" w:history="1">
        <w:r>
          <w:rPr>
            <w:b/>
            <w:color w:val="0A3A8C"/>
            <w:u w:val="single"/>
          </w:rPr>
          <w:t xml:space="preserve">Achter Abschnitt Verfahren gegen Abwesende</w:t>
        </w:r>
      </w:hyperlink>
    </w:p>
    <w:p>
      <w:pPr>
        <w:pStyle w:val="Übersicht"/>
        <w:ind w:left="680"/>
      </w:pPr>
      <w:hyperlink w:anchor="b431" w:history="1">
        <w:r>
          <w:rPr>
            <w:color w:val="0A3A8C"/>
            <w:u w:val="single"/>
          </w:rPr>
          <w:t xml:space="preserve">§ 276 Begriff der Abwesenheit</w:t>
        </w:r>
      </w:hyperlink>
    </w:p>
    <w:p>
      <w:pPr>
        <w:pStyle w:val="Übersicht"/>
        <w:ind w:left="680"/>
      </w:pPr>
      <w:hyperlink w:anchor="b432" w:history="1">
        <w:r>
          <w:rPr>
            <w:color w:val="0A3A8C"/>
            <w:u w:val="single"/>
          </w:rPr>
          <w:t xml:space="preserve">§§ 277 bis 284 (weggefallen)</w:t>
        </w:r>
      </w:hyperlink>
    </w:p>
    <w:p>
      <w:pPr>
        <w:pStyle w:val="Übersicht"/>
        <w:ind w:left="680"/>
      </w:pPr>
      <w:hyperlink w:anchor="b433" w:history="1">
        <w:r>
          <w:rPr>
            <w:color w:val="0A3A8C"/>
            <w:u w:val="single"/>
          </w:rPr>
          <w:t xml:space="preserve">§ 285 Beweissicherungszweck</w:t>
        </w:r>
      </w:hyperlink>
    </w:p>
    <w:p>
      <w:pPr>
        <w:pStyle w:val="Übersicht"/>
        <w:ind w:left="680"/>
      </w:pPr>
      <w:hyperlink w:anchor="b434" w:history="1">
        <w:r>
          <w:rPr>
            <w:color w:val="0A3A8C"/>
            <w:u w:val="single"/>
          </w:rPr>
          <w:t xml:space="preserve">§ 286 Vertretung von Abwesenden</w:t>
        </w:r>
      </w:hyperlink>
    </w:p>
    <w:p>
      <w:pPr>
        <w:pStyle w:val="Übersicht"/>
        <w:ind w:left="680"/>
      </w:pPr>
      <w:hyperlink w:anchor="b435" w:history="1">
        <w:r>
          <w:rPr>
            <w:color w:val="0A3A8C"/>
            <w:u w:val="single"/>
          </w:rPr>
          <w:t xml:space="preserve">§ 287 Benachrichtigung von Abwesenden</w:t>
        </w:r>
      </w:hyperlink>
    </w:p>
    <w:p>
      <w:pPr>
        <w:pStyle w:val="Übersicht"/>
        <w:ind w:left="680"/>
      </w:pPr>
      <w:hyperlink w:anchor="b436" w:history="1">
        <w:r>
          <w:rPr>
            <w:color w:val="0A3A8C"/>
            <w:u w:val="single"/>
          </w:rPr>
          <w:t xml:space="preserve">§ 288 Öffentliche Aufforderung zum Erscheinen oder zur Aufenthaltsortsanzeige</w:t>
        </w:r>
      </w:hyperlink>
    </w:p>
    <w:p>
      <w:pPr>
        <w:pStyle w:val="Übersicht"/>
        <w:ind w:left="680"/>
      </w:pPr>
      <w:hyperlink w:anchor="b437" w:history="1">
        <w:r>
          <w:rPr>
            <w:color w:val="0A3A8C"/>
            <w:u w:val="single"/>
          </w:rPr>
          <w:t xml:space="preserve">§ 289 Beweisaufnahme durch beauftragte oder ersuchte Richter</w:t>
        </w:r>
      </w:hyperlink>
    </w:p>
    <w:p>
      <w:pPr>
        <w:pStyle w:val="Übersicht"/>
        <w:ind w:left="680"/>
      </w:pPr>
      <w:hyperlink w:anchor="b438" w:history="1">
        <w:r>
          <w:rPr>
            <w:color w:val="0A3A8C"/>
            <w:u w:val="single"/>
          </w:rPr>
          <w:t xml:space="preserve">§ 290 Vermögensbeschlagnahme</w:t>
        </w:r>
      </w:hyperlink>
    </w:p>
    <w:p>
      <w:pPr>
        <w:pStyle w:val="Übersicht"/>
        <w:ind w:left="680"/>
      </w:pPr>
      <w:hyperlink w:anchor="b439" w:history="1">
        <w:r>
          <w:rPr>
            <w:color w:val="0A3A8C"/>
            <w:u w:val="single"/>
          </w:rPr>
          <w:t xml:space="preserve">§ 291 Bekanntmachung der Beschlagnahme</w:t>
        </w:r>
      </w:hyperlink>
    </w:p>
    <w:p>
      <w:pPr>
        <w:pStyle w:val="Übersicht"/>
        <w:ind w:left="680"/>
      </w:pPr>
      <w:hyperlink w:anchor="b440" w:history="1">
        <w:r>
          <w:rPr>
            <w:color w:val="0A3A8C"/>
            <w:u w:val="single"/>
          </w:rPr>
          <w:t xml:space="preserve">§ 292 Wirkung der Bekanntmachung</w:t>
        </w:r>
      </w:hyperlink>
    </w:p>
    <w:p>
      <w:pPr>
        <w:pStyle w:val="Übersicht"/>
        <w:ind w:left="680"/>
      </w:pPr>
      <w:hyperlink w:anchor="b441" w:history="1">
        <w:r>
          <w:rPr>
            <w:color w:val="0A3A8C"/>
            <w:u w:val="single"/>
          </w:rPr>
          <w:t xml:space="preserve">§ 293 Aufhebung der Beschlagnahme</w:t>
        </w:r>
      </w:hyperlink>
    </w:p>
    <w:p>
      <w:pPr>
        <w:pStyle w:val="Übersicht"/>
        <w:ind w:left="680"/>
      </w:pPr>
      <w:hyperlink w:anchor="b442" w:history="1">
        <w:r>
          <w:rPr>
            <w:color w:val="0A3A8C"/>
            <w:u w:val="single"/>
          </w:rPr>
          <w:t xml:space="preserve">§ 294 Verfahren nach Anklageerhebung</w:t>
        </w:r>
      </w:hyperlink>
    </w:p>
    <w:p>
      <w:pPr>
        <w:pStyle w:val="Übersicht"/>
        <w:ind w:left="680"/>
      </w:pPr>
      <w:hyperlink w:anchor="b443" w:history="1">
        <w:r>
          <w:rPr>
            <w:color w:val="0A3A8C"/>
            <w:u w:val="single"/>
          </w:rPr>
          <w:t xml:space="preserve">§ 295 Sicheres Geleit</w:t>
        </w:r>
      </w:hyperlink>
    </w:p>
    <w:p>
      <w:pPr>
        <w:pStyle w:val="Übersicht"/>
        <w:ind w:left="0"/>
      </w:pPr>
      <w:hyperlink w:anchor="b444" w:history="1">
        <w:r>
          <w:rPr>
            <w:b/>
            <w:color w:val="0A3A8C"/>
            <w:u w:val="single"/>
          </w:rPr>
          <w:t xml:space="preserve">Drittes Buch Rechtsmittel</w:t>
        </w:r>
      </w:hyperlink>
    </w:p>
    <w:p>
      <w:pPr>
        <w:pStyle w:val="Übersicht"/>
        <w:ind w:left="340"/>
      </w:pPr>
      <w:hyperlink w:anchor="b445" w:history="1">
        <w:r>
          <w:rPr>
            <w:b/>
            <w:color w:val="0A3A8C"/>
            <w:u w:val="single"/>
          </w:rPr>
          <w:t xml:space="preserve">Erster Abschnitt Allgemeine Vorschriften</w:t>
        </w:r>
      </w:hyperlink>
    </w:p>
    <w:p>
      <w:pPr>
        <w:pStyle w:val="Übersicht"/>
        <w:ind w:left="680"/>
      </w:pPr>
      <w:hyperlink w:anchor="b446" w:history="1">
        <w:r>
          <w:rPr>
            <w:color w:val="0A3A8C"/>
            <w:u w:val="single"/>
          </w:rPr>
          <w:t xml:space="preserve">§ 296 Rechtsmittelberechtigte</w:t>
        </w:r>
      </w:hyperlink>
    </w:p>
    <w:p>
      <w:pPr>
        <w:pStyle w:val="Übersicht"/>
        <w:ind w:left="680"/>
      </w:pPr>
      <w:hyperlink w:anchor="b447" w:history="1">
        <w:r>
          <w:rPr>
            <w:color w:val="0A3A8C"/>
            <w:u w:val="single"/>
          </w:rPr>
          <w:t xml:space="preserve">§ 297 Einlegung durch den Verteidiger</w:t>
        </w:r>
      </w:hyperlink>
    </w:p>
    <w:p>
      <w:pPr>
        <w:pStyle w:val="Übersicht"/>
        <w:ind w:left="680"/>
      </w:pPr>
      <w:hyperlink w:anchor="b448" w:history="1">
        <w:r>
          <w:rPr>
            <w:color w:val="0A3A8C"/>
            <w:u w:val="single"/>
          </w:rPr>
          <w:t xml:space="preserve">§ 298 Einlegung durch den gesetzlichen Vertreter</w:t>
        </w:r>
      </w:hyperlink>
    </w:p>
    <w:p>
      <w:pPr>
        <w:pStyle w:val="Übersicht"/>
        <w:ind w:left="680"/>
      </w:pPr>
      <w:hyperlink w:anchor="b449" w:history="1">
        <w:r>
          <w:rPr>
            <w:color w:val="0A3A8C"/>
            <w:u w:val="single"/>
          </w:rPr>
          <w:t xml:space="preserve">§ 299 Abgabe von Erklärungen bei Freiheitsentzug</w:t>
        </w:r>
      </w:hyperlink>
    </w:p>
    <w:p>
      <w:pPr>
        <w:pStyle w:val="Übersicht"/>
        <w:ind w:left="680"/>
      </w:pPr>
      <w:hyperlink w:anchor="b450" w:history="1">
        <w:r>
          <w:rPr>
            <w:color w:val="0A3A8C"/>
            <w:u w:val="single"/>
          </w:rPr>
          <w:t xml:space="preserve">§ 300 Falschbezeichnung eines zulässigen Rechtsmittels</w:t>
        </w:r>
      </w:hyperlink>
    </w:p>
    <w:p>
      <w:pPr>
        <w:pStyle w:val="Übersicht"/>
        <w:ind w:left="680"/>
      </w:pPr>
      <w:hyperlink w:anchor="b451" w:history="1">
        <w:r>
          <w:rPr>
            <w:color w:val="0A3A8C"/>
            <w:u w:val="single"/>
          </w:rPr>
          <w:t xml:space="preserve">§ 301 Wirkung eines Rechtsmittels der Staatsanwaltschaft</w:t>
        </w:r>
      </w:hyperlink>
    </w:p>
    <w:p>
      <w:pPr>
        <w:pStyle w:val="Übersicht"/>
        <w:ind w:left="680"/>
      </w:pPr>
      <w:hyperlink w:anchor="b452" w:history="1">
        <w:r>
          <w:rPr>
            <w:color w:val="0A3A8C"/>
            <w:u w:val="single"/>
          </w:rPr>
          <w:t xml:space="preserve">§ 302 Zurücknahme und Verzicht</w:t>
        </w:r>
      </w:hyperlink>
    </w:p>
    <w:p>
      <w:pPr>
        <w:pStyle w:val="Übersicht"/>
        <w:ind w:left="680"/>
      </w:pPr>
      <w:hyperlink w:anchor="b453" w:history="1">
        <w:r>
          <w:rPr>
            <w:color w:val="0A3A8C"/>
            <w:u w:val="single"/>
          </w:rPr>
          <w:t xml:space="preserve">§ 303 Zustimmungserfordernis bei Zurücknahme</w:t>
        </w:r>
      </w:hyperlink>
    </w:p>
    <w:p>
      <w:pPr>
        <w:pStyle w:val="Übersicht"/>
        <w:ind w:left="340"/>
      </w:pPr>
      <w:hyperlink w:anchor="b454" w:history="1">
        <w:r>
          <w:rPr>
            <w:b/>
            <w:color w:val="0A3A8C"/>
            <w:u w:val="single"/>
          </w:rPr>
          <w:t xml:space="preserve">Zweiter Abschnitt Beschwerde</w:t>
        </w:r>
      </w:hyperlink>
    </w:p>
    <w:p>
      <w:pPr>
        <w:pStyle w:val="Übersicht"/>
        <w:ind w:left="680"/>
      </w:pPr>
      <w:hyperlink w:anchor="b455" w:history="1">
        <w:r>
          <w:rPr>
            <w:color w:val="0A3A8C"/>
            <w:u w:val="single"/>
          </w:rPr>
          <w:t xml:space="preserve">§ 304 Zulässigkeit</w:t>
        </w:r>
      </w:hyperlink>
    </w:p>
    <w:p>
      <w:pPr>
        <w:pStyle w:val="Übersicht"/>
        <w:ind w:left="680"/>
      </w:pPr>
      <w:hyperlink w:anchor="b456" w:history="1">
        <w:r>
          <w:rPr>
            <w:color w:val="0A3A8C"/>
            <w:u w:val="single"/>
          </w:rPr>
          <w:t xml:space="preserve">§ 305 Nicht der Beschwerde unterliegende Entscheidungen</w:t>
        </w:r>
      </w:hyperlink>
    </w:p>
    <w:p>
      <w:pPr>
        <w:pStyle w:val="Übersicht"/>
        <w:ind w:left="680"/>
      </w:pPr>
      <w:hyperlink w:anchor="b457" w:history="1">
        <w:r>
          <w:rPr>
            <w:color w:val="0A3A8C"/>
            <w:u w:val="single"/>
          </w:rPr>
          <w:t xml:space="preserve">§ 305a Beschwerde gegen Strafaussetzungsbeschluss</w:t>
        </w:r>
      </w:hyperlink>
    </w:p>
    <w:p>
      <w:pPr>
        <w:pStyle w:val="Übersicht"/>
        <w:ind w:left="680"/>
      </w:pPr>
      <w:hyperlink w:anchor="b458" w:history="1">
        <w:r>
          <w:rPr>
            <w:color w:val="0A3A8C"/>
            <w:u w:val="single"/>
          </w:rPr>
          <w:t xml:space="preserve">§ 306 Einlegung; Abhilfeverfahren</w:t>
        </w:r>
      </w:hyperlink>
    </w:p>
    <w:p>
      <w:pPr>
        <w:pStyle w:val="Übersicht"/>
        <w:ind w:left="680"/>
      </w:pPr>
      <w:hyperlink w:anchor="b459" w:history="1">
        <w:r>
          <w:rPr>
            <w:color w:val="0A3A8C"/>
            <w:u w:val="single"/>
          </w:rPr>
          <w:t xml:space="preserve">§ 307 Keine Vollzugshemmung</w:t>
        </w:r>
      </w:hyperlink>
    </w:p>
    <w:p>
      <w:pPr>
        <w:pStyle w:val="Übersicht"/>
        <w:ind w:left="680"/>
      </w:pPr>
      <w:hyperlink w:anchor="b460" w:history="1">
        <w:r>
          <w:rPr>
            <w:color w:val="0A3A8C"/>
            <w:u w:val="single"/>
          </w:rPr>
          <w:t xml:space="preserve">§ 308 Befugnisse des Beschwerdegerichts</w:t>
        </w:r>
      </w:hyperlink>
    </w:p>
    <w:p>
      <w:pPr>
        <w:pStyle w:val="Übersicht"/>
        <w:ind w:left="680"/>
      </w:pPr>
      <w:hyperlink w:anchor="b461" w:history="1">
        <w:r>
          <w:rPr>
            <w:color w:val="0A3A8C"/>
            <w:u w:val="single"/>
          </w:rPr>
          <w:t xml:space="preserve">§ 309 Entscheidung</w:t>
        </w:r>
      </w:hyperlink>
    </w:p>
    <w:p>
      <w:pPr>
        <w:pStyle w:val="Übersicht"/>
        <w:ind w:left="680"/>
      </w:pPr>
      <w:hyperlink w:anchor="b462" w:history="1">
        <w:r>
          <w:rPr>
            <w:color w:val="0A3A8C"/>
            <w:u w:val="single"/>
          </w:rPr>
          <w:t xml:space="preserve">§ 310 Weitere Beschwerde</w:t>
        </w:r>
      </w:hyperlink>
    </w:p>
    <w:p>
      <w:pPr>
        <w:pStyle w:val="Übersicht"/>
        <w:ind w:left="680"/>
      </w:pPr>
      <w:hyperlink w:anchor="b463" w:history="1">
        <w:r>
          <w:rPr>
            <w:color w:val="0A3A8C"/>
            <w:u w:val="single"/>
          </w:rPr>
          <w:t xml:space="preserve">§ 311 Sofortige Beschwerde</w:t>
        </w:r>
      </w:hyperlink>
    </w:p>
    <w:p>
      <w:pPr>
        <w:pStyle w:val="Übersicht"/>
        <w:ind w:left="680"/>
      </w:pPr>
      <w:hyperlink w:anchor="b464" w:history="1">
        <w:r>
          <w:rPr>
            <w:color w:val="0A3A8C"/>
            <w:u w:val="single"/>
          </w:rPr>
          <w:t xml:space="preserve">§ 311a Nachträgliche Anhörung des Gegners</w:t>
        </w:r>
      </w:hyperlink>
    </w:p>
    <w:p>
      <w:pPr>
        <w:pStyle w:val="Übersicht"/>
        <w:ind w:left="340"/>
      </w:pPr>
      <w:hyperlink w:anchor="b465" w:history="1">
        <w:r>
          <w:rPr>
            <w:b/>
            <w:color w:val="0A3A8C"/>
            <w:u w:val="single"/>
          </w:rPr>
          <w:t xml:space="preserve">Dritter Abschnitt Berufung</w:t>
        </w:r>
      </w:hyperlink>
    </w:p>
    <w:p>
      <w:pPr>
        <w:pStyle w:val="Übersicht"/>
        <w:ind w:left="680"/>
      </w:pPr>
      <w:hyperlink w:anchor="b466" w:history="1">
        <w:r>
          <w:rPr>
            <w:color w:val="0A3A8C"/>
            <w:u w:val="single"/>
          </w:rPr>
          <w:t xml:space="preserve">§ 312 Zulässigkeit</w:t>
        </w:r>
      </w:hyperlink>
    </w:p>
    <w:p>
      <w:pPr>
        <w:pStyle w:val="Übersicht"/>
        <w:ind w:left="680"/>
      </w:pPr>
      <w:hyperlink w:anchor="b467" w:history="1">
        <w:r>
          <w:rPr>
            <w:color w:val="0A3A8C"/>
            <w:u w:val="single"/>
          </w:rPr>
          <w:t xml:space="preserve">§ 313 Annahmeberufung bei geringen Geldstrafen und Geldbußen</w:t>
        </w:r>
      </w:hyperlink>
    </w:p>
    <w:p>
      <w:pPr>
        <w:pStyle w:val="Übersicht"/>
        <w:ind w:left="680"/>
      </w:pPr>
      <w:hyperlink w:anchor="b468" w:history="1">
        <w:r>
          <w:rPr>
            <w:color w:val="0A3A8C"/>
            <w:u w:val="single"/>
          </w:rPr>
          <w:t xml:space="preserve">§ 314 Form und Frist</w:t>
        </w:r>
      </w:hyperlink>
    </w:p>
    <w:p>
      <w:pPr>
        <w:pStyle w:val="Übersicht"/>
        <w:ind w:left="680"/>
      </w:pPr>
      <w:hyperlink w:anchor="b469" w:history="1">
        <w:r>
          <w:rPr>
            <w:color w:val="0A3A8C"/>
            <w:u w:val="single"/>
          </w:rPr>
          <w:t xml:space="preserve">§ 315 Berufung und Wiedereinsetzungsantrag</w:t>
        </w:r>
      </w:hyperlink>
    </w:p>
    <w:p>
      <w:pPr>
        <w:pStyle w:val="Übersicht"/>
        <w:ind w:left="680"/>
      </w:pPr>
      <w:hyperlink w:anchor="b470" w:history="1">
        <w:r>
          <w:rPr>
            <w:color w:val="0A3A8C"/>
            <w:u w:val="single"/>
          </w:rPr>
          <w:t xml:space="preserve">§ 316 Hemmung der Rechtskraft</w:t>
        </w:r>
      </w:hyperlink>
    </w:p>
    <w:p>
      <w:pPr>
        <w:pStyle w:val="Übersicht"/>
        <w:ind w:left="680"/>
      </w:pPr>
      <w:hyperlink w:anchor="b471" w:history="1">
        <w:r>
          <w:rPr>
            <w:color w:val="0A3A8C"/>
            <w:u w:val="single"/>
          </w:rPr>
          <w:t xml:space="preserve">§ 317 Berufungsbegründung</w:t>
        </w:r>
      </w:hyperlink>
    </w:p>
    <w:p>
      <w:pPr>
        <w:pStyle w:val="Übersicht"/>
        <w:ind w:left="680"/>
      </w:pPr>
      <w:hyperlink w:anchor="b472" w:history="1">
        <w:r>
          <w:rPr>
            <w:color w:val="0A3A8C"/>
            <w:u w:val="single"/>
          </w:rPr>
          <w:t xml:space="preserve">§ 318 Berufungsbeschränkung</w:t>
        </w:r>
      </w:hyperlink>
    </w:p>
    <w:p>
      <w:pPr>
        <w:pStyle w:val="Übersicht"/>
        <w:ind w:left="680"/>
      </w:pPr>
      <w:hyperlink w:anchor="b473" w:history="1">
        <w:r>
          <w:rPr>
            <w:color w:val="0A3A8C"/>
            <w:u w:val="single"/>
          </w:rPr>
          <w:t xml:space="preserve">§ 319 Verspätete Einlegung</w:t>
        </w:r>
      </w:hyperlink>
    </w:p>
    <w:p>
      <w:pPr>
        <w:pStyle w:val="Übersicht"/>
        <w:ind w:left="680"/>
      </w:pPr>
      <w:hyperlink w:anchor="b474" w:history="1">
        <w:r>
          <w:rPr>
            <w:color w:val="0A3A8C"/>
            <w:u w:val="single"/>
          </w:rPr>
          <w:t xml:space="preserve">§ 320 Aktenübermittlung an die Staatsanwaltschaft</w:t>
        </w:r>
      </w:hyperlink>
    </w:p>
    <w:p>
      <w:pPr>
        <w:pStyle w:val="Übersicht"/>
        <w:ind w:left="680"/>
      </w:pPr>
      <w:hyperlink w:anchor="b475" w:history="1">
        <w:r>
          <w:rPr>
            <w:color w:val="0A3A8C"/>
            <w:u w:val="single"/>
          </w:rPr>
          <w:t xml:space="preserve">§ 321 Aktenübermittlung an das Berufungsgericht</w:t>
        </w:r>
      </w:hyperlink>
    </w:p>
    <w:p>
      <w:pPr>
        <w:pStyle w:val="Übersicht"/>
        <w:ind w:left="680"/>
      </w:pPr>
      <w:hyperlink w:anchor="b476" w:history="1">
        <w:r>
          <w:rPr>
            <w:color w:val="0A3A8C"/>
            <w:u w:val="single"/>
          </w:rPr>
          <w:t xml:space="preserve">§ 322 Verwerfung ohne Hauptverhandlung</w:t>
        </w:r>
      </w:hyperlink>
    </w:p>
    <w:p>
      <w:pPr>
        <w:pStyle w:val="Übersicht"/>
        <w:ind w:left="680"/>
      </w:pPr>
      <w:hyperlink w:anchor="b477" w:history="1">
        <w:r>
          <w:rPr>
            <w:color w:val="0A3A8C"/>
            <w:u w:val="single"/>
          </w:rPr>
          <w:t xml:space="preserve">§ 322a Entscheidung über die Annahme der Berufung</w:t>
        </w:r>
      </w:hyperlink>
    </w:p>
    <w:p>
      <w:pPr>
        <w:pStyle w:val="Übersicht"/>
        <w:ind w:left="680"/>
      </w:pPr>
      <w:hyperlink w:anchor="b478" w:history="1">
        <w:r>
          <w:rPr>
            <w:color w:val="0A3A8C"/>
            <w:u w:val="single"/>
          </w:rPr>
          <w:t xml:space="preserve">§ 323 Vorbereitung der Berufungshauptverhandlung</w:t>
        </w:r>
      </w:hyperlink>
    </w:p>
    <w:p>
      <w:pPr>
        <w:pStyle w:val="Übersicht"/>
        <w:ind w:left="680"/>
      </w:pPr>
      <w:hyperlink w:anchor="b479" w:history="1">
        <w:r>
          <w:rPr>
            <w:color w:val="0A3A8C"/>
            <w:u w:val="single"/>
          </w:rPr>
          <w:t xml:space="preserve">§ 324 Gang der Berufungshauptverhandlung</w:t>
        </w:r>
      </w:hyperlink>
    </w:p>
    <w:p>
      <w:pPr>
        <w:pStyle w:val="Übersicht"/>
        <w:ind w:left="680"/>
      </w:pPr>
      <w:hyperlink w:anchor="b480" w:history="1">
        <w:r>
          <w:rPr>
            <w:color w:val="0A3A8C"/>
            <w:u w:val="single"/>
          </w:rPr>
          <w:t xml:space="preserve">§ 325 Verlesung von Urkunden</w:t>
        </w:r>
      </w:hyperlink>
    </w:p>
    <w:p>
      <w:pPr>
        <w:pStyle w:val="Übersicht"/>
        <w:ind w:left="680"/>
      </w:pPr>
      <w:hyperlink w:anchor="b481" w:history="1">
        <w:r>
          <w:rPr>
            <w:color w:val="0A3A8C"/>
            <w:u w:val="single"/>
          </w:rPr>
          <w:t xml:space="preserve">§ 326 Schlussvorträge</w:t>
        </w:r>
      </w:hyperlink>
    </w:p>
    <w:p>
      <w:pPr>
        <w:pStyle w:val="Übersicht"/>
        <w:ind w:left="680"/>
      </w:pPr>
      <w:hyperlink w:anchor="b482" w:history="1">
        <w:r>
          <w:rPr>
            <w:color w:val="0A3A8C"/>
            <w:u w:val="single"/>
          </w:rPr>
          <w:t xml:space="preserve">§ 327 Umfang der Urteilsprüfung</w:t>
        </w:r>
      </w:hyperlink>
    </w:p>
    <w:p>
      <w:pPr>
        <w:pStyle w:val="Übersicht"/>
        <w:ind w:left="680"/>
      </w:pPr>
      <w:hyperlink w:anchor="b483" w:history="1">
        <w:r>
          <w:rPr>
            <w:color w:val="0A3A8C"/>
            <w:u w:val="single"/>
          </w:rPr>
          <w:t xml:space="preserve">§ 328 Inhalt des Berufungsurteils</w:t>
        </w:r>
      </w:hyperlink>
    </w:p>
    <w:p>
      <w:pPr>
        <w:pStyle w:val="Übersicht"/>
        <w:ind w:left="680"/>
      </w:pPr>
      <w:hyperlink w:anchor="b484" w:history="1">
        <w:r>
          <w:rPr>
            <w:color w:val="0A3A8C"/>
            <w:u w:val="single"/>
          </w:rPr>
          <w:t xml:space="preserve">§ 329 Ausbleiben des Angeklagten; Vertretung in der Berufungshauptverhandlung</w:t>
        </w:r>
      </w:hyperlink>
    </w:p>
    <w:p>
      <w:pPr>
        <w:pStyle w:val="Übersicht"/>
        <w:ind w:left="680"/>
      </w:pPr>
      <w:hyperlink w:anchor="b485" w:history="1">
        <w:r>
          <w:rPr>
            <w:color w:val="0A3A8C"/>
            <w:u w:val="single"/>
          </w:rPr>
          <w:t xml:space="preserve">§ 330 Maßnahmen bei Berufung des gesetzlichen Vertreters</w:t>
        </w:r>
      </w:hyperlink>
    </w:p>
    <w:p>
      <w:pPr>
        <w:pStyle w:val="Übersicht"/>
        <w:ind w:left="680"/>
      </w:pPr>
      <w:hyperlink w:anchor="b486" w:history="1">
        <w:r>
          <w:rPr>
            <w:color w:val="0A3A8C"/>
            <w:u w:val="single"/>
          </w:rPr>
          <w:t xml:space="preserve">§ 331 Verbot der Verschlechterung</w:t>
        </w:r>
      </w:hyperlink>
    </w:p>
    <w:p>
      <w:pPr>
        <w:pStyle w:val="Übersicht"/>
        <w:ind w:left="680"/>
      </w:pPr>
      <w:hyperlink w:anchor="b487" w:history="1">
        <w:r>
          <w:rPr>
            <w:color w:val="0A3A8C"/>
            <w:u w:val="single"/>
          </w:rPr>
          <w:t xml:space="preserve">§ 332 Anwendbarkeit der Vorschriften über die erstinstanzliche Hauptverhandlung</w:t>
        </w:r>
      </w:hyperlink>
    </w:p>
    <w:p>
      <w:pPr>
        <w:pStyle w:val="Übersicht"/>
        <w:ind w:left="340"/>
      </w:pPr>
      <w:hyperlink w:anchor="b488" w:history="1">
        <w:r>
          <w:rPr>
            <w:b/>
            <w:color w:val="0A3A8C"/>
            <w:u w:val="single"/>
          </w:rPr>
          <w:t xml:space="preserve">Vierter Abschnitt Revision</w:t>
        </w:r>
      </w:hyperlink>
    </w:p>
    <w:p>
      <w:pPr>
        <w:pStyle w:val="Übersicht"/>
        <w:ind w:left="680"/>
      </w:pPr>
      <w:hyperlink w:anchor="b489" w:history="1">
        <w:r>
          <w:rPr>
            <w:color w:val="0A3A8C"/>
            <w:u w:val="single"/>
          </w:rPr>
          <w:t xml:space="preserve">§ 333 Zulässigkeit</w:t>
        </w:r>
      </w:hyperlink>
    </w:p>
    <w:p>
      <w:pPr>
        <w:pStyle w:val="Übersicht"/>
        <w:ind w:left="680"/>
      </w:pPr>
      <w:hyperlink w:anchor="b490" w:history="1">
        <w:r>
          <w:rPr>
            <w:color w:val="0A3A8C"/>
            <w:u w:val="single"/>
          </w:rPr>
          <w:t xml:space="preserve">§ 334 (weggefallen)</w:t>
        </w:r>
      </w:hyperlink>
    </w:p>
    <w:p>
      <w:pPr>
        <w:pStyle w:val="Übersicht"/>
        <w:ind w:left="680"/>
      </w:pPr>
      <w:hyperlink w:anchor="b491" w:history="1">
        <w:r>
          <w:rPr>
            <w:color w:val="0A3A8C"/>
            <w:u w:val="single"/>
          </w:rPr>
          <w:t xml:space="preserve">§ 335 Sprungrevision</w:t>
        </w:r>
      </w:hyperlink>
    </w:p>
    <w:p>
      <w:pPr>
        <w:pStyle w:val="Übersicht"/>
        <w:ind w:left="680"/>
      </w:pPr>
      <w:hyperlink w:anchor="b492" w:history="1">
        <w:r>
          <w:rPr>
            <w:color w:val="0A3A8C"/>
            <w:u w:val="single"/>
          </w:rPr>
          <w:t xml:space="preserve">§ 336 Überprüfung der dem Urteil vorausgegangenen Entscheidungen</w:t>
        </w:r>
      </w:hyperlink>
    </w:p>
    <w:p>
      <w:pPr>
        <w:pStyle w:val="Übersicht"/>
        <w:ind w:left="680"/>
      </w:pPr>
      <w:hyperlink w:anchor="b493" w:history="1">
        <w:r>
          <w:rPr>
            <w:color w:val="0A3A8C"/>
            <w:u w:val="single"/>
          </w:rPr>
          <w:t xml:space="preserve">§ 337 Revisionsgründe</w:t>
        </w:r>
      </w:hyperlink>
    </w:p>
    <w:p>
      <w:pPr>
        <w:pStyle w:val="Übersicht"/>
        <w:ind w:left="680"/>
      </w:pPr>
      <w:hyperlink w:anchor="b494" w:history="1">
        <w:r>
          <w:rPr>
            <w:color w:val="0A3A8C"/>
            <w:u w:val="single"/>
          </w:rPr>
          <w:t xml:space="preserve">§ 338 Absolute Revisionsgründe</w:t>
        </w:r>
      </w:hyperlink>
    </w:p>
    <w:p>
      <w:pPr>
        <w:pStyle w:val="Übersicht"/>
        <w:ind w:left="680"/>
      </w:pPr>
      <w:hyperlink w:anchor="b495" w:history="1">
        <w:r>
          <w:rPr>
            <w:color w:val="0A3A8C"/>
            <w:u w:val="single"/>
          </w:rPr>
          <w:t xml:space="preserve">§ 339 Rechtsnormen zugunsten des Angeklagten</w:t>
        </w:r>
      </w:hyperlink>
    </w:p>
    <w:p>
      <w:pPr>
        <w:pStyle w:val="Übersicht"/>
        <w:ind w:left="680"/>
      </w:pPr>
      <w:hyperlink w:anchor="b496" w:history="1">
        <w:r>
          <w:rPr>
            <w:color w:val="0A3A8C"/>
            <w:u w:val="single"/>
          </w:rPr>
          <w:t xml:space="preserve">§ 340 Revision gegen Berufungsurteile bei Vertretung des Angeklagten</w:t>
        </w:r>
      </w:hyperlink>
    </w:p>
    <w:p>
      <w:pPr>
        <w:pStyle w:val="Übersicht"/>
        <w:ind w:left="680"/>
      </w:pPr>
      <w:hyperlink w:anchor="b497" w:history="1">
        <w:r>
          <w:rPr>
            <w:color w:val="0A3A8C"/>
            <w:u w:val="single"/>
          </w:rPr>
          <w:t xml:space="preserve">§ 341 Form und Frist</w:t>
        </w:r>
      </w:hyperlink>
    </w:p>
    <w:p>
      <w:pPr>
        <w:pStyle w:val="Übersicht"/>
        <w:ind w:left="680"/>
      </w:pPr>
      <w:hyperlink w:anchor="b498" w:history="1">
        <w:r>
          <w:rPr>
            <w:color w:val="0A3A8C"/>
            <w:u w:val="single"/>
          </w:rPr>
          <w:t xml:space="preserve">§ 342 Revision und Wiedereinsetzungsantrag</w:t>
        </w:r>
      </w:hyperlink>
    </w:p>
    <w:p>
      <w:pPr>
        <w:pStyle w:val="Übersicht"/>
        <w:ind w:left="680"/>
      </w:pPr>
      <w:hyperlink w:anchor="b499" w:history="1">
        <w:r>
          <w:rPr>
            <w:color w:val="0A3A8C"/>
            <w:u w:val="single"/>
          </w:rPr>
          <w:t xml:space="preserve">§ 343 Hemmung der Rechtskraft</w:t>
        </w:r>
      </w:hyperlink>
    </w:p>
    <w:p>
      <w:pPr>
        <w:pStyle w:val="Übersicht"/>
        <w:ind w:left="680"/>
      </w:pPr>
      <w:hyperlink w:anchor="b500" w:history="1">
        <w:r>
          <w:rPr>
            <w:color w:val="0A3A8C"/>
            <w:u w:val="single"/>
          </w:rPr>
          <w:t xml:space="preserve">§ 344 Revisionsbegründung</w:t>
        </w:r>
      </w:hyperlink>
    </w:p>
    <w:p>
      <w:pPr>
        <w:pStyle w:val="Übersicht"/>
        <w:ind w:left="680"/>
      </w:pPr>
      <w:hyperlink w:anchor="b501" w:history="1">
        <w:r>
          <w:rPr>
            <w:color w:val="0A3A8C"/>
            <w:u w:val="single"/>
          </w:rPr>
          <w:t xml:space="preserve">§ 345 Revisionsbegründungsfrist</w:t>
        </w:r>
      </w:hyperlink>
    </w:p>
    <w:p>
      <w:pPr>
        <w:pStyle w:val="Übersicht"/>
        <w:ind w:left="680"/>
      </w:pPr>
      <w:hyperlink w:anchor="b502" w:history="1">
        <w:r>
          <w:rPr>
            <w:color w:val="0A3A8C"/>
            <w:u w:val="single"/>
          </w:rPr>
          <w:t xml:space="preserve">§ 346 Verspätete oder formwidrige Einlegung</w:t>
        </w:r>
      </w:hyperlink>
    </w:p>
    <w:p>
      <w:pPr>
        <w:pStyle w:val="Übersicht"/>
        <w:ind w:left="680"/>
      </w:pPr>
      <w:hyperlink w:anchor="b503" w:history="1">
        <w:r>
          <w:rPr>
            <w:color w:val="0A3A8C"/>
            <w:u w:val="single"/>
          </w:rPr>
          <w:t xml:space="preserve">§ 347 Zustellung; Gegenerklärung; Vorlage der Akten an das Revisionsgericht</w:t>
        </w:r>
      </w:hyperlink>
    </w:p>
    <w:p>
      <w:pPr>
        <w:pStyle w:val="Übersicht"/>
        <w:ind w:left="680"/>
      </w:pPr>
      <w:hyperlink w:anchor="b504" w:history="1">
        <w:r>
          <w:rPr>
            <w:color w:val="0A3A8C"/>
            <w:u w:val="single"/>
          </w:rPr>
          <w:t xml:space="preserve">§ 348 Unzuständigkeit des Gerichts</w:t>
        </w:r>
      </w:hyperlink>
    </w:p>
    <w:p>
      <w:pPr>
        <w:pStyle w:val="Übersicht"/>
        <w:ind w:left="680"/>
      </w:pPr>
      <w:hyperlink w:anchor="b505" w:history="1">
        <w:r>
          <w:rPr>
            <w:color w:val="0A3A8C"/>
            <w:u w:val="single"/>
          </w:rPr>
          <w:t xml:space="preserve">§ 349 Entscheidung ohne Hauptverhandlung durch Beschluss</w:t>
        </w:r>
      </w:hyperlink>
    </w:p>
    <w:p>
      <w:pPr>
        <w:pStyle w:val="Übersicht"/>
        <w:ind w:left="680"/>
      </w:pPr>
      <w:hyperlink w:anchor="b506" w:history="1">
        <w:r>
          <w:rPr>
            <w:color w:val="0A3A8C"/>
            <w:u w:val="single"/>
          </w:rPr>
          <w:t xml:space="preserve">§ 350 Revisionshauptverhandlung</w:t>
        </w:r>
      </w:hyperlink>
    </w:p>
    <w:p>
      <w:pPr>
        <w:pStyle w:val="Übersicht"/>
        <w:ind w:left="680"/>
      </w:pPr>
      <w:hyperlink w:anchor="b507" w:history="1">
        <w:r>
          <w:rPr>
            <w:color w:val="0A3A8C"/>
            <w:u w:val="single"/>
          </w:rPr>
          <w:t xml:space="preserve">§ 351 Gang der Revisionshauptverhandlung</w:t>
        </w:r>
      </w:hyperlink>
    </w:p>
    <w:p>
      <w:pPr>
        <w:pStyle w:val="Übersicht"/>
        <w:ind w:left="680"/>
      </w:pPr>
      <w:hyperlink w:anchor="b508" w:history="1">
        <w:r>
          <w:rPr>
            <w:color w:val="0A3A8C"/>
            <w:u w:val="single"/>
          </w:rPr>
          <w:t xml:space="preserve">§ 352 Umfang der Urteilsprüfung</w:t>
        </w:r>
      </w:hyperlink>
    </w:p>
    <w:p>
      <w:pPr>
        <w:pStyle w:val="Übersicht"/>
        <w:ind w:left="680"/>
      </w:pPr>
      <w:hyperlink w:anchor="b509" w:history="1">
        <w:r>
          <w:rPr>
            <w:color w:val="0A3A8C"/>
            <w:u w:val="single"/>
          </w:rPr>
          <w:t xml:space="preserve">§ 353 Aufhebung des Urteils und der Feststellungen</w:t>
        </w:r>
      </w:hyperlink>
    </w:p>
    <w:p>
      <w:pPr>
        <w:pStyle w:val="Übersicht"/>
        <w:ind w:left="680"/>
      </w:pPr>
      <w:hyperlink w:anchor="b510" w:history="1">
        <w:r>
          <w:rPr>
            <w:color w:val="0A3A8C"/>
            <w:u w:val="single"/>
          </w:rPr>
          <w:t xml:space="preserve">§ 354 Eigene Entscheidung in der Sache; Zurückverweisung</w:t>
        </w:r>
      </w:hyperlink>
    </w:p>
    <w:p>
      <w:pPr>
        <w:pStyle w:val="Übersicht"/>
        <w:ind w:left="680"/>
      </w:pPr>
      <w:hyperlink w:anchor="b511" w:history="1">
        <w:r>
          <w:rPr>
            <w:color w:val="0A3A8C"/>
            <w:u w:val="single"/>
          </w:rPr>
          <w:t xml:space="preserve">§ 354a Entscheidung bei Gesetzesänderung</w:t>
        </w:r>
      </w:hyperlink>
    </w:p>
    <w:p>
      <w:pPr>
        <w:pStyle w:val="Übersicht"/>
        <w:ind w:left="680"/>
      </w:pPr>
      <w:hyperlink w:anchor="b512" w:history="1">
        <w:r>
          <w:rPr>
            <w:color w:val="0A3A8C"/>
            <w:u w:val="single"/>
          </w:rPr>
          <w:t xml:space="preserve">§ 355 Verweisung an das zuständige Gericht</w:t>
        </w:r>
      </w:hyperlink>
    </w:p>
    <w:p>
      <w:pPr>
        <w:pStyle w:val="Übersicht"/>
        <w:ind w:left="680"/>
      </w:pPr>
      <w:hyperlink w:anchor="b513" w:history="1">
        <w:r>
          <w:rPr>
            <w:color w:val="0A3A8C"/>
            <w:u w:val="single"/>
          </w:rPr>
          <w:t xml:space="preserve">§ 356 Urteilsverkündung</w:t>
        </w:r>
      </w:hyperlink>
    </w:p>
    <w:p>
      <w:pPr>
        <w:pStyle w:val="Übersicht"/>
        <w:ind w:left="680"/>
      </w:pPr>
      <w:hyperlink w:anchor="b514" w:history="1">
        <w:r>
          <w:rPr>
            <w:color w:val="0A3A8C"/>
            <w:u w:val="single"/>
          </w:rPr>
          <w:t xml:space="preserve">§ 356a Verletzung des Anspruchs auf rechtliches Gehör bei einer Revisionsentscheidung</w:t>
        </w:r>
      </w:hyperlink>
    </w:p>
    <w:p>
      <w:pPr>
        <w:pStyle w:val="Übersicht"/>
        <w:ind w:left="680"/>
      </w:pPr>
      <w:hyperlink w:anchor="b515" w:history="1">
        <w:r>
          <w:rPr>
            <w:color w:val="0A3A8C"/>
            <w:u w:val="single"/>
          </w:rPr>
          <w:t xml:space="preserve">§ 357 Revisionserstreckung auf Mitverurteilte</w:t>
        </w:r>
      </w:hyperlink>
    </w:p>
    <w:p>
      <w:pPr>
        <w:pStyle w:val="Übersicht"/>
        <w:ind w:left="680"/>
      </w:pPr>
      <w:hyperlink w:anchor="b516" w:history="1">
        <w:r>
          <w:rPr>
            <w:color w:val="0A3A8C"/>
            <w:u w:val="single"/>
          </w:rPr>
          <w:t xml:space="preserve">§ 358 Bindung des Tatgerichts; Verbot der Schlechterstellung</w:t>
        </w:r>
      </w:hyperlink>
    </w:p>
    <w:p>
      <w:pPr>
        <w:pStyle w:val="Übersicht"/>
        <w:ind w:left="0"/>
      </w:pPr>
      <w:hyperlink w:anchor="b517" w:history="1">
        <w:r>
          <w:rPr>
            <w:b/>
            <w:color w:val="0A3A8C"/>
            <w:u w:val="single"/>
          </w:rPr>
          <w:t xml:space="preserve">Viertes Buch Wiederaufnahme eines durch rechtskräftiges Urteil abgeschlossenen Verfahrens</w:t>
        </w:r>
      </w:hyperlink>
    </w:p>
    <w:p>
      <w:pPr>
        <w:pStyle w:val="Übersicht"/>
        <w:ind w:left="340"/>
      </w:pPr>
      <w:hyperlink w:anchor="b518" w:history="1">
        <w:r>
          <w:rPr>
            <w:color w:val="0A3A8C"/>
            <w:u w:val="single"/>
          </w:rPr>
          <w:t xml:space="preserve">§ 359 Wiederaufnahme zugunsten des Verurteilten</w:t>
        </w:r>
      </w:hyperlink>
    </w:p>
    <w:p>
      <w:pPr>
        <w:pStyle w:val="Übersicht"/>
        <w:ind w:left="340"/>
      </w:pPr>
      <w:hyperlink w:anchor="b519" w:history="1">
        <w:r>
          <w:rPr>
            <w:color w:val="0A3A8C"/>
            <w:u w:val="single"/>
          </w:rPr>
          <w:t xml:space="preserve">§ 360 Keine Hemmung der Vollstreckung</w:t>
        </w:r>
      </w:hyperlink>
    </w:p>
    <w:p>
      <w:pPr>
        <w:pStyle w:val="Übersicht"/>
        <w:ind w:left="340"/>
      </w:pPr>
      <w:hyperlink w:anchor="b520" w:history="1">
        <w:r>
          <w:rPr>
            <w:color w:val="0A3A8C"/>
            <w:u w:val="single"/>
          </w:rPr>
          <w:t xml:space="preserve">§ 361 Wiederaufnahme nach Vollstreckung oder Tod des Verurteilten</w:t>
        </w:r>
      </w:hyperlink>
    </w:p>
    <w:p>
      <w:pPr>
        <w:pStyle w:val="Übersicht"/>
        <w:ind w:left="340"/>
      </w:pPr>
      <w:hyperlink w:anchor="b521" w:history="1">
        <w:r>
          <w:rPr>
            <w:color w:val="0A3A8C"/>
            <w:u w:val="single"/>
          </w:rPr>
          <w:t xml:space="preserve">§ 362 Wiederaufnahme zuungunsten des Verurteilten</w:t>
        </w:r>
      </w:hyperlink>
    </w:p>
    <w:p>
      <w:pPr>
        <w:pStyle w:val="Übersicht"/>
        <w:ind w:left="340"/>
      </w:pPr>
      <w:hyperlink w:anchor="b522" w:history="1">
        <w:r>
          <w:rPr>
            <w:color w:val="0A3A8C"/>
            <w:u w:val="single"/>
          </w:rPr>
          <w:t xml:space="preserve">§ 363 Unzulässigkeit</w:t>
        </w:r>
      </w:hyperlink>
    </w:p>
    <w:p>
      <w:pPr>
        <w:pStyle w:val="Übersicht"/>
        <w:ind w:left="340"/>
      </w:pPr>
      <w:hyperlink w:anchor="b523" w:history="1">
        <w:r>
          <w:rPr>
            <w:color w:val="0A3A8C"/>
            <w:u w:val="single"/>
          </w:rPr>
          <w:t xml:space="preserve">§ 364 Behauptung einer Straftat</w:t>
        </w:r>
      </w:hyperlink>
    </w:p>
    <w:p>
      <w:pPr>
        <w:pStyle w:val="Übersicht"/>
        <w:ind w:left="340"/>
      </w:pPr>
      <w:hyperlink w:anchor="b524" w:history="1">
        <w:r>
          <w:rPr>
            <w:color w:val="0A3A8C"/>
            <w:u w:val="single"/>
          </w:rPr>
          <w:t xml:space="preserve">§ 364a Bestellung eines Verteidigers für das Wiederaufnahmeverfahren</w:t>
        </w:r>
      </w:hyperlink>
    </w:p>
    <w:p>
      <w:pPr>
        <w:pStyle w:val="Übersicht"/>
        <w:ind w:left="340"/>
      </w:pPr>
      <w:hyperlink w:anchor="b525" w:history="1">
        <w:r>
          <w:rPr>
            <w:color w:val="0A3A8C"/>
            <w:u w:val="single"/>
          </w:rPr>
          <w:t xml:space="preserve">§ 364b Bestellung eines Verteidigers für die Vorbereitung des Wiederaufnahmeverfahrens</w:t>
        </w:r>
      </w:hyperlink>
    </w:p>
    <w:p>
      <w:pPr>
        <w:pStyle w:val="Übersicht"/>
        <w:ind w:left="340"/>
      </w:pPr>
      <w:hyperlink w:anchor="b526" w:history="1">
        <w:r>
          <w:rPr>
            <w:color w:val="0A3A8C"/>
            <w:u w:val="single"/>
          </w:rPr>
          <w:t xml:space="preserve">§ 365 Geltung der allgemeinen Vorschriften über Rechtsmittel für den Antrag</w:t>
        </w:r>
      </w:hyperlink>
    </w:p>
    <w:p>
      <w:pPr>
        <w:pStyle w:val="Übersicht"/>
        <w:ind w:left="340"/>
      </w:pPr>
      <w:hyperlink w:anchor="b527" w:history="1">
        <w:r>
          <w:rPr>
            <w:color w:val="0A3A8C"/>
            <w:u w:val="single"/>
          </w:rPr>
          <w:t xml:space="preserve">§ 366 Inhalt und Form des Antrags</w:t>
        </w:r>
      </w:hyperlink>
    </w:p>
    <w:p>
      <w:pPr>
        <w:pStyle w:val="Übersicht"/>
        <w:ind w:left="340"/>
      </w:pPr>
      <w:hyperlink w:anchor="b528" w:history="1">
        <w:r>
          <w:rPr>
            <w:color w:val="0A3A8C"/>
            <w:u w:val="single"/>
          </w:rPr>
          <w:t xml:space="preserve">§ 367 Zuständigkeit des Gerichts; Entscheidung ohne mündliche Verhandlung</w:t>
        </w:r>
      </w:hyperlink>
    </w:p>
    <w:p>
      <w:pPr>
        <w:pStyle w:val="Übersicht"/>
        <w:ind w:left="340"/>
      </w:pPr>
      <w:hyperlink w:anchor="b529" w:history="1">
        <w:r>
          <w:rPr>
            <w:color w:val="0A3A8C"/>
            <w:u w:val="single"/>
          </w:rPr>
          <w:t xml:space="preserve">§ 368 Verwerfung wegen Unzulässigkeit</w:t>
        </w:r>
      </w:hyperlink>
    </w:p>
    <w:p>
      <w:pPr>
        <w:pStyle w:val="Übersicht"/>
        <w:ind w:left="340"/>
      </w:pPr>
      <w:hyperlink w:anchor="b530" w:history="1">
        <w:r>
          <w:rPr>
            <w:color w:val="0A3A8C"/>
            <w:u w:val="single"/>
          </w:rPr>
          <w:t xml:space="preserve">§ 369 Beweisaufnahme</w:t>
        </w:r>
      </w:hyperlink>
    </w:p>
    <w:p>
      <w:pPr>
        <w:pStyle w:val="Übersicht"/>
        <w:ind w:left="340"/>
      </w:pPr>
      <w:hyperlink w:anchor="b531" w:history="1">
        <w:r>
          <w:rPr>
            <w:color w:val="0A3A8C"/>
            <w:u w:val="single"/>
          </w:rPr>
          <w:t xml:space="preserve">§ 370 Entscheidung über die Begründetheit</w:t>
        </w:r>
      </w:hyperlink>
    </w:p>
    <w:p>
      <w:pPr>
        <w:pStyle w:val="Übersicht"/>
        <w:ind w:left="340"/>
      </w:pPr>
      <w:hyperlink w:anchor="b532" w:history="1">
        <w:r>
          <w:rPr>
            <w:color w:val="0A3A8C"/>
            <w:u w:val="single"/>
          </w:rPr>
          <w:t xml:space="preserve">§ 371 Freisprechung ohne erneute Hauptverhandlung</w:t>
        </w:r>
      </w:hyperlink>
    </w:p>
    <w:p>
      <w:pPr>
        <w:pStyle w:val="Übersicht"/>
        <w:ind w:left="340"/>
      </w:pPr>
      <w:hyperlink w:anchor="b533" w:history="1">
        <w:r>
          <w:rPr>
            <w:color w:val="0A3A8C"/>
            <w:u w:val="single"/>
          </w:rPr>
          <w:t xml:space="preserve">§ 372 Sofortige Beschwerde</w:t>
        </w:r>
      </w:hyperlink>
    </w:p>
    <w:p>
      <w:pPr>
        <w:pStyle w:val="Übersicht"/>
        <w:ind w:left="340"/>
      </w:pPr>
      <w:hyperlink w:anchor="b534" w:history="1">
        <w:r>
          <w:rPr>
            <w:color w:val="0A3A8C"/>
            <w:u w:val="single"/>
          </w:rPr>
          <w:t xml:space="preserve">§ 373 Urteil nach erneuter Hauptverhandlung; Verbot der Schlechterstellung</w:t>
        </w:r>
      </w:hyperlink>
    </w:p>
    <w:p>
      <w:pPr>
        <w:pStyle w:val="Übersicht"/>
        <w:ind w:left="340"/>
      </w:pPr>
      <w:hyperlink w:anchor="b535" w:history="1">
        <w:r>
          <w:rPr>
            <w:color w:val="0A3A8C"/>
            <w:u w:val="single"/>
          </w:rPr>
          <w:t xml:space="preserve">§ 373a Verfahren bei Strafbefehl</w:t>
        </w:r>
      </w:hyperlink>
    </w:p>
    <w:p>
      <w:pPr>
        <w:pStyle w:val="Übersicht"/>
        <w:ind w:left="0"/>
      </w:pPr>
      <w:hyperlink w:anchor="b536" w:history="1">
        <w:r>
          <w:rPr>
            <w:b/>
            <w:color w:val="0A3A8C"/>
            <w:u w:val="single"/>
          </w:rPr>
          <w:t xml:space="preserve">Fünftes Buch Beteiligung des Verletzten am Verfahren</w:t>
        </w:r>
      </w:hyperlink>
    </w:p>
    <w:p>
      <w:pPr>
        <w:pStyle w:val="Übersicht"/>
        <w:ind w:left="340"/>
      </w:pPr>
      <w:hyperlink w:anchor="b537" w:history="1">
        <w:r>
          <w:rPr>
            <w:b/>
            <w:color w:val="0A3A8C"/>
            <w:u w:val="single"/>
          </w:rPr>
          <w:t xml:space="preserve">Erster Abschnitt Definition</w:t>
        </w:r>
      </w:hyperlink>
    </w:p>
    <w:p>
      <w:pPr>
        <w:pStyle w:val="Übersicht"/>
        <w:ind w:left="680"/>
      </w:pPr>
      <w:hyperlink w:anchor="b538" w:history="1">
        <w:r>
          <w:rPr>
            <w:color w:val="0A3A8C"/>
            <w:u w:val="single"/>
          </w:rPr>
          <w:t xml:space="preserve">§ 373b Begriff des Verletzten</w:t>
        </w:r>
      </w:hyperlink>
    </w:p>
    <w:p>
      <w:pPr>
        <w:pStyle w:val="Übersicht"/>
        <w:ind w:left="340"/>
      </w:pPr>
      <w:hyperlink w:anchor="b539" w:history="1">
        <w:r>
          <w:rPr>
            <w:b/>
            <w:color w:val="0A3A8C"/>
            <w:u w:val="single"/>
          </w:rPr>
          <w:t xml:space="preserve">Zweiter Abschnitt Privatklage</w:t>
        </w:r>
      </w:hyperlink>
    </w:p>
    <w:p>
      <w:pPr>
        <w:pStyle w:val="Übersicht"/>
        <w:ind w:left="680"/>
      </w:pPr>
      <w:hyperlink w:anchor="b540" w:history="1">
        <w:r>
          <w:rPr>
            <w:color w:val="0A3A8C"/>
            <w:u w:val="single"/>
          </w:rPr>
          <w:t xml:space="preserve">§ 374 Zulässigkeit; Privatklageberechtigte</w:t>
        </w:r>
      </w:hyperlink>
    </w:p>
    <w:p>
      <w:pPr>
        <w:pStyle w:val="Übersicht"/>
        <w:ind w:left="680"/>
      </w:pPr>
      <w:hyperlink w:anchor="b541" w:history="1">
        <w:r>
          <w:rPr>
            <w:color w:val="0A3A8C"/>
            <w:u w:val="single"/>
          </w:rPr>
          <w:t xml:space="preserve">§ 375 Mehrere Privatklageberechtigte</w:t>
        </w:r>
      </w:hyperlink>
    </w:p>
    <w:p>
      <w:pPr>
        <w:pStyle w:val="Übersicht"/>
        <w:ind w:left="680"/>
      </w:pPr>
      <w:hyperlink w:anchor="b542" w:history="1">
        <w:r>
          <w:rPr>
            <w:color w:val="0A3A8C"/>
            <w:u w:val="single"/>
          </w:rPr>
          <w:t xml:space="preserve">§ 376 Anklageerhebung bei Privatklagedelikten</w:t>
        </w:r>
      </w:hyperlink>
    </w:p>
    <w:p>
      <w:pPr>
        <w:pStyle w:val="Übersicht"/>
        <w:ind w:left="680"/>
      </w:pPr>
      <w:hyperlink w:anchor="b543" w:history="1">
        <w:r>
          <w:rPr>
            <w:color w:val="0A3A8C"/>
            <w:u w:val="single"/>
          </w:rPr>
          <w:t xml:space="preserve">§ 377 Beteiligung der Staatsanwaltschaft; Übernahme der Verfolgung</w:t>
        </w:r>
      </w:hyperlink>
    </w:p>
    <w:p>
      <w:pPr>
        <w:pStyle w:val="Übersicht"/>
        <w:ind w:left="680"/>
      </w:pPr>
      <w:hyperlink w:anchor="b544" w:history="1">
        <w:r>
          <w:rPr>
            <w:color w:val="0A3A8C"/>
            <w:u w:val="single"/>
          </w:rPr>
          <w:t xml:space="preserve">§ 378 Beistand und Vertreter des Privatklägers</w:t>
        </w:r>
      </w:hyperlink>
    </w:p>
    <w:p>
      <w:pPr>
        <w:pStyle w:val="Übersicht"/>
        <w:ind w:left="680"/>
      </w:pPr>
      <w:hyperlink w:anchor="b545" w:history="1">
        <w:r>
          <w:rPr>
            <w:color w:val="0A3A8C"/>
            <w:u w:val="single"/>
          </w:rPr>
          <w:t xml:space="preserve">§ 379 Sicherheitsleistung; Prozesskostenhilfe</w:t>
        </w:r>
      </w:hyperlink>
    </w:p>
    <w:p>
      <w:pPr>
        <w:pStyle w:val="Übersicht"/>
        <w:ind w:left="680"/>
      </w:pPr>
      <w:hyperlink w:anchor="b546" w:history="1">
        <w:r>
          <w:rPr>
            <w:color w:val="0A3A8C"/>
            <w:u w:val="single"/>
          </w:rPr>
          <w:t xml:space="preserve">§ 379a Gebührenvorschuss</w:t>
        </w:r>
      </w:hyperlink>
    </w:p>
    <w:p>
      <w:pPr>
        <w:pStyle w:val="Übersicht"/>
        <w:ind w:left="680"/>
      </w:pPr>
      <w:hyperlink w:anchor="b547" w:history="1">
        <w:r>
          <w:rPr>
            <w:color w:val="0A3A8C"/>
            <w:u w:val="single"/>
          </w:rPr>
          <w:t xml:space="preserve">§ 380 Erfolgloser Sühneversuch als Zulässigkeitsvoraussetzung</w:t>
        </w:r>
      </w:hyperlink>
    </w:p>
    <w:p>
      <w:pPr>
        <w:pStyle w:val="Übersicht"/>
        <w:ind w:left="680"/>
      </w:pPr>
      <w:hyperlink w:anchor="b548" w:history="1">
        <w:r>
          <w:rPr>
            <w:color w:val="0A3A8C"/>
            <w:u w:val="single"/>
          </w:rPr>
          <w:t xml:space="preserve">§ 381 Erhebung der Privatklage</w:t>
        </w:r>
      </w:hyperlink>
    </w:p>
    <w:p>
      <w:pPr>
        <w:pStyle w:val="Übersicht"/>
        <w:ind w:left="680"/>
      </w:pPr>
      <w:hyperlink w:anchor="b549" w:history="1">
        <w:r>
          <w:rPr>
            <w:color w:val="0A3A8C"/>
            <w:u w:val="single"/>
          </w:rPr>
          <w:t xml:space="preserve">§ 382 Mitteilung der Privatklage an den Beschuldigten</w:t>
        </w:r>
      </w:hyperlink>
    </w:p>
    <w:p>
      <w:pPr>
        <w:pStyle w:val="Übersicht"/>
        <w:ind w:left="680"/>
      </w:pPr>
      <w:hyperlink w:anchor="b550" w:history="1">
        <w:r>
          <w:rPr>
            <w:color w:val="0A3A8C"/>
            <w:u w:val="single"/>
          </w:rPr>
          <w:t xml:space="preserve">§ 383 Eröffnungs- oder Zurückweisungsbeschluss; Einstellung bei geringer Schuld</w:t>
        </w:r>
      </w:hyperlink>
    </w:p>
    <w:p>
      <w:pPr>
        <w:pStyle w:val="Übersicht"/>
        <w:ind w:left="680"/>
      </w:pPr>
      <w:hyperlink w:anchor="b551" w:history="1">
        <w:r>
          <w:rPr>
            <w:color w:val="0A3A8C"/>
            <w:u w:val="single"/>
          </w:rPr>
          <w:t xml:space="preserve">§ 384 Weiteres Verfahren</w:t>
        </w:r>
      </w:hyperlink>
    </w:p>
    <w:p>
      <w:pPr>
        <w:pStyle w:val="Übersicht"/>
        <w:ind w:left="680"/>
      </w:pPr>
      <w:hyperlink w:anchor="b552" w:history="1">
        <w:r>
          <w:rPr>
            <w:color w:val="0A3A8C"/>
            <w:u w:val="single"/>
          </w:rPr>
          <w:t xml:space="preserve">§ 385 Stellung des Privatklägers; Ladung; Akteneinsicht</w:t>
        </w:r>
      </w:hyperlink>
    </w:p>
    <w:p>
      <w:pPr>
        <w:pStyle w:val="Übersicht"/>
        <w:ind w:left="680"/>
      </w:pPr>
      <w:hyperlink w:anchor="b553" w:history="1">
        <w:r>
          <w:rPr>
            <w:color w:val="0A3A8C"/>
            <w:u w:val="single"/>
          </w:rPr>
          <w:t xml:space="preserve">§ 386 Ladung von Zeugen und Sachverständigen</w:t>
        </w:r>
      </w:hyperlink>
    </w:p>
    <w:p>
      <w:pPr>
        <w:pStyle w:val="Übersicht"/>
        <w:ind w:left="680"/>
      </w:pPr>
      <w:hyperlink w:anchor="b554" w:history="1">
        <w:r>
          <w:rPr>
            <w:color w:val="0A3A8C"/>
            <w:u w:val="single"/>
          </w:rPr>
          <w:t xml:space="preserve">§ 387 Vertretung in der Hauptverhandlung</w:t>
        </w:r>
      </w:hyperlink>
    </w:p>
    <w:p>
      <w:pPr>
        <w:pStyle w:val="Übersicht"/>
        <w:ind w:left="680"/>
      </w:pPr>
      <w:hyperlink w:anchor="b555" w:history="1">
        <w:r>
          <w:rPr>
            <w:color w:val="0A3A8C"/>
            <w:u w:val="single"/>
          </w:rPr>
          <w:t xml:space="preserve">§ 388 Widerklage</w:t>
        </w:r>
      </w:hyperlink>
    </w:p>
    <w:p>
      <w:pPr>
        <w:pStyle w:val="Übersicht"/>
        <w:ind w:left="680"/>
      </w:pPr>
      <w:hyperlink w:anchor="b556" w:history="1">
        <w:r>
          <w:rPr>
            <w:color w:val="0A3A8C"/>
            <w:u w:val="single"/>
          </w:rPr>
          <w:t xml:space="preserve">§ 389 Einstellung durch Urteil bei Verdacht eines Offizialdelikts</w:t>
        </w:r>
      </w:hyperlink>
    </w:p>
    <w:p>
      <w:pPr>
        <w:pStyle w:val="Übersicht"/>
        <w:ind w:left="680"/>
      </w:pPr>
      <w:hyperlink w:anchor="b557" w:history="1">
        <w:r>
          <w:rPr>
            <w:color w:val="0A3A8C"/>
            <w:u w:val="single"/>
          </w:rPr>
          <w:t xml:space="preserve">§ 390 Rechtsmittel des Privatklägers</w:t>
        </w:r>
      </w:hyperlink>
    </w:p>
    <w:p>
      <w:pPr>
        <w:pStyle w:val="Übersicht"/>
        <w:ind w:left="680"/>
      </w:pPr>
      <w:hyperlink w:anchor="b558" w:history="1">
        <w:r>
          <w:rPr>
            <w:color w:val="0A3A8C"/>
            <w:u w:val="single"/>
          </w:rPr>
          <w:t xml:space="preserve">§ 391 Rücknahme der Privatklage; Verwerfung bei Versäumung; Wiedereinsetzung</w:t>
        </w:r>
      </w:hyperlink>
    </w:p>
    <w:p>
      <w:pPr>
        <w:pStyle w:val="Übersicht"/>
        <w:ind w:left="680"/>
      </w:pPr>
      <w:hyperlink w:anchor="b559" w:history="1">
        <w:r>
          <w:rPr>
            <w:color w:val="0A3A8C"/>
            <w:u w:val="single"/>
          </w:rPr>
          <w:t xml:space="preserve">§ 392 Wirkung der Rücknahme</w:t>
        </w:r>
      </w:hyperlink>
    </w:p>
    <w:p>
      <w:pPr>
        <w:pStyle w:val="Übersicht"/>
        <w:ind w:left="680"/>
      </w:pPr>
      <w:hyperlink w:anchor="b560" w:history="1">
        <w:r>
          <w:rPr>
            <w:color w:val="0A3A8C"/>
            <w:u w:val="single"/>
          </w:rPr>
          <w:t xml:space="preserve">§ 393 Tod des Privatklägers</w:t>
        </w:r>
      </w:hyperlink>
    </w:p>
    <w:p>
      <w:pPr>
        <w:pStyle w:val="Übersicht"/>
        <w:ind w:left="680"/>
      </w:pPr>
      <w:hyperlink w:anchor="b561" w:history="1">
        <w:r>
          <w:rPr>
            <w:color w:val="0A3A8C"/>
            <w:u w:val="single"/>
          </w:rPr>
          <w:t xml:space="preserve">§ 394 Bekanntmachung an den Beschuldigten</w:t>
        </w:r>
      </w:hyperlink>
    </w:p>
    <w:p>
      <w:pPr>
        <w:pStyle w:val="Übersicht"/>
        <w:ind w:left="340"/>
      </w:pPr>
      <w:hyperlink w:anchor="b562" w:history="1">
        <w:r>
          <w:rPr>
            <w:b/>
            <w:color w:val="0A3A8C"/>
            <w:u w:val="single"/>
          </w:rPr>
          <w:t xml:space="preserve">Dritter Abschnitt Nebenklage</w:t>
        </w:r>
      </w:hyperlink>
    </w:p>
    <w:p>
      <w:pPr>
        <w:pStyle w:val="Übersicht"/>
        <w:ind w:left="680"/>
      </w:pPr>
      <w:hyperlink w:anchor="b563" w:history="1">
        <w:r>
          <w:rPr>
            <w:color w:val="0A3A8C"/>
            <w:u w:val="single"/>
          </w:rPr>
          <w:t xml:space="preserve">§ 395 Befugnis zum Anschluss als Nebenkläger</w:t>
        </w:r>
      </w:hyperlink>
    </w:p>
    <w:p>
      <w:pPr>
        <w:pStyle w:val="Übersicht"/>
        <w:ind w:left="680"/>
      </w:pPr>
      <w:hyperlink w:anchor="b564" w:history="1">
        <w:r>
          <w:rPr>
            <w:color w:val="0A3A8C"/>
            <w:u w:val="single"/>
          </w:rPr>
          <w:t xml:space="preserve">§ 396 Anschlusserklärung; Entscheidung über die Befugnis zum Anschluss</w:t>
        </w:r>
      </w:hyperlink>
    </w:p>
    <w:p>
      <w:pPr>
        <w:pStyle w:val="Übersicht"/>
        <w:ind w:left="680"/>
      </w:pPr>
      <w:hyperlink w:anchor="b565" w:history="1">
        <w:r>
          <w:rPr>
            <w:color w:val="0A3A8C"/>
            <w:u w:val="single"/>
          </w:rPr>
          <w:t xml:space="preserve">§ 397 Verfahrensrechte des Nebenklägers</w:t>
        </w:r>
      </w:hyperlink>
    </w:p>
    <w:p>
      <w:pPr>
        <w:pStyle w:val="Übersicht"/>
        <w:ind w:left="680"/>
      </w:pPr>
      <w:hyperlink w:anchor="b566" w:history="1">
        <w:r>
          <w:rPr>
            <w:color w:val="0A3A8C"/>
            <w:u w:val="single"/>
          </w:rPr>
          <w:t xml:space="preserve">§ 397a Bestellung eines Beistands; Prozesskostenhilfe</w:t>
        </w:r>
      </w:hyperlink>
    </w:p>
    <w:p>
      <w:pPr>
        <w:pStyle w:val="Übersicht"/>
        <w:ind w:left="680"/>
      </w:pPr>
      <w:hyperlink w:anchor="b567" w:history="1">
        <w:r>
          <w:rPr>
            <w:color w:val="0A3A8C"/>
            <w:u w:val="single"/>
          </w:rPr>
          <w:t xml:space="preserve">§ 397b Gemeinschaftliche Nebenklagevertretung</w:t>
        </w:r>
      </w:hyperlink>
    </w:p>
    <w:p>
      <w:pPr>
        <w:pStyle w:val="Übersicht"/>
        <w:ind w:left="680"/>
      </w:pPr>
      <w:hyperlink w:anchor="b568" w:history="1">
        <w:r>
          <w:rPr>
            <w:color w:val="0A3A8C"/>
            <w:u w:val="single"/>
          </w:rPr>
          <w:t xml:space="preserve">§ 398 Fortgang des Verfahrens bei Anschluss</w:t>
        </w:r>
      </w:hyperlink>
    </w:p>
    <w:p>
      <w:pPr>
        <w:pStyle w:val="Übersicht"/>
        <w:ind w:left="680"/>
      </w:pPr>
      <w:hyperlink w:anchor="b569" w:history="1">
        <w:r>
          <w:rPr>
            <w:color w:val="0A3A8C"/>
            <w:u w:val="single"/>
          </w:rPr>
          <w:t xml:space="preserve">§ 399 Bekanntmachung und Anfechtbarkeit früherer Entscheidungen</w:t>
        </w:r>
      </w:hyperlink>
    </w:p>
    <w:p>
      <w:pPr>
        <w:pStyle w:val="Übersicht"/>
        <w:ind w:left="680"/>
      </w:pPr>
      <w:hyperlink w:anchor="b570" w:history="1">
        <w:r>
          <w:rPr>
            <w:color w:val="0A3A8C"/>
            <w:u w:val="single"/>
          </w:rPr>
          <w:t xml:space="preserve">§ 400 Rechtsmittelbefugnis des Nebenklägers</w:t>
        </w:r>
      </w:hyperlink>
    </w:p>
    <w:p>
      <w:pPr>
        <w:pStyle w:val="Übersicht"/>
        <w:ind w:left="680"/>
      </w:pPr>
      <w:hyperlink w:anchor="b571" w:history="1">
        <w:r>
          <w:rPr>
            <w:color w:val="0A3A8C"/>
            <w:u w:val="single"/>
          </w:rPr>
          <w:t xml:space="preserve">§ 401 Einlegung eines Rechtsmittels durch den Nebenkläger</w:t>
        </w:r>
      </w:hyperlink>
    </w:p>
    <w:p>
      <w:pPr>
        <w:pStyle w:val="Übersicht"/>
        <w:ind w:left="680"/>
      </w:pPr>
      <w:hyperlink w:anchor="b572" w:history="1">
        <w:r>
          <w:rPr>
            <w:color w:val="0A3A8C"/>
            <w:u w:val="single"/>
          </w:rPr>
          <w:t xml:space="preserve">§ 402 Widerruf der Anschlusserklärung; Tod des Nebenklägers</w:t>
        </w:r>
      </w:hyperlink>
    </w:p>
    <w:p>
      <w:pPr>
        <w:pStyle w:val="Übersicht"/>
        <w:ind w:left="340"/>
      </w:pPr>
      <w:hyperlink w:anchor="b573" w:history="1">
        <w:r>
          <w:rPr>
            <w:b/>
            <w:color w:val="0A3A8C"/>
            <w:u w:val="single"/>
          </w:rPr>
          <w:t xml:space="preserve">Vierter Abschnitt Adhäsionsverfahren</w:t>
        </w:r>
      </w:hyperlink>
    </w:p>
    <w:p>
      <w:pPr>
        <w:pStyle w:val="Übersicht"/>
        <w:ind w:left="680"/>
      </w:pPr>
      <w:hyperlink w:anchor="b574" w:history="1">
        <w:r>
          <w:rPr>
            <w:color w:val="0A3A8C"/>
            <w:u w:val="single"/>
          </w:rPr>
          <w:t xml:space="preserve">§ 403 Geltendmachung eines Anspruchs im Adhäsionsverfahren</w:t>
        </w:r>
      </w:hyperlink>
    </w:p>
    <w:p>
      <w:pPr>
        <w:pStyle w:val="Übersicht"/>
        <w:ind w:left="680"/>
      </w:pPr>
      <w:hyperlink w:anchor="b575" w:history="1">
        <w:r>
          <w:rPr>
            <w:color w:val="0A3A8C"/>
            <w:u w:val="single"/>
          </w:rPr>
          <w:t xml:space="preserve">§ 404 Antrag; Prozesskostenhilfe</w:t>
        </w:r>
      </w:hyperlink>
    </w:p>
    <w:p>
      <w:pPr>
        <w:pStyle w:val="Übersicht"/>
        <w:ind w:left="680"/>
      </w:pPr>
      <w:hyperlink w:anchor="b576" w:history="1">
        <w:r>
          <w:rPr>
            <w:color w:val="0A3A8C"/>
            <w:u w:val="single"/>
          </w:rPr>
          <w:t xml:space="preserve">§ 405 Vergleich</w:t>
        </w:r>
      </w:hyperlink>
    </w:p>
    <w:p>
      <w:pPr>
        <w:pStyle w:val="Übersicht"/>
        <w:ind w:left="680"/>
      </w:pPr>
      <w:hyperlink w:anchor="b577" w:history="1">
        <w:r>
          <w:rPr>
            <w:color w:val="0A3A8C"/>
            <w:u w:val="single"/>
          </w:rPr>
          <w:t xml:space="preserve">§ 406 Entscheidung über den Antrag im Strafurteil; Absehen von einer Entscheidung</w:t>
        </w:r>
      </w:hyperlink>
    </w:p>
    <w:p>
      <w:pPr>
        <w:pStyle w:val="Übersicht"/>
        <w:ind w:left="680"/>
      </w:pPr>
      <w:hyperlink w:anchor="b578" w:history="1">
        <w:r>
          <w:rPr>
            <w:color w:val="0A3A8C"/>
            <w:u w:val="single"/>
          </w:rPr>
          <w:t xml:space="preserve">§ 406a Rechtsmittel</w:t>
        </w:r>
      </w:hyperlink>
    </w:p>
    <w:p>
      <w:pPr>
        <w:pStyle w:val="Übersicht"/>
        <w:ind w:left="680"/>
      </w:pPr>
      <w:hyperlink w:anchor="b579" w:history="1">
        <w:r>
          <w:rPr>
            <w:color w:val="0A3A8C"/>
            <w:u w:val="single"/>
          </w:rPr>
          <w:t xml:space="preserve">§ 406b Vollstreckung</w:t>
        </w:r>
      </w:hyperlink>
    </w:p>
    <w:p>
      <w:pPr>
        <w:pStyle w:val="Übersicht"/>
        <w:ind w:left="680"/>
      </w:pPr>
      <w:hyperlink w:anchor="b580" w:history="1">
        <w:r>
          <w:rPr>
            <w:color w:val="0A3A8C"/>
            <w:u w:val="single"/>
          </w:rPr>
          <w:t xml:space="preserve">§ 406c Wiederaufnahme des Verfahrens</w:t>
        </w:r>
      </w:hyperlink>
    </w:p>
    <w:p>
      <w:pPr>
        <w:pStyle w:val="Übersicht"/>
        <w:ind w:left="340"/>
      </w:pPr>
      <w:hyperlink w:anchor="b581" w:history="1">
        <w:r>
          <w:rPr>
            <w:b/>
            <w:color w:val="0A3A8C"/>
            <w:u w:val="single"/>
          </w:rPr>
          <w:t xml:space="preserve">Fünfter Abschnitt Sonstige Befugnisse des Verletzten</w:t>
        </w:r>
      </w:hyperlink>
    </w:p>
    <w:p>
      <w:pPr>
        <w:pStyle w:val="Übersicht"/>
        <w:ind w:left="680"/>
      </w:pPr>
      <w:hyperlink w:anchor="b582" w:history="1">
        <w:r>
          <w:rPr>
            <w:color w:val="0A3A8C"/>
            <w:u w:val="single"/>
          </w:rPr>
          <w:t xml:space="preserve">§ 406d Auskunft über den Stand des Verfahrens</w:t>
        </w:r>
      </w:hyperlink>
    </w:p>
    <w:p>
      <w:pPr>
        <w:pStyle w:val="Übersicht"/>
        <w:ind w:left="680"/>
      </w:pPr>
      <w:hyperlink w:anchor="b583" w:history="1">
        <w:r>
          <w:rPr>
            <w:color w:val="0A3A8C"/>
            <w:u w:val="single"/>
          </w:rPr>
          <w:t xml:space="preserve">§ 406e Akteneinsicht</w:t>
        </w:r>
      </w:hyperlink>
    </w:p>
    <w:p>
      <w:pPr>
        <w:pStyle w:val="Übersicht"/>
        <w:ind w:left="680"/>
      </w:pPr>
      <w:hyperlink w:anchor="b584" w:history="1">
        <w:r>
          <w:rPr>
            <w:color w:val="0A3A8C"/>
            <w:u w:val="single"/>
          </w:rPr>
          <w:t xml:space="preserve">§ 406f Verletztenbeistand</w:t>
        </w:r>
      </w:hyperlink>
    </w:p>
    <w:p>
      <w:pPr>
        <w:pStyle w:val="Übersicht"/>
        <w:ind w:left="680"/>
      </w:pPr>
      <w:hyperlink w:anchor="b585" w:history="1">
        <w:r>
          <w:rPr>
            <w:color w:val="0A3A8C"/>
            <w:u w:val="single"/>
          </w:rPr>
          <w:t xml:space="preserve">§ 406g Psychosoziale Prozessbegleitung</w:t>
        </w:r>
      </w:hyperlink>
    </w:p>
    <w:p>
      <w:pPr>
        <w:pStyle w:val="Übersicht"/>
        <w:ind w:left="680"/>
      </w:pPr>
      <w:hyperlink w:anchor="b586" w:history="1">
        <w:r>
          <w:rPr>
            <w:color w:val="0A3A8C"/>
            <w:u w:val="single"/>
          </w:rPr>
          <w:t xml:space="preserve">§ 406h Beistand des nebenklageberechtigten Verletzten</w:t>
        </w:r>
      </w:hyperlink>
    </w:p>
    <w:p>
      <w:pPr>
        <w:pStyle w:val="Übersicht"/>
        <w:ind w:left="680"/>
      </w:pPr>
      <w:hyperlink w:anchor="b587" w:history="1">
        <w:r>
          <w:rPr>
            <w:color w:val="0A3A8C"/>
            <w:u w:val="single"/>
          </w:rPr>
          <w:t xml:space="preserve">§ 406i Unterrichtung des Verletzten über seine Befugnisse im Strafverfahren</w:t>
        </w:r>
      </w:hyperlink>
    </w:p>
    <w:p>
      <w:pPr>
        <w:pStyle w:val="Übersicht"/>
        <w:ind w:left="680"/>
      </w:pPr>
      <w:hyperlink w:anchor="b588" w:history="1">
        <w:r>
          <w:rPr>
            <w:color w:val="0A3A8C"/>
            <w:u w:val="single"/>
          </w:rPr>
          <w:t xml:space="preserve">§ 406j Unterrichtung des Verletzten über seine Befugnisse außerhalb des Strafverfahrens</w:t>
        </w:r>
      </w:hyperlink>
    </w:p>
    <w:p>
      <w:pPr>
        <w:pStyle w:val="Übersicht"/>
        <w:ind w:left="680"/>
      </w:pPr>
      <w:hyperlink w:anchor="b589" w:history="1">
        <w:r>
          <w:rPr>
            <w:color w:val="0A3A8C"/>
            <w:u w:val="single"/>
          </w:rPr>
          <w:t xml:space="preserve">§ 406k Weitere Informationen</w:t>
        </w:r>
      </w:hyperlink>
    </w:p>
    <w:p>
      <w:pPr>
        <w:pStyle w:val="Übersicht"/>
        <w:ind w:left="680"/>
      </w:pPr>
      <w:hyperlink w:anchor="b590" w:history="1">
        <w:r>
          <w:rPr>
            <w:color w:val="0A3A8C"/>
            <w:u w:val="single"/>
          </w:rPr>
          <w:t xml:space="preserve">§ 406l Befugnisse von Angehörigen und Erben von Verletzten</w:t>
        </w:r>
      </w:hyperlink>
    </w:p>
    <w:p>
      <w:pPr>
        <w:pStyle w:val="Übersicht"/>
        <w:ind w:left="0"/>
      </w:pPr>
      <w:hyperlink w:anchor="b591" w:history="1">
        <w:r>
          <w:rPr>
            <w:b/>
            <w:color w:val="0A3A8C"/>
            <w:u w:val="single"/>
          </w:rPr>
          <w:t xml:space="preserve">Sechstes Buch Besondere Arten des Verfahrens</w:t>
        </w:r>
      </w:hyperlink>
    </w:p>
    <w:p>
      <w:pPr>
        <w:pStyle w:val="Übersicht"/>
        <w:ind w:left="340"/>
      </w:pPr>
      <w:hyperlink w:anchor="b592" w:history="1">
        <w:r>
          <w:rPr>
            <w:b/>
            <w:color w:val="0A3A8C"/>
            <w:u w:val="single"/>
          </w:rPr>
          <w:t xml:space="preserve">Erster Abschnitt Verfahren bei Strafbefehlen</w:t>
        </w:r>
      </w:hyperlink>
    </w:p>
    <w:p>
      <w:pPr>
        <w:pStyle w:val="Übersicht"/>
        <w:ind w:left="680"/>
      </w:pPr>
      <w:hyperlink w:anchor="b593" w:history="1">
        <w:r>
          <w:rPr>
            <w:color w:val="0A3A8C"/>
            <w:u w:val="single"/>
          </w:rPr>
          <w:t xml:space="preserve">§ 407 Zulässigkeit</w:t>
        </w:r>
      </w:hyperlink>
    </w:p>
    <w:p>
      <w:pPr>
        <w:pStyle w:val="Übersicht"/>
        <w:ind w:left="680"/>
      </w:pPr>
      <w:hyperlink w:anchor="b594" w:history="1">
        <w:r>
          <w:rPr>
            <w:color w:val="0A3A8C"/>
            <w:u w:val="single"/>
          </w:rPr>
          <w:t xml:space="preserve">§ 408 Richterliche Entscheidung über einen Strafbefehlsantrag</w:t>
        </w:r>
      </w:hyperlink>
    </w:p>
    <w:p>
      <w:pPr>
        <w:pStyle w:val="Übersicht"/>
        <w:ind w:left="680"/>
      </w:pPr>
      <w:hyperlink w:anchor="b595" w:history="1">
        <w:r>
          <w:rPr>
            <w:color w:val="0A3A8C"/>
            <w:u w:val="single"/>
          </w:rPr>
          <w:t xml:space="preserve">§ 408a Strafbefehlsantrag nach Eröffnung des Hauptverfahrens</w:t>
        </w:r>
      </w:hyperlink>
    </w:p>
    <w:p>
      <w:pPr>
        <w:pStyle w:val="Übersicht"/>
        <w:ind w:left="680"/>
      </w:pPr>
      <w:hyperlink w:anchor="b596" w:history="1">
        <w:r>
          <w:rPr>
            <w:color w:val="0A3A8C"/>
            <w:u w:val="single"/>
          </w:rPr>
          <w:t xml:space="preserve">§ 408b Bestellung eines Verteidigers bei beantragter Freiheitsstrafe</w:t>
        </w:r>
      </w:hyperlink>
    </w:p>
    <w:p>
      <w:pPr>
        <w:pStyle w:val="Übersicht"/>
        <w:ind w:left="680"/>
      </w:pPr>
      <w:hyperlink w:anchor="b597" w:history="1">
        <w:r>
          <w:rPr>
            <w:color w:val="0A3A8C"/>
            <w:u w:val="single"/>
          </w:rPr>
          <w:t xml:space="preserve">§ 409 Inhalt des Strafbefehls</w:t>
        </w:r>
      </w:hyperlink>
    </w:p>
    <w:p>
      <w:pPr>
        <w:pStyle w:val="Übersicht"/>
        <w:ind w:left="680"/>
      </w:pPr>
      <w:hyperlink w:anchor="b598" w:history="1">
        <w:r>
          <w:rPr>
            <w:color w:val="0A3A8C"/>
            <w:u w:val="single"/>
          </w:rPr>
          <w:t xml:space="preserve">§ 410 Einspruch; Form und Frist des Einspruchs; Rechtskraft</w:t>
        </w:r>
      </w:hyperlink>
    </w:p>
    <w:p>
      <w:pPr>
        <w:pStyle w:val="Übersicht"/>
        <w:ind w:left="680"/>
      </w:pPr>
      <w:hyperlink w:anchor="b599" w:history="1">
        <w:r>
          <w:rPr>
            <w:color w:val="0A3A8C"/>
            <w:u w:val="single"/>
          </w:rPr>
          <w:t xml:space="preserve">§ 411 Verwerfung wegen Unzulässigkeit; Termin zur Hauptverhandlung</w:t>
        </w:r>
      </w:hyperlink>
    </w:p>
    <w:p>
      <w:pPr>
        <w:pStyle w:val="Übersicht"/>
        <w:ind w:left="680"/>
      </w:pPr>
      <w:hyperlink w:anchor="b600" w:history="1">
        <w:r>
          <w:rPr>
            <w:color w:val="0A3A8C"/>
            <w:u w:val="single"/>
          </w:rPr>
          <w:t xml:space="preserve">§ 412 Ausbleiben des Angeklagten; Einspruchsverwerfung</w:t>
        </w:r>
      </w:hyperlink>
    </w:p>
    <w:p>
      <w:pPr>
        <w:pStyle w:val="Übersicht"/>
        <w:ind w:left="340"/>
      </w:pPr>
      <w:hyperlink w:anchor="b601" w:history="1">
        <w:r>
          <w:rPr>
            <w:b/>
            <w:color w:val="0A3A8C"/>
            <w:u w:val="single"/>
          </w:rPr>
          <w:t xml:space="preserve">Zweiter Abschnitt Sicherungsverfahren</w:t>
        </w:r>
      </w:hyperlink>
    </w:p>
    <w:p>
      <w:pPr>
        <w:pStyle w:val="Übersicht"/>
        <w:ind w:left="680"/>
      </w:pPr>
      <w:hyperlink w:anchor="b602" w:history="1">
        <w:r>
          <w:rPr>
            <w:color w:val="0A3A8C"/>
            <w:u w:val="single"/>
          </w:rPr>
          <w:t xml:space="preserve">§ 413 Zulässigkeit</w:t>
        </w:r>
      </w:hyperlink>
    </w:p>
    <w:p>
      <w:pPr>
        <w:pStyle w:val="Übersicht"/>
        <w:ind w:left="680"/>
      </w:pPr>
      <w:hyperlink w:anchor="b603" w:history="1">
        <w:r>
          <w:rPr>
            <w:color w:val="0A3A8C"/>
            <w:u w:val="single"/>
          </w:rPr>
          <w:t xml:space="preserve">§ 414 Verfahren; Antragsschrift</w:t>
        </w:r>
      </w:hyperlink>
    </w:p>
    <w:p>
      <w:pPr>
        <w:pStyle w:val="Übersicht"/>
        <w:ind w:left="680"/>
      </w:pPr>
      <w:hyperlink w:anchor="b604" w:history="1">
        <w:r>
          <w:rPr>
            <w:color w:val="0A3A8C"/>
            <w:u w:val="single"/>
          </w:rPr>
          <w:t xml:space="preserve">§ 415 Hauptverhandlung ohne Beschuldigten</w:t>
        </w:r>
      </w:hyperlink>
    </w:p>
    <w:p>
      <w:pPr>
        <w:pStyle w:val="Übersicht"/>
        <w:ind w:left="680"/>
      </w:pPr>
      <w:hyperlink w:anchor="b605" w:history="1">
        <w:r>
          <w:rPr>
            <w:color w:val="0A3A8C"/>
            <w:u w:val="single"/>
          </w:rPr>
          <w:t xml:space="preserve">§ 416 Übergang in das Strafverfahren</w:t>
        </w:r>
      </w:hyperlink>
    </w:p>
    <w:p>
      <w:pPr>
        <w:pStyle w:val="Übersicht"/>
        <w:ind w:left="340"/>
      </w:pPr>
      <w:hyperlink w:anchor="b606" w:history="1">
        <w:r>
          <w:rPr>
            <w:b/>
            <w:color w:val="0A3A8C"/>
            <w:u w:val="single"/>
          </w:rPr>
          <w:t xml:space="preserve">Abschnitt 2a Beschleunigtes Verfahren</w:t>
        </w:r>
      </w:hyperlink>
    </w:p>
    <w:p>
      <w:pPr>
        <w:pStyle w:val="Übersicht"/>
        <w:ind w:left="680"/>
      </w:pPr>
      <w:hyperlink w:anchor="b607" w:history="1">
        <w:r>
          <w:rPr>
            <w:color w:val="0A3A8C"/>
            <w:u w:val="single"/>
          </w:rPr>
          <w:t xml:space="preserve">§ 417 Zulässigkeit</w:t>
        </w:r>
      </w:hyperlink>
    </w:p>
    <w:p>
      <w:pPr>
        <w:pStyle w:val="Übersicht"/>
        <w:ind w:left="680"/>
      </w:pPr>
      <w:hyperlink w:anchor="b608" w:history="1">
        <w:r>
          <w:rPr>
            <w:color w:val="0A3A8C"/>
            <w:u w:val="single"/>
          </w:rPr>
          <w:t xml:space="preserve">§ 418 Durchführung der Hauptverhandlung</w:t>
        </w:r>
      </w:hyperlink>
    </w:p>
    <w:p>
      <w:pPr>
        <w:pStyle w:val="Übersicht"/>
        <w:ind w:left="680"/>
      </w:pPr>
      <w:hyperlink w:anchor="b609" w:history="1">
        <w:r>
          <w:rPr>
            <w:color w:val="0A3A8C"/>
            <w:u w:val="single"/>
          </w:rPr>
          <w:t xml:space="preserve">§ 419 Entscheidung des Gerichts; Strafmaß</w:t>
        </w:r>
      </w:hyperlink>
    </w:p>
    <w:p>
      <w:pPr>
        <w:pStyle w:val="Übersicht"/>
        <w:ind w:left="680"/>
      </w:pPr>
      <w:hyperlink w:anchor="b610" w:history="1">
        <w:r>
          <w:rPr>
            <w:color w:val="0A3A8C"/>
            <w:u w:val="single"/>
          </w:rPr>
          <w:t xml:space="preserve">§ 420 Beweisaufnahme</w:t>
        </w:r>
      </w:hyperlink>
    </w:p>
    <w:p>
      <w:pPr>
        <w:pStyle w:val="Übersicht"/>
        <w:ind w:left="340"/>
      </w:pPr>
      <w:hyperlink w:anchor="b611" w:history="1">
        <w:r>
          <w:rPr>
            <w:b/>
            <w:color w:val="0A3A8C"/>
            <w:u w:val="single"/>
          </w:rPr>
          <w:t xml:space="preserve">Dritter Abschnitt Verfahren bei Einziehung und Vermögensbeschlagnahme</w:t>
        </w:r>
      </w:hyperlink>
    </w:p>
    <w:p>
      <w:pPr>
        <w:pStyle w:val="Übersicht"/>
        <w:ind w:left="680"/>
      </w:pPr>
      <w:hyperlink w:anchor="b612" w:history="1">
        <w:r>
          <w:rPr>
            <w:color w:val="0A3A8C"/>
            <w:u w:val="single"/>
          </w:rPr>
          <w:t xml:space="preserve">§ 421 Absehen von der Einziehung</w:t>
        </w:r>
      </w:hyperlink>
    </w:p>
    <w:p>
      <w:pPr>
        <w:pStyle w:val="Übersicht"/>
        <w:ind w:left="680"/>
      </w:pPr>
      <w:hyperlink w:anchor="b613" w:history="1">
        <w:r>
          <w:rPr>
            <w:color w:val="0A3A8C"/>
            <w:u w:val="single"/>
          </w:rPr>
          <w:t xml:space="preserve">§ 422 Abtrennung der Einziehung</w:t>
        </w:r>
      </w:hyperlink>
    </w:p>
    <w:p>
      <w:pPr>
        <w:pStyle w:val="Übersicht"/>
        <w:ind w:left="680"/>
      </w:pPr>
      <w:hyperlink w:anchor="b614" w:history="1">
        <w:r>
          <w:rPr>
            <w:color w:val="0A3A8C"/>
            <w:u w:val="single"/>
          </w:rPr>
          <w:t xml:space="preserve">§ 423 Einziehung nach Abtrennung</w:t>
        </w:r>
      </w:hyperlink>
    </w:p>
    <w:p>
      <w:pPr>
        <w:pStyle w:val="Übersicht"/>
        <w:ind w:left="680"/>
      </w:pPr>
      <w:hyperlink w:anchor="b615" w:history="1">
        <w:r>
          <w:rPr>
            <w:color w:val="0A3A8C"/>
            <w:u w:val="single"/>
          </w:rPr>
          <w:t xml:space="preserve">§ 424 Einziehungsbeteiligte am Strafverfahren</w:t>
        </w:r>
      </w:hyperlink>
    </w:p>
    <w:p>
      <w:pPr>
        <w:pStyle w:val="Übersicht"/>
        <w:ind w:left="680"/>
      </w:pPr>
      <w:hyperlink w:anchor="b616" w:history="1">
        <w:r>
          <w:rPr>
            <w:color w:val="0A3A8C"/>
            <w:u w:val="single"/>
          </w:rPr>
          <w:t xml:space="preserve">§ 425 Absehen von der Verfahrensbeteiligung</w:t>
        </w:r>
      </w:hyperlink>
    </w:p>
    <w:p>
      <w:pPr>
        <w:pStyle w:val="Übersicht"/>
        <w:ind w:left="680"/>
      </w:pPr>
      <w:hyperlink w:anchor="b617" w:history="1">
        <w:r>
          <w:rPr>
            <w:color w:val="0A3A8C"/>
            <w:u w:val="single"/>
          </w:rPr>
          <w:t xml:space="preserve">§ 426 Anhörung von möglichen Einziehungsbeteiligten im vorbereitenden Verfahren</w:t>
        </w:r>
      </w:hyperlink>
    </w:p>
    <w:p>
      <w:pPr>
        <w:pStyle w:val="Übersicht"/>
        <w:ind w:left="680"/>
      </w:pPr>
      <w:hyperlink w:anchor="b618" w:history="1">
        <w:r>
          <w:rPr>
            <w:color w:val="0A3A8C"/>
            <w:u w:val="single"/>
          </w:rPr>
          <w:t xml:space="preserve">§ 427 Befugnisse des Einziehungsbeteiligten im Hauptverfahren</w:t>
        </w:r>
      </w:hyperlink>
    </w:p>
    <w:p>
      <w:pPr>
        <w:pStyle w:val="Übersicht"/>
        <w:ind w:left="680"/>
      </w:pPr>
      <w:hyperlink w:anchor="b619" w:history="1">
        <w:r>
          <w:rPr>
            <w:color w:val="0A3A8C"/>
            <w:u w:val="single"/>
          </w:rPr>
          <w:t xml:space="preserve">§ 428 Vertretung des Einziehungsbeteiligten</w:t>
        </w:r>
      </w:hyperlink>
    </w:p>
    <w:p>
      <w:pPr>
        <w:pStyle w:val="Übersicht"/>
        <w:ind w:left="680"/>
      </w:pPr>
      <w:hyperlink w:anchor="b620" w:history="1">
        <w:r>
          <w:rPr>
            <w:color w:val="0A3A8C"/>
            <w:u w:val="single"/>
          </w:rPr>
          <w:t xml:space="preserve">§ 429 Terminsnachricht an den Einziehungsbeteiligten</w:t>
        </w:r>
      </w:hyperlink>
    </w:p>
    <w:p>
      <w:pPr>
        <w:pStyle w:val="Übersicht"/>
        <w:ind w:left="680"/>
      </w:pPr>
      <w:hyperlink w:anchor="b621" w:history="1">
        <w:r>
          <w:rPr>
            <w:color w:val="0A3A8C"/>
            <w:u w:val="single"/>
          </w:rPr>
          <w:t xml:space="preserve">§ 430 Stellung in der Hauptverhandlung</w:t>
        </w:r>
      </w:hyperlink>
    </w:p>
    <w:p>
      <w:pPr>
        <w:pStyle w:val="Übersicht"/>
        <w:ind w:left="680"/>
      </w:pPr>
      <w:hyperlink w:anchor="b622" w:history="1">
        <w:r>
          <w:rPr>
            <w:color w:val="0A3A8C"/>
            <w:u w:val="single"/>
          </w:rPr>
          <w:t xml:space="preserve">§ 431 Rechtsmittelverfahren</w:t>
        </w:r>
      </w:hyperlink>
    </w:p>
    <w:p>
      <w:pPr>
        <w:pStyle w:val="Übersicht"/>
        <w:ind w:left="680"/>
      </w:pPr>
      <w:hyperlink w:anchor="b623" w:history="1">
        <w:r>
          <w:rPr>
            <w:color w:val="0A3A8C"/>
            <w:u w:val="single"/>
          </w:rPr>
          <w:t xml:space="preserve">§ 432 Einziehung durch Strafbefehl</w:t>
        </w:r>
      </w:hyperlink>
    </w:p>
    <w:p>
      <w:pPr>
        <w:pStyle w:val="Übersicht"/>
        <w:ind w:left="680"/>
      </w:pPr>
      <w:hyperlink w:anchor="b624" w:history="1">
        <w:r>
          <w:rPr>
            <w:color w:val="0A3A8C"/>
            <w:u w:val="single"/>
          </w:rPr>
          <w:t xml:space="preserve">§ 433 Nachverfahren</w:t>
        </w:r>
      </w:hyperlink>
    </w:p>
    <w:p>
      <w:pPr>
        <w:pStyle w:val="Übersicht"/>
        <w:ind w:left="680"/>
      </w:pPr>
      <w:hyperlink w:anchor="b625" w:history="1">
        <w:r>
          <w:rPr>
            <w:color w:val="0A3A8C"/>
            <w:u w:val="single"/>
          </w:rPr>
          <w:t xml:space="preserve">§ 434 Entscheidung im Nachverfahren</w:t>
        </w:r>
      </w:hyperlink>
    </w:p>
    <w:p>
      <w:pPr>
        <w:pStyle w:val="Übersicht"/>
        <w:ind w:left="680"/>
      </w:pPr>
      <w:hyperlink w:anchor="b626" w:history="1">
        <w:r>
          <w:rPr>
            <w:color w:val="0A3A8C"/>
            <w:u w:val="single"/>
          </w:rPr>
          <w:t xml:space="preserve">§ 435 Selbständiges Einziehungsverfahren</w:t>
        </w:r>
      </w:hyperlink>
    </w:p>
    <w:p>
      <w:pPr>
        <w:pStyle w:val="Übersicht"/>
        <w:ind w:left="680"/>
      </w:pPr>
      <w:hyperlink w:anchor="b627" w:history="1">
        <w:r>
          <w:rPr>
            <w:color w:val="0A3A8C"/>
            <w:u w:val="single"/>
          </w:rPr>
          <w:t xml:space="preserve">§ 436 Entscheidung im selbständigen Einziehungsverfahren</w:t>
        </w:r>
      </w:hyperlink>
    </w:p>
    <w:p>
      <w:pPr>
        <w:pStyle w:val="Übersicht"/>
        <w:ind w:left="680"/>
      </w:pPr>
      <w:hyperlink w:anchor="b628" w:history="1">
        <w:r>
          <w:rPr>
            <w:color w:val="0A3A8C"/>
            <w:u w:val="single"/>
          </w:rPr>
          <w:t xml:space="preserve">§ 437 Besondere Regelungen für das selbständige Einziehungsverfahren</w:t>
        </w:r>
      </w:hyperlink>
    </w:p>
    <w:p>
      <w:pPr>
        <w:pStyle w:val="Übersicht"/>
        <w:ind w:left="680"/>
      </w:pPr>
      <w:hyperlink w:anchor="b629" w:history="1">
        <w:r>
          <w:rPr>
            <w:color w:val="0A3A8C"/>
            <w:u w:val="single"/>
          </w:rPr>
          <w:t xml:space="preserve">§ 438 Nebenbetroffene am Strafverfahren</w:t>
        </w:r>
      </w:hyperlink>
    </w:p>
    <w:p>
      <w:pPr>
        <w:pStyle w:val="Übersicht"/>
        <w:ind w:left="680"/>
      </w:pPr>
      <w:hyperlink w:anchor="b630" w:history="1">
        <w:r>
          <w:rPr>
            <w:color w:val="0A3A8C"/>
            <w:u w:val="single"/>
          </w:rPr>
          <w:t xml:space="preserve">§ 439 Der Einziehung gleichstehende Rechtsfolgen</w:t>
        </w:r>
      </w:hyperlink>
    </w:p>
    <w:p>
      <w:pPr>
        <w:pStyle w:val="Übersicht"/>
        <w:ind w:left="680"/>
      </w:pPr>
      <w:hyperlink w:anchor="b631" w:history="1">
        <w:r>
          <w:rPr>
            <w:color w:val="0A3A8C"/>
            <w:u w:val="single"/>
          </w:rPr>
          <w:t xml:space="preserve">§§ 440 bis 442 (weggefallen)</w:t>
        </w:r>
      </w:hyperlink>
    </w:p>
    <w:p>
      <w:pPr>
        <w:pStyle w:val="Übersicht"/>
        <w:ind w:left="680"/>
      </w:pPr>
      <w:hyperlink w:anchor="b632" w:history="1">
        <w:r>
          <w:rPr>
            <w:color w:val="0A3A8C"/>
            <w:u w:val="single"/>
          </w:rPr>
          <w:t xml:space="preserve">§ 443 Vermögensbeschlagnahme</w:t>
        </w:r>
      </w:hyperlink>
    </w:p>
    <w:p>
      <w:pPr>
        <w:pStyle w:val="Übersicht"/>
        <w:ind w:left="340"/>
      </w:pPr>
      <w:hyperlink w:anchor="b633" w:history="1">
        <w:r>
          <w:rPr>
            <w:b/>
            <w:color w:val="0A3A8C"/>
            <w:u w:val="single"/>
          </w:rPr>
          <w:t xml:space="preserve">Vierter Abschnitt Verfahren bei Festsetzung von Geldbußen gegen juristische Personen und Personenvereinigungen</w:t>
        </w:r>
      </w:hyperlink>
    </w:p>
    <w:p>
      <w:pPr>
        <w:pStyle w:val="Übersicht"/>
        <w:ind w:left="680"/>
      </w:pPr>
      <w:hyperlink w:anchor="b634" w:history="1">
        <w:r>
          <w:rPr>
            <w:color w:val="0A3A8C"/>
            <w:u w:val="single"/>
          </w:rPr>
          <w:t xml:space="preserve">§ 444 Verfahren</w:t>
        </w:r>
      </w:hyperlink>
    </w:p>
    <w:p>
      <w:pPr>
        <w:pStyle w:val="Übersicht"/>
        <w:ind w:left="680"/>
      </w:pPr>
      <w:hyperlink w:anchor="b635" w:history="1">
        <w:r>
          <w:rPr>
            <w:color w:val="0A3A8C"/>
            <w:u w:val="single"/>
          </w:rPr>
          <w:t xml:space="preserve">§§ 445 bis 448 (weggefallen)</w:t>
        </w:r>
      </w:hyperlink>
    </w:p>
    <w:p>
      <w:pPr>
        <w:pStyle w:val="Übersicht"/>
        <w:ind w:left="0"/>
      </w:pPr>
      <w:hyperlink w:anchor="b636" w:history="1">
        <w:r>
          <w:rPr>
            <w:b/>
            <w:color w:val="0A3A8C"/>
            <w:u w:val="single"/>
          </w:rPr>
          <w:t xml:space="preserve">Siebentes Buch Strafvollstreckung und Kosten des Verfahrens</w:t>
        </w:r>
      </w:hyperlink>
    </w:p>
    <w:p>
      <w:pPr>
        <w:pStyle w:val="Übersicht"/>
        <w:ind w:left="340"/>
      </w:pPr>
      <w:hyperlink w:anchor="b637" w:history="1">
        <w:r>
          <w:rPr>
            <w:b/>
            <w:color w:val="0A3A8C"/>
            <w:u w:val="single"/>
          </w:rPr>
          <w:t xml:space="preserve">Erster Abschnitt Strafvollstreckung</w:t>
        </w:r>
      </w:hyperlink>
    </w:p>
    <w:p>
      <w:pPr>
        <w:pStyle w:val="Übersicht"/>
        <w:ind w:left="680"/>
      </w:pPr>
      <w:hyperlink w:anchor="b638" w:history="1">
        <w:r>
          <w:rPr>
            <w:color w:val="0A3A8C"/>
            <w:u w:val="single"/>
          </w:rPr>
          <w:t xml:space="preserve">§ 449 Vollstreckbarkeit</w:t>
        </w:r>
      </w:hyperlink>
    </w:p>
    <w:p>
      <w:pPr>
        <w:pStyle w:val="Übersicht"/>
        <w:ind w:left="680"/>
      </w:pPr>
      <w:hyperlink w:anchor="b639" w:history="1">
        <w:r>
          <w:rPr>
            <w:color w:val="0A3A8C"/>
            <w:u w:val="single"/>
          </w:rPr>
          <w:t xml:space="preserve">§ 450 Anrechnung von Untersuchungshaft und Führerscheinentziehung</w:t>
        </w:r>
      </w:hyperlink>
    </w:p>
    <w:p>
      <w:pPr>
        <w:pStyle w:val="Übersicht"/>
        <w:ind w:left="680"/>
      </w:pPr>
      <w:hyperlink w:anchor="b640" w:history="1">
        <w:r>
          <w:rPr>
            <w:color w:val="0A3A8C"/>
            <w:u w:val="single"/>
          </w:rPr>
          <w:t xml:space="preserve">§ 450a Anrechnung einer im Ausland erlittenen Freiheitsentziehung</w:t>
        </w:r>
      </w:hyperlink>
    </w:p>
    <w:p>
      <w:pPr>
        <w:pStyle w:val="Übersicht"/>
        <w:ind w:left="680"/>
      </w:pPr>
      <w:hyperlink w:anchor="b641" w:history="1">
        <w:r>
          <w:rPr>
            <w:color w:val="0A3A8C"/>
            <w:u w:val="single"/>
          </w:rPr>
          <w:t xml:space="preserve">§ 451 Vollstreckungsbehörde</w:t>
        </w:r>
      </w:hyperlink>
    </w:p>
    <w:p>
      <w:pPr>
        <w:pStyle w:val="Übersicht"/>
        <w:ind w:left="680"/>
      </w:pPr>
      <w:hyperlink w:anchor="b642" w:history="1">
        <w:r>
          <w:rPr>
            <w:color w:val="0A3A8C"/>
            <w:u w:val="single"/>
          </w:rPr>
          <w:t xml:space="preserve">§ 452 Begnadigungsrecht</w:t>
        </w:r>
      </w:hyperlink>
    </w:p>
    <w:p>
      <w:pPr>
        <w:pStyle w:val="Übersicht"/>
        <w:ind w:left="680"/>
      </w:pPr>
      <w:hyperlink w:anchor="b643" w:history="1">
        <w:r>
          <w:rPr>
            <w:color w:val="0A3A8C"/>
            <w:u w:val="single"/>
          </w:rPr>
          <w:t xml:space="preserve">§ 453 Nachträgliche Entscheidung über Strafaussetzung zur Bewährung oder Verwarnung mit Strafvorbehalt</w:t>
        </w:r>
      </w:hyperlink>
    </w:p>
    <w:p>
      <w:pPr>
        <w:pStyle w:val="Übersicht"/>
        <w:ind w:left="680"/>
      </w:pPr>
      <w:hyperlink w:anchor="b644" w:history="1">
        <w:r>
          <w:rPr>
            <w:color w:val="0A3A8C"/>
            <w:u w:val="single"/>
          </w:rPr>
          <w:t xml:space="preserve">§ 453a Belehrung bei Strafaussetzung oder Verwarnung mit Strafvorbehalt</w:t>
        </w:r>
      </w:hyperlink>
    </w:p>
    <w:p>
      <w:pPr>
        <w:pStyle w:val="Übersicht"/>
        <w:ind w:left="680"/>
      </w:pPr>
      <w:hyperlink w:anchor="b645" w:history="1">
        <w:r>
          <w:rPr>
            <w:color w:val="0A3A8C"/>
            <w:u w:val="single"/>
          </w:rPr>
          <w:t xml:space="preserve">§ 453b Bewährungsüberwachung</w:t>
        </w:r>
      </w:hyperlink>
    </w:p>
    <w:p>
      <w:pPr>
        <w:pStyle w:val="Übersicht"/>
        <w:ind w:left="680"/>
      </w:pPr>
      <w:hyperlink w:anchor="b646" w:history="1">
        <w:r>
          <w:rPr>
            <w:color w:val="0A3A8C"/>
            <w:u w:val="single"/>
          </w:rPr>
          <w:t xml:space="preserve">§ 453c Vorläufige Maßnahmen vor Widerruf der Aussetzung</w:t>
        </w:r>
      </w:hyperlink>
    </w:p>
    <w:p>
      <w:pPr>
        <w:pStyle w:val="Übersicht"/>
        <w:ind w:left="680"/>
      </w:pPr>
      <w:hyperlink w:anchor="b647" w:history="1">
        <w:r>
          <w:rPr>
            <w:color w:val="0A3A8C"/>
            <w:u w:val="single"/>
          </w:rPr>
          <w:t xml:space="preserve">§ 454 Aussetzung des Restes einer Freiheitsstrafe zur Bewährung</w:t>
        </w:r>
      </w:hyperlink>
    </w:p>
    <w:p>
      <w:pPr>
        <w:pStyle w:val="Übersicht"/>
        <w:ind w:left="680"/>
      </w:pPr>
      <w:hyperlink w:anchor="b648" w:history="1">
        <w:r>
          <w:rPr>
            <w:color w:val="0A3A8C"/>
            <w:u w:val="single"/>
          </w:rPr>
          <w:t xml:space="preserve">§ 454a Beginn der Bewährungszeit; Aufhebung der Aussetzung des Strafrestes</w:t>
        </w:r>
      </w:hyperlink>
    </w:p>
    <w:p>
      <w:pPr>
        <w:pStyle w:val="Übersicht"/>
        <w:ind w:left="680"/>
      </w:pPr>
      <w:hyperlink w:anchor="b649" w:history="1">
        <w:r>
          <w:rPr>
            <w:color w:val="0A3A8C"/>
            <w:u w:val="single"/>
          </w:rPr>
          <w:t xml:space="preserve">§ 454b Vollstreckungsreihenfolge bei Freiheits- und Ersatzfreiheitsstrafen; Unterbrechung</w:t>
        </w:r>
      </w:hyperlink>
    </w:p>
    <w:p>
      <w:pPr>
        <w:pStyle w:val="Übersicht"/>
        <w:ind w:left="680"/>
      </w:pPr>
      <w:hyperlink w:anchor="b650" w:history="1">
        <w:r>
          <w:rPr>
            <w:color w:val="0A3A8C"/>
            <w:u w:val="single"/>
          </w:rPr>
          <w:t xml:space="preserve">§ 455 Strafausstand wegen Vollzugsuntauglichkeit</w:t>
        </w:r>
      </w:hyperlink>
    </w:p>
    <w:p>
      <w:pPr>
        <w:pStyle w:val="Übersicht"/>
        <w:ind w:left="680"/>
      </w:pPr>
      <w:hyperlink w:anchor="b651" w:history="1">
        <w:r>
          <w:rPr>
            <w:color w:val="0A3A8C"/>
            <w:u w:val="single"/>
          </w:rPr>
          <w:t xml:space="preserve">§ 455a Strafausstand aus Gründen der Vollzugsorganisation</w:t>
        </w:r>
      </w:hyperlink>
    </w:p>
    <w:p>
      <w:pPr>
        <w:pStyle w:val="Übersicht"/>
        <w:ind w:left="680"/>
      </w:pPr>
      <w:hyperlink w:anchor="b652" w:history="1">
        <w:r>
          <w:rPr>
            <w:color w:val="0A3A8C"/>
            <w:u w:val="single"/>
          </w:rPr>
          <w:t xml:space="preserve">§ 456 Vorübergehender Aufschub</w:t>
        </w:r>
      </w:hyperlink>
    </w:p>
    <w:p>
      <w:pPr>
        <w:pStyle w:val="Übersicht"/>
        <w:ind w:left="680"/>
      </w:pPr>
      <w:hyperlink w:anchor="b653" w:history="1">
        <w:r>
          <w:rPr>
            <w:color w:val="0A3A8C"/>
            <w:u w:val="single"/>
          </w:rPr>
          <w:t xml:space="preserve">§ 456a Absehen von Vollstreckung bei Auslieferung, Überstellung oder Ausweisung</w:t>
        </w:r>
      </w:hyperlink>
    </w:p>
    <w:p>
      <w:pPr>
        <w:pStyle w:val="Übersicht"/>
        <w:ind w:left="680"/>
      </w:pPr>
      <w:hyperlink w:anchor="b654" w:history="1">
        <w:r>
          <w:rPr>
            <w:color w:val="0A3A8C"/>
            <w:u w:val="single"/>
          </w:rPr>
          <w:t xml:space="preserve">§ 456b (weggefallen)</w:t>
        </w:r>
      </w:hyperlink>
    </w:p>
    <w:p>
      <w:pPr>
        <w:pStyle w:val="Übersicht"/>
        <w:ind w:left="680"/>
      </w:pPr>
      <w:hyperlink w:anchor="b655" w:history="1">
        <w:r>
          <w:rPr>
            <w:color w:val="0A3A8C"/>
            <w:u w:val="single"/>
          </w:rPr>
          <w:t xml:space="preserve">§ 456c Aufschub und Aussetzung des Berufsverbotes</w:t>
        </w:r>
      </w:hyperlink>
    </w:p>
    <w:p>
      <w:pPr>
        <w:pStyle w:val="Übersicht"/>
        <w:ind w:left="680"/>
      </w:pPr>
      <w:hyperlink w:anchor="b656" w:history="1">
        <w:r>
          <w:rPr>
            <w:color w:val="0A3A8C"/>
            <w:u w:val="single"/>
          </w:rPr>
          <w:t xml:space="preserve">§ 457 Ermittlungshandlungen; Vorführungsbefehl, Vollstreckungshaftbefehl</w:t>
        </w:r>
      </w:hyperlink>
    </w:p>
    <w:p>
      <w:pPr>
        <w:pStyle w:val="Übersicht"/>
        <w:ind w:left="680"/>
      </w:pPr>
      <w:hyperlink w:anchor="b657" w:history="1">
        <w:r>
          <w:rPr>
            <w:color w:val="0A3A8C"/>
            <w:u w:val="single"/>
          </w:rPr>
          <w:t xml:space="preserve">§ 458 Gerichtliche Entscheidungen bei Strafvollstreckung</w:t>
        </w:r>
      </w:hyperlink>
    </w:p>
    <w:p>
      <w:pPr>
        <w:pStyle w:val="Übersicht"/>
        <w:ind w:left="680"/>
      </w:pPr>
      <w:hyperlink w:anchor="b658" w:history="1">
        <w:r>
          <w:rPr>
            <w:color w:val="0A3A8C"/>
            <w:u w:val="single"/>
          </w:rPr>
          <w:t xml:space="preserve">§ 459 Vollstreckung der Geldstrafe; Anwendung des Justizbeitreibungsgesetzes</w:t>
        </w:r>
      </w:hyperlink>
    </w:p>
    <w:p>
      <w:pPr>
        <w:pStyle w:val="Übersicht"/>
        <w:ind w:left="680"/>
      </w:pPr>
      <w:hyperlink w:anchor="b659" w:history="1">
        <w:r>
          <w:rPr>
            <w:color w:val="0A3A8C"/>
            <w:u w:val="single"/>
          </w:rPr>
          <w:t xml:space="preserve">§ 459a Bewilligung von Zahlungserleichterungen</w:t>
        </w:r>
      </w:hyperlink>
    </w:p>
    <w:p>
      <w:pPr>
        <w:pStyle w:val="Übersicht"/>
        <w:ind w:left="680"/>
      </w:pPr>
      <w:hyperlink w:anchor="b660" w:history="1">
        <w:r>
          <w:rPr>
            <w:color w:val="0A3A8C"/>
            <w:u w:val="single"/>
          </w:rPr>
          <w:t xml:space="preserve">§ 459b Anrechnung von Teilbeträgen</w:t>
        </w:r>
      </w:hyperlink>
    </w:p>
    <w:p>
      <w:pPr>
        <w:pStyle w:val="Übersicht"/>
        <w:ind w:left="680"/>
      </w:pPr>
      <w:hyperlink w:anchor="b661" w:history="1">
        <w:r>
          <w:rPr>
            <w:color w:val="0A3A8C"/>
            <w:u w:val="single"/>
          </w:rPr>
          <w:t xml:space="preserve">§ 459c Beitreibung der Geldstrafe</w:t>
        </w:r>
      </w:hyperlink>
    </w:p>
    <w:p>
      <w:pPr>
        <w:pStyle w:val="Übersicht"/>
        <w:ind w:left="680"/>
      </w:pPr>
      <w:hyperlink w:anchor="b662" w:history="1">
        <w:r>
          <w:rPr>
            <w:color w:val="0A3A8C"/>
            <w:u w:val="single"/>
          </w:rPr>
          <w:t xml:space="preserve">§ 459d Unterbleiben der Vollstreckung einer Geldstrafe</w:t>
        </w:r>
      </w:hyperlink>
    </w:p>
    <w:p>
      <w:pPr>
        <w:pStyle w:val="Übersicht"/>
        <w:ind w:left="680"/>
      </w:pPr>
      <w:hyperlink w:anchor="b663" w:history="1">
        <w:r>
          <w:rPr>
            <w:color w:val="0A3A8C"/>
            <w:u w:val="single"/>
          </w:rPr>
          <w:t xml:space="preserve">§ 459e Vollstreckung der Ersatzfreiheitsstrafe</w:t>
        </w:r>
      </w:hyperlink>
    </w:p>
    <w:p>
      <w:pPr>
        <w:pStyle w:val="Übersicht"/>
        <w:ind w:left="680"/>
      </w:pPr>
      <w:hyperlink w:anchor="b664" w:history="1">
        <w:r>
          <w:rPr>
            <w:color w:val="0A3A8C"/>
            <w:u w:val="single"/>
          </w:rPr>
          <w:t xml:space="preserve">§ 459f Unterbleiben der Vollstreckung einer Ersatzfreiheitsstrafe</w:t>
        </w:r>
      </w:hyperlink>
    </w:p>
    <w:p>
      <w:pPr>
        <w:pStyle w:val="Übersicht"/>
        <w:ind w:left="680"/>
      </w:pPr>
      <w:hyperlink w:anchor="b665" w:history="1">
        <w:r>
          <w:rPr>
            <w:color w:val="0A3A8C"/>
            <w:u w:val="single"/>
          </w:rPr>
          <w:t xml:space="preserve">§ 459g Vollstreckung von Nebenfolgen</w:t>
        </w:r>
      </w:hyperlink>
    </w:p>
    <w:p>
      <w:pPr>
        <w:pStyle w:val="Übersicht"/>
        <w:ind w:left="680"/>
      </w:pPr>
      <w:hyperlink w:anchor="b666" w:history="1">
        <w:r>
          <w:rPr>
            <w:color w:val="0A3A8C"/>
            <w:u w:val="single"/>
          </w:rPr>
          <w:t xml:space="preserve">§ 459h Entschädigung</w:t>
        </w:r>
      </w:hyperlink>
    </w:p>
    <w:p>
      <w:pPr>
        <w:pStyle w:val="Übersicht"/>
        <w:ind w:left="680"/>
      </w:pPr>
      <w:hyperlink w:anchor="b667" w:history="1">
        <w:r>
          <w:rPr>
            <w:color w:val="0A3A8C"/>
            <w:u w:val="single"/>
          </w:rPr>
          <w:t xml:space="preserve">§ 459i Mitteilungen</w:t>
        </w:r>
      </w:hyperlink>
    </w:p>
    <w:p>
      <w:pPr>
        <w:pStyle w:val="Übersicht"/>
        <w:ind w:left="680"/>
      </w:pPr>
      <w:hyperlink w:anchor="b668" w:history="1">
        <w:r>
          <w:rPr>
            <w:color w:val="0A3A8C"/>
            <w:u w:val="single"/>
          </w:rPr>
          <w:t xml:space="preserve">§ 459j Verfahren bei Rückübertragung und Herausgabe</w:t>
        </w:r>
      </w:hyperlink>
    </w:p>
    <w:p>
      <w:pPr>
        <w:pStyle w:val="Übersicht"/>
        <w:ind w:left="680"/>
      </w:pPr>
      <w:hyperlink w:anchor="b669" w:history="1">
        <w:r>
          <w:rPr>
            <w:color w:val="0A3A8C"/>
            <w:u w:val="single"/>
          </w:rPr>
          <w:t xml:space="preserve">§ 459k Verfahren bei Auskehrung des Verwertungserlöses</w:t>
        </w:r>
      </w:hyperlink>
    </w:p>
    <w:p>
      <w:pPr>
        <w:pStyle w:val="Übersicht"/>
        <w:ind w:left="680"/>
      </w:pPr>
      <w:hyperlink w:anchor="b670" w:history="1">
        <w:r>
          <w:rPr>
            <w:color w:val="0A3A8C"/>
            <w:u w:val="single"/>
          </w:rPr>
          <w:t xml:space="preserve">§ 459l Ansprüche des Betroffenen</w:t>
        </w:r>
      </w:hyperlink>
    </w:p>
    <w:p>
      <w:pPr>
        <w:pStyle w:val="Übersicht"/>
        <w:ind w:left="680"/>
      </w:pPr>
      <w:hyperlink w:anchor="b671" w:history="1">
        <w:r>
          <w:rPr>
            <w:color w:val="0A3A8C"/>
            <w:u w:val="single"/>
          </w:rPr>
          <w:t xml:space="preserve">§ 459m Entschädigung in sonstigen Fällen</w:t>
        </w:r>
      </w:hyperlink>
    </w:p>
    <w:p>
      <w:pPr>
        <w:pStyle w:val="Übersicht"/>
        <w:ind w:left="680"/>
      </w:pPr>
      <w:hyperlink w:anchor="b672" w:history="1">
        <w:r>
          <w:rPr>
            <w:color w:val="0A3A8C"/>
            <w:u w:val="single"/>
          </w:rPr>
          <w:t xml:space="preserve">§ 459n Zahlungen auf Wertersatzeinziehung</w:t>
        </w:r>
      </w:hyperlink>
    </w:p>
    <w:p>
      <w:pPr>
        <w:pStyle w:val="Übersicht"/>
        <w:ind w:left="680"/>
      </w:pPr>
      <w:hyperlink w:anchor="b673" w:history="1">
        <w:r>
          <w:rPr>
            <w:color w:val="0A3A8C"/>
            <w:u w:val="single"/>
          </w:rPr>
          <w:t xml:space="preserve">§ 459o Einwendungen gegen vollstreckungsrechtliche Entscheidungen</w:t>
        </w:r>
      </w:hyperlink>
    </w:p>
    <w:p>
      <w:pPr>
        <w:pStyle w:val="Übersicht"/>
        <w:ind w:left="680"/>
      </w:pPr>
      <w:hyperlink w:anchor="b674" w:history="1">
        <w:r>
          <w:rPr>
            <w:color w:val="0A3A8C"/>
            <w:u w:val="single"/>
          </w:rPr>
          <w:t xml:space="preserve">§ 460 Nachträgliche Gesamtstrafenbildung</w:t>
        </w:r>
      </w:hyperlink>
    </w:p>
    <w:p>
      <w:pPr>
        <w:pStyle w:val="Übersicht"/>
        <w:ind w:left="680"/>
      </w:pPr>
      <w:hyperlink w:anchor="b675" w:history="1">
        <w:r>
          <w:rPr>
            <w:color w:val="0A3A8C"/>
            <w:u w:val="single"/>
          </w:rPr>
          <w:t xml:space="preserve">§ 461 Anrechnung des Aufenthalts in einem Krankenhaus</w:t>
        </w:r>
      </w:hyperlink>
    </w:p>
    <w:p>
      <w:pPr>
        <w:pStyle w:val="Übersicht"/>
        <w:ind w:left="680"/>
      </w:pPr>
      <w:hyperlink w:anchor="b676" w:history="1">
        <w:r>
          <w:rPr>
            <w:color w:val="0A3A8C"/>
            <w:u w:val="single"/>
          </w:rPr>
          <w:t xml:space="preserve">§ 462 Verfahren bei gerichtlichen Entscheidungen; sofortige Beschwerde</w:t>
        </w:r>
      </w:hyperlink>
    </w:p>
    <w:p>
      <w:pPr>
        <w:pStyle w:val="Übersicht"/>
        <w:ind w:left="680"/>
      </w:pPr>
      <w:hyperlink w:anchor="b677" w:history="1">
        <w:r>
          <w:rPr>
            <w:color w:val="0A3A8C"/>
            <w:u w:val="single"/>
          </w:rPr>
          <w:t xml:space="preserve">§ 462a Zuständigkeit der Strafvollstreckungskammer und des erstinstanzlichen Gerichts</w:t>
        </w:r>
      </w:hyperlink>
    </w:p>
    <w:p>
      <w:pPr>
        <w:pStyle w:val="Übersicht"/>
        <w:ind w:left="680"/>
      </w:pPr>
      <w:hyperlink w:anchor="b678" w:history="1">
        <w:r>
          <w:rPr>
            <w:color w:val="0A3A8C"/>
            <w:u w:val="single"/>
          </w:rPr>
          <w:t xml:space="preserve">§ 463 Vollstreckung von Maßregeln der Besserung und Sicherung</w:t>
        </w:r>
      </w:hyperlink>
    </w:p>
    <w:p>
      <w:pPr>
        <w:pStyle w:val="Übersicht"/>
        <w:ind w:left="680"/>
      </w:pPr>
      <w:hyperlink w:anchor="b679" w:history="1">
        <w:r>
          <w:rPr>
            <w:color w:val="0A3A8C"/>
            <w:u w:val="single"/>
          </w:rPr>
          <w:t xml:space="preserve">§ 463a Zuständigkeit und Befugnisse der Aufsichtsstellen</w:t>
        </w:r>
      </w:hyperlink>
    </w:p>
    <w:p>
      <w:pPr>
        <w:pStyle w:val="Übersicht"/>
        <w:ind w:left="680"/>
      </w:pPr>
      <w:hyperlink w:anchor="b680" w:history="1">
        <w:r>
          <w:rPr>
            <w:color w:val="0A3A8C"/>
            <w:u w:val="single"/>
          </w:rPr>
          <w:t xml:space="preserve">§ 463b Beschlagnahme von Führerscheinen</w:t>
        </w:r>
      </w:hyperlink>
    </w:p>
    <w:p>
      <w:pPr>
        <w:pStyle w:val="Übersicht"/>
        <w:ind w:left="680"/>
      </w:pPr>
      <w:hyperlink w:anchor="b681" w:history="1">
        <w:r>
          <w:rPr>
            <w:color w:val="0A3A8C"/>
            <w:u w:val="single"/>
          </w:rPr>
          <w:t xml:space="preserve">§ 463c Öffentliche Bekanntmachung der Verurteilung</w:t>
        </w:r>
      </w:hyperlink>
    </w:p>
    <w:p>
      <w:pPr>
        <w:pStyle w:val="Übersicht"/>
        <w:ind w:left="680"/>
      </w:pPr>
      <w:hyperlink w:anchor="b682" w:history="1">
        <w:r>
          <w:rPr>
            <w:color w:val="0A3A8C"/>
            <w:u w:val="single"/>
          </w:rPr>
          <w:t xml:space="preserve">§ 463d Gerichtshilfe</w:t>
        </w:r>
      </w:hyperlink>
    </w:p>
    <w:p>
      <w:pPr>
        <w:pStyle w:val="Übersicht"/>
        <w:ind w:left="680"/>
      </w:pPr>
      <w:hyperlink w:anchor="b683" w:history="1">
        <w:r>
          <w:rPr>
            <w:color w:val="0A3A8C"/>
            <w:u w:val="single"/>
          </w:rPr>
          <w:t xml:space="preserve">§ 463e Mündliche Anhörung im Wege der Bild- und Tonübertragung</w:t>
        </w:r>
      </w:hyperlink>
    </w:p>
    <w:p>
      <w:pPr>
        <w:pStyle w:val="Übersicht"/>
        <w:ind w:left="340"/>
      </w:pPr>
      <w:hyperlink w:anchor="b684" w:history="1">
        <w:r>
          <w:rPr>
            <w:b/>
            <w:color w:val="0A3A8C"/>
            <w:u w:val="single"/>
          </w:rPr>
          <w:t xml:space="preserve">Zweiter Abschnitt Kosten des Verfahrens</w:t>
        </w:r>
      </w:hyperlink>
    </w:p>
    <w:p>
      <w:pPr>
        <w:pStyle w:val="Übersicht"/>
        <w:ind w:left="680"/>
      </w:pPr>
      <w:hyperlink w:anchor="b685" w:history="1">
        <w:r>
          <w:rPr>
            <w:color w:val="0A3A8C"/>
            <w:u w:val="single"/>
          </w:rPr>
          <w:t xml:space="preserve">§ 464 Kosten- und Auslagenentscheidung; sofortige Beschwerde</w:t>
        </w:r>
      </w:hyperlink>
    </w:p>
    <w:p>
      <w:pPr>
        <w:pStyle w:val="Übersicht"/>
        <w:ind w:left="680"/>
      </w:pPr>
      <w:hyperlink w:anchor="b686" w:history="1">
        <w:r>
          <w:rPr>
            <w:color w:val="0A3A8C"/>
            <w:u w:val="single"/>
          </w:rPr>
          <w:t xml:space="preserve">§ 464a Kosten des Verfahrens; notwendige Auslagen</w:t>
        </w:r>
      </w:hyperlink>
    </w:p>
    <w:p>
      <w:pPr>
        <w:pStyle w:val="Übersicht"/>
        <w:ind w:left="680"/>
      </w:pPr>
      <w:hyperlink w:anchor="b687" w:history="1">
        <w:r>
          <w:rPr>
            <w:color w:val="0A3A8C"/>
            <w:u w:val="single"/>
          </w:rPr>
          <w:t xml:space="preserve">§ 464b Kostenfestsetzung</w:t>
        </w:r>
      </w:hyperlink>
    </w:p>
    <w:p>
      <w:pPr>
        <w:pStyle w:val="Übersicht"/>
        <w:ind w:left="680"/>
      </w:pPr>
      <w:hyperlink w:anchor="b688" w:history="1">
        <w:r>
          <w:rPr>
            <w:color w:val="0A3A8C"/>
            <w:u w:val="single"/>
          </w:rPr>
          <w:t xml:space="preserve">§ 464c Kosten bei Bestellung eines Dolmetschers oder Übersetzers für den Angeschuldigten</w:t>
        </w:r>
      </w:hyperlink>
    </w:p>
    <w:p>
      <w:pPr>
        <w:pStyle w:val="Übersicht"/>
        <w:ind w:left="680"/>
      </w:pPr>
      <w:hyperlink w:anchor="b689" w:history="1">
        <w:r>
          <w:rPr>
            <w:color w:val="0A3A8C"/>
            <w:u w:val="single"/>
          </w:rPr>
          <w:t xml:space="preserve">§ 464d Verteilung der Auslagen nach Bruchteilen</w:t>
        </w:r>
      </w:hyperlink>
    </w:p>
    <w:p>
      <w:pPr>
        <w:pStyle w:val="Übersicht"/>
        <w:ind w:left="680"/>
      </w:pPr>
      <w:hyperlink w:anchor="b690" w:history="1">
        <w:r>
          <w:rPr>
            <w:color w:val="0A3A8C"/>
            <w:u w:val="single"/>
          </w:rPr>
          <w:t xml:space="preserve">§ 465 Kostentragungspflicht des Verurteilten</w:t>
        </w:r>
      </w:hyperlink>
    </w:p>
    <w:p>
      <w:pPr>
        <w:pStyle w:val="Übersicht"/>
        <w:ind w:left="680"/>
      </w:pPr>
      <w:hyperlink w:anchor="b691" w:history="1">
        <w:r>
          <w:rPr>
            <w:color w:val="0A3A8C"/>
            <w:u w:val="single"/>
          </w:rPr>
          <w:t xml:space="preserve">§ 466 Haftung Mitverurteilter für Auslagen als Gesamtschuldner</w:t>
        </w:r>
      </w:hyperlink>
    </w:p>
    <w:p>
      <w:pPr>
        <w:pStyle w:val="Übersicht"/>
        <w:ind w:left="680"/>
      </w:pPr>
      <w:hyperlink w:anchor="b692" w:history="1">
        <w:r>
          <w:rPr>
            <w:color w:val="0A3A8C"/>
            <w:u w:val="single"/>
          </w:rPr>
          <w:t xml:space="preserve">§ 467 Kosten und notwendige Auslagen bei Freispruch, Nichteröffnung und Einstellung</w:t>
        </w:r>
      </w:hyperlink>
    </w:p>
    <w:p>
      <w:pPr>
        <w:pStyle w:val="Übersicht"/>
        <w:ind w:left="680"/>
      </w:pPr>
      <w:hyperlink w:anchor="b693" w:history="1">
        <w:r>
          <w:rPr>
            <w:color w:val="0A3A8C"/>
            <w:u w:val="single"/>
          </w:rPr>
          <w:t xml:space="preserve">§ 467a Auslagen der Staatskasse bei Einstellung nach Anklagerücknahme</w:t>
        </w:r>
      </w:hyperlink>
    </w:p>
    <w:p>
      <w:pPr>
        <w:pStyle w:val="Übersicht"/>
        <w:ind w:left="680"/>
      </w:pPr>
      <w:hyperlink w:anchor="b694" w:history="1">
        <w:r>
          <w:rPr>
            <w:color w:val="0A3A8C"/>
            <w:u w:val="single"/>
          </w:rPr>
          <w:t xml:space="preserve">§ 468 Kosten bei Straffreierklärung</w:t>
        </w:r>
      </w:hyperlink>
    </w:p>
    <w:p>
      <w:pPr>
        <w:pStyle w:val="Übersicht"/>
        <w:ind w:left="680"/>
      </w:pPr>
      <w:hyperlink w:anchor="b695" w:history="1">
        <w:r>
          <w:rPr>
            <w:color w:val="0A3A8C"/>
            <w:u w:val="single"/>
          </w:rPr>
          <w:t xml:space="preserve">§ 469 Kostentragungspflicht des Anzeigenden bei leichtfertiger oder vorsätzlicher Erstattung einer unwahren Anzeige</w:t>
        </w:r>
      </w:hyperlink>
    </w:p>
    <w:p>
      <w:pPr>
        <w:pStyle w:val="Übersicht"/>
        <w:ind w:left="680"/>
      </w:pPr>
      <w:hyperlink w:anchor="b696" w:history="1">
        <w:r>
          <w:rPr>
            <w:color w:val="0A3A8C"/>
            <w:u w:val="single"/>
          </w:rPr>
          <w:t xml:space="preserve">§ 470 Kosten bei Zurücknahme des Strafantrags</w:t>
        </w:r>
      </w:hyperlink>
    </w:p>
    <w:p>
      <w:pPr>
        <w:pStyle w:val="Übersicht"/>
        <w:ind w:left="680"/>
      </w:pPr>
      <w:hyperlink w:anchor="b697" w:history="1">
        <w:r>
          <w:rPr>
            <w:color w:val="0A3A8C"/>
            <w:u w:val="single"/>
          </w:rPr>
          <w:t xml:space="preserve">§ 471 Kosten bei Privatklage</w:t>
        </w:r>
      </w:hyperlink>
    </w:p>
    <w:p>
      <w:pPr>
        <w:pStyle w:val="Übersicht"/>
        <w:ind w:left="680"/>
      </w:pPr>
      <w:hyperlink w:anchor="b698" w:history="1">
        <w:r>
          <w:rPr>
            <w:color w:val="0A3A8C"/>
            <w:u w:val="single"/>
          </w:rPr>
          <w:t xml:space="preserve">§ 472 Notwendige Auslagen des Nebenklägers</w:t>
        </w:r>
      </w:hyperlink>
    </w:p>
    <w:p>
      <w:pPr>
        <w:pStyle w:val="Übersicht"/>
        <w:ind w:left="680"/>
      </w:pPr>
      <w:hyperlink w:anchor="b699" w:history="1">
        <w:r>
          <w:rPr>
            <w:color w:val="0A3A8C"/>
            <w:u w:val="single"/>
          </w:rPr>
          <w:t xml:space="preserve">§ 472a Kosten und notwendige Auslagen bei Adhäsionsverfahren</w:t>
        </w:r>
      </w:hyperlink>
    </w:p>
    <w:p>
      <w:pPr>
        <w:pStyle w:val="Übersicht"/>
        <w:ind w:left="680"/>
      </w:pPr>
      <w:hyperlink w:anchor="b700" w:history="1">
        <w:r>
          <w:rPr>
            <w:color w:val="0A3A8C"/>
            <w:u w:val="single"/>
          </w:rPr>
          <w:t xml:space="preserve">§ 472b Kosten und notwendige Auslagen bei Nebenbeteiligung</w:t>
        </w:r>
      </w:hyperlink>
    </w:p>
    <w:p>
      <w:pPr>
        <w:pStyle w:val="Übersicht"/>
        <w:ind w:left="680"/>
      </w:pPr>
      <w:hyperlink w:anchor="b701" w:history="1">
        <w:r>
          <w:rPr>
            <w:color w:val="0A3A8C"/>
            <w:u w:val="single"/>
          </w:rPr>
          <w:t xml:space="preserve">§ 473 Kosten bei zurückgenommenem oder erfolglosem Rechtsmittel; Kosten der Wiedereinsetzung</w:t>
        </w:r>
      </w:hyperlink>
    </w:p>
    <w:p>
      <w:pPr>
        <w:pStyle w:val="Übersicht"/>
        <w:ind w:left="680"/>
      </w:pPr>
      <w:hyperlink w:anchor="b702" w:history="1">
        <w:r>
          <w:rPr>
            <w:color w:val="0A3A8C"/>
            <w:u w:val="single"/>
          </w:rPr>
          <w:t xml:space="preserve">§ 473a Kosten und notwendige Auslagen bei gesonderter Entscheidung über die Rechtmäßigkeit einer Ermittlungsmaßnahme</w:t>
        </w:r>
      </w:hyperlink>
    </w:p>
    <w:p>
      <w:pPr>
        <w:pStyle w:val="Übersicht"/>
        <w:ind w:left="0"/>
      </w:pPr>
      <w:hyperlink w:anchor="b703" w:history="1">
        <w:r>
          <w:rPr>
            <w:b/>
            <w:color w:val="0A3A8C"/>
            <w:u w:val="single"/>
          </w:rPr>
          <w:t xml:space="preserve">Achtes Buch Schutz und Verwendung von Daten</w:t>
        </w:r>
      </w:hyperlink>
    </w:p>
    <w:p>
      <w:pPr>
        <w:pStyle w:val="Übersicht"/>
        <w:ind w:left="340"/>
      </w:pPr>
      <w:hyperlink w:anchor="b704" w:history="1">
        <w:r>
          <w:rPr>
            <w:b/>
            <w:color w:val="0A3A8C"/>
            <w:u w:val="single"/>
          </w:rPr>
          <w:t xml:space="preserve">Erster Abschnitt Erteilung von Auskünften und Akteneinsicht, sonstige Verwendung von Daten für verfahrensübergreifende Zwecke</w:t>
        </w:r>
      </w:hyperlink>
    </w:p>
    <w:p>
      <w:pPr>
        <w:pStyle w:val="Übersicht"/>
        <w:ind w:left="680"/>
      </w:pPr>
      <w:hyperlink w:anchor="b705" w:history="1">
        <w:r>
          <w:rPr>
            <w:color w:val="0A3A8C"/>
            <w:u w:val="single"/>
          </w:rPr>
          <w:t xml:space="preserve">§ 474 Auskünfte und Akteneinsicht für Justizbehörden und andere öffentliche Stellen</w:t>
        </w:r>
      </w:hyperlink>
    </w:p>
    <w:p>
      <w:pPr>
        <w:pStyle w:val="Übersicht"/>
        <w:ind w:left="680"/>
      </w:pPr>
      <w:hyperlink w:anchor="b706" w:history="1">
        <w:r>
          <w:rPr>
            <w:color w:val="0A3A8C"/>
            <w:u w:val="single"/>
          </w:rPr>
          <w:t xml:space="preserve">§ 475 Auskünfte und Akteneinsicht für Privatpersonen und sonstige Stellen</w:t>
        </w:r>
      </w:hyperlink>
    </w:p>
    <w:p>
      <w:pPr>
        <w:pStyle w:val="Übersicht"/>
        <w:ind w:left="680"/>
      </w:pPr>
      <w:hyperlink w:anchor="b707" w:history="1">
        <w:r>
          <w:rPr>
            <w:color w:val="0A3A8C"/>
            <w:u w:val="single"/>
          </w:rPr>
          <w:t xml:space="preserve">§ 476 Auskünfte und Akteneinsicht zu Forschungszwecken</w:t>
        </w:r>
      </w:hyperlink>
    </w:p>
    <w:p>
      <w:pPr>
        <w:pStyle w:val="Übersicht"/>
        <w:ind w:left="680"/>
      </w:pPr>
      <w:hyperlink w:anchor="b708" w:history="1">
        <w:r>
          <w:rPr>
            <w:color w:val="0A3A8C"/>
            <w:u w:val="single"/>
          </w:rPr>
          <w:t xml:space="preserve">§ 477 Datenübermittlung von Amts wegen</w:t>
        </w:r>
      </w:hyperlink>
    </w:p>
    <w:p>
      <w:pPr>
        <w:pStyle w:val="Übersicht"/>
        <w:ind w:left="680"/>
      </w:pPr>
      <w:hyperlink w:anchor="b709" w:history="1">
        <w:r>
          <w:rPr>
            <w:color w:val="0A3A8C"/>
            <w:u w:val="single"/>
          </w:rPr>
          <w:t xml:space="preserve">§ 478 Form der Datenübermittlung</w:t>
        </w:r>
      </w:hyperlink>
    </w:p>
    <w:p>
      <w:pPr>
        <w:pStyle w:val="Übersicht"/>
        <w:ind w:left="680"/>
      </w:pPr>
      <w:hyperlink w:anchor="b710" w:history="1">
        <w:r>
          <w:rPr>
            <w:color w:val="0A3A8C"/>
            <w:u w:val="single"/>
          </w:rPr>
          <w:t xml:space="preserve">§ 479 Übermittlungsverbote und Verwendungsbeschränkungen</w:t>
        </w:r>
      </w:hyperlink>
    </w:p>
    <w:p>
      <w:pPr>
        <w:pStyle w:val="Übersicht"/>
        <w:ind w:left="680"/>
      </w:pPr>
      <w:hyperlink w:anchor="b711" w:history="1">
        <w:r>
          <w:rPr>
            <w:color w:val="0A3A8C"/>
            <w:u w:val="single"/>
          </w:rPr>
          <w:t xml:space="preserve">§ 480 Entscheidung über die Datenübermittlung</w:t>
        </w:r>
      </w:hyperlink>
    </w:p>
    <w:p>
      <w:pPr>
        <w:pStyle w:val="Übersicht"/>
        <w:ind w:left="680"/>
      </w:pPr>
      <w:hyperlink w:anchor="b712" w:history="1">
        <w:r>
          <w:rPr>
            <w:color w:val="0A3A8C"/>
            <w:u w:val="single"/>
          </w:rPr>
          <w:t xml:space="preserve">§ 481 Verwendung personenbezogener Daten für polizeiliche Zwecke</w:t>
        </w:r>
      </w:hyperlink>
    </w:p>
    <w:p>
      <w:pPr>
        <w:pStyle w:val="Übersicht"/>
        <w:ind w:left="680"/>
      </w:pPr>
      <w:hyperlink w:anchor="b713" w:history="1">
        <w:r>
          <w:rPr>
            <w:color w:val="0A3A8C"/>
            <w:u w:val="single"/>
          </w:rPr>
          <w:t xml:space="preserve">§ 482 Mitteilung des Aktenzeichens und des Verfahrensausgangs an die Polizei</w:t>
        </w:r>
      </w:hyperlink>
    </w:p>
    <w:p>
      <w:pPr>
        <w:pStyle w:val="Übersicht"/>
        <w:ind w:left="340"/>
      </w:pPr>
      <w:hyperlink w:anchor="b714" w:history="1">
        <w:r>
          <w:rPr>
            <w:b/>
            <w:color w:val="0A3A8C"/>
            <w:u w:val="single"/>
          </w:rPr>
          <w:t xml:space="preserve">Zweiter Abschnitt Regelungen über die Datenverarbeitung</w:t>
        </w:r>
      </w:hyperlink>
    </w:p>
    <w:p>
      <w:pPr>
        <w:pStyle w:val="Übersicht"/>
        <w:ind w:left="680"/>
      </w:pPr>
      <w:hyperlink w:anchor="b715" w:history="1">
        <w:r>
          <w:rPr>
            <w:color w:val="0A3A8C"/>
            <w:u w:val="single"/>
          </w:rPr>
          <w:t xml:space="preserve">§ 483 Datenverarbeitung für Zwecke des Strafverfahrens</w:t>
        </w:r>
      </w:hyperlink>
    </w:p>
    <w:p>
      <w:pPr>
        <w:pStyle w:val="Übersicht"/>
        <w:ind w:left="680"/>
      </w:pPr>
      <w:hyperlink w:anchor="b716" w:history="1">
        <w:r>
          <w:rPr>
            <w:color w:val="0A3A8C"/>
            <w:u w:val="single"/>
          </w:rPr>
          <w:t xml:space="preserve">§ 484 Datenverarbeitung für Zwecke künftiger Strafverfahren; Verordnungsermächtigung</w:t>
        </w:r>
      </w:hyperlink>
    </w:p>
    <w:p>
      <w:pPr>
        <w:pStyle w:val="Übersicht"/>
        <w:ind w:left="680"/>
      </w:pPr>
      <w:hyperlink w:anchor="b717" w:history="1">
        <w:r>
          <w:rPr>
            <w:color w:val="0A3A8C"/>
            <w:u w:val="single"/>
          </w:rPr>
          <w:t xml:space="preserve">§ 485 Datenverarbeitung für Zwecke der Vorgangsverwaltung</w:t>
        </w:r>
      </w:hyperlink>
    </w:p>
    <w:p>
      <w:pPr>
        <w:pStyle w:val="Übersicht"/>
        <w:ind w:left="680"/>
      </w:pPr>
      <w:hyperlink w:anchor="b718" w:history="1">
        <w:r>
          <w:rPr>
            <w:color w:val="0A3A8C"/>
            <w:u w:val="single"/>
          </w:rPr>
          <w:t xml:space="preserve">§ 486 Gemeinsame Dateisysteme</w:t>
        </w:r>
      </w:hyperlink>
    </w:p>
    <w:p>
      <w:pPr>
        <w:pStyle w:val="Übersicht"/>
        <w:ind w:left="680"/>
      </w:pPr>
      <w:hyperlink w:anchor="b719" w:history="1">
        <w:r>
          <w:rPr>
            <w:color w:val="0A3A8C"/>
            <w:u w:val="single"/>
          </w:rPr>
          <w:t xml:space="preserve">§ 487 Übermittlung gespeicherter Daten; Auskunft</w:t>
        </w:r>
      </w:hyperlink>
    </w:p>
    <w:p>
      <w:pPr>
        <w:pStyle w:val="Übersicht"/>
        <w:ind w:left="680"/>
      </w:pPr>
      <w:hyperlink w:anchor="b720" w:history="1">
        <w:r>
          <w:rPr>
            <w:color w:val="0A3A8C"/>
            <w:u w:val="single"/>
          </w:rPr>
          <w:t xml:space="preserve">§ 488 Automatisierte Verfahren für Datenübermittlungen</w:t>
        </w:r>
      </w:hyperlink>
    </w:p>
    <w:p>
      <w:pPr>
        <w:pStyle w:val="Übersicht"/>
        <w:ind w:left="680"/>
      </w:pPr>
      <w:hyperlink w:anchor="b721" w:history="1">
        <w:r>
          <w:rPr>
            <w:color w:val="0A3A8C"/>
            <w:u w:val="single"/>
          </w:rPr>
          <w:t xml:space="preserve">§ 489 Löschung und Einschränkung der Verarbeitung von Daten</w:t>
        </w:r>
      </w:hyperlink>
    </w:p>
    <w:p>
      <w:pPr>
        <w:pStyle w:val="Übersicht"/>
        <w:ind w:left="680"/>
      </w:pPr>
      <w:hyperlink w:anchor="b722" w:history="1">
        <w:r>
          <w:rPr>
            <w:color w:val="0A3A8C"/>
            <w:u w:val="single"/>
          </w:rPr>
          <w:t xml:space="preserve">§ 490 Errichtungsanordnung für automatisierte Dateisysteme</w:t>
        </w:r>
      </w:hyperlink>
    </w:p>
    <w:p>
      <w:pPr>
        <w:pStyle w:val="Übersicht"/>
        <w:ind w:left="680"/>
      </w:pPr>
      <w:hyperlink w:anchor="b723" w:history="1">
        <w:r>
          <w:rPr>
            <w:color w:val="0A3A8C"/>
            <w:u w:val="single"/>
          </w:rPr>
          <w:t xml:space="preserve">§ 491 Auskunft an betroffene Personen</w:t>
        </w:r>
      </w:hyperlink>
    </w:p>
    <w:p>
      <w:pPr>
        <w:pStyle w:val="Übersicht"/>
        <w:ind w:left="340"/>
      </w:pPr>
      <w:hyperlink w:anchor="b724" w:history="1">
        <w:r>
          <w:rPr>
            <w:b/>
            <w:color w:val="0A3A8C"/>
            <w:u w:val="single"/>
          </w:rPr>
          <w:t xml:space="preserve">Dritter Abschnitt Länderübergreifendes staatsanwaltschaftliches Verfahrensregister</w:t>
        </w:r>
      </w:hyperlink>
    </w:p>
    <w:p>
      <w:pPr>
        <w:pStyle w:val="Übersicht"/>
        <w:ind w:left="680"/>
      </w:pPr>
      <w:hyperlink w:anchor="b725" w:history="1">
        <w:r>
          <w:rPr>
            <w:color w:val="0A3A8C"/>
            <w:u w:val="single"/>
          </w:rPr>
          <w:t xml:space="preserve">§ 492 Zentrales staatsanwaltschaftliches Verfahrensregister</w:t>
        </w:r>
      </w:hyperlink>
    </w:p>
    <w:p>
      <w:pPr>
        <w:pStyle w:val="Übersicht"/>
        <w:ind w:left="680"/>
      </w:pPr>
      <w:hyperlink w:anchor="b726" w:history="1">
        <w:r>
          <w:rPr>
            <w:color w:val="0A3A8C"/>
            <w:u w:val="single"/>
          </w:rPr>
          <w:t xml:space="preserve">§ 493 Automatisiertes Verfahren für Datenübermittlungen</w:t>
        </w:r>
      </w:hyperlink>
    </w:p>
    <w:p>
      <w:pPr>
        <w:pStyle w:val="Übersicht"/>
        <w:ind w:left="680"/>
      </w:pPr>
      <w:hyperlink w:anchor="b727" w:history="1">
        <w:r>
          <w:rPr>
            <w:color w:val="0A3A8C"/>
            <w:u w:val="single"/>
          </w:rPr>
          <w:t xml:space="preserve">§ 494 Berichtigung, Löschung und Einschränkung der Verarbeitung von Daten; Verordnungsermächtigung</w:t>
        </w:r>
      </w:hyperlink>
    </w:p>
    <w:p>
      <w:pPr>
        <w:pStyle w:val="Übersicht"/>
        <w:ind w:left="680"/>
      </w:pPr>
      <w:hyperlink w:anchor="b728" w:history="1">
        <w:r>
          <w:rPr>
            <w:color w:val="0A3A8C"/>
            <w:u w:val="single"/>
          </w:rPr>
          <w:t xml:space="preserve">§ 495 Auskunft an betroffene Personen</w:t>
        </w:r>
      </w:hyperlink>
    </w:p>
    <w:p>
      <w:pPr>
        <w:pStyle w:val="Übersicht"/>
        <w:ind w:left="340"/>
      </w:pPr>
      <w:hyperlink w:anchor="b729" w:history="1">
        <w:r>
          <w:rPr>
            <w:b/>
            <w:color w:val="0A3A8C"/>
            <w:u w:val="single"/>
          </w:rPr>
          <w:t xml:space="preserve">Vierter Abschnitt Schutz personenbezogener Daten in einer elektronischen Akte; Verwendung personenbezogener Daten aus elektronischen Akten</w:t>
        </w:r>
      </w:hyperlink>
    </w:p>
    <w:p>
      <w:pPr>
        <w:pStyle w:val="Übersicht"/>
        <w:ind w:left="680"/>
      </w:pPr>
      <w:hyperlink w:anchor="b730" w:history="1">
        <w:r>
          <w:rPr>
            <w:color w:val="0A3A8C"/>
            <w:u w:val="single"/>
          </w:rPr>
          <w:t xml:space="preserve">§ 496 Verwendung personenbezogener Daten in einer elektronischen Akte</w:t>
        </w:r>
      </w:hyperlink>
    </w:p>
    <w:p>
      <w:pPr>
        <w:pStyle w:val="Übersicht"/>
        <w:ind w:left="680"/>
      </w:pPr>
      <w:hyperlink w:anchor="b731" w:history="1">
        <w:r>
          <w:rPr>
            <w:color w:val="0A3A8C"/>
            <w:u w:val="single"/>
          </w:rPr>
          <w:t xml:space="preserve">§ 497 Datenverarbeitung im Auftrag</w:t>
        </w:r>
      </w:hyperlink>
    </w:p>
    <w:p>
      <w:pPr>
        <w:pStyle w:val="Übersicht"/>
        <w:ind w:left="680"/>
      </w:pPr>
      <w:hyperlink w:anchor="b732" w:history="1">
        <w:r>
          <w:rPr>
            <w:color w:val="0A3A8C"/>
            <w:u w:val="single"/>
          </w:rPr>
          <w:t xml:space="preserve">§ 498 Verwendung personenbezogener Daten aus elektronischen Akten</w:t>
        </w:r>
      </w:hyperlink>
    </w:p>
    <w:p>
      <w:pPr>
        <w:pStyle w:val="Übersicht"/>
        <w:ind w:left="680"/>
      </w:pPr>
      <w:hyperlink w:anchor="b733" w:history="1">
        <w:r>
          <w:rPr>
            <w:color w:val="0A3A8C"/>
            <w:u w:val="single"/>
          </w:rPr>
          <w:t xml:space="preserve">§ 499 Löschung elektronischer Aktenkopien</w:t>
        </w:r>
      </w:hyperlink>
    </w:p>
    <w:p>
      <w:pPr>
        <w:pStyle w:val="Übersicht"/>
        <w:ind w:left="340"/>
      </w:pPr>
      <w:hyperlink w:anchor="b734" w:history="1">
        <w:r>
          <w:rPr>
            <w:b/>
            <w:color w:val="0A3A8C"/>
            <w:u w:val="single"/>
          </w:rPr>
          <w:t xml:space="preserve">Fünfter Abschnitt Anwendbarkeit des Bundesdatenschutzgesetzes</w:t>
        </w:r>
      </w:hyperlink>
    </w:p>
    <w:p>
      <w:pPr>
        <w:pStyle w:val="Übersicht"/>
        <w:ind w:left="680"/>
      </w:pPr>
      <w:hyperlink w:anchor="b735" w:history="1">
        <w:r>
          <w:rPr>
            <w:color w:val="0A3A8C"/>
            <w:u w:val="single"/>
          </w:rPr>
          <w:t xml:space="preserve">§ 500 Entsprechende Anwendung</w:t>
        </w:r>
      </w:hyperlink>
    </w:p>
    <w:p>
      <w:pPr>
        <w:pStyle w:val="Übersicht"/>
        <w:ind w:left="680"/>
      </w:pPr>
      <w:hyperlink w:anchor="b736" w:history="1">
        <w:r>
          <w:rPr>
            <w:color w:val="0A3A8C"/>
            <w:u w:val="single"/>
          </w:rPr>
          <w:t xml:space="preserve">Anhang EV Auszug aus EinigVtr Anlage I Kapitel III Sachgebiet A Abschnitte III und IV  (BGBl. II 1990, 889, 933, 940)  Abschnitt III  - Maßgaben für das beigetretene Gebiet (Art. 3 EinigVtr) -  Abschnitt IV  - Sonderregelung für das Land Berlin -</w:t>
        </w:r>
      </w:hyperlink>
    </w:p>
    <w:p>
      <w:pPr>
        <w:pStyle w:val="Heading1"/>
      </w:pPr>
      <w:bookmarkStart w:id="1" w:name="b0"/>
      <w:r>
        <w:t>Erstes Buch Allgemeine Vorschriften</w:t>
      </w:r>
      <w:bookmarkEnd w:id="1"/>
    </w:p>
    <w:p>
      <w:pPr>
        <w:pStyle w:val="Heading2"/>
      </w:pPr>
      <w:bookmarkStart w:id="2" w:name="b1"/>
      <w:r>
        <w:t>Erster Abschnitt Sachliche Zuständigkeit der Gerichte</w:t>
      </w:r>
      <w:bookmarkEnd w:id="2"/>
    </w:p>
    <w:p>
      <w:pPr>
        <w:pStyle w:val="Heading3"/>
      </w:pPr>
      <w:bookmarkStart w:id="3" w:name="b2"/>
      <w:r>
        <w:t>§ 1 Anwendbarkeit des Gerichtsverfassungsgesetzes</w:t>
      </w:r>
      <w:r>
        <w:t xml:space="preserve"> </w:t>
      </w:r>
      <w:r>
        <w:rPr>
          <w:rStyle w:val="Suchmarke"/>
        </w:rPr>
        <w:t>#1#</w:t>
      </w:r>
      <w:bookmarkEnd w:id="3"/>
    </w:p>
    <w:p>
      <w:r>
        <w:t>Die sachliche Zuständigkeit der Gerichte wird durch das Gesetz über die Gerichtsverfassung bestimmt.</w:t>
      </w:r>
    </w:p>
    <w:p>
      <w:pPr>
        <w:pStyle w:val="Heading3"/>
      </w:pPr>
      <w:bookmarkStart w:id="4" w:name="b3"/>
      <w:r>
        <w:t>§ 2 Verbindung und Trennung von Strafsachen</w:t>
      </w:r>
      <w:r>
        <w:t xml:space="preserve"> </w:t>
      </w:r>
      <w:r>
        <w:rPr>
          <w:rStyle w:val="Suchmarke"/>
        </w:rPr>
        <w:t>#2#</w:t>
      </w:r>
      <w:bookmarkEnd w:id="4"/>
    </w:p>
    <w:p>
      <w:r>
        <w:t xml:space="preserve">(1) </w:t>
      </w:r>
      <w:r>
        <w:rPr>
          <w:rStyle w:val="Satznummer"/>
        </w:rPr>
        <w:t>1</w:t>
      </w:r>
      <w:r>
        <w:t xml:space="preserve">Zusammenhängende Strafsachen, die einzeln zur Zuständigkeit von Gerichten verschiedener Ordnung gehören würden, können verbunden bei dem Gericht anhängig gemacht werden, dem die höhere Zuständigkeit beiwohnt. </w:t>
      </w:r>
      <w:r>
        <w:rPr>
          <w:rStyle w:val="Satznummer"/>
        </w:rPr>
        <w:t>2</w:t>
      </w:r>
      <w:r>
        <w:t xml:space="preserve">Zusammenhängende Strafsachen, von denen einzelne zur Zuständigkeit besonderer Strafkammern nach </w:t>
      </w:r>
      <w:hyperlink w:anchor="b102" w:history="1">
        <w:r>
          <w:rPr>
            <w:color w:val="0A3A8C"/>
            <w:u w:val="single"/>
          </w:rPr>
          <w:t xml:space="preserve">§ 74</w:t>
        </w:r>
      </w:hyperlink>
      <w:r>
        <w:t xml:space="preserve"> Abs. 2 sowie den §§ 74a und 74c des Gerichtsverfassungsgesetzes gehören würden, können verbunden bei der Strafkammer anhängig gemacht werden, der nach § 74e des Gerichtsverfassungsgesetzes der Vorrang zukommt.</w:t>
      </w:r>
    </w:p>
    <w:p>
      <w:r>
        <w:t>(2) Aus Gründen der Zweckmäßigkeit kann durch Beschluß dieses Gerichts die Trennung der verbundenen Strafsachen angeordnet werden.</w:t>
      </w:r>
    </w:p>
    <w:p>
      <w:pPr>
        <w:pStyle w:val="Heading3"/>
      </w:pPr>
      <w:bookmarkStart w:id="5" w:name="b4"/>
      <w:r>
        <w:t>§ 3 Begriff des Zusammenhanges</w:t>
      </w:r>
      <w:r>
        <w:t xml:space="preserve"> </w:t>
      </w:r>
      <w:r>
        <w:rPr>
          <w:rStyle w:val="Suchmarke"/>
        </w:rPr>
        <w:t>#3#</w:t>
      </w:r>
      <w:bookmarkEnd w:id="5"/>
    </w:p>
    <w:p>
      <w:r>
        <w:t>Ein Zusammenhang ist vorhanden, wenn eine Person mehrerer Straftaten beschuldigt wird oder wenn bei einer Tat mehrere Personen als Täter, Teilnehmer oder der Datenhehlerei, Begünstigung, Strafvereitelung oder Hehlerei beschuldigt werden.</w:t>
      </w:r>
    </w:p>
    <w:p>
      <w:pPr>
        <w:pStyle w:val="Heading3"/>
      </w:pPr>
      <w:bookmarkStart w:id="6" w:name="b5"/>
      <w:r>
        <w:t>§ 4 Verbindung und Trennung rechtshängiger Strafsachen</w:t>
      </w:r>
      <w:r>
        <w:t xml:space="preserve"> </w:t>
      </w:r>
      <w:r>
        <w:rPr>
          <w:rStyle w:val="Suchmarke"/>
        </w:rPr>
        <w:t>#4#</w:t>
      </w:r>
      <w:bookmarkEnd w:id="6"/>
    </w:p>
    <w:p>
      <w:r>
        <w:t>(1) Eine Verbindung zusammenhängender oder eine Trennung verbundener Strafsachen kann auch nach Eröffnung des Hauptverfahrens auf Antrag der Staatsanwaltschaft oder des Angeklagten oder von Amts wegen durch gerichtlichen Beschluß angeordnet werden.</w:t>
      </w:r>
    </w:p>
    <w:p>
      <w:r>
        <w:t xml:space="preserve">(2) </w:t>
      </w:r>
      <w:r>
        <w:rPr>
          <w:rStyle w:val="Satznummer"/>
        </w:rPr>
        <w:t>1</w:t>
      </w:r>
      <w:r>
        <w:t xml:space="preserve">Zuständig für den Beschluß ist das Gericht höherer Ordnung, wenn die übrigen Gerichte zu seinem Bezirk gehören. </w:t>
      </w:r>
      <w:r>
        <w:rPr>
          <w:rStyle w:val="Satznummer"/>
        </w:rPr>
        <w:t>2</w:t>
      </w:r>
      <w:r>
        <w:t>Fehlt ein solches Gericht, so entscheidet das gemeinschaftliche obere Gericht.</w:t>
      </w:r>
    </w:p>
    <w:p>
      <w:pPr>
        <w:pStyle w:val="Heading3"/>
      </w:pPr>
      <w:bookmarkStart w:id="7" w:name="b6"/>
      <w:r>
        <w:t>§ 5 Maßgebendes Verfahren</w:t>
      </w:r>
      <w:r>
        <w:t xml:space="preserve"> </w:t>
      </w:r>
      <w:r>
        <w:rPr>
          <w:rStyle w:val="Suchmarke"/>
        </w:rPr>
        <w:t>#5#</w:t>
      </w:r>
      <w:bookmarkEnd w:id="7"/>
    </w:p>
    <w:p>
      <w:r>
        <w:t>Für die Dauer der Verbindung ist der Straffall, der zur Zuständigkeit des Gerichts höherer Ordnung gehört, für das Verfahren maßgebend.</w:t>
      </w:r>
    </w:p>
    <w:p>
      <w:pPr>
        <w:pStyle w:val="Heading3"/>
      </w:pPr>
      <w:bookmarkStart w:id="8" w:name="b7"/>
      <w:r>
        <w:t>§ 6 Prüfung der sachlichen Zuständigkeit</w:t>
      </w:r>
      <w:r>
        <w:t xml:space="preserve"> </w:t>
      </w:r>
      <w:r>
        <w:rPr>
          <w:rStyle w:val="Suchmarke"/>
        </w:rPr>
        <w:t>#6#</w:t>
      </w:r>
      <w:bookmarkEnd w:id="8"/>
    </w:p>
    <w:p>
      <w:r>
        <w:t>Das Gericht hat seine sachliche Zuständigkeit in jeder Lage des Verfahrens von Amts wegen zu prüfen.</w:t>
      </w:r>
    </w:p>
    <w:p>
      <w:pPr>
        <w:pStyle w:val="Heading3"/>
      </w:pPr>
      <w:bookmarkStart w:id="9" w:name="b8"/>
      <w:r>
        <w:t>§ 6a Zuständigkeit besonderer Strafkammern</w:t>
      </w:r>
      <w:r>
        <w:t xml:space="preserve"> </w:t>
      </w:r>
      <w:r>
        <w:rPr>
          <w:rStyle w:val="Suchmarke"/>
        </w:rPr>
        <w:t>#6a#</w:t>
      </w:r>
      <w:bookmarkEnd w:id="9"/>
    </w:p>
    <w:p>
      <w:r>
        <w:rPr>
          <w:rStyle w:val="Satznummer"/>
        </w:rPr>
        <w:t>1</w:t>
      </w:r>
      <w:r>
        <w:t xml:space="preserve">Die Zuständigkeit besonderer Strafkammern nach den Vorschriften des Gerichtsverfassungsgesetzes (§ 74 Abs. 2, §§ 74a, 74c des Gerichtsverfassungsgesetzes) prüft das Gericht bis zur Eröffnung des Hauptverfahrens von Amts wegen. </w:t>
      </w:r>
      <w:r>
        <w:rPr>
          <w:rStyle w:val="Satznummer"/>
        </w:rPr>
        <w:t>2</w:t>
      </w:r>
      <w:r>
        <w:t xml:space="preserve">Danach darf es seine Unzuständigkeit nur auf Einwand des Angeklagten beachten. </w:t>
      </w:r>
      <w:r>
        <w:rPr>
          <w:rStyle w:val="Satznummer"/>
        </w:rPr>
        <w:t>3</w:t>
      </w:r>
      <w:r>
        <w:t>Der Angeklagte kann den Einwand nur bis zum Beginn seiner Vernehmung zur Sache in der Hauptverhandlung geltend machen.</w:t>
      </w:r>
    </w:p>
    <w:p>
      <w:pPr>
        <w:pStyle w:val="Heading2"/>
      </w:pPr>
      <w:bookmarkStart w:id="10" w:name="b9"/>
      <w:r>
        <w:t>Zweiter Abschnitt Gerichtsstand</w:t>
      </w:r>
      <w:bookmarkEnd w:id="10"/>
    </w:p>
    <w:p>
      <w:pPr>
        <w:pStyle w:val="Heading3"/>
      </w:pPr>
      <w:bookmarkStart w:id="11" w:name="b10"/>
      <w:r>
        <w:t>§ 7 Gerichtsstand des Tatortes</w:t>
      </w:r>
      <w:r>
        <w:t xml:space="preserve"> </w:t>
      </w:r>
      <w:r>
        <w:rPr>
          <w:rStyle w:val="Suchmarke"/>
        </w:rPr>
        <w:t>#7#</w:t>
      </w:r>
      <w:bookmarkEnd w:id="11"/>
    </w:p>
    <w:p>
      <w:r>
        <w:t>(1) Der Gerichtsstand ist bei dem Gericht begründet, in dessen Bezirk die Straftat begangen ist.</w:t>
      </w:r>
    </w:p>
    <w:p>
      <w:r>
        <w:t xml:space="preserve">(2) </w:t>
      </w:r>
      <w:r>
        <w:rPr>
          <w:rStyle w:val="Satznummer"/>
        </w:rPr>
        <w:t>1</w:t>
      </w:r>
      <w:r>
        <w:t xml:space="preserve">Wird die Straftat durch den Inhalt einer im Geltungsbereich dieses Bundesgesetzes erschienenen Druckschrift verwirklicht, so ist als das nach Absatz 1 zuständige Gericht nur das Gericht anzusehen, in dessen Bezirk die Druckschrift erschienen ist. </w:t>
      </w:r>
      <w:r>
        <w:rPr>
          <w:rStyle w:val="Satznummer"/>
        </w:rPr>
        <w:t>2</w:t>
      </w:r>
      <w:r>
        <w:t>Jedoch ist in den Fällen der Beleidigung, sofern die Verfolgung im Wege der Privatklage stattfindet, auch das Gericht, in dessen Bezirk die Druckschrift verbreitet worden ist, zuständig, wenn in diesem Bezirk die beleidigte Person ihren Wohnsitz oder gewöhnlichen Aufenthalt hat.</w:t>
      </w:r>
    </w:p>
    <w:p>
      <w:pPr>
        <w:pStyle w:val="Heading3"/>
      </w:pPr>
      <w:bookmarkStart w:id="12" w:name="b11"/>
      <w:r>
        <w:t>§ 8 Gerichtsstand des Wohnsitzes oder Aufenthaltsortes</w:t>
      </w:r>
      <w:r>
        <w:t xml:space="preserve"> </w:t>
      </w:r>
      <w:r>
        <w:rPr>
          <w:rStyle w:val="Suchmarke"/>
        </w:rPr>
        <w:t>#8#</w:t>
      </w:r>
      <w:bookmarkEnd w:id="12"/>
    </w:p>
    <w:p>
      <w:r>
        <w:t>(1) Der Gerichtsstand ist auch bei dem Gericht begründet, in dessen Bezirk der Angeschuldigte zur Zeit der Erhebung der Klage seinen Wohnsitz hat.</w:t>
      </w:r>
    </w:p>
    <w:p>
      <w:r>
        <w:t>(2) Hat der Angeschuldigte keinen Wohnsitz im Geltungsbereich dieses Bundesgesetzes, so wird der Gerichtsstand auch durch den gewöhnlichen Aufenthaltsort und, wenn ein solcher nicht bekannt ist, durch den letzten Wohnsitz bestimmt.</w:t>
      </w:r>
    </w:p>
    <w:p>
      <w:pPr>
        <w:pStyle w:val="Heading3"/>
      </w:pPr>
      <w:bookmarkStart w:id="13" w:name="b12"/>
      <w:r>
        <w:t>§ 9 Gerichtsstand des Ergreifungsortes</w:t>
      </w:r>
      <w:r>
        <w:t xml:space="preserve"> </w:t>
      </w:r>
      <w:r>
        <w:rPr>
          <w:rStyle w:val="Suchmarke"/>
        </w:rPr>
        <w:t>#9#</w:t>
      </w:r>
      <w:bookmarkEnd w:id="13"/>
    </w:p>
    <w:p>
      <w:r>
        <w:t>Der Gerichtsstand ist auch bei dem Gericht begründet, in dessen Bezirk der Beschuldigte ergriffen worden ist.</w:t>
      </w:r>
    </w:p>
    <w:p>
      <w:pPr>
        <w:pStyle w:val="Heading3"/>
      </w:pPr>
      <w:bookmarkStart w:id="14" w:name="b13"/>
      <w:r>
        <w:t>§ 10 Gerichtsstand bei Auslandstaten auf Schiffen oder in Luftfahrzeugen</w:t>
      </w:r>
      <w:r>
        <w:t xml:space="preserve"> </w:t>
      </w:r>
      <w:r>
        <w:rPr>
          <w:rStyle w:val="Suchmarke"/>
        </w:rPr>
        <w:t>#10#</w:t>
      </w:r>
      <w:bookmarkEnd w:id="14"/>
    </w:p>
    <w:p>
      <w:r>
        <w:t>(1) Ist die Straftat auf einem Schiff, das berechtigt ist, die Bundesflagge zu führen, außerhalb des Geltungsbereichs dieses Gesetzes begangen, so ist das Gericht zuständig, in dessen Bezirk der Heimathafen oder der Hafen im Geltungsbereich dieses Gesetzes liegt, den das Schiff nach der Tat zuerst erreicht.</w:t>
      </w:r>
    </w:p>
    <w:p>
      <w:r>
        <w:t>(2) Absatz 1 gilt entsprechend für Luftfahrzeuge, die berechtigt sind, das Staatszugehörigkeitszeichen der Bundesrepublik Deutschland zu führen.</w:t>
      </w:r>
    </w:p>
    <w:p>
      <w:pPr>
        <w:pStyle w:val="Heading3"/>
      </w:pPr>
      <w:bookmarkStart w:id="15" w:name="b14"/>
      <w:r>
        <w:t>§ 10a Gerichtsstand bei Auslandstaten im Bereich des Meeres</w:t>
      </w:r>
      <w:r>
        <w:t xml:space="preserve"> </w:t>
      </w:r>
      <w:r>
        <w:rPr>
          <w:rStyle w:val="Suchmarke"/>
        </w:rPr>
        <w:t>#10a#</w:t>
      </w:r>
      <w:bookmarkEnd w:id="15"/>
    </w:p>
    <w:p>
      <w:r>
        <w:t>Ist für eine Straftat, die außerhalb des Geltungsbereichs dieses Gesetzes im Bereich des Meeres begangen wird, ein Gerichtsstand nicht begründet, so ist Hamburg Gerichtsstand; zuständiges Amtsgericht ist das Amtsgericht Hamburg.</w:t>
      </w:r>
    </w:p>
    <w:p>
      <w:pPr>
        <w:pStyle w:val="Heading3"/>
      </w:pPr>
      <w:bookmarkStart w:id="16" w:name="b15"/>
      <w:r>
        <w:t>§ 11 Gerichtsstand bei Auslandstaten exterritorialer Deutscher und deutscher Beamter</w:t>
      </w:r>
      <w:r>
        <w:t xml:space="preserve"> </w:t>
      </w:r>
      <w:r>
        <w:rPr>
          <w:rStyle w:val="Suchmarke"/>
        </w:rPr>
        <w:t>#11#</w:t>
      </w:r>
      <w:bookmarkEnd w:id="16"/>
    </w:p>
    <w:p>
      <w:r>
        <w:t xml:space="preserve">(1) </w:t>
      </w:r>
      <w:r>
        <w:rPr>
          <w:rStyle w:val="Satznummer"/>
        </w:rPr>
        <w:t>1</w:t>
      </w:r>
      <w:r>
        <w:t xml:space="preserve">Deutsche, die das Recht der Exterritorialität genießen, sowie die im Ausland angestellten Beamten des Bundes oder eines deutschen Landes behalten hinsichtlich des Gerichtsstandes den Wohnsitz, den sie im Inland hatten. </w:t>
      </w:r>
      <w:r>
        <w:rPr>
          <w:rStyle w:val="Satznummer"/>
        </w:rPr>
        <w:t>2</w:t>
      </w:r>
      <w:r>
        <w:t>Wenn sie einen solchen Wohnsitz nicht hatten, so gilt der Sitz der Bundesregierung als ihr Wohnsitz.</w:t>
      </w:r>
    </w:p>
    <w:p>
      <w:r>
        <w:t>(2) Auf Wahlkonsuln sind diese Vorschriften nicht anzuwenden.</w:t>
      </w:r>
    </w:p>
    <w:p>
      <w:pPr>
        <w:pStyle w:val="Heading3"/>
      </w:pPr>
      <w:bookmarkStart w:id="17" w:name="b16"/>
      <w:r>
        <w:t>§ 11a Gerichtsstand bei Auslandstaten von Soldaten in besonderer Auslandsverwendung</w:t>
      </w:r>
      <w:r>
        <w:t xml:space="preserve"> </w:t>
      </w:r>
      <w:r>
        <w:rPr>
          <w:rStyle w:val="Suchmarke"/>
        </w:rPr>
        <w:t>#11a#</w:t>
      </w:r>
      <w:bookmarkEnd w:id="17"/>
    </w:p>
    <w:p>
      <w:r>
        <w:t>Wird eine Straftat außerhalb des Geltungsbereiches dieses Gesetzes von Soldatinnen oder Soldaten der Bundeswehr in besonderer Auslandsverwendung (§ 62 Absatz 1 des Soldatengesetzes) begangen, so ist der Gerichtsstand bei dem für die Stadt Kempten zuständigen Gericht begründet.</w:t>
      </w:r>
    </w:p>
    <w:p>
      <w:pPr>
        <w:pStyle w:val="Heading3"/>
      </w:pPr>
      <w:bookmarkStart w:id="18" w:name="b17"/>
      <w:r>
        <w:t>§ 12 Zusammentreffen mehrerer Gerichtsstände</w:t>
      </w:r>
      <w:r>
        <w:t xml:space="preserve"> </w:t>
      </w:r>
      <w:r>
        <w:rPr>
          <w:rStyle w:val="Suchmarke"/>
        </w:rPr>
        <w:t>#12#</w:t>
      </w:r>
      <w:bookmarkEnd w:id="18"/>
    </w:p>
    <w:p>
      <w:r>
        <w:t xml:space="preserve">(1) Unter mehreren nach den Vorschriften der </w:t>
      </w:r>
      <w:hyperlink w:anchor="b10" w:history="1">
        <w:r>
          <w:rPr>
            <w:color w:val="0A3A8C"/>
            <w:u w:val="single"/>
          </w:rPr>
          <w:t xml:space="preserve">§§ 7</w:t>
        </w:r>
      </w:hyperlink>
      <w:r>
        <w:t xml:space="preserve"> bis </w:t>
      </w:r>
      <w:hyperlink w:anchor="b16" w:history="1">
        <w:r>
          <w:rPr>
            <w:color w:val="0A3A8C"/>
            <w:u w:val="single"/>
          </w:rPr>
          <w:t xml:space="preserve">11a</w:t>
        </w:r>
      </w:hyperlink>
      <w:r>
        <w:t xml:space="preserve"> und </w:t>
      </w:r>
      <w:hyperlink w:anchor="b19" w:history="1">
        <w:r>
          <w:rPr>
            <w:color w:val="0A3A8C"/>
            <w:u w:val="single"/>
          </w:rPr>
          <w:t xml:space="preserve">13a</w:t>
        </w:r>
      </w:hyperlink>
      <w:r>
        <w:t xml:space="preserve"> zuständigen Gerichten gebührt dem der Vorzug, das die Untersuchung zuerst eröffnet hat.</w:t>
      </w:r>
    </w:p>
    <w:p>
      <w:r>
        <w:t>(2) Jedoch kann die Untersuchung und Entscheidung einem anderen der zuständigen Gerichte durch das gemeinschaftliche obere Gericht übertragen werden.</w:t>
      </w:r>
    </w:p>
    <w:p>
      <w:pPr>
        <w:pStyle w:val="Heading3"/>
      </w:pPr>
      <w:bookmarkStart w:id="19" w:name="b18"/>
      <w:r>
        <w:t>§ 13 Gerichtsstand bei zusammenhängenden Strafsachen</w:t>
      </w:r>
      <w:r>
        <w:t xml:space="preserve"> </w:t>
      </w:r>
      <w:r>
        <w:rPr>
          <w:rStyle w:val="Suchmarke"/>
        </w:rPr>
        <w:t>#13#</w:t>
      </w:r>
      <w:bookmarkEnd w:id="19"/>
    </w:p>
    <w:p>
      <w:r>
        <w:t>(1) Für zusammenhängende Strafsachen, die einzeln nach den Vorschriften der §§ 7 bis 11 zur Zuständigkeit verschiedener Gerichte gehören würden, ist ein Gerichtsstand bei jedem Gericht begründet, das für eine der Strafsachen zuständig ist.</w:t>
      </w:r>
    </w:p>
    <w:p>
      <w:r>
        <w:t xml:space="preserve">(2) </w:t>
      </w:r>
      <w:r>
        <w:rPr>
          <w:rStyle w:val="Satznummer"/>
        </w:rPr>
        <w:t>1</w:t>
      </w:r>
      <w:r>
        <w:t xml:space="preserve">Sind mehrere zusammenhängende Strafsachen bei verschiedenen Gerichten anhängig gemacht worden, so können sie sämtlich oder zum Teil durch eine den Anträgen der Staatsanwaltschaft entsprechende Vereinbarung dieser Gerichte bei einem unter ihnen verbunden werden. </w:t>
      </w:r>
      <w:r>
        <w:rPr>
          <w:rStyle w:val="Satznummer"/>
        </w:rPr>
        <w:t>2</w:t>
      </w:r>
      <w:r>
        <w:t>Kommt eine solche Vereinbarung nicht zustande, so entscheidet, wenn die Staatsanwaltschaft oder ein Angeschuldigter hierauf anträgt, das gemeinschaftliche obere Gericht darüber, ob und bei welchem Gericht die Verbindung einzutreten hat.</w:t>
      </w:r>
    </w:p>
    <w:p>
      <w:r>
        <w:t>(3) In gleicher Weise kann die Verbindung wieder aufgehoben werden.</w:t>
      </w:r>
    </w:p>
    <w:p>
      <w:pPr>
        <w:pStyle w:val="Heading3"/>
      </w:pPr>
      <w:bookmarkStart w:id="20" w:name="b19"/>
      <w:r>
        <w:t>§ 13a Zuständigkeitsbestimmung durch den Bundesgerichtshof</w:t>
      </w:r>
      <w:r>
        <w:t xml:space="preserve"> </w:t>
      </w:r>
      <w:r>
        <w:rPr>
          <w:rStyle w:val="Suchmarke"/>
        </w:rPr>
        <w:t>#13a#</w:t>
      </w:r>
      <w:bookmarkEnd w:id="20"/>
    </w:p>
    <w:p>
      <w:r>
        <w:t>Fehlt es im Geltungsbereich dieses Bundesgesetzes an einem zuständigen Gericht oder ist dieses nicht ermittelt, so bestimmt der Bundesgerichtshof das zuständige Gericht.</w:t>
      </w:r>
    </w:p>
    <w:p>
      <w:pPr>
        <w:pStyle w:val="Heading3"/>
      </w:pPr>
      <w:bookmarkStart w:id="21" w:name="b20"/>
      <w:r>
        <w:t>§ 14 Zuständigkeitsbestimmung durch das gemeinschaftliche obere Gericht</w:t>
      </w:r>
      <w:r>
        <w:t xml:space="preserve"> </w:t>
      </w:r>
      <w:r>
        <w:rPr>
          <w:rStyle w:val="Suchmarke"/>
        </w:rPr>
        <w:t>#14#</w:t>
      </w:r>
      <w:bookmarkEnd w:id="21"/>
    </w:p>
    <w:p>
      <w:r>
        <w:t>Besteht zwischen mehreren Gerichten Streit über die Zuständigkeit, so bestimmt das gemeinschaftliche obere Gericht das Gericht, das sich der Untersuchung und Entscheidung zu unterziehen hat.</w:t>
      </w:r>
    </w:p>
    <w:p>
      <w:pPr>
        <w:pStyle w:val="Heading3"/>
      </w:pPr>
      <w:bookmarkStart w:id="22" w:name="b21"/>
      <w:r>
        <w:t>§ 15 Gerichtsstand kraft Übertragung bei Hinderung des zuständigen Gerichts</w:t>
      </w:r>
      <w:r>
        <w:t xml:space="preserve"> </w:t>
      </w:r>
      <w:r>
        <w:rPr>
          <w:rStyle w:val="Suchmarke"/>
        </w:rPr>
        <w:t>#15#</w:t>
      </w:r>
      <w:bookmarkEnd w:id="22"/>
    </w:p>
    <w:p>
      <w:r>
        <w:t>Ist das an sich zuständige Gericht in einem einzelnen Falle an der Ausübung des Richteramtes rechtlich oder tatsächlich verhindert oder ist von der Verhandlung vor diesem Gericht eine Gefährdung der öffentlichen Sicherheit zu besorgen, so hat das zunächst obere Gericht die Untersuchung und Entscheidung dem gleichstehenden Gericht eines anderen Bezirks zu übertragen.</w:t>
      </w:r>
    </w:p>
    <w:p>
      <w:pPr>
        <w:pStyle w:val="Heading3"/>
      </w:pPr>
      <w:bookmarkStart w:id="23" w:name="b22"/>
      <w:r>
        <w:t>§ 16 Prüfung der örtlichen Zuständigkeit; Einwand der Unzuständigkeit</w:t>
      </w:r>
      <w:r>
        <w:t xml:space="preserve"> </w:t>
      </w:r>
      <w:r>
        <w:rPr>
          <w:rStyle w:val="Suchmarke"/>
        </w:rPr>
        <w:t>#16#</w:t>
      </w:r>
      <w:bookmarkEnd w:id="23"/>
    </w:p>
    <w:p>
      <w:r>
        <w:t xml:space="preserve">(1) </w:t>
      </w:r>
      <w:r>
        <w:rPr>
          <w:rStyle w:val="Satznummer"/>
        </w:rPr>
        <w:t>1</w:t>
      </w:r>
      <w:r>
        <w:t xml:space="preserve">Das Gericht prüft seine örtliche Zuständigkeit bis zur Eröffnung des Hauptverfahrens von Amts wegen. </w:t>
      </w:r>
      <w:r>
        <w:rPr>
          <w:rStyle w:val="Satznummer"/>
        </w:rPr>
        <w:t>2</w:t>
      </w:r>
      <w:r>
        <w:t xml:space="preserve">Danach darf es seine Unzuständigkeit nur auf Einwand des Angeklagten aussprechen. </w:t>
      </w:r>
      <w:r>
        <w:rPr>
          <w:rStyle w:val="Satznummer"/>
        </w:rPr>
        <w:t>3</w:t>
      </w:r>
      <w:r>
        <w:t>Der Angeklagte kann den Einwand nur bis zum Beginn seiner Vernehmung zur Sache in der Hauptverhandlung geltend machen.</w:t>
      </w:r>
    </w:p>
    <w:p>
      <w:r>
        <w:t xml:space="preserve">(2) </w:t>
      </w:r>
      <w:r>
        <w:rPr>
          <w:rStyle w:val="Satznummer"/>
        </w:rPr>
        <w:t>1</w:t>
      </w:r>
      <w:r>
        <w:t xml:space="preserve">Ist Anklage von der Europäischen Staatsanwaltschaft erhoben worden, so prüft das Gericht auf Einwand des Angeklagten auch, ob die Europäische Staatsanwaltschaft gemäß Artikel 36 Absatz 3 der Verordnung (EU) 2017/1939 des Rates vom 12. Oktober 2017 zur Durchführung einer Verstärkten Zusammenarbeit zur Errichtung der Europäischen Staatsanwaltschaft (EUStA) (ABl. L 283 vom 31.10.2017, S. 1) befugt ist, vor einem Gericht im Geltungsbereich dieses Gesetzes Anklage zu erheben. </w:t>
      </w:r>
      <w:r>
        <w:rPr>
          <w:rStyle w:val="Satznummer"/>
        </w:rPr>
        <w:t>2</w:t>
      </w:r>
      <w:r>
        <w:t>Absatz 1 Satz 3 gilt entsprechend.</w:t>
      </w:r>
    </w:p>
    <w:p>
      <w:pPr>
        <w:pStyle w:val="Heading3"/>
      </w:pPr>
      <w:bookmarkStart w:id="24" w:name="b23"/>
      <w:r>
        <w:t>§§ 17 und 18 (weggefallen)</w:t>
      </w:r>
      <w:bookmarkEnd w:id="24"/>
    </w:p>
    <w:p>
      <w:pPr>
        <w:pStyle w:val="Heading3"/>
      </w:pPr>
      <w:bookmarkStart w:id="25" w:name="b24"/>
      <w:r>
        <w:t>§ 19 Zuständigkeitsbestimmung bei Zuständigkeitsstreit</w:t>
      </w:r>
      <w:r>
        <w:t xml:space="preserve"> </w:t>
      </w:r>
      <w:r>
        <w:rPr>
          <w:rStyle w:val="Suchmarke"/>
        </w:rPr>
        <w:t>#19#</w:t>
      </w:r>
      <w:bookmarkEnd w:id="25"/>
    </w:p>
    <w:p>
      <w:r>
        <w:t>Haben mehrere Gerichte, von denen eines das zuständige ist, durch Entscheidungen, die nicht mehr anfechtbar sind, ihre Unzuständigkeit ausgesprochen, so bezeichnet das gemeinschaftliche obere Gericht das zuständige Gericht.</w:t>
      </w:r>
    </w:p>
    <w:p>
      <w:pPr>
        <w:pStyle w:val="Heading3"/>
      </w:pPr>
      <w:bookmarkStart w:id="26" w:name="b25"/>
      <w:r>
        <w:t>§ 20 Untersuchungshandlungen eines unzuständigen Gerichts</w:t>
      </w:r>
      <w:r>
        <w:t xml:space="preserve"> </w:t>
      </w:r>
      <w:r>
        <w:rPr>
          <w:rStyle w:val="Suchmarke"/>
        </w:rPr>
        <w:t>#20#</w:t>
      </w:r>
      <w:bookmarkEnd w:id="26"/>
    </w:p>
    <w:p>
      <w:r>
        <w:t>Die einzelnen Untersuchungshandlungen eines unzuständigen Gerichts sind nicht schon dieser Unzuständigkeit wegen ungültig.</w:t>
      </w:r>
    </w:p>
    <w:p>
      <w:pPr>
        <w:pStyle w:val="Heading3"/>
      </w:pPr>
      <w:bookmarkStart w:id="27" w:name="b26"/>
      <w:r>
        <w:t>§ 21 Befugnisse bei Gefahr im Verzug</w:t>
      </w:r>
      <w:r>
        <w:t xml:space="preserve"> </w:t>
      </w:r>
      <w:r>
        <w:rPr>
          <w:rStyle w:val="Suchmarke"/>
        </w:rPr>
        <w:t>#21#</w:t>
      </w:r>
      <w:bookmarkEnd w:id="27"/>
    </w:p>
    <w:p>
      <w:r>
        <w:t>Ein unzuständiges Gericht hat sich den innerhalb seines Bezirks vorzunehmenden Untersuchungshandlungen zu unterziehen, bei denen Gefahr im Verzug ist.</w:t>
      </w:r>
    </w:p>
    <w:p>
      <w:pPr>
        <w:pStyle w:val="Heading2"/>
      </w:pPr>
      <w:bookmarkStart w:id="28" w:name="b27"/>
      <w:r>
        <w:t>Dritter Abschnitt Ausschließung und Ablehnung der Gerichtspersonen</w:t>
      </w:r>
      <w:bookmarkEnd w:id="28"/>
    </w:p>
    <w:p>
      <w:pPr>
        <w:pStyle w:val="Heading3"/>
      </w:pPr>
      <w:bookmarkStart w:id="29" w:name="b28"/>
      <w:r>
        <w:t>§ 22 Ausschließung von der Ausübung des Richteramtes kraft Gesetzes</w:t>
      </w:r>
      <w:r>
        <w:t xml:space="preserve"> </w:t>
      </w:r>
      <w:r>
        <w:rPr>
          <w:rStyle w:val="Suchmarke"/>
        </w:rPr>
        <w:t>#22#</w:t>
      </w:r>
      <w:bookmarkEnd w:id="29"/>
    </w:p>
    <w:p>
      <w:r>
        <w:t>Ein Richter ist von der Ausübung des Richteramtes kraft Gesetzes ausgeschlossen,</w:t>
      </w:r>
    </w:p>
    <w:p>
      <w:pPr>
        <w:tabs>
          <w:tab w:pos="567" w:val="left"/>
        </w:tabs>
        <w:ind w:left="567" w:hanging="567"/>
      </w:pPr>
      <w:r>
        <w:t>1.</w:t>
      </w:r>
      <w:r>
        <w:tab/>
      </w:r>
      <w:r>
        <w:t>wenn er selbst durch die Straftat verletzt ist;</w:t>
      </w:r>
    </w:p>
    <w:p>
      <w:pPr>
        <w:tabs>
          <w:tab w:pos="567" w:val="left"/>
        </w:tabs>
        <w:ind w:left="567" w:hanging="567"/>
      </w:pPr>
      <w:r>
        <w:t>2.</w:t>
      </w:r>
      <w:r>
        <w:tab/>
      </w:r>
      <w:r>
        <w:t>wenn er Ehegatte, Lebenspartner, Vormund oder Betreuer des Beschuldigten oder des Verletzten ist oder gewesen ist;</w:t>
      </w:r>
    </w:p>
    <w:p>
      <w:pPr>
        <w:tabs>
          <w:tab w:pos="567" w:val="left"/>
        </w:tabs>
        <w:ind w:left="567" w:hanging="567"/>
      </w:pPr>
      <w:r>
        <w:t>3.</w:t>
      </w:r>
      <w:r>
        <w:tab/>
      </w:r>
      <w:r>
        <w:t>wenn er mit dem Beschuldigten oder mit dem Verletzten in gerader Linie verwandt oder verschwägert, in der Seitenlinie bis zum dritten Grad verwandt oder bis zum zweiten Grad verschwägert ist oder war;</w:t>
      </w:r>
    </w:p>
    <w:p>
      <w:pPr>
        <w:tabs>
          <w:tab w:pos="567" w:val="left"/>
        </w:tabs>
        <w:ind w:left="567" w:hanging="567"/>
      </w:pPr>
      <w:r>
        <w:t>4.</w:t>
      </w:r>
      <w:r>
        <w:tab/>
      </w:r>
      <w:r>
        <w:t>wenn er in der Sache als Beamter der Staatsanwaltschaft, als Polizeibeamter, als Anwalt des Verletzten oder als Verteidiger tätig gewesen ist;</w:t>
      </w:r>
    </w:p>
    <w:p>
      <w:pPr>
        <w:tabs>
          <w:tab w:pos="567" w:val="left"/>
        </w:tabs>
        <w:ind w:left="567" w:hanging="567"/>
      </w:pPr>
      <w:r>
        <w:t>5.</w:t>
      </w:r>
      <w:r>
        <w:tab/>
      </w:r>
      <w:r>
        <w:t>wenn er in der Sache als Zeuge oder Sachverständiger vernommen ist.</w:t>
      </w:r>
    </w:p>
    <w:p>
      <w:pPr>
        <w:pStyle w:val="Heading3"/>
      </w:pPr>
      <w:bookmarkStart w:id="30" w:name="b29"/>
      <w:r>
        <w:t>§ 23 Ausschließung eines Richters wegen Mitwirkung an der angefochtenen Entscheidung</w:t>
      </w:r>
      <w:r>
        <w:t xml:space="preserve"> </w:t>
      </w:r>
      <w:r>
        <w:rPr>
          <w:rStyle w:val="Suchmarke"/>
        </w:rPr>
        <w:t>#23#</w:t>
      </w:r>
      <w:bookmarkEnd w:id="30"/>
    </w:p>
    <w:p>
      <w:r>
        <w:t>(1) Ein Richter, der bei einer durch ein Rechtsmittel angefochtenen Entscheidung mitgewirkt hat, ist von der Mitwirkung bei der Entscheidung in einem höheren Rechtszug kraft Gesetzes ausgeschlossen.</w:t>
      </w:r>
    </w:p>
    <w:p>
      <w:r>
        <w:t xml:space="preserve">(2) </w:t>
      </w:r>
      <w:r>
        <w:rPr>
          <w:rStyle w:val="Satznummer"/>
        </w:rPr>
        <w:t>1</w:t>
      </w:r>
      <w:r>
        <w:t xml:space="preserve">Ein Richter, der bei einer durch einen Antrag auf Wiederaufnahme des Verfahrens angefochtenen Entscheidung mitgewirkt hat, ist von der Mitwirkung bei Entscheidungen im Wiederaufnahmeverfahren kraft Gesetzes ausgeschlossen. </w:t>
      </w:r>
      <w:r>
        <w:rPr>
          <w:rStyle w:val="Satznummer"/>
        </w:rPr>
        <w:t>2</w:t>
      </w:r>
      <w:r>
        <w:t xml:space="preserve">Ist die angefochtene Entscheidung in einem höheren Rechtszug ergangen, so ist auch der Richter ausgeschlossen, der an der ihr zugrunde liegenden Entscheidung in einem unteren Rechtszug mitgewirkt hat. </w:t>
      </w:r>
      <w:r>
        <w:rPr>
          <w:rStyle w:val="Satznummer"/>
        </w:rPr>
        <w:t>3</w:t>
      </w:r>
      <w:r>
        <w:t>Die Sätze 1 und 2 gelten entsprechend für die Mitwirkung bei Entscheidungen zur Vorbereitung eines Wiederaufnahmeverfahrens.</w:t>
      </w:r>
    </w:p>
    <w:p>
      <w:pPr>
        <w:pStyle w:val="Heading3"/>
      </w:pPr>
      <w:bookmarkStart w:id="31" w:name="b30"/>
      <w:r>
        <w:t>§ 24 Ablehnung eines Richters; Besorgnis der Befangenheit</w:t>
      </w:r>
      <w:r>
        <w:t xml:space="preserve"> </w:t>
      </w:r>
      <w:r>
        <w:rPr>
          <w:rStyle w:val="Suchmarke"/>
        </w:rPr>
        <w:t>#24#</w:t>
      </w:r>
      <w:bookmarkEnd w:id="31"/>
    </w:p>
    <w:p>
      <w:r>
        <w:t>(1) Ein Richter kann sowohl in den Fällen, in denen er von der Ausübung des Richteramtes kraft Gesetzes ausgeschlossen ist, als auch wegen Besorgnis der Befangenheit abgelehnt werden.</w:t>
      </w:r>
    </w:p>
    <w:p>
      <w:r>
        <w:t>(2) Wegen Besorgnis der Befangenheit findet die Ablehnung statt, wenn ein Grund vorliegt, der geeignet ist, Mißtrauen gegen die Unparteilichkeit eines Richters zu rechtfertigen.</w:t>
      </w:r>
    </w:p>
    <w:p>
      <w:r>
        <w:t xml:space="preserve">(3) </w:t>
      </w:r>
      <w:r>
        <w:rPr>
          <w:rStyle w:val="Satznummer"/>
        </w:rPr>
        <w:t>1</w:t>
      </w:r>
      <w:r>
        <w:t xml:space="preserve">Das Ablehnungsrecht steht der Staatsanwaltschaft, dem Privatkläger und dem Beschuldigten zu. </w:t>
      </w:r>
      <w:r>
        <w:rPr>
          <w:rStyle w:val="Satznummer"/>
        </w:rPr>
        <w:t>2</w:t>
      </w:r>
      <w:r>
        <w:t>Den zur Ablehnung Berechtigten sind auf Verlangen die zur Mitwirkung bei der Entscheidung berufenen Gerichtspersonen namhaft zu machen.</w:t>
      </w:r>
    </w:p>
    <w:p>
      <w:pPr>
        <w:pStyle w:val="Heading3"/>
      </w:pPr>
      <w:bookmarkStart w:id="32" w:name="b31"/>
      <w:r>
        <w:t>§ 25 Ablehnungszeitpunkt</w:t>
      </w:r>
      <w:r>
        <w:t xml:space="preserve"> </w:t>
      </w:r>
      <w:r>
        <w:rPr>
          <w:rStyle w:val="Suchmarke"/>
        </w:rPr>
        <w:t>#25#</w:t>
      </w:r>
      <w:bookmarkEnd w:id="32"/>
    </w:p>
    <w:p>
      <w:r>
        <w:t xml:space="preserve">(1) </w:t>
      </w:r>
      <w:r>
        <w:rPr>
          <w:rStyle w:val="Satznummer"/>
        </w:rPr>
        <w:t>1</w:t>
      </w:r>
      <w:r>
        <w:t xml:space="preserve">Die Ablehnung eines erkennenden Richters wegen Besorgnis der Befangenheit ist bis zum Beginn der Vernehmung des ersten Angeklagten über seine persönlichen Verhältnisse, in der Hauptverhandlung über die Berufung oder die Revision bis zum Beginn des Vortrags des Berichterstatters, zulässig. </w:t>
      </w:r>
      <w:r>
        <w:rPr>
          <w:rStyle w:val="Satznummer"/>
        </w:rPr>
        <w:t>2</w:t>
      </w:r>
      <w:r>
        <w:t xml:space="preserve">Ist die Besetzung des Gerichts nach </w:t>
      </w:r>
      <w:hyperlink w:anchor="b355" w:history="1">
        <w:r>
          <w:rPr>
            <w:color w:val="0A3A8C"/>
            <w:u w:val="single"/>
          </w:rPr>
          <w:t xml:space="preserve">§ 222a</w:t>
        </w:r>
      </w:hyperlink>
      <w:r>
        <w:t xml:space="preserve"> Absatz 1 Satz 2 schon vor Beginn der Hauptverhandlung mitgeteilt worden, so muss das Ablehnungsgesuch unverzüglich angebracht werden. </w:t>
      </w:r>
      <w:r>
        <w:rPr>
          <w:rStyle w:val="Satznummer"/>
        </w:rPr>
        <w:t>3</w:t>
      </w:r>
      <w:r>
        <w:t>Alle Ablehnungsgründe sind gleichzeitig vorzubringen.</w:t>
      </w:r>
    </w:p>
    <w:p>
      <w:r>
        <w:t xml:space="preserve">(2) </w:t>
      </w:r>
      <w:r>
        <w:rPr>
          <w:rStyle w:val="Satznummer"/>
        </w:rPr>
        <w:t>1</w:t>
      </w:r>
      <w:r>
        <w:t>Im Übrigen darf ein Richter nur abgelehnt werden, wenn</w:t>
      </w:r>
    </w:p>
    <w:p>
      <w:pPr>
        <w:tabs>
          <w:tab w:pos="567" w:val="left"/>
        </w:tabs>
        <w:ind w:left="567" w:hanging="567"/>
      </w:pPr>
      <w:r>
        <w:t>1.</w:t>
      </w:r>
      <w:r>
        <w:tab/>
      </w:r>
      <w:r>
        <w:t>die Umstände, auf welche die Ablehnung gestützt wird, erst später eingetreten oder dem zur Ablehnung Berechtigten erst später bekanntgeworden sind und</w:t>
      </w:r>
    </w:p>
    <w:p>
      <w:pPr>
        <w:tabs>
          <w:tab w:pos="567" w:val="left"/>
        </w:tabs>
        <w:ind w:left="567" w:hanging="567"/>
      </w:pPr>
      <w:r>
        <w:t>2.</w:t>
      </w:r>
      <w:r>
        <w:tab/>
      </w:r>
      <w:r>
        <w:t>die Ablehnung unverzüglich geltend gemacht wird.</w:t>
      </w:r>
    </w:p>
    <w:p>
      <w:r>
        <w:rPr>
          <w:rStyle w:val="Satznummer"/>
        </w:rPr>
        <w:t>2</w:t>
      </w:r>
      <w:r>
        <w:t>Nach dem letzten Wort des Angeklagten ist die Ablehnung nicht mehr zulässig.</w:t>
      </w:r>
    </w:p>
    <w:p>
      <w:pPr>
        <w:pStyle w:val="Heading3"/>
      </w:pPr>
      <w:bookmarkStart w:id="33" w:name="b32"/>
      <w:r>
        <w:t>§ 26 Ablehnungsverfahren</w:t>
      </w:r>
      <w:r>
        <w:t xml:space="preserve"> </w:t>
      </w:r>
      <w:r>
        <w:rPr>
          <w:rStyle w:val="Suchmarke"/>
        </w:rPr>
        <w:t>#26#</w:t>
      </w:r>
      <w:bookmarkEnd w:id="33"/>
    </w:p>
    <w:p>
      <w:r>
        <w:t xml:space="preserve">(1) </w:t>
      </w:r>
      <w:r>
        <w:rPr>
          <w:rStyle w:val="Satznummer"/>
        </w:rPr>
        <w:t>1</w:t>
      </w:r>
      <w:r>
        <w:t xml:space="preserve">Das Ablehnungsgesuch ist bei dem Gericht, dem der Richter angehört, anzubringen; es kann vor der Geschäftsstelle zu Protokoll erklärt werden. </w:t>
      </w:r>
      <w:r>
        <w:rPr>
          <w:rStyle w:val="Satznummer"/>
        </w:rPr>
        <w:t>2</w:t>
      </w:r>
      <w:r>
        <w:t>Das Gericht kann dem Antragsteller aufgeben, ein in der Hauptverhandlung angebrachtes Ablehnungsgesuch innerhalb einer angemessenen Frist schriftlich zu begründen.</w:t>
      </w:r>
    </w:p>
    <w:p>
      <w:r>
        <w:t xml:space="preserve">(2) </w:t>
      </w:r>
      <w:r>
        <w:rPr>
          <w:rStyle w:val="Satznummer"/>
        </w:rPr>
        <w:t>1</w:t>
      </w:r>
      <w:r>
        <w:t xml:space="preserve">Der Ablehnungsgrund und in den Fällen des </w:t>
      </w:r>
      <w:hyperlink w:anchor="b31" w:history="1">
        <w:r>
          <w:rPr>
            <w:color w:val="0A3A8C"/>
            <w:u w:val="single"/>
          </w:rPr>
          <w:t xml:space="preserve">§ 25</w:t>
        </w:r>
      </w:hyperlink>
      <w:r>
        <w:t xml:space="preserve"> Absatz 1 Satz 2 und Absatz 2 die Voraussetzungen des rechtzeitigen Vorbringens sind glaubhaft zu machen. </w:t>
      </w:r>
      <w:r>
        <w:rPr>
          <w:rStyle w:val="Satznummer"/>
        </w:rPr>
        <w:t>2</w:t>
      </w:r>
      <w:r>
        <w:t xml:space="preserve">Der Eid ist als Mittel der Glaubhaftmachung ausgeschlossen. </w:t>
      </w:r>
      <w:r>
        <w:rPr>
          <w:rStyle w:val="Satznummer"/>
        </w:rPr>
        <w:t>3</w:t>
      </w:r>
      <w:r>
        <w:t>Zur Glaubhaftmachung kann auf das Zeugnis des abgelehnten Richters Bezug genommen werden.</w:t>
      </w:r>
    </w:p>
    <w:p>
      <w:r>
        <w:t>(3) Der abgelehnte Richter hat sich über den Ablehnungsgrund dienstlich zu äußern.</w:t>
      </w:r>
    </w:p>
    <w:p>
      <w:pPr>
        <w:pStyle w:val="Heading3"/>
      </w:pPr>
      <w:bookmarkStart w:id="34" w:name="b33"/>
      <w:r>
        <w:t>§ 26a Verwerfung eines unzulässigen Ablehnungsantrags</w:t>
      </w:r>
      <w:r>
        <w:t xml:space="preserve"> </w:t>
      </w:r>
      <w:r>
        <w:rPr>
          <w:rStyle w:val="Suchmarke"/>
        </w:rPr>
        <w:t>#26a#</w:t>
      </w:r>
      <w:bookmarkEnd w:id="34"/>
    </w:p>
    <w:p>
      <w:r>
        <w:t>(1) Das Gericht verwirft die Ablehnung eines Richters als unzulässig, wenn</w:t>
      </w:r>
    </w:p>
    <w:p>
      <w:pPr>
        <w:tabs>
          <w:tab w:pos="567" w:val="left"/>
        </w:tabs>
        <w:ind w:left="567" w:hanging="567"/>
      </w:pPr>
      <w:r>
        <w:t>1.</w:t>
      </w:r>
      <w:r>
        <w:tab/>
      </w:r>
      <w:r>
        <w:t>die Ablehnung verspätet ist,</w:t>
      </w:r>
    </w:p>
    <w:p>
      <w:pPr>
        <w:tabs>
          <w:tab w:pos="567" w:val="left"/>
        </w:tabs>
        <w:ind w:left="567" w:hanging="567"/>
      </w:pPr>
      <w:r>
        <w:t>2.</w:t>
      </w:r>
      <w:r>
        <w:tab/>
      </w:r>
      <w:r>
        <w:t xml:space="preserve">ein Grund zur Ablehnung oder ein Mittel zur Glaubhaftmachung nicht oder nicht innerhalb der nach </w:t>
      </w:r>
      <w:hyperlink w:anchor="b32" w:history="1">
        <w:r>
          <w:rPr>
            <w:color w:val="0A3A8C"/>
            <w:u w:val="single"/>
          </w:rPr>
          <w:t xml:space="preserve">§ 26</w:t>
        </w:r>
      </w:hyperlink>
      <w:r>
        <w:t xml:space="preserve"> Absatz 1 Satz 2 bestimmten Frist angegeben wird oder</w:t>
      </w:r>
    </w:p>
    <w:p>
      <w:pPr>
        <w:tabs>
          <w:tab w:pos="567" w:val="left"/>
        </w:tabs>
        <w:ind w:left="567" w:hanging="567"/>
      </w:pPr>
      <w:r>
        <w:t>3.</w:t>
      </w:r>
      <w:r>
        <w:tab/>
      </w:r>
      <w:r>
        <w:t>durch die Ablehnung offensichtlich das Verfahren nur verschleppt oder nur verfahrensfremde Zwecke verfolgt werden sollen.</w:t>
      </w:r>
    </w:p>
    <w:p>
      <w:r>
        <w:t xml:space="preserve">(2) </w:t>
      </w:r>
      <w:r>
        <w:rPr>
          <w:rStyle w:val="Satznummer"/>
        </w:rPr>
        <w:t>1</w:t>
      </w:r>
      <w:r>
        <w:t xml:space="preserve">Das Gericht entscheidet über die Verwerfung nach Absatz 1, ohne daß der abgelehnte Richter ausscheidet. </w:t>
      </w:r>
      <w:r>
        <w:rPr>
          <w:rStyle w:val="Satznummer"/>
        </w:rPr>
        <w:t>2</w:t>
      </w:r>
      <w:r>
        <w:t xml:space="preserve">Im Falle des Absatzes 1 Nr. 3 bedarf es eines einstimmigen Beschlusses und der Angabe der Umstände, welche den Verwerfungsgrund ergeben. </w:t>
      </w:r>
      <w:r>
        <w:rPr>
          <w:rStyle w:val="Satznummer"/>
        </w:rPr>
        <w:t>3</w:t>
      </w:r>
      <w:r>
        <w:t>Wird ein beauftragter oder ein ersuchter Richter, ein Richter im vorbereitenden Verfahren oder ein Strafrichter abgelehnt, so entscheidet er selbst darüber, ob die Ablehnung als unzulässig zu verwerfen ist.</w:t>
      </w:r>
    </w:p>
    <w:p>
      <w:pPr>
        <w:pStyle w:val="Heading3"/>
      </w:pPr>
      <w:bookmarkStart w:id="35" w:name="b34"/>
      <w:r>
        <w:t>§ 27 Entscheidung über einen zulässigen Ablehnungsantrag</w:t>
      </w:r>
      <w:r>
        <w:t xml:space="preserve"> </w:t>
      </w:r>
      <w:r>
        <w:rPr>
          <w:rStyle w:val="Suchmarke"/>
        </w:rPr>
        <w:t>#27#</w:t>
      </w:r>
      <w:bookmarkEnd w:id="35"/>
    </w:p>
    <w:p>
      <w:r>
        <w:t>(1) Wird die Ablehnung nicht als unzulässig verworfen, so entscheidet über das Ablehnungsgesuch das Gericht, dem der Abgelehnte angehört, ohne dessen Mitwirkung.</w:t>
      </w:r>
    </w:p>
    <w:p>
      <w:r>
        <w:t>(2) Wird ein richterliches Mitglied der erkennenden Strafkammer abgelehnt, so entscheidet die Strafkammer in der für Entscheidungen außerhalb der Hauptverhandlung vorgeschriebenen Besetzung.</w:t>
      </w:r>
    </w:p>
    <w:p>
      <w:r>
        <w:t xml:space="preserve">(3) </w:t>
      </w:r>
      <w:r>
        <w:rPr>
          <w:rStyle w:val="Satznummer"/>
        </w:rPr>
        <w:t>1</w:t>
      </w:r>
      <w:r>
        <w:t xml:space="preserve">Wird ein Richter beim Amtsgericht abgelehnt, so entscheidet ein anderer Richter dieses Gerichts. </w:t>
      </w:r>
      <w:r>
        <w:rPr>
          <w:rStyle w:val="Satznummer"/>
        </w:rPr>
        <w:t>2</w:t>
      </w:r>
      <w:r>
        <w:t>Einer Entscheidung bedarf es nicht, wenn der Abgelehnte das Ablehnungsgesuch für begründet hält.</w:t>
      </w:r>
    </w:p>
    <w:p>
      <w:r>
        <w:t>(4) Wird das zur Entscheidung berufene Gericht durch Ausscheiden des abgelehnten Mitglieds beschlußunfähig, so entscheidet das zunächst obere Gericht.</w:t>
      </w:r>
    </w:p>
    <w:p>
      <w:pPr>
        <w:pStyle w:val="Heading3"/>
      </w:pPr>
      <w:bookmarkStart w:id="36" w:name="b35"/>
      <w:r>
        <w:t>§ 28 Rechtsmittel</w:t>
      </w:r>
      <w:r>
        <w:t xml:space="preserve"> </w:t>
      </w:r>
      <w:r>
        <w:rPr>
          <w:rStyle w:val="Suchmarke"/>
        </w:rPr>
        <w:t>#28#</w:t>
      </w:r>
      <w:bookmarkEnd w:id="36"/>
    </w:p>
    <w:p>
      <w:r>
        <w:t>(1) Der Beschluß, durch den die Ablehnung für begründet erklärt wird, ist nicht anfechtbar.</w:t>
      </w:r>
    </w:p>
    <w:p>
      <w:r>
        <w:t xml:space="preserve">(2) </w:t>
      </w:r>
      <w:r>
        <w:rPr>
          <w:rStyle w:val="Satznummer"/>
        </w:rPr>
        <w:t>1</w:t>
      </w:r>
      <w:r>
        <w:t xml:space="preserve">Gegen den Beschluß, durch den die Ablehnung als unzulässig verworfen oder als unbegründet zurückgewiesen wird, ist sofortige Beschwerde zulässig. </w:t>
      </w:r>
      <w:r>
        <w:rPr>
          <w:rStyle w:val="Satznummer"/>
        </w:rPr>
        <w:t>2</w:t>
      </w:r>
      <w:r>
        <w:t>Betrifft die Entscheidung einen erkennenden Richter, so kann sie nur zusammen mit dem Urteil angefochten werden.</w:t>
      </w:r>
    </w:p>
    <w:p>
      <w:pPr>
        <w:pStyle w:val="Heading3"/>
      </w:pPr>
      <w:bookmarkStart w:id="37" w:name="b36"/>
      <w:r>
        <w:t>§ 29 Verfahren nach Ablehnung eines Richters</w:t>
      </w:r>
      <w:r>
        <w:t xml:space="preserve"> </w:t>
      </w:r>
      <w:r>
        <w:rPr>
          <w:rStyle w:val="Suchmarke"/>
        </w:rPr>
        <w:t>#29#</w:t>
      </w:r>
      <w:bookmarkEnd w:id="37"/>
    </w:p>
    <w:p>
      <w:r>
        <w:t>(1) Ein abgelehnter Richter hat vor Erledigung des Ablehnungsgesuchs nur solche Handlungen vorzunehmen, die keinen Aufschub gestatten.</w:t>
      </w:r>
    </w:p>
    <w:p>
      <w:r>
        <w:t xml:space="preserve">(2) </w:t>
      </w:r>
      <w:r>
        <w:rPr>
          <w:rStyle w:val="Satznummer"/>
        </w:rPr>
        <w:t>1</w:t>
      </w:r>
      <w:r>
        <w:t xml:space="preserve">Die Durchführung der Hauptverhandlung gestattet keinen Aufschub; sie findet bis zur Entscheidung über das Ablehnungsgesuch unter Mitwirkung des abgelehnten Richters statt. </w:t>
      </w:r>
      <w:r>
        <w:rPr>
          <w:rStyle w:val="Satznummer"/>
        </w:rPr>
        <w:t>2</w:t>
      </w:r>
      <w:r>
        <w:t>Entscheidungen, die auch außerhalb der Hauptverhandlung ergehen können, dürfen nur dann unter Mitwirkung des abgelehnten Richters getroffen werden, wenn sie keinen Aufschub gestatten.</w:t>
      </w:r>
    </w:p>
    <w:p>
      <w:r>
        <w:t xml:space="preserve">(3) </w:t>
      </w:r>
      <w:r>
        <w:rPr>
          <w:rStyle w:val="Satznummer"/>
        </w:rPr>
        <w:t>1</w:t>
      </w:r>
      <w:r>
        <w:t xml:space="preserve">Über die Ablehnung ist spätestens vor Ablauf von zwei Wochen und stets vor Urteilsverkündung zu entscheiden. </w:t>
      </w:r>
      <w:r>
        <w:rPr>
          <w:rStyle w:val="Satznummer"/>
        </w:rPr>
        <w:t>2</w:t>
      </w:r>
      <w:r>
        <w:t>Die zweiwöchige Frist für die Entscheidung über die Ablehnung beginnt</w:t>
      </w:r>
    </w:p>
    <w:p>
      <w:pPr>
        <w:tabs>
          <w:tab w:pos="567" w:val="left"/>
        </w:tabs>
        <w:ind w:left="567" w:hanging="567"/>
      </w:pPr>
      <w:r>
        <w:t>1.</w:t>
      </w:r>
      <w:r>
        <w:tab/>
      </w:r>
      <w:r>
        <w:t>mit dem Tag, an dem das Ablehnungsgesuch angebracht wird, wenn ein Richter vor oder während der Hauptverhandlung abgelehnt wird,</w:t>
      </w:r>
    </w:p>
    <w:p>
      <w:pPr>
        <w:tabs>
          <w:tab w:pos="567" w:val="left"/>
        </w:tabs>
        <w:ind w:left="567" w:hanging="567"/>
      </w:pPr>
      <w:r>
        <w:t>2.</w:t>
      </w:r>
      <w:r>
        <w:tab/>
      </w:r>
      <w:r>
        <w:t xml:space="preserve">mit dem Tag des Eingangs der schriftlichen Begründung, wenn das Gericht dem Antragsteller gemäß </w:t>
      </w:r>
      <w:hyperlink w:anchor="b32" w:history="1">
        <w:r>
          <w:rPr>
            <w:color w:val="0A3A8C"/>
            <w:u w:val="single"/>
          </w:rPr>
          <w:t xml:space="preserve">§ 26</w:t>
        </w:r>
      </w:hyperlink>
      <w:r>
        <w:t xml:space="preserve"> Absatz 1 Satz 2 aufgegeben hat, das Ablehnungsgesuch innerhalb der vom Gericht bestimmten Frist schriftlich zu begründen.</w:t>
      </w:r>
    </w:p>
    <w:p>
      <w:r>
        <w:rPr>
          <w:rStyle w:val="Satznummer"/>
        </w:rPr>
        <w:t>3</w:t>
      </w:r>
      <w:r>
        <w:t>Findet der übernächste Verhandlungstag erst nach Ablauf von zwei Wochen statt, so kann über die Ablehnung spätestens bis zu dessen Beginn entschieden werden.</w:t>
      </w:r>
    </w:p>
    <w:p>
      <w:r>
        <w:t xml:space="preserve">(4) </w:t>
      </w:r>
      <w:r>
        <w:rPr>
          <w:rStyle w:val="Satznummer"/>
        </w:rPr>
        <w:t>1</w:t>
      </w:r>
      <w:r>
        <w:t xml:space="preserve">Wird die Ablehnung für begründet erklärt und muss die Hauptverhandlung nicht deshalb ausgesetzt werden, so ist ihr nach der Anbringung des Ablehnungsgesuchs liegender Teil zu wiederholen. </w:t>
      </w:r>
      <w:r>
        <w:rPr>
          <w:rStyle w:val="Satznummer"/>
        </w:rPr>
        <w:t>2</w:t>
      </w:r>
      <w:r>
        <w:t>Dies gilt nicht für solche Teile der Hauptverhandlung, deren Wiederholung nicht oder nur mit unzumutbarem Aufwand möglich ist.</w:t>
      </w:r>
    </w:p>
    <w:p>
      <w:pPr>
        <w:pStyle w:val="Heading3"/>
      </w:pPr>
      <w:bookmarkStart w:id="38" w:name="b37"/>
      <w:r>
        <w:t>§ 30 Ablehnung eines Richters bei Selbstanzeige und von Amts wegen</w:t>
      </w:r>
      <w:r>
        <w:t xml:space="preserve"> </w:t>
      </w:r>
      <w:r>
        <w:rPr>
          <w:rStyle w:val="Suchmarke"/>
        </w:rPr>
        <w:t>#30#</w:t>
      </w:r>
      <w:bookmarkEnd w:id="38"/>
    </w:p>
    <w:p>
      <w:r>
        <w:t>Das für die Erledigung eines Ablehnungsgesuchs zuständige Gericht hat auch dann zu entscheiden, wenn ein solches Gesuch nicht angebracht ist, ein Richter aber von einem Verhältnis Anzeige macht, das seine Ablehnung rechtfertigen könnte, oder wenn aus anderer Veranlassung Zweifel darüber entstehen, ob ein Richter kraft Gesetzes ausgeschlossen ist.</w:t>
      </w:r>
    </w:p>
    <w:p>
      <w:pPr>
        <w:pStyle w:val="Heading3"/>
      </w:pPr>
      <w:bookmarkStart w:id="39" w:name="b38"/>
      <w:r>
        <w:t>§ 31 Schöffen, Urkundsbeamte</w:t>
      </w:r>
      <w:r>
        <w:t xml:space="preserve"> </w:t>
      </w:r>
      <w:r>
        <w:rPr>
          <w:rStyle w:val="Suchmarke"/>
        </w:rPr>
        <w:t>#31#</w:t>
      </w:r>
      <w:bookmarkEnd w:id="39"/>
    </w:p>
    <w:p>
      <w:r>
        <w:t>(1) Die Vorschriften dieses Abschnitts gelten für Schöffen sowie für Urkundsbeamte der Geschäftsstelle und andere als Protokollführer zugezogene Personen entsprechend.</w:t>
      </w:r>
    </w:p>
    <w:p>
      <w:r>
        <w:t xml:space="preserve">(2) </w:t>
      </w:r>
      <w:r>
        <w:rPr>
          <w:rStyle w:val="Satznummer"/>
        </w:rPr>
        <w:t>1</w:t>
      </w:r>
      <w:r>
        <w:t xml:space="preserve">Die Entscheidung trifft der Vorsitzende. </w:t>
      </w:r>
      <w:r>
        <w:rPr>
          <w:rStyle w:val="Satznummer"/>
        </w:rPr>
        <w:t>2</w:t>
      </w:r>
      <w:r>
        <w:t xml:space="preserve">Bei der großen Strafkammer und beim Schwurgericht entscheiden die richterlichen Mitglieder. </w:t>
      </w:r>
      <w:r>
        <w:rPr>
          <w:rStyle w:val="Satznummer"/>
        </w:rPr>
        <w:t>3</w:t>
      </w:r>
      <w:r>
        <w:t>Ist der Protokollführer einem Richter beigegeben, so entscheidet dieser über die Ablehnung oder Ausschließung.</w:t>
      </w:r>
    </w:p>
    <w:p>
      <w:pPr>
        <w:pStyle w:val="Heading2"/>
      </w:pPr>
      <w:bookmarkStart w:id="40" w:name="b39"/>
      <w:r>
        <w:t>Vierter Abschnitt Aktenführung und Kommunikation im Verfahren</w:t>
      </w:r>
      <w:bookmarkEnd w:id="40"/>
    </w:p>
    <w:p>
      <w:pPr>
        <w:pStyle w:val="Heading3"/>
      </w:pPr>
      <w:bookmarkStart w:id="41" w:name="b40"/>
      <w:r>
        <w:t>§ 32 Elektronische Aktenführung; Verordnungsermächtigungen</w:t>
      </w:r>
      <w:r>
        <w:t xml:space="preserve"> </w:t>
      </w:r>
      <w:r>
        <w:rPr>
          <w:rStyle w:val="Suchmarke"/>
        </w:rPr>
        <w:t>#32#</w:t>
      </w:r>
      <w:bookmarkEnd w:id="41"/>
    </w:p>
    <w:p>
      <w:r>
        <w:t xml:space="preserve">(1) </w:t>
      </w:r>
      <w:r>
        <w:rPr>
          <w:rStyle w:val="Satznummer"/>
        </w:rPr>
        <w:t>1</w:t>
      </w:r>
      <w:r>
        <w:t xml:space="preserve">Die Akten werden elektronisch geführt. </w:t>
      </w:r>
      <w:r>
        <w:rPr>
          <w:rStyle w:val="Satznummer"/>
        </w:rPr>
        <w:t>2</w:t>
      </w:r>
      <w:r>
        <w:t xml:space="preserve">Akten, die in Papierform angelegt wurden, können in Papierform weitergeführt werden. </w:t>
      </w:r>
      <w:r>
        <w:rPr>
          <w:rStyle w:val="Satznummer"/>
        </w:rPr>
        <w:t>3</w:t>
      </w:r>
      <w:r>
        <w:t xml:space="preserve">Sie können auch ab einem bestimmten Stichtag oder Ereignis in elektronischer Form weitergeführt werden. </w:t>
      </w:r>
      <w:r>
        <w:rPr>
          <w:rStyle w:val="Satznummer"/>
        </w:rPr>
        <w:t>4</w:t>
      </w:r>
      <w:r>
        <w:t>Der Beginn der Weiterführung der Akten in elektronischer Form ist aktenkundig zu machen.</w:t>
      </w:r>
    </w:p>
    <w:p>
      <w:r>
        <w:t xml:space="preserve">(2) </w:t>
      </w:r>
      <w:r>
        <w:rPr>
          <w:rStyle w:val="Satznummer"/>
        </w:rPr>
        <w:t>1</w:t>
      </w:r>
      <w:r>
        <w:t xml:space="preserve">Die Bundesregierung und die Landesregierungen bestimmen jeweils für ihren Bereich durch Rechtsverordnung die für die elektronische Aktenführung geltenden organisatorischen und dem Stand der Technik entsprechenden technischen Rahmenbedingungen einschließlich der einzuhaltenden Anforderungen des Datenschutzes, der Datensicherheit und der Barrierefreiheit. </w:t>
      </w:r>
      <w:r>
        <w:rPr>
          <w:rStyle w:val="Satznummer"/>
        </w:rPr>
        <w:t>2</w:t>
      </w:r>
      <w:r>
        <w:t>Sie können die Ermächtigung durch Rechtsverordnung auf die zuständigen Bundes- oder Landesministerien übertragen.</w:t>
      </w:r>
    </w:p>
    <w:p>
      <w:r>
        <w:t xml:space="preserve">(3) </w:t>
      </w:r>
      <w:r>
        <w:rPr>
          <w:rStyle w:val="Satznummer"/>
        </w:rPr>
        <w:t>1</w:t>
      </w:r>
      <w:r>
        <w:t xml:space="preserve">Die Bundesregierung bestimmt durch Rechtsverordnung mit Zustimmung des Bundesrates die für die Übermittlung elektronischer Akten zwischen Strafverfolgungsbehörden und Gerichten geltenden Standards. </w:t>
      </w:r>
      <w:r>
        <w:rPr>
          <w:rStyle w:val="Satznummer"/>
        </w:rPr>
        <w:t>2</w:t>
      </w:r>
      <w:r>
        <w:t>Sie kann die Ermächtigung durch Rechtsverordnung ohne Zustimmung des Bundesrates auf die zuständigen Bundesministerien übertragen.</w:t>
      </w:r>
    </w:p>
    <w:p>
      <w:pPr>
        <w:pStyle w:val="Heading3"/>
      </w:pPr>
      <w:bookmarkStart w:id="42" w:name="b41"/>
      <w:r>
        <w:t>§ 32a Elektronischer Rechtsverkehr mit Strafverfolgungsbehörden und Gerichten; Verordnungsermächtigungen</w:t>
      </w:r>
      <w:r>
        <w:t xml:space="preserve"> </w:t>
      </w:r>
      <w:r>
        <w:rPr>
          <w:rStyle w:val="Suchmarke"/>
        </w:rPr>
        <w:t>#32a#</w:t>
      </w:r>
      <w:bookmarkEnd w:id="42"/>
    </w:p>
    <w:p>
      <w:r>
        <w:t>(1) Elektronische Dokumente können bei Strafverfolgungsbehörden und Gerichten nach Maßgabe der folgenden Absätze eingereicht werden.</w:t>
      </w:r>
    </w:p>
    <w:p>
      <w:r>
        <w:t xml:space="preserve">(2) </w:t>
      </w:r>
      <w:r>
        <w:rPr>
          <w:rStyle w:val="Satznummer"/>
        </w:rPr>
        <w:t>1</w:t>
      </w:r>
      <w:r>
        <w:t xml:space="preserve">Das elektronische Dokument muss für die Bearbeitung durch die Strafverfolgungsbehörde oder das Gericht geeignet sein. </w:t>
      </w:r>
      <w:r>
        <w:rPr>
          <w:rStyle w:val="Satznummer"/>
        </w:rPr>
        <w:t>2</w:t>
      </w:r>
      <w:r>
        <w:t>Die Bundesregierung bestimmt durch Rechtsverordnung mit Zustimmung des Bundesrates technische Rahmenbedingungen für die Übermittlung und die Eignung zur Bearbeitung durch die Strafverfolgungsbehörde oder das Gericht sowie das Nähere zur Verarbeitung von Daten der Postfachinhaber nach Absatz 4 Satz 1 Nummer 3 und 4 in einem sicheren elektronischen Verzeichnis.</w:t>
      </w:r>
    </w:p>
    <w:p>
      <w:r>
        <w:t xml:space="preserve">(3) </w:t>
      </w:r>
      <w:r>
        <w:rPr>
          <w:rStyle w:val="Satznummer"/>
        </w:rPr>
        <w:t>1</w:t>
      </w:r>
      <w:r>
        <w:t xml:space="preserve">Ein Dokument, das schriftlich abzufassen, zu unterschreiben oder zu unterzeichnen ist, muss als elektronisches Dokument mit einer qualifizierten elektronischen Signatur der verantwortenden Person versehen sein oder von der verantwortenden Person signiert und auf einem sicheren Übermittlungsweg eingereicht werden. </w:t>
      </w:r>
      <w:r>
        <w:rPr>
          <w:rStyle w:val="Satznummer"/>
        </w:rPr>
        <w:t>2</w:t>
      </w:r>
      <w:r>
        <w:t>Soll ein Dokument, das von einem Beschuldigten, einem anderen Verfahrensbeteiligten oder einem Dritten schriftlich abzufassen, zu unterschreiben oder zu unterzeichnen ist, elektronisch eingereicht werden, so kann es in ein elektronisches Dokument übertragen und durch einen Verteidiger oder Rechtsanwalt nach Satz 1 übermittelt werden.</w:t>
      </w:r>
    </w:p>
    <w:p>
      <w:r>
        <w:t xml:space="preserve">(4) </w:t>
      </w:r>
      <w:r>
        <w:rPr>
          <w:rStyle w:val="Satznummer"/>
        </w:rPr>
        <w:t>1</w:t>
      </w:r>
      <w:r>
        <w:t>Sichere Übermittlungswege sind</w:t>
      </w:r>
    </w:p>
    <w:p>
      <w:pPr>
        <w:tabs>
          <w:tab w:pos="567" w:val="left"/>
        </w:tabs>
        <w:ind w:left="567" w:hanging="567"/>
      </w:pPr>
      <w:r>
        <w:t>1.</w:t>
      </w:r>
      <w:r>
        <w:tab/>
      </w:r>
      <w:r>
        <w:t>der Übermittlungsweg zwischen den besonderen elektronischen Anwaltspostfächern nach den §§ 31a und 31b der Bundesrechtsanwaltsordnung oder einem entsprechenden, auf gesetzlicher Grundlage errichteten elektronischen Postfach und der elektronischen Poststelle der Behörde oder des Gerichts,</w:t>
      </w:r>
    </w:p>
    <w:p>
      <w:pPr>
        <w:tabs>
          <w:tab w:pos="567" w:val="left"/>
        </w:tabs>
        <w:ind w:left="567" w:hanging="567"/>
      </w:pPr>
      <w:r>
        <w:t>2.</w:t>
      </w:r>
      <w:r>
        <w:tab/>
      </w:r>
      <w:r>
        <w:t>der Übermittlungsweg zwischen einem nach Durchführung eines Identifizierungsverfahrens eingerichteten Postfach einer Behörde oder einer juristischen Person des öffentlichen Rechts und der elektronischen Poststelle der Behörde oder des Gerichts,</w:t>
      </w:r>
    </w:p>
    <w:p>
      <w:pPr>
        <w:tabs>
          <w:tab w:pos="567" w:val="left"/>
        </w:tabs>
        <w:ind w:left="567" w:hanging="567"/>
      </w:pPr>
      <w:r>
        <w:t>3.</w:t>
      </w:r>
      <w:r>
        <w:tab/>
      </w:r>
      <w:r>
        <w:t>der Übermittlungsweg zwischen einem nach Durchführung eines Identifizierungsverfahrens eingerichteten elektronischen Postfach einer natürlichen oder juristischen Person oder einer sonstigen Vereinigung und der elektronischen Poststelle der Behörde oder des Gerichts,</w:t>
      </w:r>
    </w:p>
    <w:p>
      <w:pPr>
        <w:tabs>
          <w:tab w:pos="567" w:val="left"/>
        </w:tabs>
        <w:ind w:left="567" w:hanging="567"/>
      </w:pPr>
      <w:r>
        <w:t>4.</w:t>
      </w:r>
      <w:r>
        <w:tab/>
      </w:r>
      <w:r>
        <w:t>der Übermittlungsweg zwischen einem nach Durchführung eines Identifizierungsverfahrens genutzten Postfach- und Versanddienst eines Nutzerkontos im Sinne des § 2 Absatz 5 des Onlinezugangsgesetzes und der elektronischen Poststelle der Behörde oder des Gerichts,</w:t>
      </w:r>
    </w:p>
    <w:p>
      <w:pPr>
        <w:tabs>
          <w:tab w:pos="567" w:val="left"/>
        </w:tabs>
        <w:ind w:left="567" w:hanging="567"/>
      </w:pPr>
      <w:r>
        <w:t>5.</w:t>
      </w:r>
      <w:r>
        <w:tab/>
      </w:r>
      <w:r>
        <w:t>sonstige bundeseinheitliche Übermittlungswege, die durch Rechtsverordnung der Bundesregierung mit Zustimmung des Bundesrates festgelegt werden, bei denen die Authentizität und Integrität der Daten sowie die Barrierefreiheit gewährleistet sind.</w:t>
      </w:r>
    </w:p>
    <w:p>
      <w:r>
        <w:rPr>
          <w:rStyle w:val="Satznummer"/>
        </w:rPr>
        <w:t>2</w:t>
      </w:r>
      <w:r>
        <w:t>Das Nähere zu den Übermittlungswegen gemäß Satz 1 Nummer 2 bis 4 regelt die Rechtsverordnung nach Absatz 2 Satz 2.</w:t>
      </w:r>
    </w:p>
    <w:p>
      <w:r>
        <w:t xml:space="preserve">(5) </w:t>
      </w:r>
      <w:r>
        <w:rPr>
          <w:rStyle w:val="Satznummer"/>
        </w:rPr>
        <w:t>1</w:t>
      </w:r>
      <w:r>
        <w:t xml:space="preserve">Ein elektronisches Dokument ist eingegangen, sobald es auf der für den Empfang bestimmten Einrichtung der Behörde oder des Gerichts gespeichert ist. </w:t>
      </w:r>
      <w:r>
        <w:rPr>
          <w:rStyle w:val="Satznummer"/>
        </w:rPr>
        <w:t>2</w:t>
      </w:r>
      <w:r>
        <w:t>Dem Absender ist eine automatisierte Bestätigung über den Zeitpunkt des Eingangs zu erteilen.</w:t>
      </w:r>
    </w:p>
    <w:p>
      <w:r>
        <w:t xml:space="preserve">(6) </w:t>
      </w:r>
      <w:r>
        <w:rPr>
          <w:rStyle w:val="Satznummer"/>
        </w:rPr>
        <w:t>1</w:t>
      </w:r>
      <w:r>
        <w:t xml:space="preserve">Ist ein elektronisches Dokument für die Bearbeitung durch die Behörde oder das Gericht nicht geeignet, ist dies dem Absender unter Hinweis auf die Unwirksamkeit des Eingangs unverzüglich mitzuteilen. </w:t>
      </w:r>
      <w:r>
        <w:rPr>
          <w:rStyle w:val="Satznummer"/>
        </w:rPr>
        <w:t>2</w:t>
      </w:r>
      <w:r>
        <w:t>Das elektronische Dokument gilt als zum Zeitpunkt seiner früheren Einreichung eingegangen, sofern der Absender es unverzüglich in einer für die Behörde oder für das Gericht zur Bearbeitung geeigneten Form nachreicht und glaubhaft macht, dass es mit dem zuerst eingereichten Dokument inhaltlich übereinstimmt.</w:t>
      </w:r>
    </w:p>
    <w:p>
      <w:pPr>
        <w:pStyle w:val="Heading3"/>
      </w:pPr>
      <w:bookmarkStart w:id="43" w:name="b42"/>
      <w:r>
        <w:t>§ 32b Erstellung und Übermittlung strafverfolgungsbehördlicher und gerichtlicher elektronischer Dokumente; Verordnungsermächtigung</w:t>
      </w:r>
      <w:r>
        <w:t xml:space="preserve"> </w:t>
      </w:r>
      <w:r>
        <w:rPr>
          <w:rStyle w:val="Suchmarke"/>
        </w:rPr>
        <w:t>#32b#</w:t>
      </w:r>
      <w:bookmarkEnd w:id="43"/>
    </w:p>
    <w:p>
      <w:r>
        <w:t xml:space="preserve">(1) </w:t>
      </w:r>
      <w:r>
        <w:rPr>
          <w:rStyle w:val="Satznummer"/>
        </w:rPr>
        <w:t>1</w:t>
      </w:r>
      <w:r>
        <w:t xml:space="preserve">Wird ein strafverfolgungsbehördliches oder gerichtliches Dokument als elektronisches Dokument erstellt, müssen ihm alle verantwortenden Personen ihre Namen hinzufügen. </w:t>
      </w:r>
      <w:r>
        <w:rPr>
          <w:rStyle w:val="Satznummer"/>
        </w:rPr>
        <w:t>2</w:t>
      </w:r>
      <w:r>
        <w:t>Ein Dokument, das zu unterschreiben oder zu unterzeichnen ist, muss darüber hinaus mit einer qualifizierten elektronischen Signatur aller verantwortenden Personen versehen sein.</w:t>
      </w:r>
    </w:p>
    <w:p>
      <w:r>
        <w:t>(2) Ein elektronisches Dokument ist zu den Akten gebracht, sobald es von einer verantwortenden Person oder auf deren Veranlassung in der elektronischen Akte gespeichert ist.</w:t>
      </w:r>
    </w:p>
    <w:p>
      <w:r>
        <w:t xml:space="preserve">(3) </w:t>
      </w:r>
      <w:r>
        <w:rPr>
          <w:rStyle w:val="Satznummer"/>
        </w:rPr>
        <w:t>1</w:t>
      </w:r>
      <w:r>
        <w:t xml:space="preserve">Werden die Akten elektronisch geführt, sollen Strafverfolgungsbehörden und Gerichte einander Dokumente als elektronisches Dokument übermitteln. </w:t>
      </w:r>
      <w:r>
        <w:rPr>
          <w:rStyle w:val="Satznummer"/>
        </w:rPr>
        <w:t>2</w:t>
      </w:r>
      <w:r>
        <w:t xml:space="preserve">Die Anklageschrift, der Antrag auf Erlass eines Strafbefehls außerhalb einer Hauptverhandlung, die Berufung und ihre Begründung, die Revision, ihre Begründung und die Gegenerklärung sowie als elektronisches Dokument erstellte gerichtliche Entscheidungen sind als elektronisches Dokument zu übermitteln. </w:t>
      </w:r>
      <w:r>
        <w:rPr>
          <w:rStyle w:val="Satznummer"/>
        </w:rPr>
        <w:t>3</w:t>
      </w:r>
      <w:r>
        <w:t>Ist dies aus technischen Gründen vorübergehend nicht möglich, ist die Übermittlung in Papierform zulässig; auf Anforderung ist ein elektronisches Dokument nachzureichen.</w:t>
      </w:r>
    </w:p>
    <w:p>
      <w:r>
        <w:t xml:space="preserve">(4) </w:t>
      </w:r>
      <w:r>
        <w:rPr>
          <w:rStyle w:val="Satznummer"/>
        </w:rPr>
        <w:t>1</w:t>
      </w:r>
      <w:r>
        <w:t xml:space="preserve">Abschriften und beglaubigte Abschriften können in Papierform oder als elektronisches Dokument erteilt werden. </w:t>
      </w:r>
      <w:r>
        <w:rPr>
          <w:rStyle w:val="Satznummer"/>
        </w:rPr>
        <w:t>2</w:t>
      </w:r>
      <w:r>
        <w:t xml:space="preserve">Elektronische beglaubigte Abschriften müssen mit einer qualifizierten elektronischen Signatur der beglaubigenden Person versehen sein. </w:t>
      </w:r>
      <w:r>
        <w:rPr>
          <w:rStyle w:val="Satznummer"/>
        </w:rPr>
        <w:t>3</w:t>
      </w:r>
      <w:r>
        <w:t xml:space="preserve">Wird eine beglaubigte Abschrift in Papierform durch Übertragung eines elektronischen Dokuments erstellt, das mit einer qualifizierten elektronischen Signatur versehen ist oder auf einem sicheren Übermittlungsweg eingereicht wurde, muss der Beglaubigungsvermerk das Ergebnis der Prüfung der Authentizität und Integrität des elektronischen Dokuments enthalten. </w:t>
      </w:r>
      <w:r>
        <w:rPr>
          <w:rStyle w:val="Satznummer"/>
        </w:rPr>
        <w:t>4</w:t>
      </w:r>
      <w:r>
        <w:t xml:space="preserve">Eines erweiterten Beglaubigungsvermerks nach Satz 3 bedarf es nicht, wenn das elektronische Dokument von der beglaubigenden Stelle selbst erstellt wurde. </w:t>
      </w:r>
      <w:r>
        <w:rPr>
          <w:rStyle w:val="Satznummer"/>
        </w:rPr>
        <w:t>5</w:t>
      </w:r>
      <w:r>
        <w:t>Anstelle eines erweiterten Beglaubigungsvermerks nach Satz 3 kann das Ergebnis der Prüfung der Authentizität und Integrität auch auf andere Weise untrennbar mit der in Papierform erteilten Abschrift verbunden werden.</w:t>
      </w:r>
    </w:p>
    <w:p>
      <w:r>
        <w:t xml:space="preserve">(5) </w:t>
      </w:r>
      <w:r>
        <w:rPr>
          <w:rStyle w:val="Satznummer"/>
        </w:rPr>
        <w:t>1</w:t>
      </w:r>
      <w:r>
        <w:t xml:space="preserve">Die Bundesregierung bestimmt durch Rechtsverordnung mit Zustimmung des Bundesrates die für die Erstellung elektronischer Dokumente und deren Übermittlung zwischen Strafverfolgungsbehörden und Gerichten geltenden Standards. </w:t>
      </w:r>
      <w:r>
        <w:rPr>
          <w:rStyle w:val="Satznummer"/>
        </w:rPr>
        <w:t>2</w:t>
      </w:r>
      <w:r>
        <w:t>Sie kann die Ermächtigung durch Rechtsverordnung ohne Zustimmung des Bundesrates auf die zuständigen Bundesministerien übertragen.</w:t>
      </w:r>
    </w:p>
    <w:p>
      <w:pPr>
        <w:pStyle w:val="Heading3"/>
      </w:pPr>
      <w:bookmarkStart w:id="44" w:name="b43"/>
      <w:r>
        <w:t>§ 32c Elektronische Formulare; Verordnungsermächtigung</w:t>
      </w:r>
      <w:r>
        <w:t xml:space="preserve"> </w:t>
      </w:r>
      <w:r>
        <w:rPr>
          <w:rStyle w:val="Suchmarke"/>
        </w:rPr>
        <w:t>#32c#</w:t>
      </w:r>
      <w:bookmarkEnd w:id="44"/>
    </w:p>
    <w:p>
      <w:r>
        <w:rPr>
          <w:rStyle w:val="Satznummer"/>
        </w:rPr>
        <w:t>1</w:t>
      </w:r>
      <w:r>
        <w:t xml:space="preserve">Die Bundesregierung kann durch Rechtsverordnung mit Zustimmung des Bundesrates elektronische Formulare einführen. </w:t>
      </w:r>
      <w:r>
        <w:rPr>
          <w:rStyle w:val="Satznummer"/>
        </w:rPr>
        <w:t>2</w:t>
      </w:r>
      <w:r>
        <w:t xml:space="preserve">Die Rechtsverordnung kann bestimmen, dass die in den Formularen enthaltenen Angaben ganz oder teilweise in strukturierter maschinenlesbarer Form zu übermitteln sind. </w:t>
      </w:r>
      <w:r>
        <w:rPr>
          <w:rStyle w:val="Satznummer"/>
        </w:rPr>
        <w:t>3</w:t>
      </w:r>
      <w:r>
        <w:t xml:space="preserve">Die Formulare sind auf einer in der Rechtsverordnung zu bestimmenden Kommunikationsplattform im Internet zur Nutzung bereitzustellen. </w:t>
      </w:r>
      <w:r>
        <w:rPr>
          <w:rStyle w:val="Satznummer"/>
        </w:rPr>
        <w:t>4</w:t>
      </w:r>
      <w:r>
        <w:t xml:space="preserve">Die Rechtsverordnung kann bestimmen, dass eine Identifikation des Formularverwenders abweichend von </w:t>
      </w:r>
      <w:hyperlink w:anchor="b41" w:history="1">
        <w:r>
          <w:rPr>
            <w:color w:val="0A3A8C"/>
            <w:u w:val="single"/>
          </w:rPr>
          <w:t xml:space="preserve">§ 32a</w:t>
        </w:r>
      </w:hyperlink>
      <w:r>
        <w:t xml:space="preserve"> Absatz 3 durch Nutzung des elektronischen Identitätsnachweises nach § 18 des Personalausweisgesetzes, § 12 des eID-Karte-Gesetzes oder § 78 Absatz 5 des Aufenthaltsgesetzes erfolgen kann. </w:t>
      </w:r>
      <w:r>
        <w:rPr>
          <w:rStyle w:val="Satznummer"/>
        </w:rPr>
        <w:t>5</w:t>
      </w:r>
      <w:r>
        <w:t>Die Bundesregierung kann die Ermächtigung durch Rechtsverordnung ohne Zustimmung des Bundesrates auf die zuständigen Bundesministerien übertragen.</w:t>
      </w:r>
    </w:p>
    <w:p>
      <w:pPr>
        <w:pStyle w:val="Heading3"/>
      </w:pPr>
      <w:bookmarkStart w:id="45" w:name="b44"/>
      <w:r>
        <w:t>§ 32d Pflicht zur elektronischen Übermittlung</w:t>
      </w:r>
      <w:r>
        <w:t xml:space="preserve"> </w:t>
      </w:r>
      <w:r>
        <w:rPr>
          <w:rStyle w:val="Suchmarke"/>
        </w:rPr>
        <w:t>#32d#</w:t>
      </w:r>
      <w:bookmarkEnd w:id="45"/>
    </w:p>
    <w:p>
      <w:r>
        <w:rPr>
          <w:rStyle w:val="Satznummer"/>
        </w:rPr>
        <w:t>1</w:t>
      </w:r>
      <w:r>
        <w:t xml:space="preserve">Verteidiger und Rechtsanwälte sollen den Strafverfolgungsbehörden und Gerichten Schriftsätze und deren Anlagen sowie schriftlich einzureichende Anträge und Erklärungen als elektronisches Dokument übermitteln. </w:t>
      </w:r>
      <w:r>
        <w:rPr>
          <w:rStyle w:val="Satznummer"/>
        </w:rPr>
        <w:t>2</w:t>
      </w:r>
      <w:r>
        <w:t>Die folgenden Dokumente müssen sie elektronisch übermitteln:</w:t>
      </w:r>
    </w:p>
    <w:p>
      <w:pPr>
        <w:tabs>
          <w:tab w:pos="567" w:val="left"/>
        </w:tabs>
        <w:ind w:left="567" w:hanging="567"/>
      </w:pPr>
      <w:r>
        <w:t>1.</w:t>
      </w:r>
      <w:r>
        <w:tab/>
      </w:r>
      <w:r>
        <w:t>die Berufung, ihre Begründung und ihre Rücknahme,</w:t>
      </w:r>
    </w:p>
    <w:p>
      <w:pPr>
        <w:tabs>
          <w:tab w:pos="567" w:val="left"/>
        </w:tabs>
        <w:ind w:left="567" w:hanging="567"/>
      </w:pPr>
      <w:r>
        <w:t>2.</w:t>
      </w:r>
      <w:r>
        <w:tab/>
      </w:r>
      <w:r>
        <w:t>die Revision, ihre Begründung, ihre Rücknahme und die Gegenerklärung,</w:t>
      </w:r>
    </w:p>
    <w:p>
      <w:pPr>
        <w:tabs>
          <w:tab w:pos="567" w:val="left"/>
        </w:tabs>
        <w:ind w:left="567" w:hanging="567"/>
      </w:pPr>
      <w:r>
        <w:t>3.</w:t>
      </w:r>
      <w:r>
        <w:tab/>
      </w:r>
      <w:r>
        <w:t>den Einspruch gegen den Strafbefehl und seine Rücknahme,</w:t>
      </w:r>
    </w:p>
    <w:p>
      <w:pPr>
        <w:tabs>
          <w:tab w:pos="567" w:val="left"/>
        </w:tabs>
        <w:ind w:left="567" w:hanging="567"/>
      </w:pPr>
      <w:r>
        <w:t>4.</w:t>
      </w:r>
      <w:r>
        <w:tab/>
      </w:r>
      <w:r>
        <w:t>die Privatklage und</w:t>
      </w:r>
    </w:p>
    <w:p>
      <w:pPr>
        <w:tabs>
          <w:tab w:pos="567" w:val="left"/>
        </w:tabs>
        <w:ind w:left="567" w:hanging="567"/>
      </w:pPr>
      <w:r>
        <w:t>5.</w:t>
      </w:r>
      <w:r>
        <w:tab/>
      </w:r>
      <w:r>
        <w:t>die Anschlusserklärung bei der Nebenklage.</w:t>
      </w:r>
    </w:p>
    <w:p>
      <w:r>
        <w:rPr>
          <w:rStyle w:val="Satznummer"/>
        </w:rPr>
        <w:t>3</w:t>
      </w:r>
      <w:r>
        <w:t xml:space="preserve">Ist dies aus technischen Gründen vorübergehend nicht möglich, ist die Übermittlung in Papierform zulässig. </w:t>
      </w:r>
      <w:r>
        <w:rPr>
          <w:rStyle w:val="Satznummer"/>
        </w:rPr>
        <w:t>4</w:t>
      </w:r>
      <w:r>
        <w:t>Die vorübergehende Unmöglichkeit ist bei der Ersatzeinreichung oder unverzüglich danach glaubhaft zu machen; auf Anforderung ist ein elektronisches Dokument nachzureichen.</w:t>
      </w:r>
    </w:p>
    <w:p>
      <w:pPr>
        <w:pStyle w:val="Heading3"/>
      </w:pPr>
      <w:bookmarkStart w:id="46" w:name="b45"/>
      <w:r>
        <w:t>§ 32e Übertragung von Dokumenten zu Aktenführungszwecken</w:t>
      </w:r>
      <w:r>
        <w:t xml:space="preserve"> </w:t>
      </w:r>
      <w:r>
        <w:rPr>
          <w:rStyle w:val="Suchmarke"/>
        </w:rPr>
        <w:t>#32e#</w:t>
      </w:r>
      <w:bookmarkEnd w:id="46"/>
    </w:p>
    <w:p>
      <w:r>
        <w:t xml:space="preserve">(1) </w:t>
      </w:r>
      <w:r>
        <w:rPr>
          <w:rStyle w:val="Satznummer"/>
        </w:rPr>
        <w:t>1</w:t>
      </w:r>
      <w:r>
        <w:t xml:space="preserve">Dokumente, die nicht der Form entsprechen, in der die Akte geführt wird (Ausgangsdokumente), sind in die entsprechende Form zu übertragen. </w:t>
      </w:r>
      <w:r>
        <w:rPr>
          <w:rStyle w:val="Satznummer"/>
        </w:rPr>
        <w:t>2</w:t>
      </w:r>
      <w:r>
        <w:t>Ausgangsdokumente, die als Beweismittel sichergestellt sind, können in die entsprechende Form übertragen werden.</w:t>
      </w:r>
    </w:p>
    <w:p>
      <w:r>
        <w:t>(2) Bei der Übertragung ist nach dem Stand der Technik sicherzustellen, dass das übertragene Dokument mit dem Ausgangsdokument bildlich und inhaltlich übereinstimmt.</w:t>
      </w:r>
    </w:p>
    <w:p>
      <w:r>
        <w:t xml:space="preserve">(3) </w:t>
      </w:r>
      <w:r>
        <w:rPr>
          <w:rStyle w:val="Satznummer"/>
        </w:rPr>
        <w:t>1</w:t>
      </w:r>
      <w:r>
        <w:t xml:space="preserve">Bei der Übertragung eines nicht elektronischen Ausgangsdokuments in ein elektronisches Dokument ist dieses mit einem Übertragungsnachweis zu versehen, der das bei der Übertragung angewandte Verfahren und die bildliche und inhaltliche Übereinstimmung dokumentiert. </w:t>
      </w:r>
      <w:r>
        <w:rPr>
          <w:rStyle w:val="Satznummer"/>
        </w:rPr>
        <w:t>2</w:t>
      </w:r>
      <w:r>
        <w:t xml:space="preserve">Wird ein von den verantwortenden Personen handschriftlich unterzeichnetes staatsanwaltschaftliches oder gerichtliches Schriftstück übertragen, so ist der Übertragungsnachweis vom Urkundsbeamten der Staatsanwaltschaft oder des Gerichts mit einer qualifizierten elektronischen Signatur zu versehen. </w:t>
      </w:r>
      <w:r>
        <w:rPr>
          <w:rStyle w:val="Satznummer"/>
        </w:rPr>
        <w:t>3</w:t>
      </w:r>
      <w:r>
        <w:t>Bei der Übertragung eines mit einer qualifizierten elektronischen Signatur versehenen oder auf einem sicheren Übermittlungsweg eingereichten elektronischen Ausgangsdokuments ist in den Akten zu vermerken, welches Ergebnis die Prüfung der Authentizität und Integrität des Ausgangsdokuments erbracht hat.</w:t>
      </w:r>
    </w:p>
    <w:p>
      <w:r>
        <w:t xml:space="preserve">(4) </w:t>
      </w:r>
      <w:r>
        <w:rPr>
          <w:rStyle w:val="Satznummer"/>
        </w:rPr>
        <w:t>1</w:t>
      </w:r>
      <w:r>
        <w:t xml:space="preserve">Ausgangsdokumente, die nicht als Beweismittel sichergestellt sind, müssen während des laufenden Verfahrens im Anschluss an die Übertragung mindestens sechs Monate lang gespeichert oder aufbewahrt werden. </w:t>
      </w:r>
      <w:r>
        <w:rPr>
          <w:rStyle w:val="Satznummer"/>
        </w:rPr>
        <w:t>2</w:t>
      </w:r>
      <w:r>
        <w:t>Ist das Verfahren abgeschlossen oder ist Verjährung eingetreten, dürfen Ausgangsdokumente, die nicht als Beweismittel sichergestellt sind, längstens bis zum Ablauf des zweiten auf den Abschluss des Verfahrens folgenden Kalenderjahres gespeichert oder aufbewahrt werden.</w:t>
      </w:r>
    </w:p>
    <w:p>
      <w:r>
        <w:t xml:space="preserve">(5) </w:t>
      </w:r>
      <w:r>
        <w:rPr>
          <w:rStyle w:val="Satznummer"/>
        </w:rPr>
        <w:t>1</w:t>
      </w:r>
      <w:r>
        <w:t xml:space="preserve">Ausgangsdokumente, die nicht als Beweismittel sichergestellt sind, können unter denselben Voraussetzungen wie sichergestellte Beweisstücke besichtigt werden. </w:t>
      </w:r>
      <w:r>
        <w:rPr>
          <w:rStyle w:val="Satznummer"/>
        </w:rPr>
        <w:t>2</w:t>
      </w:r>
      <w:r>
        <w:t>Zur Besichtigung ist berechtigt, wer befugt ist, die Akten einzusehen.</w:t>
      </w:r>
    </w:p>
    <w:p>
      <w:pPr>
        <w:pStyle w:val="Heading3"/>
      </w:pPr>
      <w:bookmarkStart w:id="47" w:name="b46"/>
      <w:r>
        <w:t>§ 32f Form der Gewährung von Akteneinsicht; Verordnungsermächtigung</w:t>
      </w:r>
      <w:r>
        <w:t xml:space="preserve"> </w:t>
      </w:r>
      <w:r>
        <w:rPr>
          <w:rStyle w:val="Suchmarke"/>
        </w:rPr>
        <w:t>#32f#</w:t>
      </w:r>
      <w:bookmarkEnd w:id="47"/>
    </w:p>
    <w:p>
      <w:r>
        <w:t xml:space="preserve">(1) </w:t>
      </w:r>
      <w:r>
        <w:rPr>
          <w:rStyle w:val="Satznummer"/>
        </w:rPr>
        <w:t>1</w:t>
      </w:r>
      <w:r>
        <w:t xml:space="preserve">Einsicht in elektronische Akten wird durch Bereitstellen des Inhalts der Akte zum Abruf oder durch Übermittlung des Inhalts der Akte auf einem sicheren Übermittlungsweg gewährt. </w:t>
      </w:r>
      <w:r>
        <w:rPr>
          <w:rStyle w:val="Satznummer"/>
        </w:rPr>
        <w:t>2</w:t>
      </w:r>
      <w:r>
        <w:t xml:space="preserve">Auf besonderen Antrag wird Akteneinsicht durch Einsichtnahme in die elektronischen Akten in Diensträumen gewährt. </w:t>
      </w:r>
      <w:r>
        <w:rPr>
          <w:rStyle w:val="Satznummer"/>
        </w:rPr>
        <w:t>3</w:t>
      </w:r>
      <w:r>
        <w:t xml:space="preserve">Ein Aktenausdruck oder ein Datenträger mit dem Inhalt der elektronischen Akten wird auf besonders zu begründenden Antrag nur übermittelt, wenn der Antragsteller hieran ein berechtigtes Interesse hat. </w:t>
      </w:r>
      <w:r>
        <w:rPr>
          <w:rStyle w:val="Satznummer"/>
        </w:rPr>
        <w:t>4</w:t>
      </w:r>
      <w:r>
        <w:t>Stehen der Akteneinsicht in der nach Satz 1 vorgesehenen Form wichtige Gründe entgegen, kann die Akteneinsicht in der nach den Sätzen 2 und 3 vorgesehenen Form auch ohne Antrag gewährt werden.</w:t>
      </w:r>
    </w:p>
    <w:p>
      <w:r>
        <w:t xml:space="preserve">(2) </w:t>
      </w:r>
      <w:r>
        <w:rPr>
          <w:rStyle w:val="Satznummer"/>
        </w:rPr>
        <w:t>1</w:t>
      </w:r>
      <w:r>
        <w:t xml:space="preserve">Einsicht in Akten, die in Papierform vorliegen, wird durch Einsichtnahme in die Akten in Diensträumen gewährt. </w:t>
      </w:r>
      <w:r>
        <w:rPr>
          <w:rStyle w:val="Satznummer"/>
        </w:rPr>
        <w:t>2</w:t>
      </w:r>
      <w:r>
        <w:t xml:space="preserve">Die Akteneinsicht kann, soweit nicht wichtige Gründe entgegenstehen, auch durch Bereitstellen des Inhalts der Akten zum Abruf, durch Übermittlung des Inhalts der Akte auf einem sicheren Übermittlungsweg oder durch Bereitstellen einer Aktenkopie zur Mitnahme gewährt werden. </w:t>
      </w:r>
      <w:r>
        <w:rPr>
          <w:rStyle w:val="Satznummer"/>
        </w:rPr>
        <w:t>3</w:t>
      </w:r>
      <w:r>
        <w:t>Auf besonderen Antrag werden einem Verteidiger oder Rechtsanwalt, soweit nicht wichtige Gründe entgegenstehen, die Akten zur Einsichtnahme in seine Geschäftsräume oder in seine Wohnung mitgegeben.</w:t>
      </w:r>
    </w:p>
    <w:p>
      <w:r>
        <w:t>(3) Entscheidungen über die Form der Gewährung von Akteneinsicht nach den Absätzen 1 und 2 sind nicht anfechtbar.</w:t>
      </w:r>
    </w:p>
    <w:p>
      <w:r>
        <w:t xml:space="preserve">(4) </w:t>
      </w:r>
      <w:r>
        <w:rPr>
          <w:rStyle w:val="Satznummer"/>
        </w:rPr>
        <w:t>1</w:t>
      </w:r>
      <w:r>
        <w:t xml:space="preserve">Durch technische und organisatorische Maßnahmen ist zu gewährleisten, dass Dritte im Rahmen der Akteneinsicht keine Kenntnis vom Akteninhalt nehmen können. </w:t>
      </w:r>
      <w:r>
        <w:rPr>
          <w:rStyle w:val="Satznummer"/>
        </w:rPr>
        <w:t>2</w:t>
      </w:r>
      <w:r>
        <w:t>Der Name der Person, der Akteneinsicht gewährt wird, soll durch technische Maßnahmen in abgerufenen Akten und auf übermittelten elektronischen Dokumenten nach dem Stand der Technik dauerhaft erkennbar gemacht werden.</w:t>
      </w:r>
    </w:p>
    <w:p>
      <w:r>
        <w:t xml:space="preserve">(5) </w:t>
      </w:r>
      <w:r>
        <w:rPr>
          <w:rStyle w:val="Satznummer"/>
        </w:rPr>
        <w:t>1</w:t>
      </w:r>
      <w:r>
        <w:t xml:space="preserve">Personen, denen Akteneinsicht gewährt wird, dürfen Akten, Dokumente, Ausdrucke oder Abschriften, die ihnen nach Absatz 1 oder 2 überlassen worden sind, weder ganz noch teilweise öffentlich verbreiten oder sie Dritten zu verfahrensfremden Zwecken übermitteln oder zugänglich machen. </w:t>
      </w:r>
      <w:r>
        <w:rPr>
          <w:rStyle w:val="Satznummer"/>
        </w:rPr>
        <w:t>2</w:t>
      </w:r>
      <w:r>
        <w:t xml:space="preserve">Nach Absatz 1 oder 2 erlangte personenbezogene Daten dürfen sie nur zu dem Zweck verwenden, für den die Akteneinsicht gewährt wurde. </w:t>
      </w:r>
      <w:r>
        <w:rPr>
          <w:rStyle w:val="Satznummer"/>
        </w:rPr>
        <w:t>3</w:t>
      </w:r>
      <w:r>
        <w:t xml:space="preserve">Für andere Zwecke dürfen sie diese Daten nur verwenden, wenn dafür Auskunft oder Akteneinsicht gewährt werden dürfte. </w:t>
      </w:r>
      <w:r>
        <w:rPr>
          <w:rStyle w:val="Satznummer"/>
        </w:rPr>
        <w:t>4</w:t>
      </w:r>
      <w:r>
        <w:t>Personen, denen Akteneinsicht gewährt wird, sind auf die Zweckbindung hinzuweisen.</w:t>
      </w:r>
    </w:p>
    <w:p>
      <w:r>
        <w:t xml:space="preserve">(6) </w:t>
      </w:r>
      <w:r>
        <w:rPr>
          <w:rStyle w:val="Satznummer"/>
        </w:rPr>
        <w:t>1</w:t>
      </w:r>
      <w:r>
        <w:t xml:space="preserve">Die Bundesregierung bestimmt durch Rechtsverordnung mit Zustimmung des Bundesrates die für die Einsicht in elektronische Akten geltenden Standards. </w:t>
      </w:r>
      <w:r>
        <w:rPr>
          <w:rStyle w:val="Satznummer"/>
        </w:rPr>
        <w:t>2</w:t>
      </w:r>
      <w:r>
        <w:t>Sie kann die Ermächtigung durch Rechtsverordnung ohne Zustimmung des Bundesrates auf die zuständigen Bundesministerien übertragen.</w:t>
      </w:r>
    </w:p>
    <w:p>
      <w:pPr>
        <w:pStyle w:val="Heading3"/>
      </w:pPr>
      <w:bookmarkStart w:id="48" w:name="b47"/>
      <w:r>
        <w:t>Abschnitt 4a Gerichtliche Entscheidungen</w:t>
      </w:r>
      <w:bookmarkEnd w:id="48"/>
    </w:p>
    <w:p>
      <w:pPr>
        <w:pStyle w:val="Heading4"/>
      </w:pPr>
      <w:bookmarkStart w:id="49" w:name="b48"/>
      <w:r>
        <w:t>§ 33 Gewährung rechtlichen Gehörs vor einer Entscheidung</w:t>
      </w:r>
      <w:r>
        <w:t xml:space="preserve"> </w:t>
      </w:r>
      <w:r>
        <w:rPr>
          <w:rStyle w:val="Suchmarke"/>
        </w:rPr>
        <w:t>#33#</w:t>
      </w:r>
      <w:bookmarkEnd w:id="49"/>
    </w:p>
    <w:p>
      <w:r>
        <w:t>(1) Eine Entscheidung des Gerichts, die im Laufe einer Hauptverhandlung ergeht, wird nach Anhörung der Beteiligten erlassen.</w:t>
      </w:r>
    </w:p>
    <w:p>
      <w:r>
        <w:t>(2) Eine Entscheidung des Gerichts, die außerhalb einer Hauptverhandlung ergeht, wird nach schriftlicher oder mündlicher Erklärung der Staatsanwaltschaft erlassen.</w:t>
      </w:r>
    </w:p>
    <w:p>
      <w:r>
        <w:t>(3) Bei einer in Absatz 2 bezeichneten Entscheidung ist ein anderer Beteiligter zu hören, bevor zu seinem Nachteil Tatsachen oder Beweisergebnisse, zu denen er noch nicht gehört worden ist, verwertet werden.</w:t>
      </w:r>
    </w:p>
    <w:p>
      <w:r>
        <w:t xml:space="preserve">(4) </w:t>
      </w:r>
      <w:r>
        <w:rPr>
          <w:rStyle w:val="Satznummer"/>
        </w:rPr>
        <w:t>1</w:t>
      </w:r>
      <w:r>
        <w:t xml:space="preserve">Bei Anordnung der Untersuchungshaft, der Beschlagnahme oder anderer Maßnahmen ist Absatz 3 nicht anzuwenden, wenn die vorherige Anhörung den Zweck der Anordnung gefährden würde. </w:t>
      </w:r>
      <w:r>
        <w:rPr>
          <w:rStyle w:val="Satznummer"/>
        </w:rPr>
        <w:t>2</w:t>
      </w:r>
      <w:r>
        <w:t>Vorschriften, welche die Anhörung der Beteiligten besonders regeln, werden durch Absatz 3 nicht berührt.</w:t>
      </w:r>
    </w:p>
    <w:p>
      <w:pPr>
        <w:pStyle w:val="Heading4"/>
      </w:pPr>
      <w:bookmarkStart w:id="50" w:name="b49"/>
      <w:r>
        <w:t>§ 33a Wiedereinsetzung in den vorigen Stand bei Nichtgewährung rechtlichen Gehörs</w:t>
      </w:r>
      <w:r>
        <w:t xml:space="preserve"> </w:t>
      </w:r>
      <w:r>
        <w:rPr>
          <w:rStyle w:val="Suchmarke"/>
        </w:rPr>
        <w:t>#33a#</w:t>
      </w:r>
      <w:bookmarkEnd w:id="50"/>
    </w:p>
    <w:p>
      <w:r>
        <w:rPr>
          <w:rStyle w:val="Satznummer"/>
        </w:rPr>
        <w:t>1</w:t>
      </w:r>
      <w:r>
        <w:t xml:space="preserve">Hat das Gericht in einem Beschluss den Anspruch eines Beteiligten auf rechtliches Gehör in entscheidungserheblicher Weise verletzt und steht ihm gegen den Beschluss keine Beschwerde und kein anderer Rechtsbehelf zu, versetzt es, sofern der Beteiligte dadurch noch beschwert ist, von Amts wegen oder auf Antrag insoweit das Verfahren durch Beschluss in die Lage zurück, die vor dem Erlass der Entscheidung bestand. </w:t>
      </w:r>
      <w:r>
        <w:rPr>
          <w:rStyle w:val="Satznummer"/>
        </w:rPr>
        <w:t>2</w:t>
      </w:r>
      <w:hyperlink w:anchor="b67" w:history="1">
        <w:r>
          <w:rPr>
            <w:color w:val="0A3A8C"/>
            <w:u w:val="single"/>
          </w:rPr>
          <w:t xml:space="preserve">§ 47</w:t>
        </w:r>
      </w:hyperlink>
      <w:r>
        <w:t xml:space="preserve"> gilt entsprechend.</w:t>
      </w:r>
    </w:p>
    <w:p>
      <w:pPr>
        <w:pStyle w:val="Heading4"/>
      </w:pPr>
      <w:bookmarkStart w:id="51" w:name="b50"/>
      <w:r>
        <w:t>§ 34 Begründung anfechtbarer und ablehnender Entscheidungen</w:t>
      </w:r>
      <w:r>
        <w:t xml:space="preserve"> </w:t>
      </w:r>
      <w:r>
        <w:rPr>
          <w:rStyle w:val="Suchmarke"/>
        </w:rPr>
        <w:t>#34#</w:t>
      </w:r>
      <w:bookmarkEnd w:id="51"/>
    </w:p>
    <w:p>
      <w:r>
        <w:t>Die durch ein Rechtsmittel anfechtbaren Entscheidungen sowie die, durch welche ein Antrag abgelehnt wird, sind mit Gründen zu versehen.</w:t>
      </w:r>
    </w:p>
    <w:p>
      <w:pPr>
        <w:pStyle w:val="Heading4"/>
      </w:pPr>
      <w:bookmarkStart w:id="52" w:name="b51"/>
      <w:r>
        <w:t>§ 34a Eintritt der Rechtskraft bei Verwerfung eines Rechtsmittels durch Beschluss</w:t>
      </w:r>
      <w:r>
        <w:t xml:space="preserve"> </w:t>
      </w:r>
      <w:r>
        <w:rPr>
          <w:rStyle w:val="Suchmarke"/>
        </w:rPr>
        <w:t>#34a#</w:t>
      </w:r>
      <w:bookmarkEnd w:id="52"/>
    </w:p>
    <w:p>
      <w:r>
        <w:t>Führt nach rechtzeitiger Einlegung eines Rechtsmittels ein Beschluß unmittelbar die Rechtskraft der angefochtenen Entscheidung herbei, so gilt die Rechtskraft als mit Ablauf des Tages der Beschlußfassung eingetreten.</w:t>
      </w:r>
    </w:p>
    <w:p>
      <w:pPr>
        <w:pStyle w:val="Heading4"/>
      </w:pPr>
      <w:bookmarkStart w:id="53" w:name="b52"/>
      <w:r>
        <w:t>§ 35 Bekanntmachung</w:t>
      </w:r>
      <w:r>
        <w:t xml:space="preserve"> </w:t>
      </w:r>
      <w:r>
        <w:rPr>
          <w:rStyle w:val="Suchmarke"/>
        </w:rPr>
        <w:t>#35#</w:t>
      </w:r>
      <w:bookmarkEnd w:id="53"/>
    </w:p>
    <w:p>
      <w:r>
        <w:t xml:space="preserve">(1) </w:t>
      </w:r>
      <w:r>
        <w:rPr>
          <w:rStyle w:val="Satznummer"/>
        </w:rPr>
        <w:t>1</w:t>
      </w:r>
      <w:r>
        <w:t xml:space="preserve">Entscheidungen, die in Anwesenheit der davon betroffenen Person ergehen, werden ihr durch Verkündung bekanntgemacht. </w:t>
      </w:r>
      <w:r>
        <w:rPr>
          <w:rStyle w:val="Satznummer"/>
        </w:rPr>
        <w:t>2</w:t>
      </w:r>
      <w:r>
        <w:t>Auf Verlangen ist ihr eine Abschrift zu erteilen.</w:t>
      </w:r>
    </w:p>
    <w:p>
      <w:r>
        <w:t xml:space="preserve">(2) </w:t>
      </w:r>
      <w:r>
        <w:rPr>
          <w:rStyle w:val="Satznummer"/>
        </w:rPr>
        <w:t>1</w:t>
      </w:r>
      <w:r>
        <w:t xml:space="preserve">Andere Entscheidungen werden durch Zustellung bekanntgemacht. </w:t>
      </w:r>
      <w:r>
        <w:rPr>
          <w:rStyle w:val="Satznummer"/>
        </w:rPr>
        <w:t>2</w:t>
      </w:r>
      <w:r>
        <w:t>Wird durch die Bekanntmachung der Entscheidung keine Frist in Lauf gesetzt, so genügt formlose Mitteilung.</w:t>
      </w:r>
    </w:p>
    <w:p>
      <w:r>
        <w:t>(3) Dem nicht auf freiem Fuß Befindlichen ist das zugestellte Schriftstück auf Verlangen vorzulesen.</w:t>
      </w:r>
    </w:p>
    <w:p>
      <w:pPr>
        <w:pStyle w:val="Heading4"/>
      </w:pPr>
      <w:bookmarkStart w:id="54" w:name="b53"/>
      <w:r>
        <w:t>§ 35a Rechtsmittelbelehrung</w:t>
      </w:r>
      <w:r>
        <w:t xml:space="preserve"> </w:t>
      </w:r>
      <w:r>
        <w:rPr>
          <w:rStyle w:val="Suchmarke"/>
        </w:rPr>
        <w:t>#35a#</w:t>
      </w:r>
      <w:bookmarkEnd w:id="54"/>
    </w:p>
    <w:p>
      <w:r>
        <w:rPr>
          <w:rStyle w:val="Satznummer"/>
        </w:rPr>
        <w:t>1</w:t>
      </w:r>
      <w:r>
        <w:t xml:space="preserve">Bei der Bekanntmachung einer Entscheidung, die durch ein befristetes Rechtsmittel angefochten werden kann, ist der Betroffene über die Möglichkeiten der Anfechtung und die dafür vorgeschriebenen Fristen und Formen zu belehren. </w:t>
      </w:r>
      <w:r>
        <w:rPr>
          <w:rStyle w:val="Satznummer"/>
        </w:rPr>
        <w:t>2</w:t>
      </w:r>
      <w:r>
        <w:t xml:space="preserve">Bei der Bekanntmachung eines Urteils ist der Angeklagte auch über die Rechtsfolgen des </w:t>
      </w:r>
      <w:hyperlink w:anchor="b59" w:history="1">
        <w:r>
          <w:rPr>
            <w:color w:val="0A3A8C"/>
            <w:u w:val="single"/>
          </w:rPr>
          <w:t xml:space="preserve">§ 40</w:t>
        </w:r>
      </w:hyperlink>
      <w:r>
        <w:t xml:space="preserve"> Absatz 3 und des </w:t>
      </w:r>
      <w:hyperlink w:anchor="b506" w:history="1">
        <w:r>
          <w:rPr>
            <w:color w:val="0A3A8C"/>
            <w:u w:val="single"/>
          </w:rPr>
          <w:t xml:space="preserve">§ 350</w:t>
        </w:r>
      </w:hyperlink>
      <w:r>
        <w:t xml:space="preserve"> Absatz 2 sowie, wenn gegen das Urteil Berufung zulässig ist, über die Rechtsfolgen der </w:t>
      </w:r>
      <w:hyperlink w:anchor="b484" w:history="1">
        <w:r>
          <w:rPr>
            <w:color w:val="0A3A8C"/>
            <w:u w:val="single"/>
          </w:rPr>
          <w:t xml:space="preserve">§§ 329</w:t>
        </w:r>
      </w:hyperlink>
      <w:r>
        <w:t xml:space="preserve"> und </w:t>
      </w:r>
      <w:hyperlink w:anchor="b485" w:history="1">
        <w:r>
          <w:rPr>
            <w:color w:val="0A3A8C"/>
            <w:u w:val="single"/>
          </w:rPr>
          <w:t xml:space="preserve">330</w:t>
        </w:r>
      </w:hyperlink>
      <w:r>
        <w:t xml:space="preserve"> zu belehren. </w:t>
      </w:r>
      <w:r>
        <w:rPr>
          <w:rStyle w:val="Satznummer"/>
        </w:rPr>
        <w:t>3</w:t>
      </w:r>
      <w:r>
        <w:t>Ist einem Urteil eine Verständigung (</w:t>
      </w:r>
      <w:hyperlink w:anchor="b404" w:history="1">
        <w:r>
          <w:rPr>
            <w:color w:val="0A3A8C"/>
            <w:u w:val="single"/>
          </w:rPr>
          <w:t xml:space="preserve">§ 257c</w:t>
        </w:r>
      </w:hyperlink>
      <w:r>
        <w:t>) vorausgegangen, ist der Betroffene auch darüber zu belehren, dass er in jedem Fall frei in seiner Entscheidung ist, ein Rechtsmittel einzulegen.</w:t>
      </w:r>
    </w:p>
    <w:p>
      <w:pPr>
        <w:pStyle w:val="Heading3"/>
      </w:pPr>
      <w:bookmarkStart w:id="55" w:name="b54"/>
      <w:r>
        <w:t>Abschnitt 4b Verfahren bei Zustellungen</w:t>
      </w:r>
      <w:bookmarkEnd w:id="55"/>
    </w:p>
    <w:p>
      <w:pPr>
        <w:pStyle w:val="Heading4"/>
      </w:pPr>
      <w:bookmarkStart w:id="56" w:name="b55"/>
      <w:r>
        <w:t>§ 36 Zustellung und Vollstreckung</w:t>
      </w:r>
      <w:r>
        <w:t xml:space="preserve"> </w:t>
      </w:r>
      <w:r>
        <w:rPr>
          <w:rStyle w:val="Suchmarke"/>
        </w:rPr>
        <w:t>#36#</w:t>
      </w:r>
      <w:bookmarkEnd w:id="56"/>
    </w:p>
    <w:p>
      <w:r>
        <w:t xml:space="preserve">(1) </w:t>
      </w:r>
      <w:r>
        <w:rPr>
          <w:rStyle w:val="Satznummer"/>
        </w:rPr>
        <w:t>1</w:t>
      </w:r>
      <w:r>
        <w:t xml:space="preserve">Die Zustellung von Entscheidungen ordnet der Vorsitzende an. </w:t>
      </w:r>
      <w:r>
        <w:rPr>
          <w:rStyle w:val="Satznummer"/>
        </w:rPr>
        <w:t>2</w:t>
      </w:r>
      <w:r>
        <w:t>Die Geschäftsstelle sorgt dafür, daß die Zustellung bewirkt wird.</w:t>
      </w:r>
    </w:p>
    <w:p>
      <w:r>
        <w:t xml:space="preserve">(2) </w:t>
      </w:r>
      <w:r>
        <w:rPr>
          <w:rStyle w:val="Satznummer"/>
        </w:rPr>
        <w:t>1</w:t>
      </w:r>
      <w:r>
        <w:t xml:space="preserve">Entscheidungen, die der Vollstreckung bedürfen, sind der Staatsanwaltschaft zu übergeben, die das Erforderliche veranlaßt. </w:t>
      </w:r>
      <w:r>
        <w:rPr>
          <w:rStyle w:val="Satznummer"/>
        </w:rPr>
        <w:t>2</w:t>
      </w:r>
      <w:r>
        <w:t>Dies gilt nicht für Entscheidungen, welche die Ordnung in den Sitzungen betreffen.</w:t>
      </w:r>
    </w:p>
    <w:p>
      <w:pPr>
        <w:pStyle w:val="Heading4"/>
      </w:pPr>
      <w:bookmarkStart w:id="57" w:name="b56"/>
      <w:r>
        <w:t>§ 37 Zustellungsverfahren</w:t>
      </w:r>
      <w:r>
        <w:t xml:space="preserve"> </w:t>
      </w:r>
      <w:r>
        <w:rPr>
          <w:rStyle w:val="Suchmarke"/>
        </w:rPr>
        <w:t>#37#</w:t>
      </w:r>
      <w:bookmarkEnd w:id="57"/>
    </w:p>
    <w:p>
      <w:r>
        <w:t>(1) Für das Verfahren bei Zustellungen gelten die Vorschriften der Zivilprozeßordnung entsprechend.</w:t>
      </w:r>
    </w:p>
    <w:p>
      <w:r>
        <w:t>(2) Wird die für einen Beteiligten bestimmte Zustellung an mehrere Empfangsberechtigte bewirkt, so richtet sich die Berechnung einer Frist nach der zuletzt bewirkten Zustellung.</w:t>
      </w:r>
    </w:p>
    <w:p>
      <w:r>
        <w:t xml:space="preserve">(3) </w:t>
      </w:r>
      <w:r>
        <w:rPr>
          <w:rStyle w:val="Satznummer"/>
        </w:rPr>
        <w:t>1</w:t>
      </w:r>
      <w:r>
        <w:t xml:space="preserve">Ist einem Prozessbeteiligten gemäß § 187 Absatz 1 und 2 des Gerichtsverfassungsgesetzes eine Übersetzung des Urteils zur Verfügung zu stellen, so ist das Urteil zusammen mit der Übersetzung zuzustellen. </w:t>
      </w:r>
      <w:r>
        <w:rPr>
          <w:rStyle w:val="Satznummer"/>
        </w:rPr>
        <w:t>2</w:t>
      </w:r>
      <w:r>
        <w:t>Die Zustellung an die übrigen Prozessbeteiligten erfolgt in diesen Fällen gleichzeitig mit der Zustellung nach Satz 1.</w:t>
      </w:r>
    </w:p>
    <w:p>
      <w:pPr>
        <w:pStyle w:val="Heading4"/>
      </w:pPr>
      <w:bookmarkStart w:id="58" w:name="b57"/>
      <w:r>
        <w:t>§ 38 Unmittelbare Ladung</w:t>
      </w:r>
      <w:r>
        <w:t xml:space="preserve"> </w:t>
      </w:r>
      <w:r>
        <w:rPr>
          <w:rStyle w:val="Suchmarke"/>
        </w:rPr>
        <w:t>#38#</w:t>
      </w:r>
      <w:bookmarkEnd w:id="58"/>
    </w:p>
    <w:p>
      <w:r>
        <w:t>Die bei dem Strafverfahren beteiligten Personen, denen die Befugnis beigelegt ist, Zeugen und Sachverständige unmittelbar zu laden, haben mit der Zustellung der Ladung den Gerichtsvollzieher zu beauftragen.</w:t>
      </w:r>
    </w:p>
    <w:p>
      <w:pPr>
        <w:pStyle w:val="Heading4"/>
      </w:pPr>
      <w:bookmarkStart w:id="59" w:name="b58"/>
      <w:r>
        <w:t>§ 39 (weggefallen)</w:t>
      </w:r>
      <w:r>
        <w:t xml:space="preserve"> </w:t>
      </w:r>
      <w:r>
        <w:rPr>
          <w:rStyle w:val="Suchmarke"/>
        </w:rPr>
        <w:t>#39#</w:t>
      </w:r>
      <w:bookmarkEnd w:id="59"/>
    </w:p>
    <w:p>
      <w:pPr>
        <w:pStyle w:val="Heading4"/>
      </w:pPr>
      <w:bookmarkStart w:id="60" w:name="b59"/>
      <w:r>
        <w:t>§ 40 Öffentliche Zustellung</w:t>
      </w:r>
      <w:r>
        <w:t xml:space="preserve"> </w:t>
      </w:r>
      <w:r>
        <w:rPr>
          <w:rStyle w:val="Suchmarke"/>
        </w:rPr>
        <w:t>#40#</w:t>
      </w:r>
      <w:bookmarkEnd w:id="60"/>
    </w:p>
    <w:p>
      <w:r>
        <w:t xml:space="preserve">(1) </w:t>
      </w:r>
      <w:r>
        <w:rPr>
          <w:rStyle w:val="Satznummer"/>
        </w:rPr>
        <w:t>1</w:t>
      </w:r>
      <w:r>
        <w:t xml:space="preserve">Kann eine Zustellung an einen Beschuldigten, dem eine Ladung zur Hauptverhandlung noch nicht zugestellt war, nicht in der vorgeschriebenen Weise im Inland bewirkt werden und erscheint die Befolgung der für Zustellungen im Ausland bestehenden Vorschriften unausführbar oder voraussichtlich erfolglos, so ist die öffentliche Zustellung zulässig. </w:t>
      </w:r>
      <w:r>
        <w:rPr>
          <w:rStyle w:val="Satznummer"/>
        </w:rPr>
        <w:t>2</w:t>
      </w:r>
      <w:r>
        <w:t>Die Zustellung gilt als erfolgt, wenn seit dem Aushang der Benachrichtigung zwei Wochen vergangen sind.</w:t>
      </w:r>
    </w:p>
    <w:p>
      <w:r>
        <w:t>(2) War die Ladung zur Hauptverhandlung dem Angeklagten schon vorher zugestellt, dann ist die öffentliche Zustellung an ihn zulässig, wenn sie nicht in der vorgeschriebenen Weise im Inland bewirkt werden kann.</w:t>
      </w:r>
    </w:p>
    <w:p>
      <w:r>
        <w:t>(3) Die öffentliche Zustellung ist im Verfahren über eine vom Angeklagten eingelegte Berufung oder Revision bereits zulässig, wenn eine Zustellung nicht unter einer Anschrift möglich ist, unter der letztmals zugestellt wurde oder die der Angeklagte zuletzt angegeben hat.</w:t>
      </w:r>
    </w:p>
    <w:p>
      <w:pPr>
        <w:pStyle w:val="Heading4"/>
      </w:pPr>
      <w:bookmarkStart w:id="61" w:name="b60"/>
      <w:r>
        <w:t>§ 41 Zustellungen an die Staatsanwaltschaft</w:t>
      </w:r>
      <w:r>
        <w:t xml:space="preserve"> </w:t>
      </w:r>
      <w:r>
        <w:rPr>
          <w:rStyle w:val="Suchmarke"/>
        </w:rPr>
        <w:t>#41#</w:t>
      </w:r>
      <w:bookmarkEnd w:id="61"/>
    </w:p>
    <w:p>
      <w:r>
        <w:rPr>
          <w:rStyle w:val="Satznummer"/>
        </w:rPr>
        <w:t>1</w:t>
      </w:r>
      <w:r>
        <w:t>Zustellungen an die Staatsanwaltschaft erfolgen durch elektronische Übermittlung (</w:t>
      </w:r>
      <w:hyperlink w:anchor="b42" w:history="1">
        <w:r>
          <w:rPr>
            <w:color w:val="0A3A8C"/>
            <w:u w:val="single"/>
          </w:rPr>
          <w:t xml:space="preserve">§ 32b</w:t>
        </w:r>
      </w:hyperlink>
      <w:r>
        <w:t xml:space="preserve"> Absatz 3) oder durch Vorlegung der Urschrift des zuzustellenden Schriftstücks. </w:t>
      </w:r>
      <w:r>
        <w:rPr>
          <w:rStyle w:val="Satznummer"/>
        </w:rPr>
        <w:t>2</w:t>
      </w:r>
      <w:r>
        <w:t xml:space="preserve">Wenn mit der Zustellung der Lauf einer Frist beginnt und die Zustellung durch Vorlegung der Urschrift erfolgt, so ist der Tag der Vorlegung von der Staatsanwaltschaft auf der Urschrift zu vermerken. </w:t>
      </w:r>
      <w:r>
        <w:rPr>
          <w:rStyle w:val="Satznummer"/>
        </w:rPr>
        <w:t>3</w:t>
      </w:r>
      <w:r>
        <w:t>Bei elektronischer Übermittlung muss der Zeitpunkt des Eingangs (</w:t>
      </w:r>
      <w:hyperlink w:anchor="b41" w:history="1">
        <w:r>
          <w:rPr>
            <w:color w:val="0A3A8C"/>
            <w:u w:val="single"/>
          </w:rPr>
          <w:t xml:space="preserve">§ 32a</w:t>
        </w:r>
      </w:hyperlink>
      <w:r>
        <w:t xml:space="preserve"> Absatz 5 Satz 1) aktenkundig sein.</w:t>
      </w:r>
    </w:p>
    <w:p>
      <w:pPr>
        <w:pStyle w:val="Heading2"/>
      </w:pPr>
      <w:bookmarkStart w:id="62" w:name="b61"/>
      <w:r>
        <w:t>Fünfter Abschnitt Fristen und Wiedereinsetzung in den vorigen Stand</w:t>
      </w:r>
      <w:bookmarkEnd w:id="62"/>
    </w:p>
    <w:p>
      <w:pPr>
        <w:pStyle w:val="Heading3"/>
      </w:pPr>
      <w:bookmarkStart w:id="63" w:name="b62"/>
      <w:r>
        <w:t>§ 42 Berechnung von Tagesfristen</w:t>
      </w:r>
      <w:r>
        <w:t xml:space="preserve"> </w:t>
      </w:r>
      <w:r>
        <w:rPr>
          <w:rStyle w:val="Suchmarke"/>
        </w:rPr>
        <w:t>#42#</w:t>
      </w:r>
      <w:bookmarkEnd w:id="63"/>
    </w:p>
    <w:p>
      <w:r>
        <w:t>Bei der Berechnung einer Frist, die nach Tagen bestimmt ist, wird der Tag nicht mitgerechnet, auf den der Zeitpunkt oder das Ereignis fällt, nach dem der Anfang der Frist sich richten soll.</w:t>
      </w:r>
    </w:p>
    <w:p>
      <w:pPr>
        <w:pStyle w:val="Heading3"/>
      </w:pPr>
      <w:bookmarkStart w:id="64" w:name="b63"/>
      <w:r>
        <w:t>§ 43 Berechnung von Wochen- und Monatsfristen</w:t>
      </w:r>
      <w:r>
        <w:t xml:space="preserve"> </w:t>
      </w:r>
      <w:r>
        <w:rPr>
          <w:rStyle w:val="Suchmarke"/>
        </w:rPr>
        <w:t>#43#</w:t>
      </w:r>
      <w:bookmarkEnd w:id="64"/>
    </w:p>
    <w:p>
      <w:r>
        <w:t>(1) Eine Frist, die nach Wochen oder Monaten bestimmt ist, endet mit Ablauf des Tages der letzten Woche oder des letzten Monats, der durch seine Benennung oder Zahl dem Tag entspricht, an dem die Frist begonnen hat; fehlt dieser Tag in dem letzten Monat, so endet die Frist mit dem Ablauf des letzten Tages dieses Monats.</w:t>
      </w:r>
    </w:p>
    <w:p>
      <w:r>
        <w:t>(2) Fällt das Ende einer Frist auf einen Sonntag, einen allgemeinen Feiertag oder einen Sonnabend, so endet die Frist mit Ablauf des nächsten Werktages.</w:t>
      </w:r>
    </w:p>
    <w:p>
      <w:pPr>
        <w:pStyle w:val="Heading3"/>
      </w:pPr>
      <w:bookmarkStart w:id="65" w:name="b64"/>
      <w:r>
        <w:t>§ 44 Wiedereinsetzung in den vorigen Stand bei Fristversäumung</w:t>
      </w:r>
      <w:r>
        <w:t xml:space="preserve"> </w:t>
      </w:r>
      <w:r>
        <w:rPr>
          <w:rStyle w:val="Suchmarke"/>
        </w:rPr>
        <w:t>#44#</w:t>
      </w:r>
      <w:bookmarkEnd w:id="65"/>
    </w:p>
    <w:p>
      <w:r>
        <w:rPr>
          <w:rStyle w:val="Satznummer"/>
        </w:rPr>
        <w:t>1</w:t>
      </w:r>
      <w:r>
        <w:t xml:space="preserve">War jemand ohne Verschulden verhindert, eine Frist einzuhalten, so ist ihm auf Antrag Wiedereinsetzung in den vorigen Stand zu gewähren. </w:t>
      </w:r>
      <w:r>
        <w:rPr>
          <w:rStyle w:val="Satznummer"/>
        </w:rPr>
        <w:t>2</w:t>
      </w:r>
      <w:r>
        <w:t xml:space="preserve">Die Versäumung einer Rechtsmittelfrist ist als unverschuldet anzusehen, wenn die Belehrung nach den </w:t>
      </w:r>
      <w:hyperlink w:anchor="b53" w:history="1">
        <w:r>
          <w:rPr>
            <w:color w:val="0A3A8C"/>
            <w:u w:val="single"/>
          </w:rPr>
          <w:t xml:space="preserve">§ 35a</w:t>
        </w:r>
      </w:hyperlink>
      <w:r>
        <w:t xml:space="preserve"> Satz 1 und 2, </w:t>
      </w:r>
      <w:hyperlink w:anchor="b473" w:history="1">
        <w:r>
          <w:rPr>
            <w:color w:val="0A3A8C"/>
            <w:u w:val="single"/>
          </w:rPr>
          <w:t xml:space="preserve">§ 319</w:t>
        </w:r>
      </w:hyperlink>
      <w:r>
        <w:t xml:space="preserve"> Abs. 2 Satz 3 oder nach </w:t>
      </w:r>
      <w:hyperlink w:anchor="b502" w:history="1">
        <w:r>
          <w:rPr>
            <w:color w:val="0A3A8C"/>
            <w:u w:val="single"/>
          </w:rPr>
          <w:t xml:space="preserve">§ 346</w:t>
        </w:r>
      </w:hyperlink>
      <w:r>
        <w:t xml:space="preserve"> Abs. 2 Satz 3 unterblieben ist.</w:t>
      </w:r>
    </w:p>
    <w:p>
      <w:pPr>
        <w:pStyle w:val="Heading3"/>
      </w:pPr>
      <w:bookmarkStart w:id="66" w:name="b65"/>
      <w:r>
        <w:t>§ 45 Anforderungen an einen Wiedereinsetzungsantrag</w:t>
      </w:r>
      <w:r>
        <w:t xml:space="preserve"> </w:t>
      </w:r>
      <w:r>
        <w:rPr>
          <w:rStyle w:val="Suchmarke"/>
        </w:rPr>
        <w:t>#45#</w:t>
      </w:r>
      <w:bookmarkEnd w:id="66"/>
    </w:p>
    <w:p>
      <w:r>
        <w:t xml:space="preserve">(1) </w:t>
      </w:r>
      <w:r>
        <w:rPr>
          <w:rStyle w:val="Satznummer"/>
        </w:rPr>
        <w:t>1</w:t>
      </w:r>
      <w:r>
        <w:t xml:space="preserve">Der Antrag auf Wiedereinsetzung in den vorigen Stand ist binnen einer Woche nach Wegfall des Hindernisses bei dem Gericht zu stellen, bei dem die Frist wahrzunehmen gewesen wäre. </w:t>
      </w:r>
      <w:r>
        <w:rPr>
          <w:rStyle w:val="Satznummer"/>
        </w:rPr>
        <w:t>2</w:t>
      </w:r>
      <w:r>
        <w:t>Zur Wahrung der Frist genügt es, wenn der Antrag rechtzeitig bei dem Gericht gestellt wird, das über den Antrag entscheidet.</w:t>
      </w:r>
    </w:p>
    <w:p>
      <w:r>
        <w:t xml:space="preserve">(2) </w:t>
      </w:r>
      <w:r>
        <w:rPr>
          <w:rStyle w:val="Satznummer"/>
        </w:rPr>
        <w:t>1</w:t>
      </w:r>
      <w:r>
        <w:t xml:space="preserve">Die Tatsachen zur Begründung des Antrags sind bei der Antragstellung oder im Verfahren über den Antrag glaubhaft zu machen. </w:t>
      </w:r>
      <w:r>
        <w:rPr>
          <w:rStyle w:val="Satznummer"/>
        </w:rPr>
        <w:t>2</w:t>
      </w:r>
      <w:r>
        <w:t xml:space="preserve">Innerhalb der Antragsfrist ist die versäumte Handlung nachzuholen. </w:t>
      </w:r>
      <w:r>
        <w:rPr>
          <w:rStyle w:val="Satznummer"/>
        </w:rPr>
        <w:t>3</w:t>
      </w:r>
      <w:r>
        <w:t>Ist dies geschehen, so kann Wiedereinsetzung auch ohne Antrag gewährt werden.</w:t>
      </w:r>
    </w:p>
    <w:p>
      <w:pPr>
        <w:pStyle w:val="Heading3"/>
      </w:pPr>
      <w:bookmarkStart w:id="67" w:name="b66"/>
      <w:r>
        <w:t>§ 46 Zuständigkeit; Rechtsmittel</w:t>
      </w:r>
      <w:r>
        <w:t xml:space="preserve"> </w:t>
      </w:r>
      <w:r>
        <w:rPr>
          <w:rStyle w:val="Suchmarke"/>
        </w:rPr>
        <w:t>#46#</w:t>
      </w:r>
      <w:bookmarkEnd w:id="67"/>
    </w:p>
    <w:p>
      <w:r>
        <w:t>(1) Über den Antrag entscheidet das Gericht, das bei rechtzeitiger Handlung zur Entscheidung in der Sache selbst berufen gewesen wäre.</w:t>
      </w:r>
    </w:p>
    <w:p>
      <w:r>
        <w:t>(2) Die dem Antrag stattgebende Entscheidung unterliegt keiner Anfechtung.</w:t>
      </w:r>
    </w:p>
    <w:p>
      <w:r>
        <w:t>(3) Gegen die den Antrag verwerfende Entscheidung ist sofortige Beschwerde zulässig.</w:t>
      </w:r>
    </w:p>
    <w:p>
      <w:pPr>
        <w:pStyle w:val="Heading3"/>
      </w:pPr>
      <w:bookmarkStart w:id="68" w:name="b67"/>
      <w:r>
        <w:t>§ 47 Keine Vollstreckungshemmung</w:t>
      </w:r>
      <w:r>
        <w:t xml:space="preserve"> </w:t>
      </w:r>
      <w:r>
        <w:rPr>
          <w:rStyle w:val="Suchmarke"/>
        </w:rPr>
        <w:t>#47#</w:t>
      </w:r>
      <w:bookmarkEnd w:id="68"/>
    </w:p>
    <w:p>
      <w:r>
        <w:t>(1) Durch den Antrag auf Wiedereinsetzung in den vorigen Stand wird die Vollstreckung einer gerichtlichen Entscheidung nicht gehemmt.</w:t>
      </w:r>
    </w:p>
    <w:p>
      <w:r>
        <w:t>(2) Das Gericht kann jedoch einen Aufschub der Vollstreckung anordnen.</w:t>
      </w:r>
    </w:p>
    <w:p>
      <w:r>
        <w:t xml:space="preserve">(3) </w:t>
      </w:r>
      <w:r>
        <w:rPr>
          <w:rStyle w:val="Satznummer"/>
        </w:rPr>
        <w:t>1</w:t>
      </w:r>
      <w:r>
        <w:t xml:space="preserve">Durchbricht die Wiedereinsetzung die Rechtskraft einer gerichtlichen Entscheidung, werden Haft- und Unterbringungsbefehle sowie sonstige Anordnungen, die zum Zeitpunkt des Eintritts der Rechtskraft bestanden haben, wieder wirksam. </w:t>
      </w:r>
      <w:r>
        <w:rPr>
          <w:rStyle w:val="Satznummer"/>
        </w:rPr>
        <w:t>2</w:t>
      </w:r>
      <w:r>
        <w:t xml:space="preserve">Bei einem Haft- oder Unterbringungsbefehl ordnet das die Wiedereinsetzung gewährende Gericht dessen Aufhebung an, wenn sich ohne weiteres ergibt, dass dessen Voraussetzungen nicht mehr vorliegen. </w:t>
      </w:r>
      <w:r>
        <w:rPr>
          <w:rStyle w:val="Satznummer"/>
        </w:rPr>
        <w:t>3</w:t>
      </w:r>
      <w:r>
        <w:t xml:space="preserve">Anderenfalls hat das nach </w:t>
      </w:r>
      <w:hyperlink w:anchor="b216" w:history="1">
        <w:r>
          <w:rPr>
            <w:color w:val="0A3A8C"/>
            <w:u w:val="single"/>
          </w:rPr>
          <w:t xml:space="preserve">§ 126</w:t>
        </w:r>
      </w:hyperlink>
      <w:r>
        <w:t xml:space="preserve"> Abs. 2 zuständige Gericht unverzüglich eine Haftprüfung durchzuführen.</w:t>
      </w:r>
    </w:p>
    <w:p>
      <w:pPr>
        <w:pStyle w:val="Heading2"/>
      </w:pPr>
      <w:bookmarkStart w:id="69" w:name="b68"/>
      <w:r>
        <w:t>Sechster Abschnitt Zeugen</w:t>
      </w:r>
      <w:bookmarkEnd w:id="69"/>
    </w:p>
    <w:p>
      <w:pPr>
        <w:pStyle w:val="Heading3"/>
      </w:pPr>
      <w:bookmarkStart w:id="70" w:name="b69"/>
      <w:r>
        <w:t>§ 48 Zeugenpflichten; Ladung</w:t>
      </w:r>
      <w:r>
        <w:t xml:space="preserve"> </w:t>
      </w:r>
      <w:r>
        <w:rPr>
          <w:rStyle w:val="Suchmarke"/>
        </w:rPr>
        <w:t>#48#</w:t>
      </w:r>
      <w:bookmarkEnd w:id="70"/>
    </w:p>
    <w:p>
      <w:r>
        <w:t xml:space="preserve">(1) </w:t>
      </w:r>
      <w:r>
        <w:rPr>
          <w:rStyle w:val="Satznummer"/>
        </w:rPr>
        <w:t>1</w:t>
      </w:r>
      <w:r>
        <w:t xml:space="preserve">Zeugen sind verpflichtet, zu dem zu ihrer Vernehmung bestimmten Termin vor dem Richter zu erscheinen. </w:t>
      </w:r>
      <w:r>
        <w:rPr>
          <w:rStyle w:val="Satznummer"/>
        </w:rPr>
        <w:t>2</w:t>
      </w:r>
      <w:r>
        <w:t>Sie haben die Pflicht auszusagen, wenn keine im Gesetz zugelassene Ausnahme vorliegt.</w:t>
      </w:r>
    </w:p>
    <w:p>
      <w:r>
        <w:t>(2) Die Ladung der Zeugen geschieht unter Hinweis auf verfahrensrechtliche Bestimmungen, die dem Interesse des Zeugen dienen, auf vorhandene Möglichkeiten der Zeugenbetreuung und auf die gesetzlichen Folgen des Ausbleibens.</w:t>
      </w:r>
    </w:p>
    <w:p>
      <w:r>
        <w:t>(3) (weggefallen)</w:t>
      </w:r>
    </w:p>
    <w:p>
      <w:pPr>
        <w:pStyle w:val="Heading3"/>
      </w:pPr>
      <w:bookmarkStart w:id="71" w:name="b70"/>
      <w:r>
        <w:t>§ 48a Besonders schutzbedürftige Zeugen; Beschleunigungsgebot</w:t>
      </w:r>
      <w:r>
        <w:t xml:space="preserve"> </w:t>
      </w:r>
      <w:r>
        <w:rPr>
          <w:rStyle w:val="Suchmarke"/>
        </w:rPr>
        <w:t>#48a#</w:t>
      </w:r>
      <w:bookmarkEnd w:id="71"/>
    </w:p>
    <w:p>
      <w:r>
        <w:t xml:space="preserve">(1) </w:t>
      </w:r>
      <w:r>
        <w:rPr>
          <w:rStyle w:val="Satznummer"/>
        </w:rPr>
        <w:t>1</w:t>
      </w:r>
      <w:r>
        <w:t xml:space="preserve">Ist der Zeuge zugleich der Verletzte, so sind die ihn betreffenden Verhandlungen, Vernehmungen und sonstigen Untersuchungshandlungen stets unter Berücksichtigung seiner besonderen Schutzbedürftigkeit durchzuführen. </w:t>
      </w:r>
      <w:r>
        <w:rPr>
          <w:rStyle w:val="Satznummer"/>
        </w:rPr>
        <w:t>2</w:t>
      </w:r>
      <w:r>
        <w:t>Insbesondere ist zu prüfen,</w:t>
      </w:r>
    </w:p>
    <w:p>
      <w:pPr>
        <w:tabs>
          <w:tab w:pos="567" w:val="left"/>
        </w:tabs>
        <w:ind w:left="567" w:hanging="567"/>
      </w:pPr>
      <w:r>
        <w:t>1.</w:t>
      </w:r>
      <w:r>
        <w:tab/>
      </w:r>
      <w:r>
        <w:t xml:space="preserve">ob die dringende Gefahr eines schwerwiegenden Nachteils für das Wohl des Zeugen Maßnahmen nach den </w:t>
      </w:r>
      <w:hyperlink w:anchor="b312" w:history="1">
        <w:r>
          <w:rPr>
            <w:color w:val="0A3A8C"/>
            <w:u w:val="single"/>
          </w:rPr>
          <w:t xml:space="preserve">§§ 168e</w:t>
        </w:r>
      </w:hyperlink>
      <w:r>
        <w:t xml:space="preserve"> oder </w:t>
      </w:r>
      <w:hyperlink w:anchor="b390" w:history="1">
        <w:r>
          <w:rPr>
            <w:color w:val="0A3A8C"/>
            <w:u w:val="single"/>
          </w:rPr>
          <w:t xml:space="preserve">247a</w:t>
        </w:r>
      </w:hyperlink>
      <w:r>
        <w:t xml:space="preserve"> erfordert,</w:t>
      </w:r>
    </w:p>
    <w:p>
      <w:pPr>
        <w:tabs>
          <w:tab w:pos="567" w:val="left"/>
        </w:tabs>
        <w:ind w:left="567" w:hanging="567"/>
      </w:pPr>
      <w:r>
        <w:t>2.</w:t>
      </w:r>
      <w:r>
        <w:tab/>
      </w:r>
      <w:r>
        <w:t>ob überwiegende schutzwürdige Interessen des Zeugen den Ausschluss der Öffentlichkeit nach § 171b Absatz 1 des Gerichtsverfassungsgesetzes erfordern und</w:t>
      </w:r>
    </w:p>
    <w:p>
      <w:pPr>
        <w:tabs>
          <w:tab w:pos="567" w:val="left"/>
        </w:tabs>
        <w:ind w:left="567" w:hanging="567"/>
      </w:pPr>
      <w:r>
        <w:t>3.</w:t>
      </w:r>
      <w:r>
        <w:tab/>
      </w:r>
      <w:r>
        <w:t xml:space="preserve">inwieweit auf nicht unerlässliche Fragen zum persönlichen Lebensbereich des Zeugen nach </w:t>
      </w:r>
      <w:hyperlink w:anchor="b94" w:history="1">
        <w:r>
          <w:rPr>
            <w:color w:val="0A3A8C"/>
            <w:u w:val="single"/>
          </w:rPr>
          <w:t xml:space="preserve">§ 68a</w:t>
        </w:r>
      </w:hyperlink>
      <w:r>
        <w:t xml:space="preserve"> Absatz 1 verzichtet werden kann.</w:t>
      </w:r>
    </w:p>
    <w:p>
      <w:r>
        <w:rPr>
          <w:rStyle w:val="Satznummer"/>
        </w:rPr>
        <w:t>3</w:t>
      </w:r>
      <w:r>
        <w:t>Dabei sind die persönlichen Verhältnisse des Zeugen sowie Art und Umstände der Straftat zu berücksichtigen.</w:t>
      </w:r>
    </w:p>
    <w:p>
      <w:r>
        <w:t>(2) Bei Taten zum Nachteil eines minderjährigen Verletzten müssen die ihn betreffenden Verhandlungen, Vernehmungen und sonstigen Untersuchungshandlungen besonders beschleunigt durchgeführt werden, soweit dies unter Berücksichtigung der persönlichen Verhältnisse des Zeugen sowie der Art und Umstände der Straftat zu seinem Schutz oder zur Vermeidung von Beweisverlusten geboten ist.</w:t>
      </w:r>
    </w:p>
    <w:p>
      <w:pPr>
        <w:pStyle w:val="Heading3"/>
      </w:pPr>
      <w:bookmarkStart w:id="72" w:name="b71"/>
      <w:r>
        <w:t>§ 49 Vernehmung des Bundespräsidenten</w:t>
      </w:r>
      <w:r>
        <w:t xml:space="preserve"> </w:t>
      </w:r>
      <w:r>
        <w:rPr>
          <w:rStyle w:val="Suchmarke"/>
        </w:rPr>
        <w:t>#49#</w:t>
      </w:r>
      <w:bookmarkEnd w:id="72"/>
    </w:p>
    <w:p>
      <w:r>
        <w:rPr>
          <w:rStyle w:val="Satznummer"/>
        </w:rPr>
        <w:t>1</w:t>
      </w:r>
      <w:r>
        <w:t xml:space="preserve">Der Bundespräsident ist in seiner Wohnung zu vernehmen. </w:t>
      </w:r>
      <w:r>
        <w:rPr>
          <w:rStyle w:val="Satznummer"/>
        </w:rPr>
        <w:t>2</w:t>
      </w:r>
      <w:r>
        <w:t xml:space="preserve">Zur Hauptverhandlung wird er nicht geladen. </w:t>
      </w:r>
      <w:r>
        <w:rPr>
          <w:rStyle w:val="Satznummer"/>
        </w:rPr>
        <w:t>3</w:t>
      </w:r>
      <w:r>
        <w:t>Das Protokoll über seine gerichtliche Vernehmung ist in der Hauptverhandlung zu verlesen.</w:t>
      </w:r>
    </w:p>
    <w:p>
      <w:pPr>
        <w:pStyle w:val="Heading3"/>
      </w:pPr>
      <w:bookmarkStart w:id="73" w:name="b72"/>
      <w:r>
        <w:t>§ 50 Vernehmung von Abgeordneten und Mitgliedern einer Regierung</w:t>
      </w:r>
      <w:r>
        <w:t xml:space="preserve"> </w:t>
      </w:r>
      <w:r>
        <w:rPr>
          <w:rStyle w:val="Suchmarke"/>
        </w:rPr>
        <w:t>#50#</w:t>
      </w:r>
      <w:bookmarkEnd w:id="73"/>
    </w:p>
    <w:p>
      <w:r>
        <w:t>(1) Die Mitglieder des Bundestages, des Bundesrates, eines Landtages oder einer zweiten Kammer sind während ihres Aufenthaltes am Sitz der Versammlung dort zu vernehmen.</w:t>
      </w:r>
    </w:p>
    <w:p>
      <w:r>
        <w:t>(2) Die Mitglieder der Bundesregierung oder einer Landesregierung sind an ihrem Amtssitz oder, wenn sie sich außerhalb ihres Amtssitzes aufhalten, an ihrem Aufenthaltsort zu vernehmen.</w:t>
      </w:r>
    </w:p>
    <w:p>
      <w:r>
        <w:t>(3) Zu einer Abweichung von den vorstehenden Vorschriften bedarf es</w:t>
      </w:r>
      <w:r>
        <w:br/>
      </w:r>
      <w:r>
        <w:t>für die Mitglieder eines in Absatz 1 genannten Organs der Genehmigung dieses Organs,</w:t>
      </w:r>
      <w:r>
        <w:br/>
      </w:r>
      <w:r>
        <w:t>für die Mitglieder der Bundesregierung der Genehmigung der Bundesregierung,</w:t>
      </w:r>
      <w:r>
        <w:br/>
      </w:r>
      <w:r>
        <w:t>für die Mitglieder einer Landesregierung der Genehmigung der Landesregierung.</w:t>
      </w:r>
    </w:p>
    <w:p>
      <w:r>
        <w:t xml:space="preserve">(4) </w:t>
      </w:r>
      <w:r>
        <w:rPr>
          <w:rStyle w:val="Satznummer"/>
        </w:rPr>
        <w:t>1</w:t>
      </w:r>
      <w:r>
        <w:t xml:space="preserve">Die Mitglieder der in Absatz 1 genannten Organe der Gesetzgebung und die Mitglieder der Bundesregierung oder einer Landesregierung werden, wenn sie außerhalb der Hauptverhandlung vernommen worden sind, zu dieser nicht geladen. </w:t>
      </w:r>
      <w:r>
        <w:rPr>
          <w:rStyle w:val="Satznummer"/>
        </w:rPr>
        <w:t>2</w:t>
      </w:r>
      <w:r>
        <w:t>Das Protokoll über ihre richterliche Vernehmung ist in der Hauptverhandlung zu verlesen.</w:t>
      </w:r>
    </w:p>
    <w:p>
      <w:pPr>
        <w:pStyle w:val="Heading3"/>
      </w:pPr>
      <w:bookmarkStart w:id="74" w:name="b73"/>
      <w:r>
        <w:t>§ 51 Folgen des Ausbleibens eines Zeugen</w:t>
      </w:r>
      <w:r>
        <w:t xml:space="preserve"> </w:t>
      </w:r>
      <w:r>
        <w:rPr>
          <w:rStyle w:val="Suchmarke"/>
        </w:rPr>
        <w:t>#51#</w:t>
      </w:r>
      <w:bookmarkEnd w:id="74"/>
    </w:p>
    <w:p>
      <w:r>
        <w:t xml:space="preserve">(1) </w:t>
      </w:r>
      <w:r>
        <w:rPr>
          <w:rStyle w:val="Satznummer"/>
        </w:rPr>
        <w:t>1</w:t>
      </w:r>
      <w:r>
        <w:t xml:space="preserve">Einem ordnungsgemäß geladenen Zeugen, der nicht erscheint, werden die durch das Ausbleiben verursachten Kosten auferlegt. </w:t>
      </w:r>
      <w:r>
        <w:rPr>
          <w:rStyle w:val="Satznummer"/>
        </w:rPr>
        <w:t>2</w:t>
      </w:r>
      <w:r>
        <w:t xml:space="preserve">Zugleich wird gegen ihn ein Ordnungsgeld und für den Fall, daß dieses nicht beigetrieben werden kann, Ordnungshaft festgesetzt. </w:t>
      </w:r>
      <w:r>
        <w:rPr>
          <w:rStyle w:val="Satznummer"/>
        </w:rPr>
        <w:t>3</w:t>
      </w:r>
      <w:r>
        <w:t xml:space="preserve">Auch ist die zwangsweise Vorführung des Zeugen zulässig; </w:t>
      </w:r>
      <w:hyperlink w:anchor="b235" w:history="1">
        <w:r>
          <w:rPr>
            <w:color w:val="0A3A8C"/>
            <w:u w:val="single"/>
          </w:rPr>
          <w:t xml:space="preserve">§ 135</w:t>
        </w:r>
      </w:hyperlink>
      <w:r>
        <w:t xml:space="preserve"> gilt entsprechend. </w:t>
      </w:r>
      <w:r>
        <w:rPr>
          <w:rStyle w:val="Satznummer"/>
        </w:rPr>
        <w:t>4</w:t>
      </w:r>
      <w:r>
        <w:t>Im Falle wiederholten Ausbleibens kann das Ordnungsmittel noch einmal festgesetzt werden.</w:t>
      </w:r>
    </w:p>
    <w:p>
      <w:r>
        <w:t xml:space="preserve">(2) </w:t>
      </w:r>
      <w:r>
        <w:rPr>
          <w:rStyle w:val="Satznummer"/>
        </w:rPr>
        <w:t>1</w:t>
      </w:r>
      <w:r>
        <w:t xml:space="preserve">Die Auferlegung der Kosten und die Festsetzung eines Ordnungsmittels unterbleiben, wenn das Ausbleiben des Zeugen rechtzeitig genügend entschuldigt wird. </w:t>
      </w:r>
      <w:r>
        <w:rPr>
          <w:rStyle w:val="Satznummer"/>
        </w:rPr>
        <w:t>2</w:t>
      </w:r>
      <w:r>
        <w:t xml:space="preserve">Erfolgt die Entschuldigung nach Satz 1 nicht rechtzeitig, so unterbleibt die Auferlegung der Kosten und die Festsetzung eines Ordnungsmittels nur dann, wenn glaubhaft gemacht wird, daß den Zeugen an der Verspätung der Entschuldigung kein Verschulden trifft. </w:t>
      </w:r>
      <w:r>
        <w:rPr>
          <w:rStyle w:val="Satznummer"/>
        </w:rPr>
        <w:t>3</w:t>
      </w:r>
      <w:r>
        <w:t>Wird der Zeuge nachträglich genügend entschuldigt, so werden die getroffenen Anordnungen unter den Voraussetzungen des Satzes 2 aufgehoben.</w:t>
      </w:r>
    </w:p>
    <w:p>
      <w:r>
        <w:t>(3) Die Befugnis zu diesen Maßregeln steht auch dem Richter im Vorverfahren sowie dem beauftragten und ersuchten Richter zu.</w:t>
      </w:r>
    </w:p>
    <w:p>
      <w:pPr>
        <w:pStyle w:val="Heading3"/>
      </w:pPr>
      <w:bookmarkStart w:id="75" w:name="b74"/>
      <w:r>
        <w:t>§ 52 Zeugnisverweigerungsrecht der Angehörigen des Beschuldigten</w:t>
      </w:r>
      <w:r>
        <w:t xml:space="preserve"> </w:t>
      </w:r>
      <w:r>
        <w:rPr>
          <w:rStyle w:val="Suchmarke"/>
        </w:rPr>
        <w:t>#52#</w:t>
      </w:r>
      <w:bookmarkEnd w:id="75"/>
    </w:p>
    <w:p>
      <w:r>
        <w:t>(1) Zur Verweigerung des Zeugnisses sind berechtigt</w:t>
      </w:r>
    </w:p>
    <w:p>
      <w:pPr>
        <w:tabs>
          <w:tab w:pos="567" w:val="left"/>
        </w:tabs>
        <w:ind w:left="567" w:hanging="567"/>
      </w:pPr>
      <w:r>
        <w:t>1.</w:t>
      </w:r>
      <w:r>
        <w:tab/>
      </w:r>
      <w:r>
        <w:t>der Verlobte des Beschuldigten;</w:t>
      </w:r>
    </w:p>
    <w:p>
      <w:pPr>
        <w:tabs>
          <w:tab w:pos="567" w:val="left"/>
        </w:tabs>
        <w:ind w:left="567" w:hanging="567"/>
      </w:pPr>
      <w:r>
        <w:t>2.</w:t>
      </w:r>
      <w:r>
        <w:tab/>
      </w:r>
      <w:r>
        <w:t>der Ehegatte des Beschuldigten, auch wenn die Ehe nicht mehr besteht;</w:t>
      </w:r>
    </w:p>
    <w:p>
      <w:pPr>
        <w:tabs>
          <w:tab w:pos="567" w:val="left"/>
        </w:tabs>
        <w:ind w:left="567" w:hanging="567"/>
      </w:pPr>
      <w:r>
        <w:t>2a.</w:t>
      </w:r>
      <w:r>
        <w:tab/>
      </w:r>
      <w:r>
        <w:t>der Lebenspartner des Beschuldigten, auch wenn die Lebenspartnerschaft nicht mehr besteht;</w:t>
      </w:r>
    </w:p>
    <w:p>
      <w:pPr>
        <w:tabs>
          <w:tab w:pos="567" w:val="left"/>
        </w:tabs>
        <w:ind w:left="567" w:hanging="567"/>
      </w:pPr>
      <w:r>
        <w:t>3.</w:t>
      </w:r>
      <w:r>
        <w:tab/>
      </w:r>
      <w:r>
        <w:t>wer mit dem Beschuldigten in gerader Linie verwandt oder verschwägert, in der Seitenlinie bis zum dritten Grad verwandt oder bis zum zweiten Grad verschwägert ist oder war.</w:t>
      </w:r>
    </w:p>
    <w:p>
      <w:r>
        <w:t xml:space="preserve">(2) </w:t>
      </w:r>
      <w:r>
        <w:rPr>
          <w:rStyle w:val="Satznummer"/>
        </w:rPr>
        <w:t>1</w:t>
      </w:r>
      <w:r>
        <w:t xml:space="preserve">Haben Minderjährige wegen mangelnder Verstandesreife oder haben Minderjährige oder Betreute wegen einer psychischen Krankheit oder einer geistigen oder seelischen Behinderung von der Bedeutung des Zeugnisverweigerungsrechts keine genügende Vorstellung, so dürfen sie nur vernommen werden, wenn sie zur Aussage bereit sind und auch ihr gesetzlicher Vertreter der Vernehmung zustimmt. </w:t>
      </w:r>
      <w:r>
        <w:rPr>
          <w:rStyle w:val="Satznummer"/>
        </w:rPr>
        <w:t>2</w:t>
      </w:r>
      <w:r>
        <w:t>Ist der gesetzliche Vertreter selbst Beschuldigter, so kann er über die Ausübung des Zeugnisverweigerungsrechts nicht entscheiden; das gleiche gilt für den nicht beschuldigten Elternteil, wenn die gesetzliche Vertretung beiden Eltern zusteht.</w:t>
      </w:r>
    </w:p>
    <w:p>
      <w:r>
        <w:t xml:space="preserve">(3) </w:t>
      </w:r>
      <w:r>
        <w:rPr>
          <w:rStyle w:val="Satznummer"/>
        </w:rPr>
        <w:t>1</w:t>
      </w:r>
      <w:r>
        <w:t xml:space="preserve">Die zur Verweigerung des Zeugnisses berechtigten Personen, in den Fällen des Absatzes 2 auch deren zur Entscheidung über die Ausübung des Zeugnisverweigerungsrechts befugte Vertreter, sind vor jeder Vernehmung über ihr Recht zu belehren. </w:t>
      </w:r>
      <w:r>
        <w:rPr>
          <w:rStyle w:val="Satznummer"/>
        </w:rPr>
        <w:t>2</w:t>
      </w:r>
      <w:r>
        <w:t>Sie können den Verzicht auf dieses Recht auch während der Vernehmung widerrufen.</w:t>
      </w:r>
    </w:p>
    <w:p>
      <w:pPr>
        <w:pStyle w:val="Heading3"/>
      </w:pPr>
      <w:bookmarkStart w:id="76" w:name="b75"/>
      <w:r>
        <w:t>§ 53 Zeugnisverweigerungsrecht der Berufsgeheimnisträger</w:t>
      </w:r>
      <w:r>
        <w:t xml:space="preserve"> </w:t>
      </w:r>
      <w:r>
        <w:rPr>
          <w:rStyle w:val="Suchmarke"/>
        </w:rPr>
        <w:t>#53#</w:t>
      </w:r>
      <w:bookmarkEnd w:id="76"/>
    </w:p>
    <w:p>
      <w:r>
        <w:t xml:space="preserve">(1) </w:t>
      </w:r>
      <w:r>
        <w:rPr>
          <w:rStyle w:val="Satznummer"/>
        </w:rPr>
        <w:t>1</w:t>
      </w:r>
      <w:r>
        <w:t>Zur Verweigerung des Zeugnisses sind ferner berechtigt</w:t>
      </w:r>
    </w:p>
    <w:p>
      <w:pPr>
        <w:tabs>
          <w:tab w:pos="567" w:val="left"/>
        </w:tabs>
        <w:ind w:left="567" w:hanging="567"/>
      </w:pPr>
      <w:r>
        <w:t>1.</w:t>
      </w:r>
      <w:r>
        <w:tab/>
      </w:r>
      <w:r>
        <w:t>Geistliche über das, was ihnen in ihrer Eigenschaft als Seelsorger anvertraut worden oder bekanntgeworden ist;</w:t>
      </w:r>
    </w:p>
    <w:p>
      <w:pPr>
        <w:tabs>
          <w:tab w:pos="567" w:val="left"/>
        </w:tabs>
        <w:ind w:left="567" w:hanging="567"/>
      </w:pPr>
      <w:r>
        <w:t>2.</w:t>
      </w:r>
      <w:r>
        <w:tab/>
      </w:r>
      <w:r>
        <w:t>Verteidiger des Beschuldigten über das, was ihnen in dieser Eigenschaft anvertraut worden oder bekanntgeworden ist;</w:t>
      </w:r>
    </w:p>
    <w:p>
      <w:pPr>
        <w:tabs>
          <w:tab w:pos="567" w:val="left"/>
        </w:tabs>
        <w:ind w:left="567" w:hanging="567"/>
      </w:pPr>
      <w:r>
        <w:t>3.</w:t>
      </w:r>
      <w:r>
        <w:tab/>
      </w:r>
      <w:r>
        <w:t xml:space="preserve">Rechtsanwälte und Kammerrechtsbeistände, Patentanwälte, Notare, Wirtschaftsprüfer, vereidigte Buchprüfer, Steuerberater und Steuerbevollmächtigte, Ärzte, Zahnärzte, Psychotherapeuten, Psychologische Psychotherapeuten, Kinder- und Jugendlichenpsychotherapeuten, Apotheker und Hebammen über das, was ihnen in dieser Eigenschaft anvertraut worden oder bekanntgeworden ist; für Syndikusrechtsanwälte (§ 46 Absatz 2 der Bundesrechtsanwaltsordnung) und Syndikuspatentanwälte (§ 41a Absatz 2 der Patentanwaltsordnung) gilt dies vorbehaltlich des </w:t>
      </w:r>
      <w:hyperlink w:anchor="b76" w:history="1">
        <w:r>
          <w:rPr>
            <w:color w:val="0A3A8C"/>
            <w:u w:val="single"/>
          </w:rPr>
          <w:t xml:space="preserve">§ 53a</w:t>
        </w:r>
      </w:hyperlink>
      <w:r>
        <w:t xml:space="preserve"> nicht hinsichtlich dessen, was ihnen in dieser Eigenschaft anvertraut worden oder bekanntgeworden ist;</w:t>
      </w:r>
    </w:p>
    <w:p>
      <w:pPr>
        <w:tabs>
          <w:tab w:pos="567" w:val="left"/>
        </w:tabs>
        <w:ind w:left="567" w:hanging="567"/>
      </w:pPr>
      <w:r>
        <w:t>3a.</w:t>
      </w:r>
      <w:r>
        <w:tab/>
      </w:r>
      <w:r>
        <w:t>Mitglieder oder Beauftragte einer anerkannten Beratungsstelle nach den §§ 3 und 8 Absatz 1 des Schwangerschaftskonfliktgesetzes über das, was ihnen in dieser Eigenschaft anvertraut worden oder bekanntgeworden ist;</w:t>
      </w:r>
    </w:p>
    <w:p>
      <w:pPr>
        <w:tabs>
          <w:tab w:pos="567" w:val="left"/>
        </w:tabs>
        <w:ind w:left="567" w:hanging="567"/>
      </w:pPr>
      <w:r>
        <w:t>3b.</w:t>
      </w:r>
      <w:r>
        <w:tab/>
      </w:r>
      <w:r>
        <w:t>Berater für Fragen der Betäubungsmittelabhängigkeit in einer Beratungsstelle, die eine Behörde oder eine Körperschaft, Anstalt oder Stiftung des öffentlichen Rechts anerkannt oder bei sich eingerichtet hat, über das, was ihnen in dieser Eigenschaft anvertraut worden oder bekanntgeworden ist;</w:t>
      </w:r>
    </w:p>
    <w:p>
      <w:pPr>
        <w:tabs>
          <w:tab w:pos="567" w:val="left"/>
        </w:tabs>
        <w:ind w:left="567" w:hanging="567"/>
      </w:pPr>
      <w:r>
        <w:t>4.</w:t>
      </w:r>
      <w:r>
        <w:tab/>
      </w:r>
      <w:r>
        <w:t>Mitglieder des Deutschen Bundestages, der Bundesversammlung, des Europäischen Parlaments aus der Bundesrepublik Deutschland oder eines Landtages über Personen, die ihnen in ihrer Eigenschaft als Mitglieder dieser Organe oder denen sie in dieser Eigenschaft Tatsachen anvertraut haben, sowie über diese Tatsachen selbst;</w:t>
      </w:r>
    </w:p>
    <w:p>
      <w:pPr>
        <w:tabs>
          <w:tab w:pos="567" w:val="left"/>
        </w:tabs>
        <w:ind w:left="567" w:hanging="567"/>
      </w:pPr>
      <w:r>
        <w:t>5.</w:t>
      </w:r>
      <w:r>
        <w:tab/>
      </w:r>
      <w:r>
        <w:t>Personen, die bei der Vorbereitung, Herstellung oder Verbreitung von Druckwerken, Rundfunksendungen, Filmberichten oder der Unterrichtung oder Meinungsbildung dienenden Informations- und Kommunikationsdiensten berufsmäßig mitwirken oder mitgewirkt haben.</w:t>
      </w:r>
    </w:p>
    <w:p>
      <w:r>
        <w:rPr>
          <w:rStyle w:val="Satznummer"/>
        </w:rPr>
        <w:t>2</w:t>
      </w:r>
      <w:r>
        <w:t xml:space="preserve">Die in Satz 1 Nr. 5 genannten Personen dürfen das Zeugnis verweigern über die Person des Verfassers oder Einsenders von Beiträgen und Unterlagen oder des sonstigen Informanten sowie über die ihnen im Hinblick auf ihre Tätigkeit gemachten Mitteilungen, über deren Inhalt sowie über den Inhalt selbst erarbeiteter Materialien und den Gegenstand berufsbezogener Wahrnehmungen. </w:t>
      </w:r>
      <w:r>
        <w:rPr>
          <w:rStyle w:val="Satznummer"/>
        </w:rPr>
        <w:t>3</w:t>
      </w:r>
      <w:r>
        <w:t>Dies gilt nur, soweit es sich um Beiträge, Unterlagen, Mitteilungen und Materialien für den redaktionellen Teil oder redaktionell aufbereitete Informations- und Kommunikationsdienste handelt.</w:t>
      </w:r>
    </w:p>
    <w:p>
      <w:r>
        <w:t xml:space="preserve">(2) </w:t>
      </w:r>
      <w:r>
        <w:rPr>
          <w:rStyle w:val="Satznummer"/>
        </w:rPr>
        <w:t>1</w:t>
      </w:r>
      <w:r>
        <w:t xml:space="preserve">Die in Absatz 1 Satz 1 Nr. 2 bis 3b Genannten dürfen das Zeugnis nicht verweigern, wenn sie von der Verpflichtung zur Verschwiegenheit entbunden sind. </w:t>
      </w:r>
      <w:r>
        <w:rPr>
          <w:rStyle w:val="Satznummer"/>
        </w:rPr>
        <w:t>2</w:t>
      </w:r>
      <w:r>
        <w:t>Die Berechtigung zur Zeugnisverweigerung der in Absatz 1 Satz 1 Nr. 5 Genannten über den Inhalt selbst erarbeiteter Materialien und den Gegenstand entsprechender Wahrnehmungen entfällt, wenn die Aussage zur Aufklärung eines Verbrechens beitragen soll oder wenn Gegenstand der Untersuchung</w:t>
      </w:r>
    </w:p>
    <w:p>
      <w:pPr>
        <w:tabs>
          <w:tab w:pos="567" w:val="left"/>
        </w:tabs>
        <w:ind w:left="567" w:hanging="567"/>
      </w:pPr>
      <w:r>
        <w:t>1.</w:t>
      </w:r>
      <w:r>
        <w:tab/>
      </w:r>
      <w:r>
        <w:t>eine Straftat des Friedensverrats und der Gefährdung des demokratischen Rechtsstaats oder des Landesverrats und der Gefährdung der äußeren Sicherheit (</w:t>
      </w:r>
      <w:hyperlink w:anchor="b109" w:history="1">
        <w:r>
          <w:rPr>
            <w:color w:val="0A3A8C"/>
            <w:u w:val="single"/>
          </w:rPr>
          <w:t xml:space="preserve">§§ 80a</w:t>
        </w:r>
      </w:hyperlink>
      <w:r>
        <w:t xml:space="preserve">, </w:t>
      </w:r>
      <w:hyperlink w:anchor="b122" w:history="1">
        <w:r>
          <w:rPr>
            <w:color w:val="0A3A8C"/>
            <w:u w:val="single"/>
          </w:rPr>
          <w:t xml:space="preserve">85</w:t>
        </w:r>
      </w:hyperlink>
      <w:r>
        <w:t xml:space="preserve">, </w:t>
      </w:r>
      <w:hyperlink w:anchor="b124" w:history="1">
        <w:r>
          <w:rPr>
            <w:color w:val="0A3A8C"/>
            <w:u w:val="single"/>
          </w:rPr>
          <w:t xml:space="preserve">87</w:t>
        </w:r>
      </w:hyperlink>
      <w:r>
        <w:t xml:space="preserve">, </w:t>
      </w:r>
      <w:hyperlink w:anchor="b125" w:history="1">
        <w:r>
          <w:rPr>
            <w:color w:val="0A3A8C"/>
            <w:u w:val="single"/>
          </w:rPr>
          <w:t xml:space="preserve">88</w:t>
        </w:r>
      </w:hyperlink>
      <w:r>
        <w:t xml:space="preserve">, </w:t>
      </w:r>
      <w:hyperlink w:anchor="b133" w:history="1">
        <w:r>
          <w:rPr>
            <w:color w:val="0A3A8C"/>
            <w:u w:val="single"/>
          </w:rPr>
          <w:t xml:space="preserve">95</w:t>
        </w:r>
      </w:hyperlink>
      <w:r>
        <w:t>, auch in Verbindung mit § 97b, §§ 97a, 98 bis 100a des Strafgesetzbuches),</w:t>
      </w:r>
    </w:p>
    <w:p>
      <w:pPr>
        <w:tabs>
          <w:tab w:pos="567" w:val="left"/>
        </w:tabs>
        <w:ind w:left="567" w:hanging="567"/>
      </w:pPr>
      <w:r>
        <w:t>2.</w:t>
      </w:r>
      <w:r>
        <w:tab/>
      </w:r>
      <w:r>
        <w:t>eine Straftat gegen die sexuelle Selbstbestimmung nach den §§ 174 bis 174c, 176a, 176b, 177 Absatz 2 Nummer 1 des Strafgesetzbuches oder</w:t>
      </w:r>
    </w:p>
    <w:p>
      <w:pPr>
        <w:tabs>
          <w:tab w:pos="567" w:val="left"/>
        </w:tabs>
        <w:ind w:left="567" w:hanging="567"/>
      </w:pPr>
      <w:r>
        <w:t>3.</w:t>
      </w:r>
      <w:r>
        <w:tab/>
      </w:r>
      <w:r>
        <w:t>eine Geldwäsche nach § 261 des Strafgesetzbuches, deren Vortat mit einer im Mindestmaß erhöhten Freiheitsstrafe bedroht ist,</w:t>
      </w:r>
    </w:p>
    <w:p>
      <w:r>
        <w:t xml:space="preserve">ist und die Erforschung des Sachverhalts oder die Ermittlung des Aufenthaltsortes des Beschuldigten auf andere Weise aussichtslos oder wesentlich erschwert wäre. </w:t>
      </w:r>
      <w:r>
        <w:rPr>
          <w:rStyle w:val="Satznummer"/>
        </w:rPr>
        <w:t>3</w:t>
      </w:r>
      <w:r>
        <w:t>Der Zeuge kann jedoch auch in diesen Fällen die Aussage verweigern, soweit sie zur Offenbarung der Person des Verfassers oder Einsenders von Beiträgen und Unterlagen oder des sonstigen Informanten oder der ihm im Hinblick auf seine Tätigkeit nach Absatz 1 Satz 1 Nr. 5 gemachten Mitteilungen oder deren Inhalts führen würde.</w:t>
      </w:r>
    </w:p>
    <w:p>
      <w:pPr>
        <w:pStyle w:val="Heading3"/>
      </w:pPr>
      <w:bookmarkStart w:id="77" w:name="b76"/>
      <w:r>
        <w:t>§ 53a Zeugnisverweigerungsrecht der mitwirkenden Personen</w:t>
      </w:r>
      <w:r>
        <w:t xml:space="preserve"> </w:t>
      </w:r>
      <w:r>
        <w:rPr>
          <w:rStyle w:val="Suchmarke"/>
        </w:rPr>
        <w:t>#53a#</w:t>
      </w:r>
      <w:bookmarkEnd w:id="77"/>
    </w:p>
    <w:p>
      <w:r>
        <w:t xml:space="preserve">(1) </w:t>
      </w:r>
      <w:r>
        <w:rPr>
          <w:rStyle w:val="Satznummer"/>
        </w:rPr>
        <w:t>1</w:t>
      </w:r>
      <w:r>
        <w:t xml:space="preserve">Den Berufsgeheimnisträgern nach </w:t>
      </w:r>
      <w:hyperlink w:anchor="b75" w:history="1">
        <w:r>
          <w:rPr>
            <w:color w:val="0A3A8C"/>
            <w:u w:val="single"/>
          </w:rPr>
          <w:t xml:space="preserve">§ 53</w:t>
        </w:r>
      </w:hyperlink>
      <w:r>
        <w:t xml:space="preserve"> Absatz 1 Satz 1 Nummer 1 bis 4 stehen die Personen gleich, die im Rahmen</w:t>
      </w:r>
    </w:p>
    <w:p>
      <w:pPr>
        <w:tabs>
          <w:tab w:pos="567" w:val="left"/>
        </w:tabs>
        <w:ind w:left="567" w:hanging="567"/>
      </w:pPr>
      <w:r>
        <w:t>1.</w:t>
      </w:r>
      <w:r>
        <w:tab/>
      </w:r>
      <w:r>
        <w:t>eines Vertragsverhältnisses einschließlich der gemeinschaftlichen Berufsausübung,</w:t>
      </w:r>
    </w:p>
    <w:p>
      <w:pPr>
        <w:tabs>
          <w:tab w:pos="567" w:val="left"/>
        </w:tabs>
        <w:ind w:left="567" w:hanging="567"/>
      </w:pPr>
      <w:r>
        <w:t>2.</w:t>
      </w:r>
      <w:r>
        <w:tab/>
      </w:r>
      <w:r>
        <w:t>einer berufsvorbereitenden Tätigkeit oder</w:t>
      </w:r>
    </w:p>
    <w:p>
      <w:pPr>
        <w:tabs>
          <w:tab w:pos="567" w:val="left"/>
        </w:tabs>
        <w:ind w:left="567" w:hanging="567"/>
      </w:pPr>
      <w:r>
        <w:t>3.</w:t>
      </w:r>
      <w:r>
        <w:tab/>
      </w:r>
      <w:r>
        <w:t>einer sonstigen Hilfstätigkeit</w:t>
      </w:r>
    </w:p>
    <w:p>
      <w:r>
        <w:t xml:space="preserve">an deren beruflicher Tätigkeit mitwirken. </w:t>
      </w:r>
      <w:r>
        <w:rPr>
          <w:rStyle w:val="Satznummer"/>
        </w:rPr>
        <w:t>2</w:t>
      </w:r>
      <w:r>
        <w:t>Über die Ausübung des Rechts dieser Personen, das Zeugnis zu verweigern, entscheiden die Berufsgeheimnisträger, es sei denn, dass diese Entscheidung in absehbarer Zeit nicht herbeigeführt werden kann.</w:t>
      </w:r>
    </w:p>
    <w:p>
      <w:r>
        <w:t>(2) Die Entbindung von der Verpflichtung zur Verschwiegenheit (</w:t>
      </w:r>
      <w:hyperlink w:anchor="b75" w:history="1">
        <w:r>
          <w:rPr>
            <w:color w:val="0A3A8C"/>
            <w:u w:val="single"/>
          </w:rPr>
          <w:t xml:space="preserve">§ 53</w:t>
        </w:r>
      </w:hyperlink>
      <w:r>
        <w:t xml:space="preserve"> Absatz 2 Satz 1) gilt auch für die nach Absatz 1 mitwirkenden Personen.</w:t>
      </w:r>
    </w:p>
    <w:p>
      <w:pPr>
        <w:pStyle w:val="Heading3"/>
      </w:pPr>
      <w:bookmarkStart w:id="78" w:name="b77"/>
      <w:r>
        <w:t>§ 54 Aussagegenehmigung für Angehörige des öffentlichen Dienstes</w:t>
      </w:r>
      <w:r>
        <w:t xml:space="preserve"> </w:t>
      </w:r>
      <w:r>
        <w:rPr>
          <w:rStyle w:val="Suchmarke"/>
        </w:rPr>
        <w:t>#54#</w:t>
      </w:r>
      <w:bookmarkEnd w:id="78"/>
    </w:p>
    <w:p>
      <w:r>
        <w:t>(1) Für die Vernehmung von Richtern, Beamten und anderen Personen des öffentlichen Dienstes als Zeugen über Umstände, auf die sich ihre Pflicht zur Amtsverschwiegenheit bezieht, und für die Genehmigung zur Aussage gelten die besonderen beamtenrechtlichen Vorschriften.</w:t>
      </w:r>
    </w:p>
    <w:p>
      <w:r>
        <w:t>(2) Für die Mitglieder des Bundestages, eines Landtages, der Bundes- oder einer Landesregierung sowie für die Angestellten einer Fraktion des Bundestages und eines Landtages gelten die für sie maßgebenden besonderen Vorschriften.</w:t>
      </w:r>
    </w:p>
    <w:p>
      <w:r>
        <w:t>(3) Der Bundespräsident kann das Zeugnis verweigern, wenn die Ablegung des Zeugnisses dem Wohl des Bundes oder eines deutschen Landes Nachteile bereiten würde.</w:t>
      </w:r>
    </w:p>
    <w:p>
      <w:r>
        <w:t>(4) Diese Vorschriften gelten auch, wenn die vorgenannten Personen nicht mehr im öffentlichen Dienst oder Angestellte einer Fraktion sind oder ihre Mandate beendet sind, soweit es sich um Tatsachen handelt, die sich während ihrer Dienst-, Beschäftigungs- oder Mandatszeit ereignet haben oder ihnen während ihrer Dienst-, Beschäftigungs- oder Mandatszeit zur Kenntnis gelangt sind.</w:t>
      </w:r>
    </w:p>
    <w:p>
      <w:pPr>
        <w:pStyle w:val="Heading3"/>
      </w:pPr>
      <w:bookmarkStart w:id="79" w:name="b78"/>
      <w:r>
        <w:t>§ 55 Auskunftsverweigerungsrecht</w:t>
      </w:r>
      <w:r>
        <w:t xml:space="preserve"> </w:t>
      </w:r>
      <w:r>
        <w:rPr>
          <w:rStyle w:val="Suchmarke"/>
        </w:rPr>
        <w:t>#55#</w:t>
      </w:r>
      <w:bookmarkEnd w:id="79"/>
    </w:p>
    <w:p>
      <w:r>
        <w:t xml:space="preserve">(1) Jeder Zeuge kann die Auskunft auf solche Fragen verweigern, deren Beantwortung ihm selbst oder einem der in </w:t>
      </w:r>
      <w:hyperlink w:anchor="b74" w:history="1">
        <w:r>
          <w:rPr>
            <w:color w:val="0A3A8C"/>
            <w:u w:val="single"/>
          </w:rPr>
          <w:t xml:space="preserve">§ 52</w:t>
        </w:r>
      </w:hyperlink>
      <w:r>
        <w:t xml:space="preserve"> Abs. 1 bezeichneten Angehörigen die Gefahr zuziehen würde, wegen einer Straftat oder einer Ordnungswidrigkeit verfolgt zu werden.</w:t>
      </w:r>
    </w:p>
    <w:p>
      <w:r>
        <w:t>(2) Der Zeuge ist über sein Recht zur Verweigerung der Auskunft zu belehren.</w:t>
      </w:r>
    </w:p>
    <w:p>
      <w:pPr>
        <w:pStyle w:val="Heading3"/>
      </w:pPr>
      <w:bookmarkStart w:id="80" w:name="b79"/>
      <w:r>
        <w:t>§ 56 Glaubhaftmachung des Verweigerungsgrundes</w:t>
      </w:r>
      <w:r>
        <w:t xml:space="preserve"> </w:t>
      </w:r>
      <w:r>
        <w:rPr>
          <w:rStyle w:val="Suchmarke"/>
        </w:rPr>
        <w:t>#56#</w:t>
      </w:r>
      <w:bookmarkEnd w:id="80"/>
    </w:p>
    <w:p>
      <w:r>
        <w:rPr>
          <w:rStyle w:val="Satznummer"/>
        </w:rPr>
        <w:t>1</w:t>
      </w:r>
      <w:r>
        <w:t xml:space="preserve">Die Tatsache, auf die der Zeuge die Verweigerung des Zeugnisses in den Fällen der </w:t>
      </w:r>
      <w:hyperlink w:anchor="b74" w:history="1">
        <w:r>
          <w:rPr>
            <w:color w:val="0A3A8C"/>
            <w:u w:val="single"/>
          </w:rPr>
          <w:t xml:space="preserve">§§ 52</w:t>
        </w:r>
      </w:hyperlink>
      <w:r>
        <w:t xml:space="preserve">, </w:t>
      </w:r>
      <w:hyperlink w:anchor="b75" w:history="1">
        <w:r>
          <w:rPr>
            <w:color w:val="0A3A8C"/>
            <w:u w:val="single"/>
          </w:rPr>
          <w:t xml:space="preserve">53</w:t>
        </w:r>
      </w:hyperlink>
      <w:r>
        <w:t xml:space="preserve"> und </w:t>
      </w:r>
      <w:hyperlink w:anchor="b78" w:history="1">
        <w:r>
          <w:rPr>
            <w:color w:val="0A3A8C"/>
            <w:u w:val="single"/>
          </w:rPr>
          <w:t xml:space="preserve">55</w:t>
        </w:r>
      </w:hyperlink>
      <w:r>
        <w:t xml:space="preserve"> stützt, ist auf Verlangen glaubhaft zu machen. </w:t>
      </w:r>
      <w:r>
        <w:rPr>
          <w:rStyle w:val="Satznummer"/>
        </w:rPr>
        <w:t>2</w:t>
      </w:r>
      <w:r>
        <w:t>Es genügt die eidliche Versicherung des Zeugen.</w:t>
      </w:r>
    </w:p>
    <w:p>
      <w:pPr>
        <w:pStyle w:val="Heading3"/>
      </w:pPr>
      <w:bookmarkStart w:id="81" w:name="b80"/>
      <w:r>
        <w:t>§ 57 Belehrung</w:t>
      </w:r>
      <w:r>
        <w:t xml:space="preserve"> </w:t>
      </w:r>
      <w:r>
        <w:rPr>
          <w:rStyle w:val="Suchmarke"/>
        </w:rPr>
        <w:t>#57#</w:t>
      </w:r>
      <w:bookmarkEnd w:id="81"/>
    </w:p>
    <w:p>
      <w:r>
        <w:rPr>
          <w:rStyle w:val="Satznummer"/>
        </w:rPr>
        <w:t>1</w:t>
      </w:r>
      <w:r>
        <w:t xml:space="preserve">Vor der Vernehmung werden die Zeugen zur Wahrheit ermahnt und über die strafrechtlichen Folgen einer unrichtigen oder unvollständigen Aussage belehrt. </w:t>
      </w:r>
      <w:r>
        <w:rPr>
          <w:rStyle w:val="Satznummer"/>
        </w:rPr>
        <w:t>2</w:t>
      </w:r>
      <w:r>
        <w:t xml:space="preserve">Auf die Möglichkeit der Vereidigung werden sie hingewiesen. </w:t>
      </w:r>
      <w:r>
        <w:rPr>
          <w:rStyle w:val="Satznummer"/>
        </w:rPr>
        <w:t>3</w:t>
      </w:r>
      <w:r>
        <w:t>Im Fall der Vereidigung sind sie über die Bedeutung des Eides und darüber zu belehren, dass der Eid mit oder ohne religiöse Beteuerung geleistet werden kann.</w:t>
      </w:r>
    </w:p>
    <w:p>
      <w:pPr>
        <w:pStyle w:val="Heading3"/>
      </w:pPr>
      <w:bookmarkStart w:id="82" w:name="b81"/>
      <w:r>
        <w:t>§ 58 Vernehmung; Gegenüberstellung</w:t>
      </w:r>
      <w:r>
        <w:t xml:space="preserve"> </w:t>
      </w:r>
      <w:r>
        <w:rPr>
          <w:rStyle w:val="Suchmarke"/>
        </w:rPr>
        <w:t>#58#</w:t>
      </w:r>
      <w:bookmarkEnd w:id="82"/>
    </w:p>
    <w:p>
      <w:r>
        <w:t>(1) Die Zeugen sind einzeln und in Abwesenheit der später zu hörenden Zeugen zu vernehmen.</w:t>
      </w:r>
    </w:p>
    <w:p>
      <w:r>
        <w:t xml:space="preserve">(2) </w:t>
      </w:r>
      <w:r>
        <w:rPr>
          <w:rStyle w:val="Satznummer"/>
        </w:rPr>
        <w:t>1</w:t>
      </w:r>
      <w:r>
        <w:t xml:space="preserve">Eine Gegenüberstellung mit anderen Zeugen oder mit dem Beschuldigten im Vorverfahren ist zulässig, wenn es für das weitere Verfahren geboten erscheint. </w:t>
      </w:r>
      <w:r>
        <w:rPr>
          <w:rStyle w:val="Satznummer"/>
        </w:rPr>
        <w:t>2</w:t>
      </w:r>
      <w:r>
        <w:t xml:space="preserve">Bei einer Gegenüberstellung mit dem Beschuldigten ist dem Verteidiger die Anwesenheit gestattet. </w:t>
      </w:r>
      <w:r>
        <w:rPr>
          <w:rStyle w:val="Satznummer"/>
        </w:rPr>
        <w:t>3</w:t>
      </w:r>
      <w:r>
        <w:t xml:space="preserve">Von dem Termin ist der Verteidiger vorher zu benachrichtigen. </w:t>
      </w:r>
      <w:r>
        <w:rPr>
          <w:rStyle w:val="Satznummer"/>
        </w:rPr>
        <w:t>4</w:t>
      </w:r>
      <w:r>
        <w:t xml:space="preserve">Auf die Verlegung eines Termins wegen Verhinderung hat er keinen Anspruch. </w:t>
      </w:r>
      <w:r>
        <w:rPr>
          <w:rStyle w:val="Satznummer"/>
        </w:rPr>
        <w:t>5</w:t>
      </w:r>
      <w:r>
        <w:t xml:space="preserve">Hat der Beschuldigte keinen Verteidiger, so ist er darauf hinzuweisen, dass er in den Fällen des </w:t>
      </w:r>
      <w:hyperlink w:anchor="b246" w:history="1">
        <w:r>
          <w:rPr>
            <w:color w:val="0A3A8C"/>
            <w:u w:val="single"/>
          </w:rPr>
          <w:t xml:space="preserve">§ 140</w:t>
        </w:r>
      </w:hyperlink>
      <w:r>
        <w:t xml:space="preserve"> die Bestellung eines Pflichtverteidigers nach Maßgabe des </w:t>
      </w:r>
      <w:hyperlink w:anchor="b247" w:history="1">
        <w:r>
          <w:rPr>
            <w:color w:val="0A3A8C"/>
            <w:u w:val="single"/>
          </w:rPr>
          <w:t xml:space="preserve">§ 141</w:t>
        </w:r>
      </w:hyperlink>
      <w:r>
        <w:t xml:space="preserve"> Absatz 1 und des </w:t>
      </w:r>
      <w:hyperlink w:anchor="b249" w:history="1">
        <w:r>
          <w:rPr>
            <w:color w:val="0A3A8C"/>
            <w:u w:val="single"/>
          </w:rPr>
          <w:t xml:space="preserve">§ 142</w:t>
        </w:r>
      </w:hyperlink>
      <w:r>
        <w:t xml:space="preserve"> Absatz 1 beantragen kann.</w:t>
      </w:r>
    </w:p>
    <w:p>
      <w:pPr>
        <w:pStyle w:val="Heading3"/>
      </w:pPr>
      <w:bookmarkStart w:id="83" w:name="b82"/>
      <w:r>
        <w:t>§ 58a Aufzeichnung der Vernehmung in Bild und Ton</w:t>
      </w:r>
      <w:r>
        <w:t xml:space="preserve"> </w:t>
      </w:r>
      <w:r>
        <w:rPr>
          <w:rStyle w:val="Suchmarke"/>
        </w:rPr>
        <w:t>#58a#</w:t>
      </w:r>
      <w:bookmarkEnd w:id="83"/>
    </w:p>
    <w:p>
      <w:r>
        <w:t xml:space="preserve">(1) </w:t>
      </w:r>
      <w:r>
        <w:rPr>
          <w:rStyle w:val="Satznummer"/>
        </w:rPr>
        <w:t>1</w:t>
      </w:r>
      <w:r>
        <w:t xml:space="preserve">Die Vernehmung eines Zeugen kann in Bild und Ton aufgezeichnet werden. </w:t>
      </w:r>
      <w:r>
        <w:rPr>
          <w:rStyle w:val="Satznummer"/>
        </w:rPr>
        <w:t>2</w:t>
      </w:r>
      <w:r>
        <w:t>Sie soll nach Würdigung der dafür jeweils maßgeblichen Umstände aufgezeichnet werden und als richterliche Vernehmung erfolgen, wenn</w:t>
      </w:r>
    </w:p>
    <w:p>
      <w:pPr>
        <w:tabs>
          <w:tab w:pos="567" w:val="left"/>
        </w:tabs>
        <w:ind w:left="567" w:hanging="567"/>
      </w:pPr>
      <w:r>
        <w:t>1.</w:t>
      </w:r>
      <w:r>
        <w:tab/>
      </w:r>
      <w:r>
        <w:t xml:space="preserve">damit die schutzwürdigen Interessen von Personen unter 18 Jahren sowie von Personen, die als Kinder oder Jugendliche durch eine der in </w:t>
      </w:r>
      <w:hyperlink w:anchor="b399" w:history="1">
        <w:r>
          <w:rPr>
            <w:color w:val="0A3A8C"/>
            <w:u w:val="single"/>
          </w:rPr>
          <w:t xml:space="preserve">§ 255a</w:t>
        </w:r>
      </w:hyperlink>
      <w:r>
        <w:t xml:space="preserve"> Absatz 2 genannten Straftaten verletzt worden sind, besser gewahrt werden können oder</w:t>
      </w:r>
    </w:p>
    <w:p>
      <w:pPr>
        <w:tabs>
          <w:tab w:pos="567" w:val="left"/>
        </w:tabs>
        <w:ind w:left="567" w:hanging="567"/>
      </w:pPr>
      <w:r>
        <w:t>2.</w:t>
      </w:r>
      <w:r>
        <w:tab/>
      </w:r>
      <w:r>
        <w:t>zu besorgen ist, dass der Zeuge in der Hauptverhandlung nicht vernommen werden kann und die Aufzeichnung zur Erforschung der Wahrheit erforderlich ist.</w:t>
      </w:r>
    </w:p>
    <w:p>
      <w:r>
        <w:rPr>
          <w:rStyle w:val="Satznummer"/>
        </w:rPr>
        <w:t>3</w:t>
      </w:r>
      <w:r>
        <w:t>Die Vernehmung muss nach Würdigung der dafür jeweils maßgeblichen Umstände aufgezeichnet werden und als richterliche Vernehmung erfolgen, wenn damit die schutzwürdigen Interessen von Personen, die durch Straftaten gegen die sexuelle Selbstbestimmung (§§ 174 bis 184j des Strafgesetzbuches) verletzt worden sind, besser gewahrt werden können und der Zeuge der Bild-Ton-Aufzeichnung vor der Vernehmung zugestimmt hat.</w:t>
      </w:r>
    </w:p>
    <w:p>
      <w:r>
        <w:t xml:space="preserve">(2) </w:t>
      </w:r>
      <w:r>
        <w:rPr>
          <w:rStyle w:val="Satznummer"/>
        </w:rPr>
        <w:t>1</w:t>
      </w:r>
      <w:r>
        <w:t xml:space="preserve">Die Verwendung der Bild-Ton-Aufzeichnung ist nur für Zwecke der Strafverfolgung und nur insoweit zulässig, als dies zur Erforschung der Wahrheit erforderlich ist. </w:t>
      </w:r>
      <w:r>
        <w:rPr>
          <w:rStyle w:val="Satznummer"/>
        </w:rPr>
        <w:t>2</w:t>
      </w:r>
      <w:hyperlink w:anchor="b154" w:history="1">
        <w:r>
          <w:rPr>
            <w:color w:val="0A3A8C"/>
            <w:u w:val="single"/>
          </w:rPr>
          <w:t xml:space="preserve">§ 101</w:t>
        </w:r>
      </w:hyperlink>
      <w:r>
        <w:t xml:space="preserve"> Abs. 8 gilt entsprechend. </w:t>
      </w:r>
      <w:r>
        <w:rPr>
          <w:rStyle w:val="Satznummer"/>
        </w:rPr>
        <w:t>3</w:t>
      </w:r>
      <w:r>
        <w:t xml:space="preserve">Die </w:t>
      </w:r>
      <w:hyperlink w:anchor="b257" w:history="1">
        <w:r>
          <w:rPr>
            <w:color w:val="0A3A8C"/>
            <w:u w:val="single"/>
          </w:rPr>
          <w:t xml:space="preserve">§§ 147</w:t>
        </w:r>
      </w:hyperlink>
      <w:r>
        <w:t xml:space="preserve">, </w:t>
      </w:r>
      <w:hyperlink w:anchor="b583" w:history="1">
        <w:r>
          <w:rPr>
            <w:color w:val="0A3A8C"/>
            <w:u w:val="single"/>
          </w:rPr>
          <w:t xml:space="preserve">406e</w:t>
        </w:r>
      </w:hyperlink>
      <w:r>
        <w:t xml:space="preserve"> sind entsprechend anzuwenden, mit der Maßgabe, dass den zur Akteneinsicht Berechtigten Kopien der Aufzeichnung überlassen werden können. </w:t>
      </w:r>
      <w:r>
        <w:rPr>
          <w:rStyle w:val="Satznummer"/>
        </w:rPr>
        <w:t>4</w:t>
      </w:r>
      <w:r>
        <w:t xml:space="preserve">Die Kopien dürfen weder vervielfältigt noch weitergegeben werden. </w:t>
      </w:r>
      <w:r>
        <w:rPr>
          <w:rStyle w:val="Satznummer"/>
        </w:rPr>
        <w:t>5</w:t>
      </w:r>
      <w:r>
        <w:t xml:space="preserve">Sie sind an die Staatsanwaltschaft herauszugeben, sobald kein berechtigtes Interesse an der weiteren Verwendung besteht. </w:t>
      </w:r>
      <w:r>
        <w:rPr>
          <w:rStyle w:val="Satznummer"/>
        </w:rPr>
        <w:t>6</w:t>
      </w:r>
      <w:r>
        <w:t>Die Überlassung der Aufzeichnung oder die Herausgabe von Kopien an andere als die vorbezeichneten Stellen bedarf der Einwilligung des Zeugen.</w:t>
      </w:r>
    </w:p>
    <w:p>
      <w:r>
        <w:t xml:space="preserve">(3) </w:t>
      </w:r>
      <w:r>
        <w:rPr>
          <w:rStyle w:val="Satznummer"/>
        </w:rPr>
        <w:t>1</w:t>
      </w:r>
      <w:r>
        <w:t xml:space="preserve">Widerspricht der Zeuge der Überlassung einer Kopie der Aufzeichnung seiner Vernehmung nach Absatz 2 Satz 3, so tritt an deren Stelle die Überlassung des Protokolls an die zur Akteneinsicht Berechtigten nach Maßgabe der </w:t>
      </w:r>
      <w:hyperlink w:anchor="b257" w:history="1">
        <w:r>
          <w:rPr>
            <w:color w:val="0A3A8C"/>
            <w:u w:val="single"/>
          </w:rPr>
          <w:t xml:space="preserve">§§ 147</w:t>
        </w:r>
      </w:hyperlink>
      <w:r>
        <w:t xml:space="preserve">, </w:t>
      </w:r>
      <w:hyperlink w:anchor="b583" w:history="1">
        <w:r>
          <w:rPr>
            <w:color w:val="0A3A8C"/>
            <w:u w:val="single"/>
          </w:rPr>
          <w:t xml:space="preserve">406e</w:t>
        </w:r>
      </w:hyperlink>
      <w:r>
        <w:t xml:space="preserve">. </w:t>
      </w:r>
      <w:r>
        <w:rPr>
          <w:rStyle w:val="Satznummer"/>
        </w:rPr>
        <w:t>2</w:t>
      </w:r>
      <w:r>
        <w:t xml:space="preserve">Das Recht zur Besichtigung der Aufzeichnung nach Maßgabe der </w:t>
      </w:r>
      <w:hyperlink w:anchor="b257" w:history="1">
        <w:r>
          <w:rPr>
            <w:color w:val="0A3A8C"/>
            <w:u w:val="single"/>
          </w:rPr>
          <w:t xml:space="preserve">§§ 147</w:t>
        </w:r>
      </w:hyperlink>
      <w:r>
        <w:t xml:space="preserve">, </w:t>
      </w:r>
      <w:hyperlink w:anchor="b583" w:history="1">
        <w:r>
          <w:rPr>
            <w:color w:val="0A3A8C"/>
            <w:u w:val="single"/>
          </w:rPr>
          <w:t xml:space="preserve">406e</w:t>
        </w:r>
      </w:hyperlink>
      <w:r>
        <w:t xml:space="preserve"> bleibt unberührt. </w:t>
      </w:r>
      <w:r>
        <w:rPr>
          <w:rStyle w:val="Satznummer"/>
        </w:rPr>
        <w:t>3</w:t>
      </w:r>
      <w:r>
        <w:t>Der Zeuge ist auf sein Widerspruchsrecht nach Satz 1 hinzuweisen.</w:t>
      </w:r>
    </w:p>
    <w:p>
      <w:pPr>
        <w:pStyle w:val="Heading3"/>
      </w:pPr>
      <w:bookmarkStart w:id="84" w:name="b83"/>
      <w:r>
        <w:t>§ 58b Vernehmung im Wege der Bild- und Tonübertragung</w:t>
      </w:r>
      <w:r>
        <w:t xml:space="preserve"> </w:t>
      </w:r>
      <w:r>
        <w:rPr>
          <w:rStyle w:val="Suchmarke"/>
        </w:rPr>
        <w:t>#58b#</w:t>
      </w:r>
      <w:bookmarkEnd w:id="84"/>
    </w:p>
    <w:p>
      <w:r>
        <w:t>Die Vernehmung eines Zeugen außerhalb der Hauptverhandlung kann in der Weise erfolgen, dass dieser sich an einem anderen Ort als die vernehmende Person aufhält und die Vernehmung zeitgleich in Bild und Ton an den Ort, an dem sich der Zeuge aufhält, und in das Vernehmungszimmer übertragen wird.</w:t>
      </w:r>
    </w:p>
    <w:p>
      <w:pPr>
        <w:pStyle w:val="Heading3"/>
      </w:pPr>
      <w:bookmarkStart w:id="85" w:name="b84"/>
      <w:r>
        <w:t>§ 59 Vereidigung</w:t>
      </w:r>
      <w:r>
        <w:t xml:space="preserve"> </w:t>
      </w:r>
      <w:r>
        <w:rPr>
          <w:rStyle w:val="Suchmarke"/>
        </w:rPr>
        <w:t>#59#</w:t>
      </w:r>
      <w:bookmarkEnd w:id="85"/>
    </w:p>
    <w:p>
      <w:r>
        <w:t xml:space="preserve">(1) </w:t>
      </w:r>
      <w:r>
        <w:rPr>
          <w:rStyle w:val="Satznummer"/>
        </w:rPr>
        <w:t>1</w:t>
      </w:r>
      <w:r>
        <w:t xml:space="preserve">Zeugen werden nur vereidigt, wenn es das Gericht wegen der ausschlaggebenden Bedeutung der Aussage oder zur Herbeiführung einer wahren Aussage nach seinem Ermessen für notwendig hält. </w:t>
      </w:r>
      <w:r>
        <w:rPr>
          <w:rStyle w:val="Satznummer"/>
        </w:rPr>
        <w:t>2</w:t>
      </w:r>
      <w:r>
        <w:t>Der Grund dafür, dass der Zeuge vereidigt wird, braucht im Protokoll nicht angegeben zu werden, es sei denn, der Zeuge wird außerhalb der Hauptverhandlung vernommen.</w:t>
      </w:r>
    </w:p>
    <w:p>
      <w:r>
        <w:t xml:space="preserve">(2) </w:t>
      </w:r>
      <w:r>
        <w:rPr>
          <w:rStyle w:val="Satznummer"/>
        </w:rPr>
        <w:t>1</w:t>
      </w:r>
      <w:r>
        <w:t xml:space="preserve">Die Vereidigung der Zeugen erfolgt einzeln und nach ihrer Vernehmung. </w:t>
      </w:r>
      <w:r>
        <w:rPr>
          <w:rStyle w:val="Satznummer"/>
        </w:rPr>
        <w:t>2</w:t>
      </w:r>
      <w:r>
        <w:t>Soweit nichts anderes bestimmt ist, findet sie in der Hauptverhandlung statt.</w:t>
      </w:r>
    </w:p>
    <w:p>
      <w:pPr>
        <w:pStyle w:val="Heading3"/>
      </w:pPr>
      <w:bookmarkStart w:id="86" w:name="b85"/>
      <w:r>
        <w:t>§ 60 Vereidigungsverbote</w:t>
      </w:r>
      <w:r>
        <w:t xml:space="preserve"> </w:t>
      </w:r>
      <w:r>
        <w:rPr>
          <w:rStyle w:val="Suchmarke"/>
        </w:rPr>
        <w:t>#60#</w:t>
      </w:r>
      <w:bookmarkEnd w:id="86"/>
    </w:p>
    <w:p>
      <w:r>
        <w:t>Von der Vereidigung ist abzusehen</w:t>
      </w:r>
    </w:p>
    <w:p>
      <w:pPr>
        <w:tabs>
          <w:tab w:pos="567" w:val="left"/>
        </w:tabs>
        <w:ind w:left="567" w:hanging="567"/>
      </w:pPr>
      <w:r>
        <w:t>1.</w:t>
      </w:r>
      <w:r>
        <w:tab/>
      </w:r>
      <w:r>
        <w:t>bei Personen, die zur Zeit der Vernehmung das 18. Lebensjahr noch nicht vollendet haben oder die wegen mangelnder Verstandesreife oder wegen einer psychischen Krankheit oder einer geistigen oder seelischen Behinderung vom Wesen und der Bedeutung des Eides keine genügende Vorstellung haben;</w:t>
      </w:r>
    </w:p>
    <w:p>
      <w:pPr>
        <w:tabs>
          <w:tab w:pos="567" w:val="left"/>
        </w:tabs>
        <w:ind w:left="567" w:hanging="567"/>
      </w:pPr>
      <w:r>
        <w:t>2.</w:t>
      </w:r>
      <w:r>
        <w:tab/>
      </w:r>
      <w:r>
        <w:t>bei Personen, die der Tat, welche den Gegenstand der Untersuchung bildet, oder der Beteiligung an ihr oder der Datenhehlerei, Begünstigung, Strafvereitelung oder Hehlerei verdächtig oder deswegen bereits verurteilt sind.</w:t>
      </w:r>
    </w:p>
    <w:p>
      <w:pPr>
        <w:pStyle w:val="Heading3"/>
      </w:pPr>
      <w:bookmarkStart w:id="87" w:name="b86"/>
      <w:r>
        <w:t>§ 61 Recht zur Eidesverweigerung</w:t>
      </w:r>
      <w:r>
        <w:t xml:space="preserve"> </w:t>
      </w:r>
      <w:r>
        <w:rPr>
          <w:rStyle w:val="Suchmarke"/>
        </w:rPr>
        <w:t>#61#</w:t>
      </w:r>
      <w:bookmarkEnd w:id="87"/>
    </w:p>
    <w:p>
      <w:r>
        <w:t xml:space="preserve">Die in </w:t>
      </w:r>
      <w:hyperlink w:anchor="b74" w:history="1">
        <w:r>
          <w:rPr>
            <w:color w:val="0A3A8C"/>
            <w:u w:val="single"/>
          </w:rPr>
          <w:t xml:space="preserve">§ 52</w:t>
        </w:r>
      </w:hyperlink>
      <w:r>
        <w:t xml:space="preserve"> Abs. 1 bezeichneten Angehörigen des Beschuldigten haben das Recht, die Beeidigung des Zeugnisses zu verweigern; darüber sind sie zu belehren.</w:t>
      </w:r>
    </w:p>
    <w:p>
      <w:pPr>
        <w:pStyle w:val="Heading3"/>
      </w:pPr>
      <w:bookmarkStart w:id="88" w:name="b87"/>
      <w:r>
        <w:t>§ 62 Vereidigung im vorbereitenden Verfahren</w:t>
      </w:r>
      <w:r>
        <w:t xml:space="preserve"> </w:t>
      </w:r>
      <w:r>
        <w:rPr>
          <w:rStyle w:val="Suchmarke"/>
        </w:rPr>
        <w:t>#62#</w:t>
      </w:r>
      <w:bookmarkEnd w:id="88"/>
    </w:p>
    <w:p>
      <w:r>
        <w:t>Im vorbereitenden Verfahren ist die Vereidigung zulässig, wenn</w:t>
      </w:r>
    </w:p>
    <w:p>
      <w:pPr>
        <w:tabs>
          <w:tab w:pos="567" w:val="left"/>
        </w:tabs>
        <w:ind w:left="567" w:hanging="567"/>
      </w:pPr>
      <w:r>
        <w:t>1.</w:t>
      </w:r>
      <w:r>
        <w:tab/>
      </w:r>
      <w:r>
        <w:t>Gefahr im Verzug ist oder</w:t>
      </w:r>
    </w:p>
    <w:p>
      <w:pPr>
        <w:tabs>
          <w:tab w:pos="567" w:val="left"/>
        </w:tabs>
        <w:ind w:left="567" w:hanging="567"/>
      </w:pPr>
      <w:r>
        <w:t>2.</w:t>
      </w:r>
      <w:r>
        <w:tab/>
      </w:r>
      <w:r>
        <w:t>der Zeuge voraussichtlich am Erscheinen in der Hauptverhandlung verhindert sein wird</w:t>
      </w:r>
    </w:p>
    <w:p>
      <w:r>
        <w:t xml:space="preserve">und die Voraussetzungen des </w:t>
      </w:r>
      <w:hyperlink w:anchor="b84" w:history="1">
        <w:r>
          <w:rPr>
            <w:color w:val="0A3A8C"/>
            <w:u w:val="single"/>
          </w:rPr>
          <w:t xml:space="preserve">§ 59</w:t>
        </w:r>
      </w:hyperlink>
      <w:r>
        <w:t xml:space="preserve"> Abs. 1 vorliegen.</w:t>
      </w:r>
    </w:p>
    <w:p>
      <w:pPr>
        <w:pStyle w:val="Heading3"/>
      </w:pPr>
      <w:bookmarkStart w:id="89" w:name="b88"/>
      <w:r>
        <w:t>§ 63 Vereidigung bei Vernehmung durch den beauftragten oder ersuchten Richter</w:t>
      </w:r>
      <w:r>
        <w:t xml:space="preserve"> </w:t>
      </w:r>
      <w:r>
        <w:rPr>
          <w:rStyle w:val="Suchmarke"/>
        </w:rPr>
        <w:t>#63#</w:t>
      </w:r>
      <w:bookmarkEnd w:id="89"/>
    </w:p>
    <w:p>
      <w:r>
        <w:t>Wird ein Zeuge durch einen beauftragten oder ersuchten Richter vernommen, muss die Vereidigung, soweit sie zulässig ist, erfolgen, wenn es in dem Auftrag oder in dem Ersuchen des Gerichts verlangt wird.</w:t>
      </w:r>
    </w:p>
    <w:p>
      <w:pPr>
        <w:pStyle w:val="Heading3"/>
      </w:pPr>
      <w:bookmarkStart w:id="90" w:name="b89"/>
      <w:r>
        <w:t>§ 64 Eidesformel</w:t>
      </w:r>
      <w:r>
        <w:t xml:space="preserve"> </w:t>
      </w:r>
      <w:r>
        <w:rPr>
          <w:rStyle w:val="Suchmarke"/>
        </w:rPr>
        <w:t>#64#</w:t>
      </w:r>
      <w:bookmarkEnd w:id="90"/>
    </w:p>
    <w:p>
      <w:r>
        <w:t>(1) Der Eid mit religiöser Beteuerung wird in der Weise geleistet, dass der Richter an den Zeugen die Worte richtet:</w:t>
      </w:r>
    </w:p>
    <w:p>
      <w:pPr>
        <w:ind w:left="567"/>
      </w:pPr>
      <w:r>
        <w:t>"Sie schwören bei Gott dem Allmächtigen und Allwissenden, dass Sie nach bestem Wissen die reine Wahrheit gesagt und nichts verschwiegen haben"</w:t>
      </w:r>
    </w:p>
    <w:p>
      <w:r>
        <w:t>und der Zeuge hierauf die Worte spricht:</w:t>
      </w:r>
    </w:p>
    <w:p>
      <w:pPr>
        <w:ind w:left="567"/>
      </w:pPr>
      <w:r>
        <w:t>"Ich schwöre es, so wahr mir Gott helfe".</w:t>
      </w:r>
    </w:p>
    <w:p>
      <w:r>
        <w:t>(2) Der Eid ohne religiöse Beteuerung wird in der Weise geleistet, dass der Richter an den Zeugen die Worte richtet:</w:t>
      </w:r>
    </w:p>
    <w:p>
      <w:pPr>
        <w:ind w:left="567"/>
      </w:pPr>
      <w:r>
        <w:t>"Sie schwören, dass Sie nach bestem Wissen die reine Wahrheit gesagt und nichts verschwiegen haben"</w:t>
      </w:r>
    </w:p>
    <w:p>
      <w:r>
        <w:t>und der Zeuge hierauf die Worte spricht:</w:t>
      </w:r>
    </w:p>
    <w:p>
      <w:pPr>
        <w:ind w:left="567"/>
      </w:pPr>
      <w:r>
        <w:t>"Ich schwöre es".</w:t>
      </w:r>
    </w:p>
    <w:p>
      <w:r>
        <w:t>(3) Gibt ein Zeuge an, dass er als Mitglied einer Religions- oder Bekenntnisgemeinschaft eine Beteuerungsformel dieser Gemeinschaft verwenden wolle, so kann er diese dem Eid anfügen.</w:t>
      </w:r>
    </w:p>
    <w:p>
      <w:r>
        <w:t>(4) Der Schwörende soll bei der Eidesleistung die rechte Hand erheben.</w:t>
      </w:r>
    </w:p>
    <w:p>
      <w:pPr>
        <w:pStyle w:val="Heading3"/>
      </w:pPr>
      <w:bookmarkStart w:id="91" w:name="b90"/>
      <w:r>
        <w:t>§ 65 Eidesgleiche Bekräftigung der Wahrheit von Aussagen</w:t>
      </w:r>
      <w:r>
        <w:t xml:space="preserve"> </w:t>
      </w:r>
      <w:r>
        <w:rPr>
          <w:rStyle w:val="Suchmarke"/>
        </w:rPr>
        <w:t>#65#</w:t>
      </w:r>
      <w:bookmarkEnd w:id="91"/>
    </w:p>
    <w:p>
      <w:r>
        <w:t xml:space="preserve">(1) </w:t>
      </w:r>
      <w:r>
        <w:rPr>
          <w:rStyle w:val="Satznummer"/>
        </w:rPr>
        <w:t>1</w:t>
      </w:r>
      <w:r>
        <w:t xml:space="preserve">Gibt ein Zeuge an, dass er aus Glaubens- oder Gewissensgründen keinen Eid leisten wolle, so hat er die Wahrheit der Aussage zu bekräftigen. </w:t>
      </w:r>
      <w:r>
        <w:rPr>
          <w:rStyle w:val="Satznummer"/>
        </w:rPr>
        <w:t>2</w:t>
      </w:r>
      <w:r>
        <w:t>Die Bekräftigung steht dem Eid gleich; hierauf ist der Zeuge hinzuweisen.</w:t>
      </w:r>
    </w:p>
    <w:p>
      <w:r>
        <w:t>(2) Die Wahrheit der Aussage wird in der Weise bekräftigt, dass der Richter an den Zeugen die Worte richtet:</w:t>
      </w:r>
    </w:p>
    <w:p>
      <w:pPr>
        <w:ind w:left="567"/>
      </w:pPr>
      <w:r>
        <w:t>"Sie bekräftigen im Bewusstsein Ihrer Verantwortung vor Gericht, dass Sie nach bestem Wissen die reine Wahrheit gesagt und nichts verschwiegen haben"</w:t>
      </w:r>
    </w:p>
    <w:p>
      <w:r>
        <w:t>und der Zeuge hierauf spricht:</w:t>
      </w:r>
    </w:p>
    <w:p>
      <w:pPr>
        <w:ind w:left="567"/>
      </w:pPr>
      <w:r>
        <w:t>"Ja".</w:t>
      </w:r>
    </w:p>
    <w:p>
      <w:r>
        <w:t xml:space="preserve">(3) </w:t>
      </w:r>
      <w:hyperlink w:anchor="b89" w:history="1">
        <w:r>
          <w:rPr>
            <w:color w:val="0A3A8C"/>
            <w:u w:val="single"/>
          </w:rPr>
          <w:t xml:space="preserve">§ 64</w:t>
        </w:r>
      </w:hyperlink>
      <w:r>
        <w:t xml:space="preserve"> Abs. 3 gilt entsprechend.</w:t>
      </w:r>
    </w:p>
    <w:p>
      <w:pPr>
        <w:pStyle w:val="Heading3"/>
      </w:pPr>
      <w:bookmarkStart w:id="92" w:name="b91"/>
      <w:r>
        <w:t>§ 66 Eidesleistung bei Hör- oder Sprachbehinderung</w:t>
      </w:r>
      <w:r>
        <w:t xml:space="preserve"> </w:t>
      </w:r>
      <w:r>
        <w:rPr>
          <w:rStyle w:val="Suchmarke"/>
        </w:rPr>
        <w:t>#66#</w:t>
      </w:r>
      <w:bookmarkEnd w:id="92"/>
    </w:p>
    <w:p>
      <w:r>
        <w:t xml:space="preserve">(1) </w:t>
      </w:r>
      <w:r>
        <w:rPr>
          <w:rStyle w:val="Satznummer"/>
        </w:rPr>
        <w:t>1</w:t>
      </w:r>
      <w:r>
        <w:t xml:space="preserve">Eine hör- oder sprachbehinderte Person leistet den Eid nach ihrer Wahl mittels Nachsprechens der Eidesformel, mittels Abschreibens und Unterschreibens der Eidesformel oder mit Hilfe einer die Verständigung ermöglichenden Person, die vom Gericht hinzuzuziehen ist. </w:t>
      </w:r>
      <w:r>
        <w:rPr>
          <w:rStyle w:val="Satznummer"/>
        </w:rPr>
        <w:t>2</w:t>
      </w:r>
      <w:r>
        <w:t xml:space="preserve">Das Gericht hat die geeigneten technischen Hilfsmittel bereitzustellen. </w:t>
      </w:r>
      <w:r>
        <w:rPr>
          <w:rStyle w:val="Satznummer"/>
        </w:rPr>
        <w:t>3</w:t>
      </w:r>
      <w:r>
        <w:t>Die hör- oder sprachbehinderte Person ist auf ihr Wahlrecht hinzuweisen.</w:t>
      </w:r>
    </w:p>
    <w:p>
      <w:r>
        <w:t>(2) Das Gericht kann eine schriftliche Eidesleistung verlangen oder die Hinzuziehung einer die Verständigung ermöglichenden Person anordnen, wenn die hör- oder sprachbehinderte Person von ihrem Wahlrecht nach Absatz 1 keinen Gebrauch gemacht hat oder eine Eidesleistung in der nach Absatz 1 gewählten Form nicht oder nur mit unverhältnismäßigem Aufwand möglich ist.</w:t>
      </w:r>
    </w:p>
    <w:p>
      <w:r>
        <w:t xml:space="preserve">(3) Die </w:t>
      </w:r>
      <w:hyperlink w:anchor="b89" w:history="1">
        <w:r>
          <w:rPr>
            <w:color w:val="0A3A8C"/>
            <w:u w:val="single"/>
          </w:rPr>
          <w:t xml:space="preserve">§§ 64</w:t>
        </w:r>
      </w:hyperlink>
      <w:r>
        <w:t xml:space="preserve"> und </w:t>
      </w:r>
      <w:hyperlink w:anchor="b90" w:history="1">
        <w:r>
          <w:rPr>
            <w:color w:val="0A3A8C"/>
            <w:u w:val="single"/>
          </w:rPr>
          <w:t xml:space="preserve">65</w:t>
        </w:r>
      </w:hyperlink>
      <w:r>
        <w:t xml:space="preserve"> gelten entsprechend.</w:t>
      </w:r>
    </w:p>
    <w:p>
      <w:pPr>
        <w:pStyle w:val="Heading3"/>
      </w:pPr>
      <w:bookmarkStart w:id="93" w:name="b92"/>
      <w:r>
        <w:t>§ 67 Berufung auf einen früheren Eid</w:t>
      </w:r>
      <w:r>
        <w:t xml:space="preserve"> </w:t>
      </w:r>
      <w:r>
        <w:rPr>
          <w:rStyle w:val="Suchmarke"/>
        </w:rPr>
        <w:t>#67#</w:t>
      </w:r>
      <w:bookmarkEnd w:id="93"/>
    </w:p>
    <w:p>
      <w:r>
        <w:t>Wird der Zeuge, nachdem er eidlich vernommen worden ist, in demselben Vorverfahren oder in demselben Hauptverfahren nochmals vernommen, so kann der Richter statt der nochmaligen Vereidigung den Zeugen die Richtigkeit seiner Aussage unter Berufung auf den früher geleisteten Eid versichern lassen.</w:t>
      </w:r>
    </w:p>
    <w:p>
      <w:pPr>
        <w:pStyle w:val="Heading3"/>
      </w:pPr>
      <w:bookmarkStart w:id="94" w:name="b93"/>
      <w:r>
        <w:t>§ 68 Vernehmung zur Person; Beschränkung von Angaben, Zeugenschutz</w:t>
      </w:r>
      <w:r>
        <w:t xml:space="preserve"> </w:t>
      </w:r>
      <w:r>
        <w:rPr>
          <w:rStyle w:val="Suchmarke"/>
        </w:rPr>
        <w:t>#68#</w:t>
      </w:r>
      <w:bookmarkEnd w:id="94"/>
    </w:p>
    <w:p>
      <w:r>
        <w:t xml:space="preserve">(1) </w:t>
      </w:r>
      <w:r>
        <w:rPr>
          <w:rStyle w:val="Satznummer"/>
        </w:rPr>
        <w:t>1</w:t>
      </w:r>
      <w:r>
        <w:t xml:space="preserve">Die Vernehmung beginnt damit, dass der Zeuge über Vornamen, Nachnamen, Geburtsnamen, Alter, Beruf und vollständige Anschrift befragt wird. </w:t>
      </w:r>
      <w:r>
        <w:rPr>
          <w:rStyle w:val="Satznummer"/>
        </w:rPr>
        <w:t>2</w:t>
      </w:r>
      <w:r>
        <w:t xml:space="preserve">In richterlichen Vernehmungen in Anwesenheit des Beschuldigten und in der Hauptverhandlung wird außer bei Zweifeln über die Identität des Zeugen nicht die vollständige Anschrift, sondern nur dessen Wohn- oder Aufenthaltsort abgefragt. </w:t>
      </w:r>
      <w:r>
        <w:rPr>
          <w:rStyle w:val="Satznummer"/>
        </w:rPr>
        <w:t>3</w:t>
      </w:r>
      <w:r>
        <w:t>Ein Zeuge, der Wahrnehmungen in amtlicher Eigenschaft gemacht hat, kann statt der vollständigen Anschrift den Dienstort angeben.</w:t>
      </w:r>
    </w:p>
    <w:p>
      <w:r>
        <w:t xml:space="preserve">(2) </w:t>
      </w:r>
      <w:r>
        <w:rPr>
          <w:rStyle w:val="Satznummer"/>
        </w:rPr>
        <w:t>1</w:t>
      </w:r>
      <w:r>
        <w:t xml:space="preserve">Einem Zeugen soll zudem gestattet werden, statt der vollständigen Anschrift seinen Geschäfts- oder Dienstort oder eine andere ladungsfähige Anschrift anzugeben, wenn ein begründeter Anlass zu der Besorgnis besteht, dass durch die Angabe der vollständigen Anschrift Rechtsgüter des Zeugen oder einer anderen Person gefährdet werden oder dass auf Zeugen oder eine andere Person in unlauterer Weise eingewirkt werden wird. </w:t>
      </w:r>
      <w:r>
        <w:rPr>
          <w:rStyle w:val="Satznummer"/>
        </w:rPr>
        <w:t>2</w:t>
      </w:r>
      <w:r>
        <w:t>In richterlichen Vernehmungen in Anwesenheit des Beschuldigten und in der Hauptverhandlung soll dem Zeugen gestattet werden, seinen Wohn- oder Aufenthaltsort nicht anzugeben, wenn die Voraussetzungen des Satzes 1 bei dessen Angabe vorliegen.</w:t>
      </w:r>
    </w:p>
    <w:p>
      <w:r>
        <w:t xml:space="preserve">(3) </w:t>
      </w:r>
      <w:r>
        <w:rPr>
          <w:rStyle w:val="Satznummer"/>
        </w:rPr>
        <w:t>1</w:t>
      </w:r>
      <w:r>
        <w:t xml:space="preserve">Besteht ein begründeter Anlass zu der Besorgnis, dass durch die Offenbarung der Identität oder des Wohn- oder Aufenthaltsortes des Zeugen Leben, Leib oder Freiheit des Zeugen oder einer anderen Person gefährdet wird, so kann ihm gestattet werden, Angaben zur Person nicht oder nur über eine frühere Identität zu machen. </w:t>
      </w:r>
      <w:r>
        <w:rPr>
          <w:rStyle w:val="Satznummer"/>
        </w:rPr>
        <w:t>2</w:t>
      </w:r>
      <w:r>
        <w:t xml:space="preserve">Er hat jedoch in der Hauptverhandlung auf Befragen anzugeben, in welcher Eigenschaft ihm die Tatsachen, die er bekundet, bekannt geworden sind. </w:t>
      </w:r>
      <w:r>
        <w:rPr>
          <w:rStyle w:val="Satznummer"/>
        </w:rPr>
        <w:t>3</w:t>
      </w:r>
      <w:r>
        <w:t>Ist dem Zeugen unter den Voraussetzungen des Satzes 1 gestattet worden, Angaben zur Person nicht oder nur über eine frühere Identität zu machen, darf er sein Gesicht entgegen § 176 Absatz 2 Satz 1 des Gerichtsverfassungsgesetzes ganz oder teilweise verhüllen.</w:t>
      </w:r>
    </w:p>
    <w:p>
      <w:r>
        <w:t xml:space="preserve">(4) </w:t>
      </w:r>
      <w:r>
        <w:rPr>
          <w:rStyle w:val="Satznummer"/>
        </w:rPr>
        <w:t>1</w:t>
      </w:r>
      <w:r>
        <w:t xml:space="preserve">Liegen Anhaltspunkte dafür vor, dass die Voraussetzungen der Absätze 2 oder 3 vorliegen, ist der Zeuge auf die dort vorgesehenen Befugnisse hinzuweisen. </w:t>
      </w:r>
      <w:r>
        <w:rPr>
          <w:rStyle w:val="Satznummer"/>
        </w:rPr>
        <w:t>2</w:t>
      </w:r>
      <w:r>
        <w:t xml:space="preserve">Im Fall des Absatzes 2 soll der Zeuge bei der Benennung einer ladungsfähigen Anschrift unterstützt werden. </w:t>
      </w:r>
      <w:r>
        <w:rPr>
          <w:rStyle w:val="Satznummer"/>
        </w:rPr>
        <w:t>3</w:t>
      </w:r>
      <w:r>
        <w:t xml:space="preserve">Die Unterlagen, die die Feststellung des Wohn- oder Aufenthaltsortes, der vollständigen Anschrift oder der Identität des Zeugen gewährleisten, werden bei der Staatsanwaltschaft verwahrt. </w:t>
      </w:r>
      <w:r>
        <w:rPr>
          <w:rStyle w:val="Satznummer"/>
        </w:rPr>
        <w:t>4</w:t>
      </w:r>
      <w:r>
        <w:t xml:space="preserve">Zu den Akten sind sie erst zu nehmen, wenn die Besorgnis der Gefährdung entfällt. </w:t>
      </w:r>
      <w:r>
        <w:rPr>
          <w:rStyle w:val="Satznummer"/>
        </w:rPr>
        <w:t>5</w:t>
      </w:r>
      <w:r>
        <w:t>Wurde dem Zeugen eine Beschränkung seiner Angaben nach Absatz 2 Satz 1 gestattet, veranlasst die Staatsanwaltschaft von Amts wegen bei der Meldebehörde eine Auskunftssperre nach § 51 Absatz 1 des Bundesmeldegesetzes, wenn der Zeuge zustimmt.</w:t>
      </w:r>
    </w:p>
    <w:p>
      <w:r>
        <w:t xml:space="preserve">(5) </w:t>
      </w:r>
      <w:r>
        <w:rPr>
          <w:rStyle w:val="Satznummer"/>
        </w:rPr>
        <w:t>1</w:t>
      </w:r>
      <w:r>
        <w:t xml:space="preserve">Die Absätze 2 bis 4 gelten auch nach Abschluss der Zeugenvernehmung. </w:t>
      </w:r>
      <w:r>
        <w:rPr>
          <w:rStyle w:val="Satznummer"/>
        </w:rPr>
        <w:t>2</w:t>
      </w:r>
      <w:r>
        <w:t>Soweit dem Zeugen gestattet wurde, Daten nicht anzugeben, ist bei Auskünften aus und Einsichtnahmen in Akten sicherzustellen, dass diese Daten anderen Personen nicht bekannt werden, es sei denn, dass eine Gefährdung im Sinne der Absätze 2 und 3 ausgeschlossen erscheint.</w:t>
      </w:r>
    </w:p>
    <w:p>
      <w:pPr>
        <w:pStyle w:val="Heading3"/>
      </w:pPr>
      <w:bookmarkStart w:id="95" w:name="b94"/>
      <w:r>
        <w:t>§ 68a Beschränkung des Fragerechts aus Gründen des Persönlichkeitsschutzes</w:t>
      </w:r>
      <w:r>
        <w:t xml:space="preserve"> </w:t>
      </w:r>
      <w:r>
        <w:rPr>
          <w:rStyle w:val="Suchmarke"/>
        </w:rPr>
        <w:t>#68a#</w:t>
      </w:r>
      <w:bookmarkEnd w:id="95"/>
    </w:p>
    <w:p>
      <w:r>
        <w:t xml:space="preserve">(1) Fragen nach Tatsachen, die dem Zeugen oder einer Person, die im Sinne des </w:t>
      </w:r>
      <w:hyperlink w:anchor="b74" w:history="1">
        <w:r>
          <w:rPr>
            <w:color w:val="0A3A8C"/>
            <w:u w:val="single"/>
          </w:rPr>
          <w:t xml:space="preserve">§ 52</w:t>
        </w:r>
      </w:hyperlink>
      <w:r>
        <w:t xml:space="preserve"> Abs. 1 sein Angehöriger ist, zur Unehre gereichen können oder deren persönlichen Lebensbereich betreffen, sollen nur gestellt werden, wenn es unerläßlich ist.</w:t>
      </w:r>
    </w:p>
    <w:p>
      <w:r>
        <w:t xml:space="preserve">(2) </w:t>
      </w:r>
      <w:r>
        <w:rPr>
          <w:rStyle w:val="Satznummer"/>
        </w:rPr>
        <w:t>1</w:t>
      </w:r>
      <w:r>
        <w:t xml:space="preserve">Fragen nach Umständen, die die Glaubwürdigkeit des Zeugen in der vorliegenden Sache betreffen, insbesondere nach seinen Beziehungen zu dem Beschuldigten oder der verletzten Person, sind zu stellen, soweit dies erforderlich ist. </w:t>
      </w:r>
      <w:r>
        <w:rPr>
          <w:rStyle w:val="Satznummer"/>
        </w:rPr>
        <w:t>2</w:t>
      </w:r>
      <w:r>
        <w:t xml:space="preserve">Der Zeuge soll nach Vorstrafen nur gefragt werden, wenn ihre Feststellung notwendig ist, um über das Vorliegen der Voraussetzungen des </w:t>
      </w:r>
      <w:hyperlink w:anchor="b85" w:history="1">
        <w:r>
          <w:rPr>
            <w:color w:val="0A3A8C"/>
            <w:u w:val="single"/>
          </w:rPr>
          <w:t xml:space="preserve">§ 60</w:t>
        </w:r>
      </w:hyperlink>
      <w:r>
        <w:t xml:space="preserve"> Nr. 2 zu entscheiden oder um seine Glaubwürdigkeit zu beurteilen.</w:t>
      </w:r>
    </w:p>
    <w:p>
      <w:pPr>
        <w:pStyle w:val="Heading3"/>
      </w:pPr>
      <w:bookmarkStart w:id="96" w:name="b95"/>
      <w:r>
        <w:t>§ 68b Zeugenbeistand</w:t>
      </w:r>
      <w:r>
        <w:t xml:space="preserve"> </w:t>
      </w:r>
      <w:r>
        <w:rPr>
          <w:rStyle w:val="Suchmarke"/>
        </w:rPr>
        <w:t>#68b#</w:t>
      </w:r>
      <w:bookmarkEnd w:id="96"/>
    </w:p>
    <w:p>
      <w:r>
        <w:t xml:space="preserve">(1) </w:t>
      </w:r>
      <w:r>
        <w:rPr>
          <w:rStyle w:val="Satznummer"/>
        </w:rPr>
        <w:t>1</w:t>
      </w:r>
      <w:r>
        <w:t xml:space="preserve">Zeugen können sich eines anwaltlichen Beistands bedienen. </w:t>
      </w:r>
      <w:r>
        <w:rPr>
          <w:rStyle w:val="Satznummer"/>
        </w:rPr>
        <w:t>2</w:t>
      </w:r>
      <w:r>
        <w:t xml:space="preserve">Einem zur Vernehmung des Zeugen erschienenen anwaltlichen Beistand ist die Anwesenheit gestattet. </w:t>
      </w:r>
      <w:r>
        <w:rPr>
          <w:rStyle w:val="Satznummer"/>
        </w:rPr>
        <w:t>3</w:t>
      </w:r>
      <w:r>
        <w:t xml:space="preserve">Er kann von der Vernehmung ausgeschlossen werden, wenn bestimmte Tatsachen die Annahme rechtfertigen, dass seine Anwesenheit die geordnete Beweiserhebung nicht nur unwesentlich beeinträchtigen würde. </w:t>
      </w:r>
      <w:r>
        <w:rPr>
          <w:rStyle w:val="Satznummer"/>
        </w:rPr>
        <w:t>4</w:t>
      </w:r>
      <w:r>
        <w:t>Dies wird in der Regel der Fall sein, wenn aufgrund bestimmter Tatsachen anzunehmen ist, dass</w:t>
      </w:r>
    </w:p>
    <w:p>
      <w:pPr>
        <w:tabs>
          <w:tab w:pos="567" w:val="left"/>
        </w:tabs>
        <w:ind w:left="567" w:hanging="567"/>
      </w:pPr>
      <w:r>
        <w:t>1.</w:t>
      </w:r>
      <w:r>
        <w:tab/>
      </w:r>
      <w:r>
        <w:t>der Beistand an der zu untersuchenden Tat oder an einer mit ihr im Zusammenhang stehenden Datenhehlerei, Begünstigung, Strafvereitelung oder Hehlerei beteiligt ist,</w:t>
      </w:r>
    </w:p>
    <w:p>
      <w:pPr>
        <w:tabs>
          <w:tab w:pos="567" w:val="left"/>
        </w:tabs>
        <w:ind w:left="567" w:hanging="567"/>
      </w:pPr>
      <w:r>
        <w:t>2.</w:t>
      </w:r>
      <w:r>
        <w:tab/>
      </w:r>
      <w:r>
        <w:t>das Aussageverhalten des Zeugen dadurch beeinflusst wird, dass der Beistand nicht nur den Interessen des Zeugen verpflichtet erscheint, oder</w:t>
      </w:r>
    </w:p>
    <w:p>
      <w:pPr>
        <w:tabs>
          <w:tab w:pos="567" w:val="left"/>
        </w:tabs>
        <w:ind w:left="567" w:hanging="567"/>
      </w:pPr>
      <w:r>
        <w:t>3.</w:t>
      </w:r>
      <w:r>
        <w:tab/>
      </w:r>
      <w:r>
        <w:t xml:space="preserve">der Beistand die bei der Vernehmung erlangten Erkenntnisse für Verdunkelungshandlungen im Sinne des </w:t>
      </w:r>
      <w:hyperlink w:anchor="b189" w:history="1">
        <w:r>
          <w:rPr>
            <w:color w:val="0A3A8C"/>
            <w:u w:val="single"/>
          </w:rPr>
          <w:t xml:space="preserve">§ 112</w:t>
        </w:r>
      </w:hyperlink>
      <w:r>
        <w:t xml:space="preserve"> Absatz 2 Nummer 3 nutzt oder in einer den Untersuchungszweck gefährdenden Weise weitergibt.</w:t>
      </w:r>
    </w:p>
    <w:p>
      <w:r>
        <w:t xml:space="preserve">(2) </w:t>
      </w:r>
      <w:r>
        <w:rPr>
          <w:rStyle w:val="Satznummer"/>
        </w:rPr>
        <w:t>1</w:t>
      </w:r>
      <w:r>
        <w:t xml:space="preserve">Einem Zeugen, der bei seiner Vernehmung keinen anwaltlichen Beistand hat und dessen schutzwürdigen Interessen nicht auf andere Weise Rechnung getragen werden kann, ist für deren Dauer ein solcher beizuordnen, wenn besondere Umstände vorliegen, aus denen sich ergibt, dass der Zeuge seine Befugnisse bei seiner Vernehmung nicht selbst wahrnehmen kann. </w:t>
      </w:r>
      <w:r>
        <w:rPr>
          <w:rStyle w:val="Satznummer"/>
        </w:rPr>
        <w:t>2</w:t>
      </w:r>
      <w:hyperlink w:anchor="b249" w:history="1">
        <w:r>
          <w:rPr>
            <w:color w:val="0A3A8C"/>
            <w:u w:val="single"/>
          </w:rPr>
          <w:t xml:space="preserve">§ 142</w:t>
        </w:r>
      </w:hyperlink>
      <w:r>
        <w:t xml:space="preserve"> Absatz 5 Satz 1 und 3 gilt entsprechend.</w:t>
      </w:r>
    </w:p>
    <w:p>
      <w:r>
        <w:t xml:space="preserve">(3) </w:t>
      </w:r>
      <w:r>
        <w:rPr>
          <w:rStyle w:val="Satznummer"/>
        </w:rPr>
        <w:t>1</w:t>
      </w:r>
      <w:r>
        <w:t xml:space="preserve">Entscheidungen nach Absatz 1 Satz 3 und Absatz 2 Satz 1 sind unanfechtbar. </w:t>
      </w:r>
      <w:r>
        <w:rPr>
          <w:rStyle w:val="Satznummer"/>
        </w:rPr>
        <w:t>2</w:t>
      </w:r>
      <w:r>
        <w:t>Ihre Gründe sind aktenkundig zu machen, soweit dies den Untersuchungszweck nicht gefährdet.</w:t>
      </w:r>
    </w:p>
    <w:p>
      <w:pPr>
        <w:pStyle w:val="Heading3"/>
      </w:pPr>
      <w:bookmarkStart w:id="97" w:name="b96"/>
      <w:r>
        <w:t>§ 69 Vernehmung zur Sache</w:t>
      </w:r>
      <w:r>
        <w:t xml:space="preserve"> </w:t>
      </w:r>
      <w:r>
        <w:rPr>
          <w:rStyle w:val="Suchmarke"/>
        </w:rPr>
        <w:t>#69#</w:t>
      </w:r>
      <w:bookmarkEnd w:id="97"/>
    </w:p>
    <w:p>
      <w:r>
        <w:t xml:space="preserve">(1) </w:t>
      </w:r>
      <w:r>
        <w:rPr>
          <w:rStyle w:val="Satznummer"/>
        </w:rPr>
        <w:t>1</w:t>
      </w:r>
      <w:r>
        <w:t xml:space="preserve">Der Zeuge ist zu veranlassen, das, was ihm von dem Gegenstand seiner Vernehmung bekannt ist, im Zusammenhang anzugeben. </w:t>
      </w:r>
      <w:r>
        <w:rPr>
          <w:rStyle w:val="Satznummer"/>
        </w:rPr>
        <w:t>2</w:t>
      </w:r>
      <w:r>
        <w:t>Vor seiner Vernehmung ist dem Zeugen der Gegenstand der Untersuchung und die Person des Beschuldigten, sofern ein solcher vorhanden ist, zu bezeichnen.</w:t>
      </w:r>
    </w:p>
    <w:p>
      <w:r>
        <w:t xml:space="preserve">(2) </w:t>
      </w:r>
      <w:r>
        <w:rPr>
          <w:rStyle w:val="Satznummer"/>
        </w:rPr>
        <w:t>1</w:t>
      </w:r>
      <w:r>
        <w:t xml:space="preserve">Zur Aufklärung und zur Vervollständigung der Aussage sowie zur Erforschung des Grundes, auf dem das Wissen des Zeugen beruht, sind nötigenfalls weitere Fragen zu stellen. </w:t>
      </w:r>
      <w:r>
        <w:rPr>
          <w:rStyle w:val="Satznummer"/>
        </w:rPr>
        <w:t>2</w:t>
      </w:r>
      <w:r>
        <w:t>Zeugen, die durch die Straftat verletzt sind, ist insbesondere Gelegenheit zu geben, sich zu den Auswirkungen, die die Tat auf sie hatte, zu äußern.</w:t>
      </w:r>
    </w:p>
    <w:p>
      <w:r>
        <w:t xml:space="preserve">(3) Die Vorschrift des </w:t>
      </w:r>
      <w:hyperlink w:anchor="b237" w:history="1">
        <w:r>
          <w:rPr>
            <w:color w:val="0A3A8C"/>
            <w:u w:val="single"/>
          </w:rPr>
          <w:t xml:space="preserve">§ 136a</w:t>
        </w:r>
      </w:hyperlink>
      <w:r>
        <w:t xml:space="preserve"> gilt für die Vernehmung des Zeugen entsprechend.</w:t>
      </w:r>
    </w:p>
    <w:p>
      <w:pPr>
        <w:pStyle w:val="Heading3"/>
      </w:pPr>
      <w:bookmarkStart w:id="98" w:name="b97"/>
      <w:r>
        <w:t>§ 70 Folgen unberechtigter Zeugnis- oder Eidesverweigerung</w:t>
      </w:r>
      <w:r>
        <w:t xml:space="preserve"> </w:t>
      </w:r>
      <w:r>
        <w:rPr>
          <w:rStyle w:val="Suchmarke"/>
        </w:rPr>
        <w:t>#70#</w:t>
      </w:r>
      <w:bookmarkEnd w:id="98"/>
    </w:p>
    <w:p>
      <w:r>
        <w:t xml:space="preserve">(1) </w:t>
      </w:r>
      <w:r>
        <w:rPr>
          <w:rStyle w:val="Satznummer"/>
        </w:rPr>
        <w:t>1</w:t>
      </w:r>
      <w:r>
        <w:t xml:space="preserve">Wird das Zeugnis oder die Eidesleistung ohne gesetzlichen Grund verweigert, so werden dem Zeugen die durch die Weigerung verursachten Kosten auferlegt. </w:t>
      </w:r>
      <w:r>
        <w:rPr>
          <w:rStyle w:val="Satznummer"/>
        </w:rPr>
        <w:t>2</w:t>
      </w:r>
      <w:r>
        <w:t>Zugleich wird gegen ihn ein Ordnungsgeld und für den Fall, daß dieses nicht beigetrieben werden kann, Ordnungshaft festgesetzt.</w:t>
      </w:r>
    </w:p>
    <w:p>
      <w:r>
        <w:t>(2) Auch kann zur Erzwingung des Zeugnisses die Haft angeordnet werden, jedoch nicht über die Zeit der Beendigung des Verfahrens in dem Rechtszug, auch nicht über die Zeit von sechs Monaten hinaus.</w:t>
      </w:r>
    </w:p>
    <w:p>
      <w:r>
        <w:t>(3) Die Befugnis zu diesen Maßregeln steht auch dem Richter im Vorverfahren sowie dem beauftragten und ersuchten Richter zu.</w:t>
      </w:r>
    </w:p>
    <w:p>
      <w:r>
        <w:t>(4) Sind die Maßregeln erschöpft, so können sie in demselben oder in einem anderen Verfahren, das dieselbe Tat zum Gegenstand hat, nicht wiederholt werden.</w:t>
      </w:r>
    </w:p>
    <w:p>
      <w:pPr>
        <w:pStyle w:val="Heading3"/>
      </w:pPr>
      <w:bookmarkStart w:id="99" w:name="b98"/>
      <w:r>
        <w:t>§ 71 Zeugenentschädigung</w:t>
      </w:r>
      <w:r>
        <w:t xml:space="preserve"> </w:t>
      </w:r>
      <w:r>
        <w:rPr>
          <w:rStyle w:val="Suchmarke"/>
        </w:rPr>
        <w:t>#71#</w:t>
      </w:r>
      <w:bookmarkEnd w:id="99"/>
    </w:p>
    <w:p>
      <w:r>
        <w:t>Der Zeuge wird nach dem Justizvergütungs- und -entschädigungsgesetz entschädigt.</w:t>
      </w:r>
    </w:p>
    <w:p>
      <w:pPr>
        <w:pStyle w:val="Heading2"/>
      </w:pPr>
      <w:bookmarkStart w:id="100" w:name="b99"/>
      <w:r>
        <w:t>Siebter Abschnitt Sachverständige und Augenschein</w:t>
      </w:r>
      <w:bookmarkEnd w:id="100"/>
    </w:p>
    <w:p>
      <w:pPr>
        <w:pStyle w:val="Heading3"/>
      </w:pPr>
      <w:bookmarkStart w:id="101" w:name="b100"/>
      <w:r>
        <w:t>§ 72 Anwendung der Vorschriften über Zeugen auf Sachverständige</w:t>
      </w:r>
      <w:r>
        <w:t xml:space="preserve"> </w:t>
      </w:r>
      <w:r>
        <w:rPr>
          <w:rStyle w:val="Suchmarke"/>
        </w:rPr>
        <w:t>#72#</w:t>
      </w:r>
      <w:bookmarkEnd w:id="101"/>
    </w:p>
    <w:p>
      <w:r>
        <w:t>Auf Sachverständige ist der sechste Abschnitt über Zeugen entsprechend anzuwenden, soweit nicht in den nachfolgenden Paragraphen abweichende Vorschriften getroffen sind.</w:t>
      </w:r>
    </w:p>
    <w:p>
      <w:pPr>
        <w:pStyle w:val="Heading3"/>
      </w:pPr>
      <w:bookmarkStart w:id="102" w:name="b101"/>
      <w:r>
        <w:t>§ 73 Auswahl des Sachverständigen</w:t>
      </w:r>
      <w:r>
        <w:t xml:space="preserve"> </w:t>
      </w:r>
      <w:r>
        <w:rPr>
          <w:rStyle w:val="Suchmarke"/>
        </w:rPr>
        <w:t>#73#</w:t>
      </w:r>
      <w:bookmarkEnd w:id="102"/>
    </w:p>
    <w:p>
      <w:r>
        <w:t xml:space="preserve">(1) </w:t>
      </w:r>
      <w:r>
        <w:rPr>
          <w:rStyle w:val="Satznummer"/>
        </w:rPr>
        <w:t>1</w:t>
      </w:r>
      <w:r>
        <w:t xml:space="preserve">Die Auswahl der zuzuziehenden Sachverständigen und die Bestimmung ihrer Anzahl erfolgt durch den Richter. </w:t>
      </w:r>
      <w:r>
        <w:rPr>
          <w:rStyle w:val="Satznummer"/>
        </w:rPr>
        <w:t>2</w:t>
      </w:r>
      <w:r>
        <w:t>Er soll mit diesen eine Absprache treffen, innerhalb welcher Frist die Gutachten erstattet werden können.</w:t>
      </w:r>
    </w:p>
    <w:p>
      <w:r>
        <w:t>(2) Sind für gewisse Arten von Gutachten Sachverständige öffentlich bestellt, so sollen andere Personen nur dann gewählt werden, wenn besondere Umstände es fordern.</w:t>
      </w:r>
    </w:p>
    <w:p>
      <w:pPr>
        <w:pStyle w:val="Heading3"/>
      </w:pPr>
      <w:bookmarkStart w:id="103" w:name="b102"/>
      <w:r>
        <w:t>§ 74 Ablehnung des Sachverständigen</w:t>
      </w:r>
      <w:r>
        <w:t xml:space="preserve"> </w:t>
      </w:r>
      <w:r>
        <w:rPr>
          <w:rStyle w:val="Suchmarke"/>
        </w:rPr>
        <w:t>#74#</w:t>
      </w:r>
      <w:bookmarkEnd w:id="103"/>
    </w:p>
    <w:p>
      <w:r>
        <w:t xml:space="preserve">(1) </w:t>
      </w:r>
      <w:r>
        <w:rPr>
          <w:rStyle w:val="Satznummer"/>
        </w:rPr>
        <w:t>1</w:t>
      </w:r>
      <w:r>
        <w:t xml:space="preserve">Ein Sachverständiger kann aus denselben Gründen, die zur Ablehnung eines Richters berechtigen, abgelehnt werden. </w:t>
      </w:r>
      <w:r>
        <w:rPr>
          <w:rStyle w:val="Satznummer"/>
        </w:rPr>
        <w:t>2</w:t>
      </w:r>
      <w:r>
        <w:t>Ein Ablehnungsgrund kann jedoch nicht daraus entnommen werden, daß der Sachverständige als Zeuge vernommen worden ist.</w:t>
      </w:r>
    </w:p>
    <w:p>
      <w:r>
        <w:t xml:space="preserve">(2) </w:t>
      </w:r>
      <w:r>
        <w:rPr>
          <w:rStyle w:val="Satznummer"/>
        </w:rPr>
        <w:t>1</w:t>
      </w:r>
      <w:r>
        <w:t xml:space="preserve">Das Ablehnungsrecht steht der Staatsanwaltschaft, dem Privatkläger und dem Beschuldigten zu. </w:t>
      </w:r>
      <w:r>
        <w:rPr>
          <w:rStyle w:val="Satznummer"/>
        </w:rPr>
        <w:t>2</w:t>
      </w:r>
      <w:r>
        <w:t>Die ernannten Sachverständigen sind den zur Ablehnung Berechtigten namhaft zu machen, wenn nicht besondere Umstände entgegenstehen.</w:t>
      </w:r>
    </w:p>
    <w:p>
      <w:r>
        <w:t>(3) Der Ablehnungsgrund ist glaubhaft zu machen; der Eid ist als Mittel der Glaubhaftmachung ausgeschlossen.</w:t>
      </w:r>
    </w:p>
    <w:p>
      <w:pPr>
        <w:pStyle w:val="Heading3"/>
      </w:pPr>
      <w:bookmarkStart w:id="104" w:name="b103"/>
      <w:r>
        <w:t>§ 75 Pflicht des Sachverständigen zur Erstattung des Gutachtens</w:t>
      </w:r>
      <w:r>
        <w:t xml:space="preserve"> </w:t>
      </w:r>
      <w:r>
        <w:rPr>
          <w:rStyle w:val="Suchmarke"/>
        </w:rPr>
        <w:t>#75#</w:t>
      </w:r>
      <w:bookmarkEnd w:id="104"/>
    </w:p>
    <w:p>
      <w:r>
        <w:t>(1) Der zum Sachverständigen Ernannte hat der Ernennung Folge zu leisten, wenn er zur Erstattung von Gutachten der erforderten Art öffentlich bestellt ist oder wenn er die Wissenschaft, die Kunst oder das Gewerbe, deren Kenntnis Voraussetzung der Begutachtung ist, öffentlich zum Erwerb ausübt oder wenn er zu ihrer Ausübung öffentlich bestellt oder ermächtigt ist.</w:t>
      </w:r>
    </w:p>
    <w:p>
      <w:r>
        <w:t>(2) Zur Erstattung des Gutachtens ist auch der verpflichtet, welcher sich hierzu vor Gericht bereit erklärt hat.</w:t>
      </w:r>
    </w:p>
    <w:p>
      <w:pPr>
        <w:pStyle w:val="Heading3"/>
      </w:pPr>
      <w:bookmarkStart w:id="105" w:name="b104"/>
      <w:r>
        <w:t>§ 76 Gutachtenverweigerungsrecht des Sachverständigen</w:t>
      </w:r>
      <w:r>
        <w:t xml:space="preserve"> </w:t>
      </w:r>
      <w:r>
        <w:rPr>
          <w:rStyle w:val="Suchmarke"/>
        </w:rPr>
        <w:t>#76#</w:t>
      </w:r>
      <w:bookmarkEnd w:id="105"/>
    </w:p>
    <w:p>
      <w:r>
        <w:t xml:space="preserve">(1) </w:t>
      </w:r>
      <w:r>
        <w:rPr>
          <w:rStyle w:val="Satznummer"/>
        </w:rPr>
        <w:t>1</w:t>
      </w:r>
      <w:r>
        <w:t xml:space="preserve">Dieselben Gründe, die einen Zeugen berechtigen, das Zeugnis zu verweigern, berechtigen einen Sachverständigen zur Verweigerung des Gutachtens. </w:t>
      </w:r>
      <w:r>
        <w:rPr>
          <w:rStyle w:val="Satznummer"/>
        </w:rPr>
        <w:t>2</w:t>
      </w:r>
      <w:r>
        <w:t>Auch aus anderen Gründen kann ein Sachverständiger von der Verpflichtung zur Erstattung des Gutachtens entbunden werden.</w:t>
      </w:r>
    </w:p>
    <w:p>
      <w:r>
        <w:t xml:space="preserve">(2) </w:t>
      </w:r>
      <w:r>
        <w:rPr>
          <w:rStyle w:val="Satznummer"/>
        </w:rPr>
        <w:t>1</w:t>
      </w:r>
      <w:r>
        <w:t xml:space="preserve">Für die Vernehmung von Richtern, Beamten und anderen Personen des öffentlichen Dienstes als Sachverständige gelten die besonderen beamtenrechtlichen Vorschriften. </w:t>
      </w:r>
      <w:r>
        <w:rPr>
          <w:rStyle w:val="Satznummer"/>
        </w:rPr>
        <w:t>2</w:t>
      </w:r>
      <w:r>
        <w:t>Für die Mitglieder der Bundes- oder einer Landesregierung gelten die für sie maßgebenden besonderen Vorschriften.</w:t>
      </w:r>
    </w:p>
    <w:p>
      <w:pPr>
        <w:pStyle w:val="Heading3"/>
      </w:pPr>
      <w:bookmarkStart w:id="106" w:name="b105"/>
      <w:r>
        <w:t>§ 77 Ausbleiben oder unberechtigte Gutachtenverweigerung des Sachverständigen</w:t>
      </w:r>
      <w:r>
        <w:t xml:space="preserve"> </w:t>
      </w:r>
      <w:r>
        <w:rPr>
          <w:rStyle w:val="Suchmarke"/>
        </w:rPr>
        <w:t>#77#</w:t>
      </w:r>
      <w:bookmarkEnd w:id="106"/>
    </w:p>
    <w:p>
      <w:r>
        <w:t xml:space="preserve">(1) </w:t>
      </w:r>
      <w:r>
        <w:rPr>
          <w:rStyle w:val="Satznummer"/>
        </w:rPr>
        <w:t>1</w:t>
      </w:r>
      <w:r>
        <w:t xml:space="preserve">Im Falle des Nichterscheinens oder der Weigerung eines zur Erstattung des Gutachtens verpflichteten Sachverständigen wird diesem auferlegt, die dadurch verursachten Kosten zu ersetzen. </w:t>
      </w:r>
      <w:r>
        <w:rPr>
          <w:rStyle w:val="Satznummer"/>
        </w:rPr>
        <w:t>2</w:t>
      </w:r>
      <w:r>
        <w:t xml:space="preserve">Zugleich wird gegen ihn ein Ordnungsgeld festgesetzt. </w:t>
      </w:r>
      <w:r>
        <w:rPr>
          <w:rStyle w:val="Satznummer"/>
        </w:rPr>
        <w:t>3</w:t>
      </w:r>
      <w:r>
        <w:t>Im Falle wiederholten Ungehorsams kann neben der Auferlegung der Kosten das Ordnungsgeld noch einmal festgesetzt werden.</w:t>
      </w:r>
    </w:p>
    <w:p>
      <w:r>
        <w:t xml:space="preserve">(2) </w:t>
      </w:r>
      <w:r>
        <w:rPr>
          <w:rStyle w:val="Satznummer"/>
        </w:rPr>
        <w:t>1</w:t>
      </w:r>
      <w:r>
        <w:t xml:space="preserve">Weigert sich ein zur Erstattung des Gutachtens verpflichteter Sachverständiger, nach </w:t>
      </w:r>
      <w:hyperlink w:anchor="b101" w:history="1">
        <w:r>
          <w:rPr>
            <w:color w:val="0A3A8C"/>
            <w:u w:val="single"/>
          </w:rPr>
          <w:t xml:space="preserve">§ 73</w:t>
        </w:r>
      </w:hyperlink>
      <w:r>
        <w:t xml:space="preserve"> Abs. 1 Satz 2 eine angemessene Frist abzusprechen, oder versäumt er die abgesprochene Frist, so kann gegen ihn ein Ordnungsgeld festgesetzt werden. </w:t>
      </w:r>
      <w:r>
        <w:rPr>
          <w:rStyle w:val="Satznummer"/>
        </w:rPr>
        <w:t>2</w:t>
      </w:r>
      <w:r>
        <w:t xml:space="preserve">Der Festsetzung des Ordnungsgeldes muß eine Androhung unter Setzung einer Nachfrist vorausgehen. </w:t>
      </w:r>
      <w:r>
        <w:rPr>
          <w:rStyle w:val="Satznummer"/>
        </w:rPr>
        <w:t>3</w:t>
      </w:r>
      <w:r>
        <w:t>Im Falle wiederholter Fristversäumnis kann das Ordnungsgeld noch einmal festgesetzt werden.</w:t>
      </w:r>
    </w:p>
    <w:p>
      <w:pPr>
        <w:pStyle w:val="Heading3"/>
      </w:pPr>
      <w:bookmarkStart w:id="107" w:name="b106"/>
      <w:r>
        <w:t>§ 78 Richterliche Leitung der Tätigkeit des Sachverständigen</w:t>
      </w:r>
      <w:r>
        <w:t xml:space="preserve"> </w:t>
      </w:r>
      <w:r>
        <w:rPr>
          <w:rStyle w:val="Suchmarke"/>
        </w:rPr>
        <w:t>#78#</w:t>
      </w:r>
      <w:bookmarkEnd w:id="107"/>
    </w:p>
    <w:p>
      <w:r>
        <w:t>Der Richter hat, soweit ihm dies erforderlich erscheint, die Tätigkeit der Sachverständigen zu leiten.</w:t>
      </w:r>
    </w:p>
    <w:p>
      <w:pPr>
        <w:pStyle w:val="Heading3"/>
      </w:pPr>
      <w:bookmarkStart w:id="108" w:name="b107"/>
      <w:r>
        <w:t>§ 79 Vereidigung des Sachverständigen</w:t>
      </w:r>
      <w:r>
        <w:t xml:space="preserve"> </w:t>
      </w:r>
      <w:r>
        <w:rPr>
          <w:rStyle w:val="Suchmarke"/>
        </w:rPr>
        <w:t>#79#</w:t>
      </w:r>
      <w:bookmarkEnd w:id="108"/>
    </w:p>
    <w:p>
      <w:r>
        <w:t>(1) Der Sachverständige kann nach dem Ermessen des Gerichts vereidigt werden.</w:t>
      </w:r>
    </w:p>
    <w:p>
      <w:r>
        <w:t>(2) Der Eid ist nach Erstattung des Gutachtens zu leisten; er geht dahin, daß der Sachverständige das Gutachten unparteiisch und nach bestem Wissen und Gewissen erstattet habe.</w:t>
      </w:r>
    </w:p>
    <w:p>
      <w:r>
        <w:t>(3) Ist der Sachverständige für die Erstattung von Gutachten der betreffenden Art im allgemeinen vereidigt, so genügt die Berufung auf den geleisteten Eid.</w:t>
      </w:r>
    </w:p>
    <w:p>
      <w:pPr>
        <w:pStyle w:val="Heading3"/>
      </w:pPr>
      <w:bookmarkStart w:id="109" w:name="b108"/>
      <w:r>
        <w:t>§ 80 Vorbereitung des Gutachtens durch weitere Aufklärung</w:t>
      </w:r>
      <w:r>
        <w:t xml:space="preserve"> </w:t>
      </w:r>
      <w:r>
        <w:rPr>
          <w:rStyle w:val="Suchmarke"/>
        </w:rPr>
        <w:t>#80#</w:t>
      </w:r>
      <w:bookmarkEnd w:id="109"/>
    </w:p>
    <w:p>
      <w:r>
        <w:t>(1) Dem Sachverständigen kann auf sein Verlangen zur Vorbereitung des Gutachtens durch Vernehmung von Zeugen oder des Beschuldigten weitere Aufklärung verschafft werden.</w:t>
      </w:r>
    </w:p>
    <w:p>
      <w:r>
        <w:t>(2) Zu demselben Zweck kann ihm gestattet werden, die Akten einzusehen, der Vernehmung von Zeugen oder des Beschuldigten beizuwohnen und an sie unmittelbar Fragen zu stellen.</w:t>
      </w:r>
    </w:p>
    <w:p>
      <w:pPr>
        <w:pStyle w:val="Heading3"/>
      </w:pPr>
      <w:bookmarkStart w:id="110" w:name="b109"/>
      <w:r>
        <w:t>§ 80a Vorbereitung des Gutachtens im Vorverfahren</w:t>
      </w:r>
      <w:r>
        <w:t xml:space="preserve"> </w:t>
      </w:r>
      <w:r>
        <w:rPr>
          <w:rStyle w:val="Suchmarke"/>
        </w:rPr>
        <w:t>#80a#</w:t>
      </w:r>
      <w:bookmarkEnd w:id="110"/>
    </w:p>
    <w:p>
      <w:r>
        <w:t>Ist damit zu rechnen, daß die Unterbringung des Beschuldigten in einem psychiatrischen Krankenhaus, einer Entziehungsanstalt oder in der Sicherungsverwahrung angeordnet werden wird, so soll schon im Vorverfahren einem Sachverständigen Gelegenheit zur Vorbereitung des in der Hauptverhandlung zu erstattenden Gutachtens gegeben werden.</w:t>
      </w:r>
    </w:p>
    <w:p>
      <w:pPr>
        <w:pStyle w:val="Heading3"/>
      </w:pPr>
      <w:bookmarkStart w:id="111" w:name="b110"/>
      <w:r>
        <w:t>§ 81 Unterbringung des Beschuldigten zur Vorbereitung eines Gutachtens</w:t>
      </w:r>
      <w:r>
        <w:t xml:space="preserve"> </w:t>
      </w:r>
      <w:r>
        <w:rPr>
          <w:rStyle w:val="Suchmarke"/>
        </w:rPr>
        <w:t>#81#</w:t>
      </w:r>
      <w:bookmarkEnd w:id="111"/>
    </w:p>
    <w:p>
      <w:r>
        <w:t>(1) Zur Vorbereitung eines Gutachtens über den psychischen Zustand des Beschuldigten kann das Gericht nach Anhörung eines Sachverständigen und des Verteidigers anordnen, daß der Beschuldigte in ein öffentliches psychiatrisches Krankenhaus gebracht und dort beobachtet wird.</w:t>
      </w:r>
    </w:p>
    <w:p>
      <w:r>
        <w:t xml:space="preserve">(2) </w:t>
      </w:r>
      <w:r>
        <w:rPr>
          <w:rStyle w:val="Satznummer"/>
        </w:rPr>
        <w:t>1</w:t>
      </w:r>
      <w:r>
        <w:t xml:space="preserve">Das Gericht trifft die Anordnung nach Absatz 1 nur, wenn der Beschuldigte der Tat dringend verdächtig ist. </w:t>
      </w:r>
      <w:r>
        <w:rPr>
          <w:rStyle w:val="Satznummer"/>
        </w:rPr>
        <w:t>2</w:t>
      </w:r>
      <w:r>
        <w:t>Das Gericht darf diese Anordnung nicht treffen, wenn sie zu der Bedeutung der Sache und der zu erwartenden Strafe oder Maßregel der Besserung und Sicherung außer Verhältnis steht.</w:t>
      </w:r>
    </w:p>
    <w:p>
      <w:r>
        <w:t>(3) Im vorbereitenden Verfahren entscheidet das Gericht, das für die Eröffnung des Hauptverfahrens zuständig wäre.</w:t>
      </w:r>
    </w:p>
    <w:p>
      <w:r>
        <w:t xml:space="preserve">(4) </w:t>
      </w:r>
      <w:r>
        <w:rPr>
          <w:rStyle w:val="Satznummer"/>
        </w:rPr>
        <w:t>1</w:t>
      </w:r>
      <w:r>
        <w:t xml:space="preserve">Gegen den Beschluß ist sofortige Beschwerde zulässig. </w:t>
      </w:r>
      <w:r>
        <w:rPr>
          <w:rStyle w:val="Satznummer"/>
        </w:rPr>
        <w:t>2</w:t>
      </w:r>
      <w:r>
        <w:t>Sie hat aufschiebende Wirkung.</w:t>
      </w:r>
    </w:p>
    <w:p>
      <w:r>
        <w:t>(5) Die Unterbringung in einem psychiatrischen Krankenhaus nach Absatz 1 darf die Dauer von insgesamt sechs Wochen nicht überschreiten.</w:t>
      </w:r>
    </w:p>
    <w:p>
      <w:pPr>
        <w:pStyle w:val="Heading3"/>
      </w:pPr>
      <w:bookmarkStart w:id="112" w:name="b111"/>
      <w:r>
        <w:t>§ 81a Körperliche Untersuchung des Beschuldigten; Zulässigkeit körperlicher Eingriffe</w:t>
      </w:r>
      <w:r>
        <w:t xml:space="preserve"> </w:t>
      </w:r>
      <w:r>
        <w:rPr>
          <w:rStyle w:val="Suchmarke"/>
        </w:rPr>
        <w:t>#81a#</w:t>
      </w:r>
      <w:bookmarkEnd w:id="112"/>
    </w:p>
    <w:p>
      <w:r>
        <w:t xml:space="preserve">(1) </w:t>
      </w:r>
      <w:r>
        <w:rPr>
          <w:rStyle w:val="Satznummer"/>
        </w:rPr>
        <w:t>1</w:t>
      </w:r>
      <w:r>
        <w:t xml:space="preserve">Eine körperliche Untersuchung des Beschuldigten darf zur Feststellung von Tatsachen angeordnet werden, die für das Verfahren von Bedeutung sind. </w:t>
      </w:r>
      <w:r>
        <w:rPr>
          <w:rStyle w:val="Satznummer"/>
        </w:rPr>
        <w:t>2</w:t>
      </w:r>
      <w:r>
        <w:t>Zu diesem Zweck sind Entnahmen von Blutproben und andere körperliche Eingriffe, die von einem Arzt nach den Regeln der ärztlichen Kunst zu Untersuchungszwecken vorgenommen werden, ohne Einwilligung des Beschuldigten zulässig, wenn kein Nachteil für seine Gesundheit zu befürchten ist.</w:t>
      </w:r>
    </w:p>
    <w:p>
      <w:r>
        <w:t xml:space="preserve">(2) </w:t>
      </w:r>
      <w:r>
        <w:rPr>
          <w:rStyle w:val="Satznummer"/>
        </w:rPr>
        <w:t>1</w:t>
      </w:r>
      <w:r>
        <w:t xml:space="preserve">Die Anordnung steht dem Richter, bei Gefährdung des Untersuchungserfolges durch Verzögerung auch der Staatsanwaltschaft und ihren Ermittlungspersonen (§ 152 des Gerichtsverfassungsgesetzes) zu. </w:t>
      </w:r>
      <w:r>
        <w:rPr>
          <w:rStyle w:val="Satznummer"/>
        </w:rPr>
        <w:t>2</w:t>
      </w:r>
      <w:r>
        <w:t>Die Entnahme einer Blutprobe bedarf abweichend von Satz 1 keiner richterlichen Anordnung, wenn bestimmte Tatsachen den Verdacht begründen, dass eine Straftat nach § 315a Absatz 1 Nummer 1, Absatz 2 und 3, § 315c Absatz 1 Nummer 1 Buchstabe a, Absatz 2 und 3 oder § 316 des Strafgesetzbuchs begangen worden ist.</w:t>
      </w:r>
    </w:p>
    <w:p>
      <w:r>
        <w:t>(3) Dem Beschuldigten entnommene Blutproben oder sonstige Körperzellen dürfen nur für Zwecke des der Entnahme zugrundeliegenden oder eines anderen anhängigen Strafverfahrens verwendet werden; sie sind unverzüglich zu vernichten, sobald sie hierfür nicht mehr erforderlich sind.</w:t>
      </w:r>
    </w:p>
    <w:p>
      <w:pPr>
        <w:pStyle w:val="Heading3"/>
      </w:pPr>
      <w:bookmarkStart w:id="113" w:name="b112"/>
      <w:r>
        <w:t>§ 81b Erkennungsdienstliche Maßnahmen bei dem Beschuldigten</w:t>
      </w:r>
      <w:r>
        <w:t xml:space="preserve"> </w:t>
      </w:r>
      <w:r>
        <w:rPr>
          <w:rStyle w:val="Suchmarke"/>
        </w:rPr>
        <w:t>#81b#</w:t>
      </w:r>
      <w:bookmarkEnd w:id="113"/>
    </w:p>
    <w:p>
      <w:r>
        <w:t>(1) Soweit es für die Zwecke der Durchführung des Strafverfahrens oder für die Zwecke des Erkennungsdienstes notwendig ist, dürfen Lichtbilder und Fingerabdrücke des Beschuldigten auch gegen seinen Willen aufgenommen und Messungen und ähnliche Maßnahmen an ihm vorgenommen werden.</w:t>
      </w:r>
    </w:p>
    <w:p>
      <w:r>
        <w:t xml:space="preserve">(2) </w:t>
      </w:r>
      <w:r>
        <w:rPr>
          <w:rStyle w:val="Satznummer"/>
        </w:rPr>
        <w:t>1</w:t>
      </w:r>
      <w:r>
        <w:t>Über die Fälle des Absatzes 1 hinaus sind die Fingerabdrücke des Beschuldigten für die Erstellung eines Datensatzes gemäß Artikel 5 Absatz 1 Buchstabe b der Verordnung (EU) 2019/816 des Europäischen Parlaments und des Rates vom 17. April 2019 zur Einrichtung eines zentralisierten Systems für die Ermittlung der Mitgliedstaaten, in denen Informationen zu Verurteilungen von Drittstaatsangehörigen und Staatenlosen (ECRIS-TCN) vorliegen, zur Ergänzung des Europäischen Strafregisterinformationssystems und zur Änderung der Verordnung (EU) 2018/1726 (ABl. L 135 vom 22.5.2019, S. 1), die durch die Verordnung (EU) 2019/818 (ABl. L 135 vom 22.5.2019, S. 85) geändert worden ist, auch gegen dessen Willen aufzunehmen, sofern</w:t>
      </w:r>
    </w:p>
    <w:p>
      <w:pPr>
        <w:tabs>
          <w:tab w:pos="567" w:val="left"/>
        </w:tabs>
        <w:ind w:left="567" w:hanging="567"/>
      </w:pPr>
      <w:r>
        <w:t>1.</w:t>
      </w:r>
      <w:r>
        <w:tab/>
      </w:r>
      <w:r>
        <w:t>es sich bei dem Beschuldigten um einen Drittstaatsangehörigen im Sinne des Artikels 3 Nummer 7 der Verordnung (EU) 2019/816 handelt,</w:t>
      </w:r>
    </w:p>
    <w:p>
      <w:pPr>
        <w:tabs>
          <w:tab w:pos="567" w:val="left"/>
        </w:tabs>
        <w:ind w:left="567" w:hanging="567"/>
      </w:pPr>
      <w:r>
        <w:t>2.</w:t>
      </w:r>
      <w:r>
        <w:tab/>
      </w:r>
      <w:r>
        <w:t>der Beschuldigte rechtskräftig zu einer Freiheitsstrafe oder Jugendstrafe verurteilt oder gegen ihn rechtskräftig allein eine freiheitsentziehende Maßregel der Besserung und Sicherung angeordnet worden ist,</w:t>
      </w:r>
    </w:p>
    <w:p>
      <w:pPr>
        <w:tabs>
          <w:tab w:pos="567" w:val="left"/>
        </w:tabs>
        <w:ind w:left="567" w:hanging="567"/>
      </w:pPr>
      <w:r>
        <w:t>3.</w:t>
      </w:r>
      <w:r>
        <w:tab/>
      </w:r>
      <w:r>
        <w:t>keine Fingerabdrücke des Beschuldigten vorhanden sind, die im Rahmen eines Strafverfahrens aufgenommen worden sind, und</w:t>
      </w:r>
    </w:p>
    <w:p>
      <w:pPr>
        <w:tabs>
          <w:tab w:pos="567" w:val="left"/>
        </w:tabs>
        <w:ind w:left="567" w:hanging="567"/>
      </w:pPr>
      <w:r>
        <w:t>4.</w:t>
      </w:r>
      <w:r>
        <w:tab/>
      </w:r>
      <w:r>
        <w:t>die entsprechende Eintragung im Bundeszentralregister noch nicht getilgt ist.</w:t>
      </w:r>
    </w:p>
    <w:p>
      <w:r>
        <w:rPr>
          <w:rStyle w:val="Satznummer"/>
        </w:rPr>
        <w:t>2</w:t>
      </w:r>
      <w:r>
        <w:t>Wenn auf Grund bestimmter Tatsachen und bei Würdigung der Umstände des Einzelfalles die Gefahr besteht, dass der Beschuldigte sich dieser Maßnahme entziehen werde, dann dürfen die Fingerabdrücke abweichend von Satz 1 Nummer 2 bereits vor der Rechtskraft der Entscheidung aufgenommen werden.</w:t>
      </w:r>
    </w:p>
    <w:p>
      <w:r>
        <w:t xml:space="preserve">(3) Für die Erstellung eines Datensatzes gemäß Artikel 5 Absatz 1 Buchstabe b der Verordnung (EU) 2019/816 sind die nach Absatz 1 für die Zwecke der Durchführung des Strafverfahrens, die nach Absatz 2 oder die nach </w:t>
      </w:r>
      <w:hyperlink w:anchor="b297" w:history="1">
        <w:r>
          <w:rPr>
            <w:color w:val="0A3A8C"/>
            <w:u w:val="single"/>
          </w:rPr>
          <w:t xml:space="preserve">§ 163b</w:t>
        </w:r>
      </w:hyperlink>
      <w:r>
        <w:t xml:space="preserve"> Absatz 1 Satz 3 aufgenommenen Fingerabdrücke an das Bundeskriminalamt zu übermitteln.</w:t>
      </w:r>
    </w:p>
    <w:p>
      <w:r>
        <w:t xml:space="preserve">(4) </w:t>
      </w:r>
      <w:r>
        <w:rPr>
          <w:rStyle w:val="Satznummer"/>
        </w:rPr>
        <w:t>1</w:t>
      </w:r>
      <w:r>
        <w:t xml:space="preserve">Für die Erstellung eines Datensatzes gemäß Artikel 5 Absatz 1 Buchstabe b der Verordnung (EU) 2019/816 darf das Bundeskriminalamt die nach den Absätzen 1 und 2 sowie die nach </w:t>
      </w:r>
      <w:hyperlink w:anchor="b297" w:history="1">
        <w:r>
          <w:rPr>
            <w:color w:val="0A3A8C"/>
            <w:u w:val="single"/>
          </w:rPr>
          <w:t xml:space="preserve">§ 163b</w:t>
        </w:r>
      </w:hyperlink>
      <w:r>
        <w:t xml:space="preserve"> Absatz 1 Satz 3 aufgenommenen und ihm übermittelten Fingerabdrücke verarbeiten. </w:t>
      </w:r>
      <w:r>
        <w:rPr>
          <w:rStyle w:val="Satznummer"/>
        </w:rPr>
        <w:t>2</w:t>
      </w:r>
      <w:r>
        <w:t xml:space="preserve">Bei den nach Absatz 1 für die Zwecke der Durchführung des Strafverfahrens, den nach Absatz 2 Satz 2 und den nach </w:t>
      </w:r>
      <w:hyperlink w:anchor="b297" w:history="1">
        <w:r>
          <w:rPr>
            <w:color w:val="0A3A8C"/>
            <w:u w:val="single"/>
          </w:rPr>
          <w:t xml:space="preserve">§ 163b</w:t>
        </w:r>
      </w:hyperlink>
      <w:r>
        <w:t xml:space="preserve"> Absatz 1 Satz 3 aufgenommenen Fingerabdrücken ist eine über die Speicherung hinausgehende Verarbeitung nach Satz 1 unzulässig, solange die Entscheidung noch nicht rechtskräftig ist. </w:t>
      </w:r>
      <w:r>
        <w:rPr>
          <w:rStyle w:val="Satznummer"/>
        </w:rPr>
        <w:t>3</w:t>
      </w:r>
      <w:r>
        <w:t>Die Verarbeitung nach Satz 1 ist ferner unzulässig, wenn</w:t>
      </w:r>
    </w:p>
    <w:p>
      <w:pPr>
        <w:tabs>
          <w:tab w:pos="567" w:val="left"/>
        </w:tabs>
        <w:ind w:left="567" w:hanging="567"/>
      </w:pPr>
      <w:r>
        <w:t>1.</w:t>
      </w:r>
      <w:r>
        <w:tab/>
      </w:r>
      <w:r>
        <w:t>der Beschuldigte rechtskräftig freigesprochen wurde,</w:t>
      </w:r>
    </w:p>
    <w:p>
      <w:pPr>
        <w:tabs>
          <w:tab w:pos="567" w:val="left"/>
        </w:tabs>
        <w:ind w:left="567" w:hanging="567"/>
      </w:pPr>
      <w:r>
        <w:t>2.</w:t>
      </w:r>
      <w:r>
        <w:tab/>
      </w:r>
      <w:r>
        <w:t>das Verfahren nicht nur vorläufig eingestellt wurde oder</w:t>
      </w:r>
    </w:p>
    <w:p>
      <w:pPr>
        <w:tabs>
          <w:tab w:pos="567" w:val="left"/>
        </w:tabs>
        <w:ind w:left="567" w:hanging="567"/>
      </w:pPr>
      <w:r>
        <w:t>3.</w:t>
      </w:r>
      <w:r>
        <w:tab/>
      </w:r>
      <w:r>
        <w:t>die alleinige Anordnung einer freiheitsentziehenden Maßregel der Besserung und Sicherung gegen den Beschuldigten rechtskräftig unterbleibt.</w:t>
      </w:r>
    </w:p>
    <w:p>
      <w:r>
        <w:rPr>
          <w:rStyle w:val="Satznummer"/>
        </w:rPr>
        <w:t>4</w:t>
      </w:r>
      <w:r>
        <w:t xml:space="preserve">Satz 3 gilt entsprechend in den Fällen des Absatzes 2 Satz 2, wenn der Beschuldigte rechtskräftig zu einer anderen Strafe als Freiheitsstrafe oder Jugendstrafe verurteilt wurde. </w:t>
      </w:r>
      <w:r>
        <w:rPr>
          <w:rStyle w:val="Satznummer"/>
        </w:rPr>
        <w:t>5</w:t>
      </w:r>
      <w:r>
        <w:t>Ist die Verarbeitung der Fingerabdrücke nach Satz 3 oder 4 unzulässig, so sind die Fingerabdrücke zu löschen.</w:t>
      </w:r>
    </w:p>
    <w:p>
      <w:r>
        <w:t xml:space="preserve">(5) </w:t>
      </w:r>
      <w:r>
        <w:rPr>
          <w:rStyle w:val="Satznummer"/>
        </w:rPr>
        <w:t>1</w:t>
      </w:r>
      <w:r>
        <w:t xml:space="preserve">Für die Verarbeitung für andere Zwecke als die Erstellung eines Datensatzes gemäß Artikel 5 Absatz 1 Buchstabe b der Verordnung (EU) 2019/816 gelten die </w:t>
      </w:r>
      <w:hyperlink w:anchor="b712" w:history="1">
        <w:r>
          <w:rPr>
            <w:color w:val="0A3A8C"/>
            <w:u w:val="single"/>
          </w:rPr>
          <w:t xml:space="preserve">§§ 481</w:t>
        </w:r>
      </w:hyperlink>
      <w:r>
        <w:t xml:space="preserve"> bis </w:t>
      </w:r>
      <w:hyperlink w:anchor="b717" w:history="1">
        <w:r>
          <w:rPr>
            <w:color w:val="0A3A8C"/>
            <w:u w:val="single"/>
          </w:rPr>
          <w:t xml:space="preserve">485</w:t>
        </w:r>
      </w:hyperlink>
      <w:r>
        <w:t xml:space="preserve">. </w:t>
      </w:r>
      <w:r>
        <w:rPr>
          <w:rStyle w:val="Satznummer"/>
        </w:rPr>
        <w:t>2</w:t>
      </w:r>
      <w:r>
        <w:t xml:space="preserve">Die Verarbeitung der nach Absatz 2 Satz 2 aufgenommenen Fingerabdrücke ist jedoch erst zulässig, wenn die Entscheidung rechtskräftig und die Verarbeitung für die Erstellung eines Datensatzes nicht nach Absatz 4 Satz 3 oder 4 unzulässig ist. </w:t>
      </w:r>
      <w:r>
        <w:rPr>
          <w:rStyle w:val="Satznummer"/>
        </w:rPr>
        <w:t>3</w:t>
      </w:r>
      <w:r>
        <w:t xml:space="preserve">Die übrigen Bestimmungen über die Verarbeitung der nach Absatz 1 oder 2 oder nach </w:t>
      </w:r>
      <w:hyperlink w:anchor="b297" w:history="1">
        <w:r>
          <w:rPr>
            <w:color w:val="0A3A8C"/>
            <w:u w:val="single"/>
          </w:rPr>
          <w:t xml:space="preserve">§ 163b</w:t>
        </w:r>
      </w:hyperlink>
      <w:r>
        <w:t xml:space="preserve"> aufgenommenen Fingerabdrücke bleiben unberührt.</w:t>
      </w:r>
    </w:p>
    <w:p>
      <w:pPr>
        <w:pStyle w:val="Heading3"/>
      </w:pPr>
      <w:bookmarkStart w:id="114" w:name="b113"/>
      <w:r>
        <w:t>§ 81c Untersuchung anderer Personen</w:t>
      </w:r>
      <w:r>
        <w:t xml:space="preserve"> </w:t>
      </w:r>
      <w:r>
        <w:rPr>
          <w:rStyle w:val="Suchmarke"/>
        </w:rPr>
        <w:t>#81c#</w:t>
      </w:r>
      <w:bookmarkEnd w:id="114"/>
    </w:p>
    <w:p>
      <w:r>
        <w:t>(1) Andere Personen als Beschuldigte dürfen, wenn sie als Zeugen in Betracht kommen, ohne ihre Einwilligung nur untersucht werden, soweit zur Erforschung der Wahrheit festgestellt werden muß, ob sich an ihrem Körper eine bestimmte Spur oder Folge einer Straftat befindet.</w:t>
      </w:r>
    </w:p>
    <w:p>
      <w:r>
        <w:t xml:space="preserve">(2) </w:t>
      </w:r>
      <w:r>
        <w:rPr>
          <w:rStyle w:val="Satznummer"/>
        </w:rPr>
        <w:t>1</w:t>
      </w:r>
      <w:r>
        <w:t xml:space="preserve">Bei anderen Personen als Beschuldigten sind Untersuchungen zur Feststellung der Abstammung und die Entnahme von Blutproben ohne Einwilligung des zu Untersuchenden zulässig, wenn kein Nachteil für seine Gesundheit zu befürchten und die Maßnahme zur Erforschung der Wahrheit unerläßlich ist. </w:t>
      </w:r>
      <w:r>
        <w:rPr>
          <w:rStyle w:val="Satznummer"/>
        </w:rPr>
        <w:t>2</w:t>
      </w:r>
      <w:r>
        <w:t>Die Untersuchungen und die Entnahme von Blutproben dürfen stets nur von einem Arzt vorgenommen werden.</w:t>
      </w:r>
    </w:p>
    <w:p>
      <w:r>
        <w:t xml:space="preserve">(3) </w:t>
      </w:r>
      <w:r>
        <w:rPr>
          <w:rStyle w:val="Satznummer"/>
        </w:rPr>
        <w:t>1</w:t>
      </w:r>
      <w:r>
        <w:t xml:space="preserve">Untersuchungen oder Entnahmen von Blutproben können aus den gleichen Gründen wie das Zeugnis verweigert werden. </w:t>
      </w:r>
      <w:r>
        <w:rPr>
          <w:rStyle w:val="Satznummer"/>
        </w:rPr>
        <w:t>2</w:t>
      </w:r>
      <w:r>
        <w:t xml:space="preserve">Haben Minderjährige wegen mangelnder Verstandesreife oder haben Minderjährige oder Betreute wegen einer psychischen Krankheit oder einer geistigen oder seelischen Behinderung von der Bedeutung ihres Weigerungsrechts keine genügende Vorstellung, so entscheidet der gesetzliche Vertreter; </w:t>
      </w:r>
      <w:hyperlink w:anchor="b74" w:history="1">
        <w:r>
          <w:rPr>
            <w:color w:val="0A3A8C"/>
            <w:u w:val="single"/>
          </w:rPr>
          <w:t xml:space="preserve">§ 52</w:t>
        </w:r>
      </w:hyperlink>
      <w:r>
        <w:t xml:space="preserve"> Abs. 2 Satz 2 und Abs. 3 gilt entsprechend. </w:t>
      </w:r>
      <w:r>
        <w:rPr>
          <w:rStyle w:val="Satznummer"/>
        </w:rPr>
        <w:t>3</w:t>
      </w:r>
      <w:r>
        <w:t>Ist der gesetzliche Vertreter von der Entscheidung ausgeschlossen (</w:t>
      </w:r>
      <w:hyperlink w:anchor="b74" w:history="1">
        <w:r>
          <w:rPr>
            <w:color w:val="0A3A8C"/>
            <w:u w:val="single"/>
          </w:rPr>
          <w:t xml:space="preserve">§ 52</w:t>
        </w:r>
      </w:hyperlink>
      <w:r>
        <w:t xml:space="preserve"> Abs. 2 Satz 2) oder aus sonstigen Gründen an einer rechtzeitigen Entscheidung gehindert und erscheint die sofortige Untersuchung oder Entnahme von Blutproben zur Beweissicherung erforderlich, so sind diese Maßnahmen nur auf besondere Anordnung des Gerichts und, wenn dieses nicht rechtzeitig erreichbar ist, der Staatsanwaltschaft zulässig. </w:t>
      </w:r>
      <w:r>
        <w:rPr>
          <w:rStyle w:val="Satznummer"/>
        </w:rPr>
        <w:t>4</w:t>
      </w:r>
      <w:r>
        <w:t xml:space="preserve">Der die Maßnahmen anordnende Beschluß ist unanfechtbar. </w:t>
      </w:r>
      <w:r>
        <w:rPr>
          <w:rStyle w:val="Satznummer"/>
        </w:rPr>
        <w:t>5</w:t>
      </w:r>
      <w:r>
        <w:t>Die nach Satz 3 erhobenen Beweise dürfen im weiteren Verfahren nur mit Einwilligung des hierzu befugten gesetzlichen Vertreters verwertet werden.</w:t>
      </w:r>
    </w:p>
    <w:p>
      <w:r>
        <w:t>(4) Maßnahmen nach den Absätzen 1 und 2 sind unzulässig, wenn sie dem Betroffenen bei Würdigung aller Umstände nicht zugemutet werden können.</w:t>
      </w:r>
    </w:p>
    <w:p>
      <w:r>
        <w:t xml:space="preserve">(5) </w:t>
      </w:r>
      <w:r>
        <w:rPr>
          <w:rStyle w:val="Satznummer"/>
        </w:rPr>
        <w:t>1</w:t>
      </w:r>
      <w:r>
        <w:t xml:space="preserve">Die Anordnung steht dem Gericht, bei Gefährdung des Untersuchungserfolges durch Verzögerung auch der Staatsanwaltschaft und ihren Ermittlungspersonen (§ 152 des Gerichtsverfassungsgesetzes) zu; Absatz 3 Satz 3 bleibt unberührt. </w:t>
      </w:r>
      <w:r>
        <w:rPr>
          <w:rStyle w:val="Satznummer"/>
        </w:rPr>
        <w:t>2</w:t>
      </w:r>
      <w:hyperlink w:anchor="b111" w:history="1">
        <w:r>
          <w:rPr>
            <w:color w:val="0A3A8C"/>
            <w:u w:val="single"/>
          </w:rPr>
          <w:t xml:space="preserve">§ 81a</w:t>
        </w:r>
      </w:hyperlink>
      <w:r>
        <w:t xml:space="preserve"> Abs. 3 gilt entsprechend.</w:t>
      </w:r>
    </w:p>
    <w:p>
      <w:r>
        <w:t xml:space="preserve">(6) </w:t>
      </w:r>
      <w:r>
        <w:rPr>
          <w:rStyle w:val="Satznummer"/>
        </w:rPr>
        <w:t>1</w:t>
      </w:r>
      <w:r>
        <w:t xml:space="preserve">Bei Weigerung des Betroffenen gilt die Vorschrift des </w:t>
      </w:r>
      <w:hyperlink w:anchor="b97" w:history="1">
        <w:r>
          <w:rPr>
            <w:color w:val="0A3A8C"/>
            <w:u w:val="single"/>
          </w:rPr>
          <w:t xml:space="preserve">§ 70</w:t>
        </w:r>
      </w:hyperlink>
      <w:r>
        <w:t xml:space="preserve"> entsprechend. </w:t>
      </w:r>
      <w:r>
        <w:rPr>
          <w:rStyle w:val="Satznummer"/>
        </w:rPr>
        <w:t>2</w:t>
      </w:r>
      <w:r>
        <w:t xml:space="preserve">Unmittelbarer Zwang darf nur auf besondere Anordnung des Richters angewandt werden. </w:t>
      </w:r>
      <w:r>
        <w:rPr>
          <w:rStyle w:val="Satznummer"/>
        </w:rPr>
        <w:t>3</w:t>
      </w:r>
      <w:r>
        <w:t>Die Anordnung setzt voraus, daß der Betroffene trotz Festsetzung eines Ordnungsgeldes bei der Weigerung beharrt oder daß Gefahr im Verzuge ist.</w:t>
      </w:r>
    </w:p>
    <w:p>
      <w:pPr>
        <w:pStyle w:val="Heading3"/>
      </w:pPr>
      <w:bookmarkStart w:id="115" w:name="b114"/>
      <w:r>
        <w:t>§ 81d Durchführung körperlicher Untersuchungen durch Personen gleichen Geschlechts</w:t>
      </w:r>
      <w:r>
        <w:t xml:space="preserve"> </w:t>
      </w:r>
      <w:r>
        <w:rPr>
          <w:rStyle w:val="Suchmarke"/>
        </w:rPr>
        <w:t>#81d#</w:t>
      </w:r>
      <w:bookmarkEnd w:id="115"/>
    </w:p>
    <w:p>
      <w:r>
        <w:t xml:space="preserve">(1) </w:t>
      </w:r>
      <w:r>
        <w:rPr>
          <w:rStyle w:val="Satznummer"/>
        </w:rPr>
        <w:t>1</w:t>
      </w:r>
      <w:r>
        <w:t xml:space="preserve">Kann die körperliche Untersuchung das Schamgefühl verletzen, so wird sie von einer Person gleichen Geschlechts oder von einer Ärztin oder einem Arzt vorgenommen. </w:t>
      </w:r>
      <w:r>
        <w:rPr>
          <w:rStyle w:val="Satznummer"/>
        </w:rPr>
        <w:t>2</w:t>
      </w:r>
      <w:r>
        <w:t xml:space="preserve">Bei berechtigtem Interesse soll dem Wunsch, die Untersuchung einer Person oder einem Arzt bestimmten Geschlechts zu übertragen, entsprochen werden. </w:t>
      </w:r>
      <w:r>
        <w:rPr>
          <w:rStyle w:val="Satznummer"/>
        </w:rPr>
        <w:t>3</w:t>
      </w:r>
      <w:r>
        <w:t xml:space="preserve">Auf Verlangen der betroffenen Person soll eine Person des Vertrauens zugelassen werden. </w:t>
      </w:r>
      <w:r>
        <w:rPr>
          <w:rStyle w:val="Satznummer"/>
        </w:rPr>
        <w:t>4</w:t>
      </w:r>
      <w:r>
        <w:t>Die betroffene Person ist auf die Regelungen der Sätze 2 und 3 hinzuweisen.</w:t>
      </w:r>
    </w:p>
    <w:p>
      <w:r>
        <w:t>(2) Diese Vorschrift gilt auch dann, wenn die betroffene Person in die Untersuchung einwilligt.</w:t>
      </w:r>
    </w:p>
    <w:p>
      <w:pPr>
        <w:pStyle w:val="Heading3"/>
      </w:pPr>
      <w:bookmarkStart w:id="116" w:name="b115"/>
      <w:r>
        <w:t>§ 81e Molekulargenetische Untersuchung</w:t>
      </w:r>
      <w:r>
        <w:t xml:space="preserve"> </w:t>
      </w:r>
      <w:r>
        <w:rPr>
          <w:rStyle w:val="Suchmarke"/>
        </w:rPr>
        <w:t>#81e#</w:t>
      </w:r>
      <w:bookmarkEnd w:id="116"/>
    </w:p>
    <w:p>
      <w:r>
        <w:t xml:space="preserve">(1) </w:t>
      </w:r>
      <w:r>
        <w:rPr>
          <w:rStyle w:val="Satznummer"/>
        </w:rPr>
        <w:t>1</w:t>
      </w:r>
      <w:r>
        <w:t xml:space="preserve">An dem durch Maßnahmen nach </w:t>
      </w:r>
      <w:hyperlink w:anchor="b111" w:history="1">
        <w:r>
          <w:rPr>
            <w:color w:val="0A3A8C"/>
            <w:u w:val="single"/>
          </w:rPr>
          <w:t xml:space="preserve">§ 81a</w:t>
        </w:r>
      </w:hyperlink>
      <w:r>
        <w:t xml:space="preserve"> Absatz 1 oder </w:t>
      </w:r>
      <w:hyperlink w:anchor="b113" w:history="1">
        <w:r>
          <w:rPr>
            <w:color w:val="0A3A8C"/>
            <w:u w:val="single"/>
          </w:rPr>
          <w:t xml:space="preserve">§ 81c</w:t>
        </w:r>
      </w:hyperlink>
      <w:r>
        <w:t xml:space="preserve"> erlangten Material dürfen mittels molekulargenetischer Untersuchung das DNA-Identifizierungsmuster, die Abstammung und das Geschlecht der Person festgestellt und diese Feststellungen mit Vergleichsmaterial abgeglichen werden, soweit dies zur Erforschung des Sachverhalts erforderlich ist. </w:t>
      </w:r>
      <w:r>
        <w:rPr>
          <w:rStyle w:val="Satznummer"/>
        </w:rPr>
        <w:t>2</w:t>
      </w:r>
      <w:r>
        <w:t>Andere Feststellungen dürfen nicht erfolgen; hierauf gerichtete Untersuchungen sind unzulässig.</w:t>
      </w:r>
    </w:p>
    <w:p>
      <w:r>
        <w:t xml:space="preserve">(2) </w:t>
      </w:r>
      <w:r>
        <w:rPr>
          <w:rStyle w:val="Satznummer"/>
        </w:rPr>
        <w:t>1</w:t>
      </w:r>
      <w:r>
        <w:t xml:space="preserve">Nach Absatz 1 zulässige Untersuchungen dürfen auch an aufgefundenem, sichergestelltem oder beschlagnahmtem Material durchgeführt werden. </w:t>
      </w:r>
      <w:r>
        <w:rPr>
          <w:rStyle w:val="Satznummer"/>
        </w:rPr>
        <w:t>2</w:t>
      </w:r>
      <w:r>
        <w:t xml:space="preserve">Ist unbekannt, von welcher Person das Spurenmaterial stammt, dürfen zusätzlich Feststellungen über die Augen-, Haar- und Hautfarbe sowie das Alter der Person getroffen werden. </w:t>
      </w:r>
      <w:r>
        <w:rPr>
          <w:rStyle w:val="Satznummer"/>
        </w:rPr>
        <w:t>3</w:t>
      </w:r>
      <w:r>
        <w:t xml:space="preserve">Absatz 1 Satz 2 und </w:t>
      </w:r>
      <w:hyperlink w:anchor="b111" w:history="1">
        <w:r>
          <w:rPr>
            <w:color w:val="0A3A8C"/>
            <w:u w:val="single"/>
          </w:rPr>
          <w:t xml:space="preserve">§ 81a</w:t>
        </w:r>
      </w:hyperlink>
      <w:r>
        <w:t xml:space="preserve"> Abs. 3 erster Halbsatz gelten entsprechend. </w:t>
      </w:r>
      <w:r>
        <w:rPr>
          <w:rStyle w:val="Satznummer"/>
        </w:rPr>
        <w:t>4</w:t>
      </w:r>
      <w:r>
        <w:t xml:space="preserve">Ist bekannt, von welcher Person das Material stammt, gilt </w:t>
      </w:r>
      <w:hyperlink w:anchor="b116" w:history="1">
        <w:r>
          <w:rPr>
            <w:color w:val="0A3A8C"/>
            <w:u w:val="single"/>
          </w:rPr>
          <w:t xml:space="preserve">§ 81f</w:t>
        </w:r>
      </w:hyperlink>
      <w:r>
        <w:t xml:space="preserve"> Absatz 1 entsprechend.</w:t>
      </w:r>
    </w:p>
    <w:p>
      <w:pPr>
        <w:pStyle w:val="Heading3"/>
      </w:pPr>
      <w:bookmarkStart w:id="117" w:name="b116"/>
      <w:r>
        <w:t>§ 81f Verfahren bei der molekulargenetischen Untersuchung</w:t>
      </w:r>
      <w:r>
        <w:t xml:space="preserve"> </w:t>
      </w:r>
      <w:r>
        <w:rPr>
          <w:rStyle w:val="Suchmarke"/>
        </w:rPr>
        <w:t>#81f#</w:t>
      </w:r>
      <w:bookmarkEnd w:id="117"/>
    </w:p>
    <w:p>
      <w:r>
        <w:t xml:space="preserve">(1) </w:t>
      </w:r>
      <w:r>
        <w:rPr>
          <w:rStyle w:val="Satznummer"/>
        </w:rPr>
        <w:t>1</w:t>
      </w:r>
      <w:r>
        <w:t xml:space="preserve">Untersuchungen nach </w:t>
      </w:r>
      <w:hyperlink w:anchor="b115" w:history="1">
        <w:r>
          <w:rPr>
            <w:color w:val="0A3A8C"/>
            <w:u w:val="single"/>
          </w:rPr>
          <w:t xml:space="preserve">§ 81e</w:t>
        </w:r>
      </w:hyperlink>
      <w:r>
        <w:t xml:space="preserve"> Abs. 1 dürfen ohne Einwilligung der betroffenen Person nur durch das Gericht, bei Gefahr im Verzug auch durch die Staatsanwaltschaft und ihre Ermittlungspersonen (§ 152 des Gerichtsverfassungsgesetzes) angeordnet werden. </w:t>
      </w:r>
      <w:r>
        <w:rPr>
          <w:rStyle w:val="Satznummer"/>
        </w:rPr>
        <w:t>2</w:t>
      </w:r>
      <w:r>
        <w:t xml:space="preserve">Die einwilligende Person ist darüber zu belehren, für welchen Zweck die zu erhebenden Daten verwendet werden. </w:t>
      </w:r>
      <w:r>
        <w:rPr>
          <w:rStyle w:val="Satznummer"/>
        </w:rPr>
        <w:t>3</w:t>
      </w:r>
      <w:r>
        <w:t>Die Einwilligung ist schriftlich zu erklären oder von der Staatsanwaltschaft oder ihren Ermittlungspersonen in Gegenwart der einwilligenden Person zu protokollieren oder auf sonstige Weise zu dokumentieren.</w:t>
      </w:r>
    </w:p>
    <w:p>
      <w:r>
        <w:t xml:space="preserve">(2) </w:t>
      </w:r>
      <w:r>
        <w:rPr>
          <w:rStyle w:val="Satznummer"/>
        </w:rPr>
        <w:t>1</w:t>
      </w:r>
      <w:r>
        <w:t xml:space="preserve">Mit der Untersuchung nach </w:t>
      </w:r>
      <w:hyperlink w:anchor="b115" w:history="1">
        <w:r>
          <w:rPr>
            <w:color w:val="0A3A8C"/>
            <w:u w:val="single"/>
          </w:rPr>
          <w:t xml:space="preserve">§ 81e</w:t>
        </w:r>
      </w:hyperlink>
      <w:r>
        <w:t xml:space="preserve"> sind in der schriftlichen Anordnung Sachverständige zu beauftragen, die öffentlich bestellt oder nach dem Verpflichtungsgesetz verpflichtet oder Amtsträger sind, die der ermittlungsführenden Behörde nicht angehören oder einer Organisationseinheit dieser Behörde angehören, die von der ermittlungsführenden Dienststelle organisatorisch und sachlich getrennt ist. </w:t>
      </w:r>
      <w:r>
        <w:rPr>
          <w:rStyle w:val="Satznummer"/>
        </w:rPr>
        <w:t>2</w:t>
      </w:r>
      <w:r>
        <w:t xml:space="preserve">Diese haben durch technische und organisatorische Maßnahmen zu gewährleisten, daß unzulässige molekulargenetische Untersuchungen und unbefugte Kenntnisnahme Dritter ausgeschlossen sind. </w:t>
      </w:r>
      <w:r>
        <w:rPr>
          <w:rStyle w:val="Satznummer"/>
        </w:rPr>
        <w:t>3</w:t>
      </w:r>
      <w:r>
        <w:t xml:space="preserve">Dem Sachverständigen ist das Untersuchungsmaterial ohne Mitteilung des Namens, der Anschrift und des Geburtstages und -monats der betroffenen Person zu übergeben. </w:t>
      </w:r>
      <w:r>
        <w:rPr>
          <w:rStyle w:val="Satznummer"/>
        </w:rPr>
        <w:t>4</w:t>
      </w:r>
      <w:r>
        <w:t>Ist der Sachverständige eine nichtöffentliche Stelle, finden die Vorschriften der Verordnung (EU) 2016/679 des Europäischen Parlaments und des Rates vom 27. April 2016 zum Schutz natürlicher Personen bei der Verarbeitung personenbezogener Daten, zum freien Datenverkehr und zur Aufhebung der Richtlinie 95/46/EG (Datenschutz-Grundverordnung) (ABl. L 119 vom 4.5.2016, S. 1; L 314 vom 22.11.2016, S. 72; L 127 vom 23.5.2018, S. 2) und des Bundesdatenschutzgesetzes auch dann Anwendung, wenn die personenbezogenen Daten nicht automatisiert verarbeitet und die Daten nicht in einem Dateisystem gespeichert sind oder gespeichert werden sollen.</w:t>
      </w:r>
    </w:p>
    <w:p>
      <w:pPr>
        <w:pStyle w:val="Heading3"/>
      </w:pPr>
      <w:bookmarkStart w:id="118" w:name="b117"/>
      <w:r>
        <w:t>§ 81g DNA-Identitätsfeststellung</w:t>
      </w:r>
      <w:r>
        <w:t xml:space="preserve"> </w:t>
      </w:r>
      <w:r>
        <w:rPr>
          <w:rStyle w:val="Suchmarke"/>
        </w:rPr>
        <w:t>#81g#</w:t>
      </w:r>
      <w:bookmarkEnd w:id="118"/>
    </w:p>
    <w:p>
      <w:r>
        <w:t xml:space="preserve">(1) </w:t>
      </w:r>
      <w:r>
        <w:rPr>
          <w:rStyle w:val="Satznummer"/>
        </w:rPr>
        <w:t>1</w:t>
      </w:r>
      <w:r>
        <w:t xml:space="preserve">Ist der Beschuldigte einer Straftat von erheblicher Bedeutung oder einer Straftat gegen die sexuelle Selbstbestimmung verdächtig, dürfen ihm zur Identitätsfeststellung in künftigen Strafverfahren Körperzellen entnommen und zur Feststellung des DNA-Identifizierungsmusters sowie des Geschlechts molekulargenetisch untersucht werden, wenn wegen der Art oder Ausführung der Tat, der Persönlichkeit des Beschuldigten oder sonstiger Erkenntnisse Grund zu der Annahme besteht, dass gegen ihn künftig Strafverfahren wegen einer Straftat von erheblicher Bedeutung zu führen sind. </w:t>
      </w:r>
      <w:r>
        <w:rPr>
          <w:rStyle w:val="Satznummer"/>
        </w:rPr>
        <w:t>2</w:t>
      </w:r>
      <w:r>
        <w:t>Die wiederholte Begehung sonstiger Straftaten kann im Unrechtsgehalt einer Straftat von erheblicher Bedeutung gleichstehen.</w:t>
      </w:r>
    </w:p>
    <w:p>
      <w:r>
        <w:t xml:space="preserve">(2) </w:t>
      </w:r>
      <w:r>
        <w:rPr>
          <w:rStyle w:val="Satznummer"/>
        </w:rPr>
        <w:t>1</w:t>
      </w:r>
      <w:r>
        <w:t xml:space="preserve">Die entnommenen Körperzellen dürfen nur für die in Absatz 1 genannte molekulargenetische Untersuchung verwendet werden; sie sind unverzüglich zu vernichten, sobald sie hierfür nicht mehr erforderlich sind. </w:t>
      </w:r>
      <w:r>
        <w:rPr>
          <w:rStyle w:val="Satznummer"/>
        </w:rPr>
        <w:t>2</w:t>
      </w:r>
      <w:r>
        <w:t>Bei der Untersuchung dürfen andere Feststellungen als diejenigen, die zur Ermittlung des DNA-Identifizierungsmusters sowie des Geschlechts erforderlich sind, nicht getroffen werden; hierauf gerichtete Untersuchungen sind unzulässig.</w:t>
      </w:r>
    </w:p>
    <w:p>
      <w:r>
        <w:t xml:space="preserve">(3) </w:t>
      </w:r>
      <w:r>
        <w:rPr>
          <w:rStyle w:val="Satznummer"/>
        </w:rPr>
        <w:t>1</w:t>
      </w:r>
      <w:r>
        <w:t xml:space="preserve">Die Entnahme der Körperzellen darf ohne Einwilligung des Beschuldigten nur durch das Gericht, bei Gefahr im Verzug auch durch die Staatsanwaltschaft und ihre Ermittlungspersonen (§ 152 des Gerichtsverfassungsgesetzes) angeordnet werden. </w:t>
      </w:r>
      <w:r>
        <w:rPr>
          <w:rStyle w:val="Satznummer"/>
        </w:rPr>
        <w:t>2</w:t>
      </w:r>
      <w:r>
        <w:t xml:space="preserve">Die molekulargenetische Untersuchung der Körperzellen darf ohne Einwilligung des Beschuldigten nur durch das Gericht angeordnet werden. </w:t>
      </w:r>
      <w:r>
        <w:rPr>
          <w:rStyle w:val="Satznummer"/>
        </w:rPr>
        <w:t>3</w:t>
      </w:r>
      <w:r>
        <w:t xml:space="preserve">Die einwilligende Person ist darüber zu belehren, für welchen Zweck die zu erhebenden Daten verwendet werden. </w:t>
      </w:r>
      <w:r>
        <w:rPr>
          <w:rStyle w:val="Satznummer"/>
        </w:rPr>
        <w:t>4</w:t>
      </w:r>
      <w:hyperlink w:anchor="b116" w:history="1">
        <w:r>
          <w:rPr>
            <w:color w:val="0A3A8C"/>
            <w:u w:val="single"/>
          </w:rPr>
          <w:t xml:space="preserve">§ 81f</w:t>
        </w:r>
      </w:hyperlink>
      <w:r>
        <w:t xml:space="preserve"> Absatz 1 Satz 3 und Absatz 2 gilt entsprechend. </w:t>
      </w:r>
      <w:r>
        <w:rPr>
          <w:rStyle w:val="Satznummer"/>
        </w:rPr>
        <w:t>5</w:t>
      </w:r>
      <w:r>
        <w:t>In der schriftlichen Begründung des Gerichts sind einzelfallbezogen darzulegen</w:t>
      </w:r>
    </w:p>
    <w:p>
      <w:pPr>
        <w:tabs>
          <w:tab w:pos="567" w:val="left"/>
        </w:tabs>
        <w:ind w:left="567" w:hanging="567"/>
      </w:pPr>
      <w:r>
        <w:t>1.</w:t>
      </w:r>
      <w:r>
        <w:tab/>
      </w:r>
      <w:r>
        <w:t>die für die Beurteilung der Erheblichkeit der Straftat bestimmenden Tatsachen,</w:t>
      </w:r>
    </w:p>
    <w:p>
      <w:pPr>
        <w:tabs>
          <w:tab w:pos="567" w:val="left"/>
        </w:tabs>
        <w:ind w:left="567" w:hanging="567"/>
      </w:pPr>
      <w:r>
        <w:t>2.</w:t>
      </w:r>
      <w:r>
        <w:tab/>
      </w:r>
      <w:r>
        <w:t>die Erkenntnisse, auf Grund derer Grund zu der Annahme besteht, dass gegen den Beschuldigten künftig Strafverfahren zu führen sein werden, sowie</w:t>
      </w:r>
    </w:p>
    <w:p>
      <w:pPr>
        <w:tabs>
          <w:tab w:pos="567" w:val="left"/>
        </w:tabs>
        <w:ind w:left="567" w:hanging="567"/>
      </w:pPr>
      <w:r>
        <w:t>3.</w:t>
      </w:r>
      <w:r>
        <w:tab/>
      </w:r>
      <w:r>
        <w:t>die Abwägung der jeweils maßgeblichen Umstände.</w:t>
      </w:r>
    </w:p>
    <w:p>
      <w:r>
        <w:t>(4) Die Absätze 1 bis 3 gelten entsprechend, wenn die betroffene Person wegen der Tat rechtskräftig verurteilt oder nur wegen</w:t>
      </w:r>
    </w:p>
    <w:p>
      <w:pPr>
        <w:tabs>
          <w:tab w:pos="567" w:val="left"/>
        </w:tabs>
        <w:ind w:left="567" w:hanging="567"/>
      </w:pPr>
      <w:r>
        <w:t>1.</w:t>
      </w:r>
      <w:r>
        <w:tab/>
      </w:r>
      <w:r>
        <w:t>erwiesener oder nicht auszuschließender Schuldunfähigkeit,</w:t>
      </w:r>
    </w:p>
    <w:p>
      <w:pPr>
        <w:tabs>
          <w:tab w:pos="567" w:val="left"/>
        </w:tabs>
        <w:ind w:left="567" w:hanging="567"/>
      </w:pPr>
      <w:r>
        <w:t>2.</w:t>
      </w:r>
      <w:r>
        <w:tab/>
      </w:r>
      <w:r>
        <w:t>auf Geisteskrankheit beruhender Verhandlungsunfähigkeit oder</w:t>
      </w:r>
    </w:p>
    <w:p>
      <w:pPr>
        <w:tabs>
          <w:tab w:pos="567" w:val="left"/>
        </w:tabs>
        <w:ind w:left="567" w:hanging="567"/>
      </w:pPr>
      <w:r>
        <w:t>3.</w:t>
      </w:r>
      <w:r>
        <w:tab/>
      </w:r>
      <w:r>
        <w:t>fehlender oder nicht auszuschließender fehlender Verantwortlichkeit (§ 3 des Jugendgerichtsgesetzes)</w:t>
      </w:r>
    </w:p>
    <w:p>
      <w:r>
        <w:t>nicht verurteilt worden ist und die entsprechende Eintragung im Bundeszentralregister oder Erziehungsregister noch nicht getilgt ist.</w:t>
      </w:r>
    </w:p>
    <w:p>
      <w:r>
        <w:t xml:space="preserve">(5) </w:t>
      </w:r>
      <w:r>
        <w:rPr>
          <w:rStyle w:val="Satznummer"/>
        </w:rPr>
        <w:t>1</w:t>
      </w:r>
      <w:r>
        <w:t xml:space="preserve">Die erhobenen Daten dürfen beim Bundeskriminalamt gespeichert und nach Maßgabe des Bundeskriminalamtgesetzes verwendet werden. </w:t>
      </w:r>
      <w:r>
        <w:rPr>
          <w:rStyle w:val="Satznummer"/>
        </w:rPr>
        <w:t>2</w:t>
      </w:r>
      <w:r>
        <w:t>Das Gleiche gilt</w:t>
      </w:r>
    </w:p>
    <w:p>
      <w:pPr>
        <w:tabs>
          <w:tab w:pos="567" w:val="left"/>
        </w:tabs>
        <w:ind w:left="567" w:hanging="567"/>
      </w:pPr>
      <w:r>
        <w:t>1.</w:t>
      </w:r>
      <w:r>
        <w:tab/>
      </w:r>
      <w:r>
        <w:t xml:space="preserve">unter den in Absatz 1 genannten Voraussetzungen für die nach </w:t>
      </w:r>
      <w:hyperlink w:anchor="b115" w:history="1">
        <w:r>
          <w:rPr>
            <w:color w:val="0A3A8C"/>
            <w:u w:val="single"/>
          </w:rPr>
          <w:t xml:space="preserve">§ 81e</w:t>
        </w:r>
      </w:hyperlink>
      <w:r>
        <w:t xml:space="preserve"> Abs. 1 erhobenen Daten eines Beschuldigten sowie</w:t>
      </w:r>
    </w:p>
    <w:p>
      <w:pPr>
        <w:tabs>
          <w:tab w:pos="567" w:val="left"/>
        </w:tabs>
        <w:ind w:left="567" w:hanging="567"/>
      </w:pPr>
      <w:r>
        <w:t>2.</w:t>
      </w:r>
      <w:r>
        <w:tab/>
      </w:r>
      <w:r>
        <w:t xml:space="preserve">für die nach </w:t>
      </w:r>
      <w:hyperlink w:anchor="b115" w:history="1">
        <w:r>
          <w:rPr>
            <w:color w:val="0A3A8C"/>
            <w:u w:val="single"/>
          </w:rPr>
          <w:t xml:space="preserve">§ 81e</w:t>
        </w:r>
      </w:hyperlink>
      <w:r>
        <w:t xml:space="preserve"> Abs. 2 Satz 1 erhobenen Daten.</w:t>
      </w:r>
    </w:p>
    <w:p>
      <w:r>
        <w:rPr>
          <w:rStyle w:val="Satznummer"/>
        </w:rPr>
        <w:t>3</w:t>
      </w:r>
      <w:r>
        <w:t xml:space="preserve">Die Daten dürfen nur für Zwecke eines Strafverfahrens, der Gefahrenabwehr und der internationalen Rechtshilfe hierfür übermittelt werden. </w:t>
      </w:r>
      <w:r>
        <w:rPr>
          <w:rStyle w:val="Satznummer"/>
        </w:rPr>
        <w:t>4</w:t>
      </w:r>
      <w:r>
        <w:t>Im Fall des Satzes 2 Nr. 1 ist der Beschuldigte unverzüglich von der Speicherung zu benachrichtigen und darauf hinzuweisen, dass er die gerichtliche Entscheidung beantragen kann.</w:t>
      </w:r>
    </w:p>
    <w:p>
      <w:pPr>
        <w:pStyle w:val="Heading3"/>
      </w:pPr>
      <w:bookmarkStart w:id="119" w:name="b118"/>
      <w:r>
        <w:t>§ 81h DNA-Reihenuntersuchung</w:t>
      </w:r>
      <w:r>
        <w:t xml:space="preserve"> </w:t>
      </w:r>
      <w:r>
        <w:rPr>
          <w:rStyle w:val="Suchmarke"/>
        </w:rPr>
        <w:t>#81h#</w:t>
      </w:r>
      <w:bookmarkEnd w:id="119"/>
    </w:p>
    <w:p>
      <w:r>
        <w:t xml:space="preserve">(1) </w:t>
      </w:r>
      <w:r>
        <w:rPr>
          <w:rStyle w:val="Satznummer"/>
        </w:rPr>
        <w:t>1</w:t>
      </w:r>
      <w:r>
        <w:t>Begründen bestimmte Tatsachen den Verdacht, dass ein Verbrechen gegen das Leben, die körperliche Unversehrtheit, die persönliche Freiheit oder die sexuelle Selbstbestimmung begangen worden ist, dürfen Personen, die bestimmte, auf den Täter vermutlich zutreffende Prüfungsmerkmale erfüllen, mit ihrer Einwilligung</w:t>
      </w:r>
    </w:p>
    <w:p>
      <w:pPr>
        <w:tabs>
          <w:tab w:pos="567" w:val="left"/>
        </w:tabs>
        <w:ind w:left="567" w:hanging="567"/>
      </w:pPr>
      <w:r>
        <w:t>1.</w:t>
      </w:r>
      <w:r>
        <w:tab/>
      </w:r>
      <w:r>
        <w:t>Körperzellen entnommen,</w:t>
      </w:r>
    </w:p>
    <w:p>
      <w:pPr>
        <w:tabs>
          <w:tab w:pos="567" w:val="left"/>
        </w:tabs>
        <w:ind w:left="567" w:hanging="567"/>
      </w:pPr>
      <w:r>
        <w:t>2.</w:t>
      </w:r>
      <w:r>
        <w:tab/>
      </w:r>
      <w:r>
        <w:t>diese zur Feststellung des DNA-Identifizierungsmusters und des Geschlechts molekulargenetisch untersucht und</w:t>
      </w:r>
    </w:p>
    <w:p>
      <w:pPr>
        <w:tabs>
          <w:tab w:pos="567" w:val="left"/>
        </w:tabs>
        <w:ind w:left="567" w:hanging="567"/>
      </w:pPr>
      <w:r>
        <w:t>3.</w:t>
      </w:r>
      <w:r>
        <w:tab/>
      </w:r>
      <w:r>
        <w:t>die festgestellten DNA-Identifizierungsmuster mit den DNA-Identifizierungsmustern von Spurenmaterial automatisiert abgeglichen werden,</w:t>
      </w:r>
    </w:p>
    <w:p>
      <w:r>
        <w:t xml:space="preserve">soweit dies zur Feststellung erforderlich ist, ob das Spurenmaterial von diesen Personen oder von ihren Verwandten in gerader Linie oder in der Seitenlinie bis zum dritten Grad stammt, und die Maßnahme insbesondere im Hinblick auf die Anzahl der von ihr betroffenen Personen nicht außer Verhältnis zur Schwere der Tat steht. </w:t>
      </w:r>
      <w:r>
        <w:rPr>
          <w:rStyle w:val="Satznummer"/>
        </w:rPr>
        <w:t>2</w:t>
      </w:r>
      <w:r>
        <w:t>Die Einwilligung ist schriftlich zu erklären oder von der Staatsanwaltschaft oder ihren Ermittlungspersonen in Gegenwart der einwilligenden Person zu protokollieren oder auf sonstige Weise zu dokumentieren.</w:t>
      </w:r>
    </w:p>
    <w:p>
      <w:r>
        <w:t xml:space="preserve">(2) </w:t>
      </w:r>
      <w:r>
        <w:rPr>
          <w:rStyle w:val="Satznummer"/>
        </w:rPr>
        <w:t>1</w:t>
      </w:r>
      <w:r>
        <w:t xml:space="preserve">Eine Maßnahme nach Absatz 1 bedarf der gerichtlichen Anordnung. </w:t>
      </w:r>
      <w:r>
        <w:rPr>
          <w:rStyle w:val="Satznummer"/>
        </w:rPr>
        <w:t>2</w:t>
      </w:r>
      <w:r>
        <w:t xml:space="preserve">Diese ergeht schriftlich. </w:t>
      </w:r>
      <w:r>
        <w:rPr>
          <w:rStyle w:val="Satznummer"/>
        </w:rPr>
        <w:t>3</w:t>
      </w:r>
      <w:r>
        <w:t xml:space="preserve">Sie muss die betroffenen Personen anhand bestimmter Prüfungsmerkmale bezeichnen und ist zu begründen. </w:t>
      </w:r>
      <w:r>
        <w:rPr>
          <w:rStyle w:val="Satznummer"/>
        </w:rPr>
        <w:t>4</w:t>
      </w:r>
      <w:r>
        <w:t xml:space="preserve">Einer vorherigen Anhörung der betroffenen Personen bedarf es nicht. </w:t>
      </w:r>
      <w:r>
        <w:rPr>
          <w:rStyle w:val="Satznummer"/>
        </w:rPr>
        <w:t>5</w:t>
      </w:r>
      <w:r>
        <w:t>Die Entscheidung, mit der die Maßnahme angeordnet wird, ist nicht anfechtbar.</w:t>
      </w:r>
    </w:p>
    <w:p>
      <w:r>
        <w:t xml:space="preserve">(3) </w:t>
      </w:r>
      <w:r>
        <w:rPr>
          <w:rStyle w:val="Satznummer"/>
        </w:rPr>
        <w:t>1</w:t>
      </w:r>
      <w:r>
        <w:t xml:space="preserve">Für die Durchführung der Maßnahme gilt </w:t>
      </w:r>
      <w:hyperlink w:anchor="b116" w:history="1">
        <w:r>
          <w:rPr>
            <w:color w:val="0A3A8C"/>
            <w:u w:val="single"/>
          </w:rPr>
          <w:t xml:space="preserve">§ 81f</w:t>
        </w:r>
      </w:hyperlink>
      <w:r>
        <w:t xml:space="preserve"> Absatz 2 entsprechend. </w:t>
      </w:r>
      <w:r>
        <w:rPr>
          <w:rStyle w:val="Satznummer"/>
        </w:rPr>
        <w:t>2</w:t>
      </w:r>
      <w:r>
        <w:t xml:space="preserve">Die entnommenen Körperzellen sind unverzüglich zu vernichten, sobald sie für die Untersuchung nach Absatz 1 nicht mehr benötigt werden. </w:t>
      </w:r>
      <w:r>
        <w:rPr>
          <w:rStyle w:val="Satznummer"/>
        </w:rPr>
        <w:t>3</w:t>
      </w:r>
      <w:r>
        <w:t xml:space="preserve">Soweit die Aufzeichnungen über die durch die Maßnahme festgestellten DNA-Identifizierungsmuster zur Erforschung des Sachverhalts nicht mehr erforderlich sind, sind sie unverzüglich zu löschen. </w:t>
      </w:r>
      <w:r>
        <w:rPr>
          <w:rStyle w:val="Satznummer"/>
        </w:rPr>
        <w:t>4</w:t>
      </w:r>
      <w:r>
        <w:t>Die Vernichtung und die Löschung sind zu dokumentieren.</w:t>
      </w:r>
    </w:p>
    <w:p>
      <w:r>
        <w:t xml:space="preserve">(4) </w:t>
      </w:r>
      <w:r>
        <w:rPr>
          <w:rStyle w:val="Satznummer"/>
        </w:rPr>
        <w:t>1</w:t>
      </w:r>
      <w:r>
        <w:t xml:space="preserve">Die betroffenen Personen sind schriftlich darüber zu belehren, dass die Maßnahme nur mit ihrer Einwilligung durchgeführt werden darf. </w:t>
      </w:r>
      <w:r>
        <w:rPr>
          <w:rStyle w:val="Satznummer"/>
        </w:rPr>
        <w:t>2</w:t>
      </w:r>
      <w:r>
        <w:t>Vor Erteilung der Einwilligung sind sie schriftlich auch darauf hinzuweisen, dass</w:t>
      </w:r>
    </w:p>
    <w:p>
      <w:pPr>
        <w:tabs>
          <w:tab w:pos="567" w:val="left"/>
        </w:tabs>
        <w:ind w:left="567" w:hanging="567"/>
      </w:pPr>
      <w:r>
        <w:t>1.</w:t>
      </w:r>
      <w:r>
        <w:tab/>
      </w:r>
      <w:r>
        <w:t>die entnommenen Körperzellen ausschließlich zur Feststellung des DNA-Identifizierungsmusters, der Abstammung und des Geschlechts untersucht werden und dass sie unverzüglich vernichtet werden, sobald sie hierfür nicht mehr erforderlich sind,</w:t>
      </w:r>
    </w:p>
    <w:p>
      <w:pPr>
        <w:tabs>
          <w:tab w:pos="567" w:val="left"/>
        </w:tabs>
        <w:ind w:left="567" w:hanging="567"/>
      </w:pPr>
      <w:r>
        <w:t>2.</w:t>
      </w:r>
      <w:r>
        <w:tab/>
      </w:r>
      <w:r>
        <w:t>das Untersuchungsergebnis mit den DNA-Identifizierungsmustern von Spurenmaterial automatisiert daraufhin abgeglichen wird, ob das Spurenmaterial von ihnen oder von ihren Verwandten in gerader Linie oder in der Seitenlinie bis zum dritten Grad stammt,</w:t>
      </w:r>
    </w:p>
    <w:p>
      <w:pPr>
        <w:tabs>
          <w:tab w:pos="567" w:val="left"/>
        </w:tabs>
        <w:ind w:left="567" w:hanging="567"/>
      </w:pPr>
      <w:r>
        <w:t>3.</w:t>
      </w:r>
      <w:r>
        <w:tab/>
      </w:r>
      <w:r>
        <w:t>das Ergebnis des Abgleichs zu Lasten der betroffenen Person oder mit ihr in gerader Linie oder in der Seitenlinie bis zum dritten Grad verwandter Personen verwertet werden darf und</w:t>
      </w:r>
    </w:p>
    <w:p>
      <w:pPr>
        <w:tabs>
          <w:tab w:pos="567" w:val="left"/>
        </w:tabs>
        <w:ind w:left="567" w:hanging="567"/>
      </w:pPr>
      <w:r>
        <w:t>4.</w:t>
      </w:r>
      <w:r>
        <w:tab/>
      </w:r>
      <w:r>
        <w:t>die festgestellten DNA-Identifizierungsmuster nicht zur Identitätsfeststellung in künftigen Strafverfahren beim Bundeskriminalamt gespeichert werden.</w:t>
      </w:r>
    </w:p>
    <w:p>
      <w:pPr>
        <w:pStyle w:val="Heading3"/>
      </w:pPr>
      <w:bookmarkStart w:id="120" w:name="b119"/>
      <w:r>
        <w:t>§ 82 Form der Erstattung eines Gutachtens im Vorverfahren</w:t>
      </w:r>
      <w:r>
        <w:t xml:space="preserve"> </w:t>
      </w:r>
      <w:r>
        <w:rPr>
          <w:rStyle w:val="Suchmarke"/>
        </w:rPr>
        <w:t>#82#</w:t>
      </w:r>
      <w:bookmarkEnd w:id="120"/>
    </w:p>
    <w:p>
      <w:r>
        <w:t>Im Vorverfahren hängt es von der Anordnung des Richters ab, ob die Sachverständigen ihr Gutachten schriftlich oder mündlich zu erstatten haben.</w:t>
      </w:r>
    </w:p>
    <w:p>
      <w:pPr>
        <w:pStyle w:val="Heading3"/>
      </w:pPr>
      <w:bookmarkStart w:id="121" w:name="b120"/>
      <w:r>
        <w:t>§ 83 Anordnung einer neuen Begutachtung</w:t>
      </w:r>
      <w:r>
        <w:t xml:space="preserve"> </w:t>
      </w:r>
      <w:r>
        <w:rPr>
          <w:rStyle w:val="Suchmarke"/>
        </w:rPr>
        <w:t>#83#</w:t>
      </w:r>
      <w:bookmarkEnd w:id="121"/>
    </w:p>
    <w:p>
      <w:r>
        <w:t>(1) Der Richter kann eine neue Begutachtung durch dieselben oder durch andere Sachverständige anordnen, wenn er das Gutachten für ungenügend erachtet.</w:t>
      </w:r>
    </w:p>
    <w:p>
      <w:r>
        <w:t>(2) Der Richter kann die Begutachtung durch einen anderen Sachverständigen anordnen, wenn ein Sachverständiger nach Erstattung des Gutachtens mit Erfolg abgelehnt ist.</w:t>
      </w:r>
    </w:p>
    <w:p>
      <w:r>
        <w:t>(3) In wichtigeren Fällen kann das Gutachten einer Fachbehörde eingeholt werden.</w:t>
      </w:r>
    </w:p>
    <w:p>
      <w:pPr>
        <w:pStyle w:val="Heading3"/>
      </w:pPr>
      <w:bookmarkStart w:id="122" w:name="b121"/>
      <w:r>
        <w:t>§ 84 Sachverständigenvergütung</w:t>
      </w:r>
      <w:r>
        <w:t xml:space="preserve"> </w:t>
      </w:r>
      <w:r>
        <w:rPr>
          <w:rStyle w:val="Suchmarke"/>
        </w:rPr>
        <w:t>#84#</w:t>
      </w:r>
      <w:bookmarkEnd w:id="122"/>
    </w:p>
    <w:p>
      <w:r>
        <w:t>Der Sachverständige erhält eine Vergütung nach dem Justizvergütungs- und -entschädigungsgesetz.</w:t>
      </w:r>
    </w:p>
    <w:p>
      <w:pPr>
        <w:pStyle w:val="Heading3"/>
      </w:pPr>
      <w:bookmarkStart w:id="123" w:name="b122"/>
      <w:r>
        <w:t>§ 85 Sachverständige Zeugen</w:t>
      </w:r>
      <w:r>
        <w:t xml:space="preserve"> </w:t>
      </w:r>
      <w:r>
        <w:rPr>
          <w:rStyle w:val="Suchmarke"/>
        </w:rPr>
        <w:t>#85#</w:t>
      </w:r>
      <w:bookmarkEnd w:id="123"/>
    </w:p>
    <w:p>
      <w:r>
        <w:t>Soweit zum Beweis vergangener Tatsachen oder Zustände, zu deren Wahrnehmung eine besondere Sachkunde erforderlich war, sachkundige Personen zu vernehmen sind, gelten die Vorschriften über den Zeugenbeweis.</w:t>
      </w:r>
    </w:p>
    <w:p>
      <w:pPr>
        <w:pStyle w:val="Heading3"/>
      </w:pPr>
      <w:bookmarkStart w:id="124" w:name="b123"/>
      <w:r>
        <w:t>§ 86 Richterlicher Augenschein</w:t>
      </w:r>
      <w:r>
        <w:t xml:space="preserve"> </w:t>
      </w:r>
      <w:r>
        <w:rPr>
          <w:rStyle w:val="Suchmarke"/>
        </w:rPr>
        <w:t>#86#</w:t>
      </w:r>
      <w:bookmarkEnd w:id="124"/>
    </w:p>
    <w:p>
      <w:r>
        <w:t>Findet die Einnahme eines richterlichen Augenscheins statt, so ist im Protokoll der vorgefundene Sachbestand festzustellen und darüber Auskunft zu geben, welche Spuren oder Merkmale, deren Vorhandensein nach der besonderen Beschaffenheit des Falles vermutet werden konnte, gefehlt haben.</w:t>
      </w:r>
    </w:p>
    <w:p>
      <w:pPr>
        <w:pStyle w:val="Heading3"/>
      </w:pPr>
      <w:bookmarkStart w:id="125" w:name="b124"/>
      <w:r>
        <w:t>§ 87 Leichenschau, Leichenöffnung, Ausgrabung der Leiche</w:t>
      </w:r>
      <w:r>
        <w:t xml:space="preserve"> </w:t>
      </w:r>
      <w:r>
        <w:rPr>
          <w:rStyle w:val="Suchmarke"/>
        </w:rPr>
        <w:t>#87#</w:t>
      </w:r>
      <w:bookmarkEnd w:id="125"/>
    </w:p>
    <w:p>
      <w:r>
        <w:t xml:space="preserve">(1) </w:t>
      </w:r>
      <w:r>
        <w:rPr>
          <w:rStyle w:val="Satznummer"/>
        </w:rPr>
        <w:t>1</w:t>
      </w:r>
      <w:r>
        <w:t xml:space="preserve">Die Leichenschau wird von der Staatsanwaltschaft, auf Antrag der Staatsanwaltschaft auch vom Richter, unter Zuziehung eines Arztes vorgenommen. </w:t>
      </w:r>
      <w:r>
        <w:rPr>
          <w:rStyle w:val="Satznummer"/>
        </w:rPr>
        <w:t>2</w:t>
      </w:r>
      <w:r>
        <w:t>Ein Arzt wird nicht zugezogen, wenn dies zur Aufklärung des Sachverhalts offensichtlich entbehrlich ist.</w:t>
      </w:r>
    </w:p>
    <w:p>
      <w:r>
        <w:t xml:space="preserve">(2) </w:t>
      </w:r>
      <w:r>
        <w:rPr>
          <w:rStyle w:val="Satznummer"/>
        </w:rPr>
        <w:t>1</w:t>
      </w:r>
      <w:r>
        <w:t xml:space="preserve">Die Leichenöffnung wird von zwei Ärzten vorgenommen. </w:t>
      </w:r>
      <w:r>
        <w:rPr>
          <w:rStyle w:val="Satznummer"/>
        </w:rPr>
        <w:t>2</w:t>
      </w:r>
      <w:r>
        <w:t xml:space="preserve">Einer der Ärzte muß Gerichtsarzt oder Leiter eines öffentlichen gerichtsmedizinischen oder pathologischen Instituts oder ein von diesem beauftragter Arzt des Instituts mit gerichtsmedizinischen Fachkenntnissen sein. </w:t>
      </w:r>
      <w:r>
        <w:rPr>
          <w:rStyle w:val="Satznummer"/>
        </w:rPr>
        <w:t>3</w:t>
      </w:r>
      <w:r>
        <w:t xml:space="preserve">Dem Arzt, welcher den Verstorbenen in der dem Tod unmittelbar vorausgegangenen Krankheit behandelt hat, ist die Leichenöffnung nicht zu übertragen. </w:t>
      </w:r>
      <w:r>
        <w:rPr>
          <w:rStyle w:val="Satznummer"/>
        </w:rPr>
        <w:t>4</w:t>
      </w:r>
      <w:r>
        <w:t xml:space="preserve">Er kann jedoch aufgefordert werden, der Leichenöffnung beizuwohnen, um aus der Krankheitsgeschichte Aufschlüsse zu geben. </w:t>
      </w:r>
      <w:r>
        <w:rPr>
          <w:rStyle w:val="Satznummer"/>
        </w:rPr>
        <w:t>5</w:t>
      </w:r>
      <w:r>
        <w:t xml:space="preserve">Die Staatsanwaltschaft kann an der Leichenöffnung teilnehmen. </w:t>
      </w:r>
      <w:r>
        <w:rPr>
          <w:rStyle w:val="Satznummer"/>
        </w:rPr>
        <w:t>6</w:t>
      </w:r>
      <w:r>
        <w:t>Auf ihren Antrag findet die Leichenöffnung im Beisein des Richters statt.</w:t>
      </w:r>
    </w:p>
    <w:p>
      <w:r>
        <w:t>(3) Zur Besichtigung oder Öffnung einer schon beerdigten Leiche ist ihre Ausgrabung statthaft.</w:t>
      </w:r>
    </w:p>
    <w:p>
      <w:r>
        <w:t xml:space="preserve">(4) </w:t>
      </w:r>
      <w:r>
        <w:rPr>
          <w:rStyle w:val="Satznummer"/>
        </w:rPr>
        <w:t>1</w:t>
      </w:r>
      <w:r>
        <w:t xml:space="preserve">Die Leichenöffnung und die Ausgrabung einer beerdigten Leiche werden vom Richter angeordnet; die Staatsanwaltschaft ist zu der Anordnung befugt, wenn der Untersuchungserfolg durch Verzögerung gefährdet würde. </w:t>
      </w:r>
      <w:r>
        <w:rPr>
          <w:rStyle w:val="Satznummer"/>
        </w:rPr>
        <w:t>2</w:t>
      </w:r>
      <w:r>
        <w:t>Wird die Ausgrabung angeordnet, so ist zugleich die Benachrichtigung eines Angehörigen des Toten anzuordnen, wenn der Angehörige ohne besondere Schwierigkeiten ermittelt werden kann und der Untersuchungszweck durch die Benachrichtigung nicht gefährdet wird.</w:t>
      </w:r>
    </w:p>
    <w:p>
      <w:pPr>
        <w:pStyle w:val="Heading3"/>
      </w:pPr>
      <w:bookmarkStart w:id="126" w:name="b125"/>
      <w:r>
        <w:t>§ 88 Identifizierung des Verstorbenen vor Leichenöffnung</w:t>
      </w:r>
      <w:r>
        <w:t xml:space="preserve"> </w:t>
      </w:r>
      <w:r>
        <w:rPr>
          <w:rStyle w:val="Suchmarke"/>
        </w:rPr>
        <w:t>#88#</w:t>
      </w:r>
      <w:bookmarkEnd w:id="126"/>
    </w:p>
    <w:p>
      <w:r>
        <w:t xml:space="preserve">(1) </w:t>
      </w:r>
      <w:r>
        <w:rPr>
          <w:rStyle w:val="Satznummer"/>
        </w:rPr>
        <w:t>1</w:t>
      </w:r>
      <w:r>
        <w:t xml:space="preserve">Vor der Leichenöffnung soll die Identität des Verstorbenen festgestellt werden. </w:t>
      </w:r>
      <w:r>
        <w:rPr>
          <w:rStyle w:val="Satznummer"/>
        </w:rPr>
        <w:t>2</w:t>
      </w:r>
      <w:r>
        <w:t xml:space="preserve">Zu diesem Zweck können insbesondere Personen, die den Verstorbenen gekannt haben, befragt und Maßnahmen erkennungsdienstlicher Art durchgeführt werden. </w:t>
      </w:r>
      <w:r>
        <w:rPr>
          <w:rStyle w:val="Satznummer"/>
        </w:rPr>
        <w:t>3</w:t>
      </w:r>
      <w:r>
        <w:t xml:space="preserve">Zur Feststellung der Identität und des Geschlechts sind die Entnahme von Körperzellen und deren molekulargenetische Untersuchung zulässig; für die molekulargenetische Untersuchung gilt </w:t>
      </w:r>
      <w:hyperlink w:anchor="b116" w:history="1">
        <w:r>
          <w:rPr>
            <w:color w:val="0A3A8C"/>
            <w:u w:val="single"/>
          </w:rPr>
          <w:t xml:space="preserve">§ 81f</w:t>
        </w:r>
      </w:hyperlink>
      <w:r>
        <w:t xml:space="preserve"> Abs. 2 entsprechend.</w:t>
      </w:r>
    </w:p>
    <w:p>
      <w:r>
        <w:t>(2) Ist ein Beschuldigter vorhanden, so soll ihm die Leiche zur Anerkennung vorgezeigt werden.</w:t>
      </w:r>
    </w:p>
    <w:p>
      <w:pPr>
        <w:pStyle w:val="Heading3"/>
      </w:pPr>
      <w:bookmarkStart w:id="127" w:name="b126"/>
      <w:r>
        <w:t>§ 89 Umfang der Leichenöffnung</w:t>
      </w:r>
      <w:r>
        <w:t xml:space="preserve"> </w:t>
      </w:r>
      <w:r>
        <w:rPr>
          <w:rStyle w:val="Suchmarke"/>
        </w:rPr>
        <w:t>#89#</w:t>
      </w:r>
      <w:bookmarkEnd w:id="127"/>
    </w:p>
    <w:p>
      <w:r>
        <w:t>Die Leichenöffnung muß sich, soweit der Zustand der Leiche dies gestattet, stets auf die Öffnung der Kopf-, Brust- und Bauchhöhle erstrecken.</w:t>
      </w:r>
    </w:p>
    <w:p>
      <w:pPr>
        <w:pStyle w:val="Heading3"/>
      </w:pPr>
      <w:bookmarkStart w:id="128" w:name="b127"/>
      <w:r>
        <w:t>§ 90 Öffnung der Leiche eines Neugeborenen</w:t>
      </w:r>
      <w:r>
        <w:t xml:space="preserve"> </w:t>
      </w:r>
      <w:r>
        <w:rPr>
          <w:rStyle w:val="Suchmarke"/>
        </w:rPr>
        <w:t>#90#</w:t>
      </w:r>
      <w:bookmarkEnd w:id="128"/>
    </w:p>
    <w:p>
      <w:r>
        <w:t>Bei Öffnung der Leiche eines neugeborenen Kindes ist die Untersuchung insbesondere auch darauf zu richten, ob es nach oder während der Geburt gelebt hat und ob es reif oder wenigstens fähig gewesen ist, das Leben außerhalb des Mutterleibes fortzusetzen.</w:t>
      </w:r>
    </w:p>
    <w:p>
      <w:pPr>
        <w:pStyle w:val="Heading3"/>
      </w:pPr>
      <w:bookmarkStart w:id="129" w:name="b128"/>
      <w:r>
        <w:t>§ 91 Untersuchung der Leiche bei Verdacht einer Vergiftung</w:t>
      </w:r>
      <w:r>
        <w:t xml:space="preserve"> </w:t>
      </w:r>
      <w:r>
        <w:rPr>
          <w:rStyle w:val="Suchmarke"/>
        </w:rPr>
        <w:t>#91#</w:t>
      </w:r>
      <w:bookmarkEnd w:id="129"/>
    </w:p>
    <w:p>
      <w:r>
        <w:t>(1) Liegt der Verdacht einer Vergiftung vor, so ist die Untersuchung der in der Leiche oder sonst gefundenen verdächtigen Stoffe durch einen Chemiker oder durch eine für solche Untersuchungen bestehende Fachbehörde vorzunehmen.</w:t>
      </w:r>
    </w:p>
    <w:p>
      <w:r>
        <w:t>(2) Es kann angeordnet werden, daß diese Untersuchung unter Mitwirkung oder Leitung eines Arztes stattzufinden hat.</w:t>
      </w:r>
    </w:p>
    <w:p>
      <w:pPr>
        <w:pStyle w:val="Heading3"/>
      </w:pPr>
      <w:bookmarkStart w:id="130" w:name="b129"/>
      <w:r>
        <w:t>§ 92 Gutachten bei Verdacht einer Geld- oder Wertzeichenfälschung</w:t>
      </w:r>
      <w:r>
        <w:t xml:space="preserve"> </w:t>
      </w:r>
      <w:r>
        <w:rPr>
          <w:rStyle w:val="Suchmarke"/>
        </w:rPr>
        <w:t>#92#</w:t>
      </w:r>
      <w:bookmarkEnd w:id="130"/>
    </w:p>
    <w:p>
      <w:r>
        <w:t xml:space="preserve">(1) </w:t>
      </w:r>
      <w:r>
        <w:rPr>
          <w:rStyle w:val="Satznummer"/>
        </w:rPr>
        <w:t>1</w:t>
      </w:r>
      <w:r>
        <w:t xml:space="preserve">Liegt der Verdacht einer Geld- oder Wertzeichenfälschung vor, so sind das Geld oder die Wertzeichen erforderlichenfalls der Behörde vorzulegen, von der echtes Geld oder echte Wertzeichen dieser Art in Umlauf gesetzt werden. </w:t>
      </w:r>
      <w:r>
        <w:rPr>
          <w:rStyle w:val="Satznummer"/>
        </w:rPr>
        <w:t>2</w:t>
      </w:r>
      <w:r>
        <w:t>Das Gutachten dieser Behörde ist über die Unechtheit oder Verfälschung sowie darüber einzuholen, in welcher Art die Fälschung mutmaßlich begangen worden ist.</w:t>
      </w:r>
    </w:p>
    <w:p>
      <w:r>
        <w:t>(2) Handelt es sich um Geld oder Wertzeichen eines fremden Währungsgebietes, so kann an Stelle des Gutachtens der Behörde des fremden Währungsgebietes das einer deutschen erfordert werden.</w:t>
      </w:r>
    </w:p>
    <w:p>
      <w:pPr>
        <w:pStyle w:val="Heading3"/>
      </w:pPr>
      <w:bookmarkStart w:id="131" w:name="b130"/>
      <w:r>
        <w:t>§ 93 Schriftgutachten</w:t>
      </w:r>
      <w:r>
        <w:t xml:space="preserve"> </w:t>
      </w:r>
      <w:r>
        <w:rPr>
          <w:rStyle w:val="Suchmarke"/>
        </w:rPr>
        <w:t>#93#</w:t>
      </w:r>
      <w:bookmarkEnd w:id="131"/>
    </w:p>
    <w:p>
      <w:r>
        <w:t>Zur Ermittlung der Echtheit oder Unechtheit eines Schriftstücks sowie zur Ermittlung seines Urhebers kann eine Schriftvergleichung unter Zuziehung von Sachverständigen vorgenommen werden.</w:t>
      </w:r>
    </w:p>
    <w:p>
      <w:pPr>
        <w:pStyle w:val="Heading2"/>
      </w:pPr>
      <w:bookmarkStart w:id="132" w:name="b131"/>
      <w:r>
        <w:t>Achter Abschnitt Ermittlungsmaßnahmen</w:t>
      </w:r>
      <w:bookmarkEnd w:id="132"/>
    </w:p>
    <w:p>
      <w:pPr>
        <w:pStyle w:val="Heading3"/>
      </w:pPr>
      <w:bookmarkStart w:id="133" w:name="b132"/>
      <w:r>
        <w:t>§ 94 Sicherstellung und Beschlagnahme von Gegenständen zu Beweiszwecken</w:t>
      </w:r>
      <w:r>
        <w:t xml:space="preserve"> </w:t>
      </w:r>
      <w:r>
        <w:rPr>
          <w:rStyle w:val="Suchmarke"/>
        </w:rPr>
        <w:t>#94#</w:t>
      </w:r>
      <w:bookmarkEnd w:id="133"/>
    </w:p>
    <w:p>
      <w:r>
        <w:t>(1) Gegenstände, die als Beweismittel für die Untersuchung von Bedeutung sein können, sind in Verwahrung zu nehmen oder in anderer Weise sicherzustellen.</w:t>
      </w:r>
    </w:p>
    <w:p>
      <w:r>
        <w:t>(2) Befinden sich die Gegenstände in dem Gewahrsam einer Person und werden sie nicht freiwillig herausgegeben, so bedarf es der Beschlagnahme.</w:t>
      </w:r>
    </w:p>
    <w:p>
      <w:r>
        <w:t>(3) Die Absätze 1 und 2 gelten auch für Führerscheine, die der Einziehung unterliegen.</w:t>
      </w:r>
    </w:p>
    <w:p>
      <w:r>
        <w:t xml:space="preserve">(4) Die Herausgabe beweglicher Sachen richtet sich nach den </w:t>
      </w:r>
      <w:hyperlink w:anchor="b184" w:history="1">
        <w:r>
          <w:rPr>
            <w:color w:val="0A3A8C"/>
            <w:u w:val="single"/>
          </w:rPr>
          <w:t xml:space="preserve">§§ 111n</w:t>
        </w:r>
      </w:hyperlink>
      <w:r>
        <w:t xml:space="preserve"> und </w:t>
      </w:r>
      <w:hyperlink w:anchor="b185" w:history="1">
        <w:r>
          <w:rPr>
            <w:color w:val="0A3A8C"/>
            <w:u w:val="single"/>
          </w:rPr>
          <w:t xml:space="preserve">111o</w:t>
        </w:r>
      </w:hyperlink>
      <w:r>
        <w:t>.</w:t>
      </w:r>
    </w:p>
    <w:p>
      <w:pPr>
        <w:pStyle w:val="Heading3"/>
      </w:pPr>
      <w:bookmarkStart w:id="134" w:name="b133"/>
      <w:r>
        <w:t>§ 95 Herausgabepflicht</w:t>
      </w:r>
      <w:r>
        <w:t xml:space="preserve"> </w:t>
      </w:r>
      <w:r>
        <w:rPr>
          <w:rStyle w:val="Suchmarke"/>
        </w:rPr>
        <w:t>#95#</w:t>
      </w:r>
      <w:bookmarkEnd w:id="134"/>
    </w:p>
    <w:p>
      <w:r>
        <w:t>(1) Wer einen Gegenstand der vorbezeichneten Art in seinem Gewahrsam hat, ist verpflichtet, ihn auf Erfordern vorzulegen und auszuliefern.</w:t>
      </w:r>
    </w:p>
    <w:p>
      <w:r>
        <w:t xml:space="preserve">(2) </w:t>
      </w:r>
      <w:r>
        <w:rPr>
          <w:rStyle w:val="Satznummer"/>
        </w:rPr>
        <w:t>1</w:t>
      </w:r>
      <w:r>
        <w:t xml:space="preserve">Im Falle der Weigerung können gegen ihn die in </w:t>
      </w:r>
      <w:hyperlink w:anchor="b97" w:history="1">
        <w:r>
          <w:rPr>
            <w:color w:val="0A3A8C"/>
            <w:u w:val="single"/>
          </w:rPr>
          <w:t xml:space="preserve">§ 70</w:t>
        </w:r>
      </w:hyperlink>
      <w:r>
        <w:t xml:space="preserve"> bestimmten Ordnungs- und Zwangsmittel festgesetzt werden. </w:t>
      </w:r>
      <w:r>
        <w:rPr>
          <w:rStyle w:val="Satznummer"/>
        </w:rPr>
        <w:t>2</w:t>
      </w:r>
      <w:r>
        <w:t>Das gilt nicht bei Personen, die zur Verweigerung des Zeugnisses berechtigt sind.</w:t>
      </w:r>
    </w:p>
    <w:p>
      <w:pPr>
        <w:pStyle w:val="Heading3"/>
      </w:pPr>
      <w:bookmarkStart w:id="135" w:name="b134"/>
      <w:r>
        <w:t>§ 95a Zurückstellung der Benachrichtigung des Beschuldigten; Offenbarungsverbot</w:t>
      </w:r>
      <w:r>
        <w:t xml:space="preserve"> </w:t>
      </w:r>
      <w:r>
        <w:rPr>
          <w:rStyle w:val="Suchmarke"/>
        </w:rPr>
        <w:t>#95a#</w:t>
      </w:r>
      <w:bookmarkEnd w:id="135"/>
    </w:p>
    <w:p>
      <w:r>
        <w:t>(1) Bei der gerichtlichen Anordnung oder Bestätigung der Beschlagnahme eines Gegenstandes, den eine nicht beschuldigte Person im Gewahrsam hat, kann die Benachrichtigung des von der Beschlagnahme betroffenen Beschuldigten zurückgestellt werden, solange sie den Untersuchungszweck gefährden würde, wenn</w:t>
      </w:r>
    </w:p>
    <w:p>
      <w:pPr>
        <w:tabs>
          <w:tab w:pos="567" w:val="left"/>
        </w:tabs>
        <w:ind w:left="567" w:hanging="567"/>
      </w:pPr>
      <w:r>
        <w:t>1.</w:t>
      </w:r>
      <w:r>
        <w:tab/>
      </w:r>
      <w:r>
        <w:t xml:space="preserve">bestimmte Tatsachen den Verdacht begründen, dass der Beschuldigte als Täter oder Teilnehmer eine Straftat von auch im Einzelfall erheblicher Bedeutung, insbesondere eine in </w:t>
      </w:r>
      <w:hyperlink w:anchor="b143" w:history="1">
        <w:r>
          <w:rPr>
            <w:color w:val="0A3A8C"/>
            <w:u w:val="single"/>
          </w:rPr>
          <w:t xml:space="preserve">§ 100a</w:t>
        </w:r>
      </w:hyperlink>
      <w:r>
        <w:t xml:space="preserve"> Absatz 2 bezeichnete Straftat, begangen, in Fällen, in denen der Versuch strafbar ist, zu begehen versucht, oder durch eine Straftat vorbereitet hat und</w:t>
      </w:r>
    </w:p>
    <w:p>
      <w:pPr>
        <w:tabs>
          <w:tab w:pos="567" w:val="left"/>
        </w:tabs>
        <w:ind w:left="567" w:hanging="567"/>
      </w:pPr>
      <w:r>
        <w:t>2.</w:t>
      </w:r>
      <w:r>
        <w:tab/>
      </w:r>
      <w:r>
        <w:t>die Erforschung des Sachverhalts oder die Ermittlung des Aufenthaltsortes des Beschuldigten auf andere Weise wesentlich erschwert oder aussichtslos wäre.</w:t>
      </w:r>
    </w:p>
    <w:p>
      <w:r>
        <w:t xml:space="preserve">(2) </w:t>
      </w:r>
      <w:r>
        <w:rPr>
          <w:rStyle w:val="Satznummer"/>
        </w:rPr>
        <w:t>1</w:t>
      </w:r>
      <w:r>
        <w:t xml:space="preserve">Die Zurückstellung der Benachrichtigung des Beschuldigten nach Absatz 1 darf nur durch das Gericht angeordnet werden. </w:t>
      </w:r>
      <w:r>
        <w:rPr>
          <w:rStyle w:val="Satznummer"/>
        </w:rPr>
        <w:t>2</w:t>
      </w:r>
      <w:r>
        <w:t xml:space="preserve">Die Zurückstellung ist auf höchstens sechs Monate zu befristen. </w:t>
      </w:r>
      <w:r>
        <w:rPr>
          <w:rStyle w:val="Satznummer"/>
        </w:rPr>
        <w:t>3</w:t>
      </w:r>
      <w:r>
        <w:t>Eine Verlängerung der Anordnung durch das Gericht um jeweils nicht mehr als drei Monate ist zulässig, wenn die Voraussetzungen der Anordnung fortbestehen.</w:t>
      </w:r>
    </w:p>
    <w:p>
      <w:r>
        <w:t xml:space="preserve">(3) </w:t>
      </w:r>
      <w:r>
        <w:rPr>
          <w:rStyle w:val="Satznummer"/>
        </w:rPr>
        <w:t>1</w:t>
      </w:r>
      <w:r>
        <w:t xml:space="preserve">Wird binnen drei Tagen nach der nichtgerichtlichen Beschlagnahme eines Gegenstandes, den eine unverdächtige Person im Gewahrsam hat, die gerichtliche Bestätigung der Beschlagnahme sowie die Zurückstellung der Benachrichtigung des Beschuldigten nach Absatz 1 beantragt, kann von einer Belehrung des von der Beschlagnahme betroffenen Beschuldigten nach </w:t>
      </w:r>
      <w:hyperlink w:anchor="b137" w:history="1">
        <w:r>
          <w:rPr>
            <w:color w:val="0A3A8C"/>
            <w:u w:val="single"/>
          </w:rPr>
          <w:t xml:space="preserve">§ 98</w:t>
        </w:r>
      </w:hyperlink>
      <w:r>
        <w:t xml:space="preserve"> Absatz 2 Satz 5 abgesehen werden. </w:t>
      </w:r>
      <w:r>
        <w:rPr>
          <w:rStyle w:val="Satznummer"/>
        </w:rPr>
        <w:t>2</w:t>
      </w:r>
      <w:r>
        <w:t xml:space="preserve">Im Verfahren nach </w:t>
      </w:r>
      <w:hyperlink w:anchor="b137" w:history="1">
        <w:r>
          <w:rPr>
            <w:color w:val="0A3A8C"/>
            <w:u w:val="single"/>
          </w:rPr>
          <w:t xml:space="preserve">§ 98</w:t>
        </w:r>
      </w:hyperlink>
      <w:r>
        <w:t xml:space="preserve"> Absatz 2 bedarf es der vorherigen Anhörung des Beschuldigten durch das Gericht (</w:t>
      </w:r>
      <w:hyperlink w:anchor="b48" w:history="1">
        <w:r>
          <w:rPr>
            <w:color w:val="0A3A8C"/>
            <w:u w:val="single"/>
          </w:rPr>
          <w:t xml:space="preserve">§ 33</w:t>
        </w:r>
      </w:hyperlink>
      <w:r>
        <w:t xml:space="preserve"> Absatz 3) nicht.</w:t>
      </w:r>
    </w:p>
    <w:p>
      <w:r>
        <w:t xml:space="preserve">(4) </w:t>
      </w:r>
      <w:r>
        <w:rPr>
          <w:rStyle w:val="Satznummer"/>
        </w:rPr>
        <w:t>1</w:t>
      </w:r>
      <w:r>
        <w:t xml:space="preserve">Die nach Absatz 1 zurückgestellte Benachrichtigung des Beschuldigten erfolgt, sobald dies ohne Gefährdung des Untersuchungszweckes möglich ist. </w:t>
      </w:r>
      <w:r>
        <w:rPr>
          <w:rStyle w:val="Satznummer"/>
        </w:rPr>
        <w:t>2</w:t>
      </w:r>
      <w:r>
        <w:t>Bei der Benachrichtigung ist der Beschuldigte auf die Möglichkeit des nachträglichen Rechtsschutzes nach Absatz 5 und die dafür vorgesehene Frist hinzuweisen.</w:t>
      </w:r>
    </w:p>
    <w:p>
      <w:r>
        <w:t xml:space="preserve">(5) </w:t>
      </w:r>
      <w:r>
        <w:rPr>
          <w:rStyle w:val="Satznummer"/>
        </w:rPr>
        <w:t>1</w:t>
      </w:r>
      <w:r>
        <w:t xml:space="preserve">Der Beschuldigte kann bei dem für die Anordnung der Maßnahme zuständigen Gericht auch nach Beendigung der Zurückstellung nach Absatz 1 bis zu zwei Wochen nach seiner Benachrichtigung nach Absatz 4 die Überprüfung der Rechtmäßigkeit der Beschlagnahme, der Art und Weise ihres Vollzugs und der Zurückstellung der Benachrichtigung beantragen. </w:t>
      </w:r>
      <w:r>
        <w:rPr>
          <w:rStyle w:val="Satznummer"/>
        </w:rPr>
        <w:t>2</w:t>
      </w:r>
      <w:r>
        <w:t xml:space="preserve">Gegen die gerichtliche Entscheidung ist die sofortige Beschwerde statthaft. </w:t>
      </w:r>
      <w:r>
        <w:rPr>
          <w:rStyle w:val="Satznummer"/>
        </w:rPr>
        <w:t>3</w:t>
      </w:r>
      <w:r>
        <w:t>Ist die öffentliche Klage erhoben und der Angeklagte benachrichtigt worden, entscheidet über den Antrag das mit der Sache befasste Gericht in der das Verfahren abschließenden Entscheidung.</w:t>
      </w:r>
    </w:p>
    <w:p>
      <w:r>
        <w:t xml:space="preserve">(6) </w:t>
      </w:r>
      <w:r>
        <w:rPr>
          <w:rStyle w:val="Satznummer"/>
        </w:rPr>
        <w:t>1</w:t>
      </w:r>
      <w:r>
        <w:t xml:space="preserve">Wird die Zurückstellung der Benachrichtigung des Beschuldigten nach Absatz 1 angeordnet, kann unter Würdigung aller Umstände und nach Abwägung der Interessen der Beteiligten im Einzelfall zugleich angeordnet werden, dass der Betroffene für die Dauer der Zurückstellung gegenüber dem Beschuldigten und Dritten die Beschlagnahme sowie eine ihr vorausgehende Durchsuchung nach den </w:t>
      </w:r>
      <w:hyperlink w:anchor="b158" w:history="1">
        <w:r>
          <w:rPr>
            <w:color w:val="0A3A8C"/>
            <w:u w:val="single"/>
          </w:rPr>
          <w:t xml:space="preserve">§§ 103</w:t>
        </w:r>
      </w:hyperlink>
      <w:r>
        <w:t xml:space="preserve"> und </w:t>
      </w:r>
      <w:hyperlink w:anchor="b165" w:history="1">
        <w:r>
          <w:rPr>
            <w:color w:val="0A3A8C"/>
            <w:u w:val="single"/>
          </w:rPr>
          <w:t xml:space="preserve">110</w:t>
        </w:r>
      </w:hyperlink>
      <w:r>
        <w:t xml:space="preserve"> oder Herausgabeanordnung nach </w:t>
      </w:r>
      <w:hyperlink w:anchor="b133" w:history="1">
        <w:r>
          <w:rPr>
            <w:color w:val="0A3A8C"/>
            <w:u w:val="single"/>
          </w:rPr>
          <w:t xml:space="preserve">§ 95</w:t>
        </w:r>
      </w:hyperlink>
      <w:r>
        <w:t xml:space="preserve"> nicht offenbaren darf. </w:t>
      </w:r>
      <w:r>
        <w:rPr>
          <w:rStyle w:val="Satznummer"/>
        </w:rPr>
        <w:t>2</w:t>
      </w:r>
      <w:r>
        <w:t xml:space="preserve">Absatz 2 gilt mit der Maßgabe entsprechend, dass bei Gefahr im Verzug auch die Staatsanwaltschaft und ihre Ermittlungspersonen (§ 152 des Gerichtsverfassungsgesetzes) die Anordnung nach Satz 1 treffen können, wenn nach Absatz 3 von der Belehrung abgesehen und die gerichtliche Bestätigung der Beschlagnahme und die Zurückstellung der Benachrichtigung des Beschuldigten beantragt wird. </w:t>
      </w:r>
      <w:r>
        <w:rPr>
          <w:rStyle w:val="Satznummer"/>
        </w:rPr>
        <w:t>3</w:t>
      </w:r>
      <w:r>
        <w:t>Treffen die Staatsanwaltschaft oder ihre Ermittlungspersonen eine solche Anordnung, ist die gerichtliche Bestätigung binnen drei Tagen zu beantragen.</w:t>
      </w:r>
    </w:p>
    <w:p>
      <w:r>
        <w:t xml:space="preserve">(7) Im Falle des Verstoßes gegen das Offenbarungsverbot des Absatzes 6 gilt </w:t>
      </w:r>
      <w:hyperlink w:anchor="b133" w:history="1">
        <w:r>
          <w:rPr>
            <w:color w:val="0A3A8C"/>
            <w:u w:val="single"/>
          </w:rPr>
          <w:t xml:space="preserve">§ 95</w:t>
        </w:r>
      </w:hyperlink>
      <w:r>
        <w:t xml:space="preserve"> Absatz 2 entsprechend.</w:t>
      </w:r>
    </w:p>
    <w:p>
      <w:pPr>
        <w:pStyle w:val="Heading3"/>
      </w:pPr>
      <w:bookmarkStart w:id="136" w:name="b135"/>
      <w:r>
        <w:t>§ 96 Amtlich verwahrte Schriftstücke</w:t>
      </w:r>
      <w:r>
        <w:t xml:space="preserve"> </w:t>
      </w:r>
      <w:r>
        <w:rPr>
          <w:rStyle w:val="Suchmarke"/>
        </w:rPr>
        <w:t>#96#</w:t>
      </w:r>
      <w:bookmarkEnd w:id="136"/>
    </w:p>
    <w:p>
      <w:r>
        <w:rPr>
          <w:rStyle w:val="Satznummer"/>
        </w:rPr>
        <w:t>1</w:t>
      </w:r>
      <w:r>
        <w:t xml:space="preserve">Die Vorlegung oder Auslieferung von Akten oder anderen in amtlicher Verwahrung befindlichen Schriftstücken durch Behörden und öffentliche Beamte darf nicht gefordert werden, wenn deren oberste Dienstbehörde erklärt, daß das Bekanntwerden des Inhalts dieser Akten oder Schriftstücke dem Wohl des Bundes oder eines deutschen Landes Nachteile bereiten würde. </w:t>
      </w:r>
      <w:r>
        <w:rPr>
          <w:rStyle w:val="Satznummer"/>
        </w:rPr>
        <w:t>2</w:t>
      </w:r>
      <w:r>
        <w:t>Satz 1 gilt entsprechend für Akten und sonstige Schriftstücke, die sich im Gewahrsam eines Mitglieds des Bundestages oder eines Landtages beziehungsweise eines Angestellten einer Fraktion des Bundestages oder eines Landtages befinden, wenn die für die Erteilung einer Aussagegenehmigung zuständige Stelle eine solche Erklärung abgegeben hat.</w:t>
      </w:r>
    </w:p>
    <w:p>
      <w:pPr>
        <w:pStyle w:val="Heading3"/>
      </w:pPr>
      <w:bookmarkStart w:id="137" w:name="b136"/>
      <w:r>
        <w:t>§ 97 Beschlagnahmeverbot</w:t>
      </w:r>
      <w:r>
        <w:t xml:space="preserve"> </w:t>
      </w:r>
      <w:r>
        <w:rPr>
          <w:rStyle w:val="Suchmarke"/>
        </w:rPr>
        <w:t>#97#</w:t>
      </w:r>
      <w:bookmarkEnd w:id="137"/>
    </w:p>
    <w:p>
      <w:r>
        <w:t>(1) Der Beschlagnahme unterliegen nicht</w:t>
      </w:r>
    </w:p>
    <w:p>
      <w:pPr>
        <w:tabs>
          <w:tab w:pos="567" w:val="left"/>
        </w:tabs>
        <w:ind w:left="567" w:hanging="567"/>
      </w:pPr>
      <w:r>
        <w:t>1.</w:t>
      </w:r>
      <w:r>
        <w:tab/>
      </w:r>
      <w:r>
        <w:t xml:space="preserve">schriftliche Mitteilungen zwischen dem Beschuldigten und den Personen, die nach </w:t>
      </w:r>
      <w:hyperlink w:anchor="b74" w:history="1">
        <w:r>
          <w:rPr>
            <w:color w:val="0A3A8C"/>
            <w:u w:val="single"/>
          </w:rPr>
          <w:t xml:space="preserve">§ 52</w:t>
        </w:r>
      </w:hyperlink>
      <w:r>
        <w:t xml:space="preserve"> oder </w:t>
      </w:r>
      <w:hyperlink w:anchor="b75" w:history="1">
        <w:r>
          <w:rPr>
            <w:color w:val="0A3A8C"/>
            <w:u w:val="single"/>
          </w:rPr>
          <w:t xml:space="preserve">§ 53</w:t>
        </w:r>
      </w:hyperlink>
      <w:r>
        <w:t xml:space="preserve"> Abs. 1 Satz 1 Nr. 1 bis 3b das Zeugnis verweigern dürfen;</w:t>
      </w:r>
    </w:p>
    <w:p>
      <w:pPr>
        <w:tabs>
          <w:tab w:pos="567" w:val="left"/>
        </w:tabs>
        <w:ind w:left="567" w:hanging="567"/>
      </w:pPr>
      <w:r>
        <w:t>2.</w:t>
      </w:r>
      <w:r>
        <w:tab/>
      </w:r>
      <w:r>
        <w:t>Aufzeichnungen, welche die in § 53 Abs. 1 Satz 1 Nr. 1 bis 3b Genannten über die ihnen vom Beschuldigten anvertrauten Mitteilungen oder über andere Umstände gemacht haben, auf die sich das Zeugnisverweigerungsrecht erstreckt;</w:t>
      </w:r>
    </w:p>
    <w:p>
      <w:pPr>
        <w:tabs>
          <w:tab w:pos="567" w:val="left"/>
        </w:tabs>
        <w:ind w:left="567" w:hanging="567"/>
      </w:pPr>
      <w:r>
        <w:t>3.</w:t>
      </w:r>
      <w:r>
        <w:tab/>
      </w:r>
      <w:r>
        <w:t>andere Gegenstände einschließlich der ärztlichen Untersuchungsbefunde, auf die sich das Zeugnisverweigerungsrecht der in § 53 Abs. 1 Satz 1 Nr. 1 bis 3b Genannten erstreckt.</w:t>
      </w:r>
    </w:p>
    <w:p>
      <w:r>
        <w:t xml:space="preserve">(2) </w:t>
      </w:r>
      <w:r>
        <w:rPr>
          <w:rStyle w:val="Satznummer"/>
        </w:rPr>
        <w:t>1</w:t>
      </w:r>
      <w:r>
        <w:t xml:space="preserve">Diese Beschränkungen gelten nur, wenn die Gegenstände im Gewahrsam der zur Verweigerung des Zeugnisses Berechtigten sind, es sei denn, es handelt sich um eine elektronische Gesundheitskarte im Sinne des § 291a des Fünften Buches Sozialgesetzbuch. </w:t>
      </w:r>
      <w:r>
        <w:rPr>
          <w:rStyle w:val="Satznummer"/>
        </w:rPr>
        <w:t>2</w:t>
      </w:r>
      <w:r>
        <w:t>Die Beschränkungen der Beschlagnahme gelten nicht, wenn bestimmte Tatsachen den Verdacht begründen, dass die zeugnisverweigerungsberechtigte Person an der Tat oder an einer Datenhehlerei, Begünstigung, Strafvereitelung oder Hehlerei beteiligt ist, oder wenn es sich um Gegenstände handelt, die durch eine Straftat hervorgebracht oder zur Begehung einer Straftat gebraucht oder bestimmt sind oder die aus einer Straftat herrühren.</w:t>
      </w:r>
    </w:p>
    <w:p>
      <w:r>
        <w:t xml:space="preserve">(3) Die Absätze 1 und 2 sind entsprechend anzuwenden, soweit die Personen, die nach </w:t>
      </w:r>
      <w:hyperlink w:anchor="b76" w:history="1">
        <w:r>
          <w:rPr>
            <w:color w:val="0A3A8C"/>
            <w:u w:val="single"/>
          </w:rPr>
          <w:t xml:space="preserve">§ 53a</w:t>
        </w:r>
      </w:hyperlink>
      <w:r>
        <w:t xml:space="preserve"> Absatz 1 Satz 1 an der beruflichen Tätigkeit der in </w:t>
      </w:r>
      <w:hyperlink w:anchor="b75" w:history="1">
        <w:r>
          <w:rPr>
            <w:color w:val="0A3A8C"/>
            <w:u w:val="single"/>
          </w:rPr>
          <w:t xml:space="preserve">§ 53</w:t>
        </w:r>
      </w:hyperlink>
      <w:r>
        <w:t xml:space="preserve"> Absatz 1 Satz 1 Nummer 1 bis 3b genannten Personen mitwirken, das Zeugnis verweigern dürfen.</w:t>
      </w:r>
    </w:p>
    <w:p>
      <w:r>
        <w:t xml:space="preserve">(4) </w:t>
      </w:r>
      <w:r>
        <w:rPr>
          <w:rStyle w:val="Satznummer"/>
        </w:rPr>
        <w:t>1</w:t>
      </w:r>
      <w:r>
        <w:t xml:space="preserve">Soweit das Zeugnisverweigerungsrecht der in </w:t>
      </w:r>
      <w:hyperlink w:anchor="b75" w:history="1">
        <w:r>
          <w:rPr>
            <w:color w:val="0A3A8C"/>
            <w:u w:val="single"/>
          </w:rPr>
          <w:t xml:space="preserve">§ 53</w:t>
        </w:r>
      </w:hyperlink>
      <w:r>
        <w:t xml:space="preserve"> Abs. 1 Satz 1 Nr. 4 genannten Personen reicht, ist die Beschlagnahme von Gegenständen unzulässig. </w:t>
      </w:r>
      <w:r>
        <w:rPr>
          <w:rStyle w:val="Satznummer"/>
        </w:rPr>
        <w:t>2</w:t>
      </w:r>
      <w:r>
        <w:t xml:space="preserve">Dieser Beschlagnahmeschutz erstreckt sich auch auf Gegenstände, die von den in </w:t>
      </w:r>
      <w:hyperlink w:anchor="b75" w:history="1">
        <w:r>
          <w:rPr>
            <w:color w:val="0A3A8C"/>
            <w:u w:val="single"/>
          </w:rPr>
          <w:t xml:space="preserve">§ 53</w:t>
        </w:r>
      </w:hyperlink>
      <w:r>
        <w:t xml:space="preserve"> Abs. 1 Satz 1 Nr. 4 genannten Personen den an ihrer Berufstätigkeit nach </w:t>
      </w:r>
      <w:hyperlink w:anchor="b76" w:history="1">
        <w:r>
          <w:rPr>
            <w:color w:val="0A3A8C"/>
            <w:u w:val="single"/>
          </w:rPr>
          <w:t xml:space="preserve">§ 53a</w:t>
        </w:r>
      </w:hyperlink>
      <w:r>
        <w:t xml:space="preserve"> Absatz 1 Satz 1 mitwirkenden Personen anvertraut sind. </w:t>
      </w:r>
      <w:r>
        <w:rPr>
          <w:rStyle w:val="Satznummer"/>
        </w:rPr>
        <w:t>3</w:t>
      </w:r>
      <w:r>
        <w:t xml:space="preserve">Satz 1 gilt entsprechend, soweit die Personen, die nach </w:t>
      </w:r>
      <w:hyperlink w:anchor="b76" w:history="1">
        <w:r>
          <w:rPr>
            <w:color w:val="0A3A8C"/>
            <w:u w:val="single"/>
          </w:rPr>
          <w:t xml:space="preserve">§ 53a</w:t>
        </w:r>
      </w:hyperlink>
      <w:r>
        <w:t xml:space="preserve"> Absatz 1 Satz 1 an der beruflichen Tätigkeit der in </w:t>
      </w:r>
      <w:hyperlink w:anchor="b75" w:history="1">
        <w:r>
          <w:rPr>
            <w:color w:val="0A3A8C"/>
            <w:u w:val="single"/>
          </w:rPr>
          <w:t xml:space="preserve">§ 53</w:t>
        </w:r>
      </w:hyperlink>
      <w:r>
        <w:t xml:space="preserve"> Absatz 1 Satz 1 Nummer 4 genannten Personen mitwirken, das Zeugnis verweigern dürften.</w:t>
      </w:r>
    </w:p>
    <w:p>
      <w:r>
        <w:t xml:space="preserve">(5) </w:t>
      </w:r>
      <w:r>
        <w:rPr>
          <w:rStyle w:val="Satznummer"/>
        </w:rPr>
        <w:t>1</w:t>
      </w:r>
      <w:r>
        <w:t xml:space="preserve">Soweit das Zeugnisverweigerungsrecht der in </w:t>
      </w:r>
      <w:hyperlink w:anchor="b75" w:history="1">
        <w:r>
          <w:rPr>
            <w:color w:val="0A3A8C"/>
            <w:u w:val="single"/>
          </w:rPr>
          <w:t xml:space="preserve">§ 53</w:t>
        </w:r>
      </w:hyperlink>
      <w:r>
        <w:t xml:space="preserve"> Abs. 1 Satz 1 Nr. 5 genannten Personen reicht, ist die Beschlagnahme von Verkörperungen eines Inhalts (§ 11 Absatz 3 des Strafgesetzbuches), die sich im Gewahrsam dieser Personen oder der Redaktion, des Verlages, der Druckerei oder der Rundfunkanstalt befinden, unzulässig. </w:t>
      </w:r>
      <w:r>
        <w:rPr>
          <w:rStyle w:val="Satznummer"/>
        </w:rPr>
        <w:t>2</w:t>
      </w:r>
      <w:r>
        <w:t xml:space="preserve">Absatz 2 Satz 2 und </w:t>
      </w:r>
      <w:hyperlink w:anchor="b290" w:history="1">
        <w:r>
          <w:rPr>
            <w:color w:val="0A3A8C"/>
            <w:u w:val="single"/>
          </w:rPr>
          <w:t xml:space="preserve">§ 160a</w:t>
        </w:r>
      </w:hyperlink>
      <w:r>
        <w:t xml:space="preserve"> Abs. 4 Satz 2 gelten entsprechend, die Beteiligungsregelung in Absatz 2 Satz 2 jedoch nur dann, wenn die bestimmten Tatsachen einen dringenden Verdacht der Beteiligung begründen; die Beschlagnahme ist jedoch auch in diesen Fällen nur zulässig, wenn sie unter Berücksichtigung der Grundrechte aus Artikel 5 Abs. 1 Satz 2 des Grundgesetzes nicht außer Verhältnis zur Bedeutung der Sache steht und die Erforschung des Sachverhaltes oder die Ermittlung des Aufenthaltsortes des Täters auf andere Weise aussichtslos oder wesentlich erschwert wäre.</w:t>
      </w:r>
    </w:p>
    <w:p>
      <w:pPr>
        <w:pStyle w:val="Heading3"/>
      </w:pPr>
      <w:bookmarkStart w:id="138" w:name="b137"/>
      <w:r>
        <w:t>§ 98 Verfahren bei der Beschlagnahme</w:t>
      </w:r>
      <w:r>
        <w:t xml:space="preserve"> </w:t>
      </w:r>
      <w:r>
        <w:rPr>
          <w:rStyle w:val="Suchmarke"/>
        </w:rPr>
        <w:t>#98#</w:t>
      </w:r>
      <w:bookmarkEnd w:id="138"/>
    </w:p>
    <w:p>
      <w:r>
        <w:t xml:space="preserve">(1) </w:t>
      </w:r>
      <w:r>
        <w:rPr>
          <w:rStyle w:val="Satznummer"/>
        </w:rPr>
        <w:t>1</w:t>
      </w:r>
      <w:r>
        <w:t xml:space="preserve">Beschlagnahmen dürfen nur durch das Gericht, bei Gefahr im Verzug auch durch die Staatsanwaltschaft und ihre Ermittlungspersonen (§ 152 des Gerichtsverfassungsgesetzes) angeordnet werden. </w:t>
      </w:r>
      <w:r>
        <w:rPr>
          <w:rStyle w:val="Satznummer"/>
        </w:rPr>
        <w:t>2</w:t>
      </w:r>
      <w:r>
        <w:t>Die Beschlagnahme nach § 97 Abs. 5 Satz 2 in den Räumen einer Redaktion, eines Verlages, einer Druckerei oder einer Rundfunkanstalt darf nur durch das Gericht angeordnet werden.</w:t>
      </w:r>
    </w:p>
    <w:p>
      <w:r>
        <w:t xml:space="preserve">(2) </w:t>
      </w:r>
      <w:r>
        <w:rPr>
          <w:rStyle w:val="Satznummer"/>
        </w:rPr>
        <w:t>1</w:t>
      </w:r>
      <w:r>
        <w:t xml:space="preserve">Der Beamte, der einen Gegenstand ohne gerichtliche Anordnung beschlagnahmt hat, soll binnen drei Tagen die gerichtliche Bestätigung beantragen, wenn bei der Beschlagnahme weder der davon Betroffene noch ein erwachsener Angehöriger anwesend war oder wenn der Betroffene und im Falle seiner Abwesenheit ein erwachsener Angehöriger des Betroffenen gegen die Beschlagnahme ausdrücklichen Widerspruch erhoben hat. </w:t>
      </w:r>
      <w:r>
        <w:rPr>
          <w:rStyle w:val="Satznummer"/>
        </w:rPr>
        <w:t>2</w:t>
      </w:r>
      <w:r>
        <w:t xml:space="preserve">Der Betroffene kann jederzeit die gerichtliche Entscheidung beantragen. </w:t>
      </w:r>
      <w:r>
        <w:rPr>
          <w:rStyle w:val="Satznummer"/>
        </w:rPr>
        <w:t>3</w:t>
      </w:r>
      <w:r>
        <w:t xml:space="preserve">Die Zuständigkeit des Gerichts bestimmt sich nach </w:t>
      </w:r>
      <w:hyperlink w:anchor="b294" w:history="1">
        <w:r>
          <w:rPr>
            <w:color w:val="0A3A8C"/>
            <w:u w:val="single"/>
          </w:rPr>
          <w:t xml:space="preserve">§ 162</w:t>
        </w:r>
      </w:hyperlink>
      <w:r>
        <w:t xml:space="preserve">. </w:t>
      </w:r>
      <w:r>
        <w:rPr>
          <w:rStyle w:val="Satznummer"/>
        </w:rPr>
        <w:t>4</w:t>
      </w:r>
      <w:r>
        <w:t xml:space="preserve">Der Betroffene kann den Antrag auch bei dem Amtsgericht einreichen, in dessen Bezirk die Beschlagnahme stattgefunden hat; dieses leitet den Antrag dem zuständigen Gericht zu. </w:t>
      </w:r>
      <w:r>
        <w:rPr>
          <w:rStyle w:val="Satznummer"/>
        </w:rPr>
        <w:t>5</w:t>
      </w:r>
      <w:r>
        <w:t>Der Betroffene ist über seine Rechte zu belehren.</w:t>
      </w:r>
    </w:p>
    <w:p>
      <w:r>
        <w:t>(3) Ist nach erhobener öffentlicher Klage die Beschlagnahme durch die Staatsanwaltschaft oder eine ihrer Ermittlungspersonen erfolgt, so ist binnen drei Tagen dem Gericht von der Beschlagnahme Anzeige zu machen; die beschlagnahmten Gegenstände sind ihm zur Verfügung zu stellen.</w:t>
      </w:r>
    </w:p>
    <w:p>
      <w:r>
        <w:t xml:space="preserve">(4) </w:t>
      </w:r>
      <w:r>
        <w:rPr>
          <w:rStyle w:val="Satznummer"/>
        </w:rPr>
        <w:t>1</w:t>
      </w:r>
      <w:r>
        <w:t xml:space="preserve">Wird eine Beschlagnahme in einem Dienstgebäude oder einer nicht allgemein zugänglichen Einrichtung oder Anlage der Bundeswehr erforderlich, so wird die vorgesetzte Dienststelle der Bundeswehr um ihre Durchführung ersucht. </w:t>
      </w:r>
      <w:r>
        <w:rPr>
          <w:rStyle w:val="Satznummer"/>
        </w:rPr>
        <w:t>2</w:t>
      </w:r>
      <w:r>
        <w:t xml:space="preserve">Die ersuchende Stelle ist zur Mitwirkung berechtigt. </w:t>
      </w:r>
      <w:r>
        <w:rPr>
          <w:rStyle w:val="Satznummer"/>
        </w:rPr>
        <w:t>3</w:t>
      </w:r>
      <w:r>
        <w:t>Des Ersuchens bedarf es nicht, wenn die Beschlagnahme in Räumen vorzunehmen ist, die ausschließlich von anderen Personen als Soldaten bewohnt werden.</w:t>
      </w:r>
    </w:p>
    <w:p>
      <w:pPr>
        <w:pStyle w:val="Heading3"/>
      </w:pPr>
      <w:bookmarkStart w:id="139" w:name="b138"/>
      <w:r>
        <w:t>§ 98a Rasterfahndung</w:t>
      </w:r>
      <w:r>
        <w:t xml:space="preserve"> </w:t>
      </w:r>
      <w:r>
        <w:rPr>
          <w:rStyle w:val="Suchmarke"/>
        </w:rPr>
        <w:t>#98a#</w:t>
      </w:r>
      <w:bookmarkEnd w:id="139"/>
    </w:p>
    <w:p>
      <w:r>
        <w:t xml:space="preserve">(1) </w:t>
      </w:r>
      <w:r>
        <w:rPr>
          <w:rStyle w:val="Satznummer"/>
        </w:rPr>
        <w:t>1</w:t>
      </w:r>
      <w:r>
        <w:t>Liegen zureichende tatsächliche Anhaltspunkte dafür vor, daß eine Straftat von erheblicher Bedeutung</w:t>
      </w:r>
    </w:p>
    <w:p>
      <w:pPr>
        <w:tabs>
          <w:tab w:pos="567" w:val="left"/>
        </w:tabs>
        <w:ind w:left="567" w:hanging="567"/>
      </w:pPr>
      <w:r>
        <w:t>1.</w:t>
      </w:r>
      <w:r>
        <w:tab/>
      </w:r>
      <w:r>
        <w:t>auf dem Gebiet des unerlaubten Betäubungsmittel- oder Waffenverkehrs, der Geld- oder Wertzeichenfälschung,</w:t>
      </w:r>
    </w:p>
    <w:p>
      <w:pPr>
        <w:tabs>
          <w:tab w:pos="567" w:val="left"/>
        </w:tabs>
        <w:ind w:left="567" w:hanging="567"/>
      </w:pPr>
      <w:r>
        <w:t>2.</w:t>
      </w:r>
      <w:r>
        <w:tab/>
      </w:r>
      <w:r>
        <w:t>auf dem Gebiet des Staatsschutzes (§§ 74a, 120 des Gerichtsverfassungsgesetzes),</w:t>
      </w:r>
    </w:p>
    <w:p>
      <w:pPr>
        <w:tabs>
          <w:tab w:pos="567" w:val="left"/>
        </w:tabs>
        <w:ind w:left="567" w:hanging="567"/>
      </w:pPr>
      <w:r>
        <w:t>3.</w:t>
      </w:r>
      <w:r>
        <w:tab/>
      </w:r>
      <w:r>
        <w:t>auf dem Gebiet der gemeingefährlichen Straftaten,</w:t>
      </w:r>
    </w:p>
    <w:p>
      <w:pPr>
        <w:tabs>
          <w:tab w:pos="567" w:val="left"/>
        </w:tabs>
        <w:ind w:left="567" w:hanging="567"/>
      </w:pPr>
      <w:r>
        <w:t>4.</w:t>
      </w:r>
      <w:r>
        <w:tab/>
      </w:r>
      <w:r>
        <w:t>gegen Leib oder Leben, die sexuelle Selbstbestimmung oder die persönliche Freiheit,</w:t>
      </w:r>
    </w:p>
    <w:p>
      <w:pPr>
        <w:tabs>
          <w:tab w:pos="567" w:val="left"/>
        </w:tabs>
        <w:ind w:left="567" w:hanging="567"/>
      </w:pPr>
      <w:r>
        <w:t>5.</w:t>
      </w:r>
      <w:r>
        <w:tab/>
      </w:r>
      <w:r>
        <w:t>gewerbs- oder gewohnheitsmäßig oder</w:t>
      </w:r>
    </w:p>
    <w:p>
      <w:pPr>
        <w:tabs>
          <w:tab w:pos="567" w:val="left"/>
        </w:tabs>
        <w:ind w:left="567" w:hanging="567"/>
      </w:pPr>
      <w:r>
        <w:t>6.</w:t>
      </w:r>
      <w:r>
        <w:tab/>
      </w:r>
      <w:r>
        <w:t>von einem Bandenmitglied oder in anderer Weise organisiert</w:t>
      </w:r>
    </w:p>
    <w:p>
      <w:r>
        <w:t xml:space="preserve">begangen worden ist, so dürfen, unbeschadet </w:t>
      </w:r>
      <w:hyperlink w:anchor="b132" w:history="1">
        <w:r>
          <w:rPr>
            <w:color w:val="0A3A8C"/>
            <w:u w:val="single"/>
          </w:rPr>
          <w:t xml:space="preserve">§§ 94</w:t>
        </w:r>
      </w:hyperlink>
      <w:r>
        <w:t xml:space="preserve">, </w:t>
      </w:r>
      <w:hyperlink w:anchor="b165" w:history="1">
        <w:r>
          <w:rPr>
            <w:color w:val="0A3A8C"/>
            <w:u w:val="single"/>
          </w:rPr>
          <w:t xml:space="preserve">110</w:t>
        </w:r>
      </w:hyperlink>
      <w:r>
        <w:t xml:space="preserve">, </w:t>
      </w:r>
      <w:hyperlink w:anchor="b292" w:history="1">
        <w:r>
          <w:rPr>
            <w:color w:val="0A3A8C"/>
            <w:u w:val="single"/>
          </w:rPr>
          <w:t xml:space="preserve">161</w:t>
        </w:r>
      </w:hyperlink>
      <w:r>
        <w:t xml:space="preserve">, personenbezogene Daten von Personen, die bestimmte, auf den Täter vermutlich zutreffende Prüfungsmerkmale erfüllen, mit anderen Daten maschinell abgeglichen werden, um Nichtverdächtige auszuschließen oder Personen festzustellen, die weitere für die Ermittlungen bedeutsame Prüfungsmerkmale erfüllen. </w:t>
      </w:r>
      <w:r>
        <w:rPr>
          <w:rStyle w:val="Satznummer"/>
        </w:rPr>
        <w:t>2</w:t>
      </w:r>
      <w:r>
        <w:t>Die Maßnahme darf nur angeordnet werden, wenn die Erforschung des Sachverhalts oder die Ermittlung des Aufenthaltsortes des Täters auf andere Weise erheblich weniger erfolgversprechend oder wesentlich erschwert wäre.</w:t>
      </w:r>
    </w:p>
    <w:p>
      <w:r>
        <w:t>(2) Zu dem in Absatz 1 bezeichneten Zweck hat die speichernde Stelle die für den Abgleich erforderlichen Daten aus den Datenbeständen auszusondern und den Strafverfolgungsbehörden zu übermitteln.</w:t>
      </w:r>
    </w:p>
    <w:p>
      <w:r>
        <w:t xml:space="preserve">(3) </w:t>
      </w:r>
      <w:r>
        <w:rPr>
          <w:rStyle w:val="Satznummer"/>
        </w:rPr>
        <w:t>1</w:t>
      </w:r>
      <w:r>
        <w:t xml:space="preserve">Soweit die zu übermittelnden Daten von anderen Daten nur mit unverhältnismäßigem Aufwand getrennt werden können, sind auf Anordnung auch die anderen Daten zu übermitteln. </w:t>
      </w:r>
      <w:r>
        <w:rPr>
          <w:rStyle w:val="Satznummer"/>
        </w:rPr>
        <w:t>2</w:t>
      </w:r>
      <w:r>
        <w:t>Ihre Nutzung ist nicht zulässig.</w:t>
      </w:r>
    </w:p>
    <w:p>
      <w:r>
        <w:t>(4) Auf Anforderung der Staatsanwaltschaft hat die speichernde Stelle die Stelle, die den Abgleich durchführt, zu unterstützen.</w:t>
      </w:r>
    </w:p>
    <w:p>
      <w:r>
        <w:t xml:space="preserve">(5) </w:t>
      </w:r>
      <w:hyperlink w:anchor="b133" w:history="1">
        <w:r>
          <w:rPr>
            <w:color w:val="0A3A8C"/>
            <w:u w:val="single"/>
          </w:rPr>
          <w:t xml:space="preserve">§ 95</w:t>
        </w:r>
      </w:hyperlink>
      <w:r>
        <w:t xml:space="preserve"> Abs. 2 gilt entsprechend.</w:t>
      </w:r>
    </w:p>
    <w:p>
      <w:pPr>
        <w:pStyle w:val="Heading3"/>
      </w:pPr>
      <w:bookmarkStart w:id="140" w:name="b139"/>
      <w:r>
        <w:t>§ 98b Verfahren bei der Rasterfahndung</w:t>
      </w:r>
      <w:r>
        <w:t xml:space="preserve"> </w:t>
      </w:r>
      <w:r>
        <w:rPr>
          <w:rStyle w:val="Suchmarke"/>
        </w:rPr>
        <w:t>#98b#</w:t>
      </w:r>
      <w:bookmarkEnd w:id="140"/>
    </w:p>
    <w:p>
      <w:r>
        <w:t xml:space="preserve">(1) </w:t>
      </w:r>
      <w:r>
        <w:rPr>
          <w:rStyle w:val="Satznummer"/>
        </w:rPr>
        <w:t>1</w:t>
      </w:r>
      <w:r>
        <w:t xml:space="preserve">Der Abgleich und die Übermittlung der Daten dürfen nur durch das Gericht, bei Gefahr im Verzug auch durch die Staatsanwaltschaft angeordnet werden. </w:t>
      </w:r>
      <w:r>
        <w:rPr>
          <w:rStyle w:val="Satznummer"/>
        </w:rPr>
        <w:t>2</w:t>
      </w:r>
      <w:r>
        <w:t xml:space="preserve">Hat die Staatsanwaltschaft die Anordnung getroffen, so beantragt sie unverzüglich die gerichtliche Bestätigung. </w:t>
      </w:r>
      <w:r>
        <w:rPr>
          <w:rStyle w:val="Satznummer"/>
        </w:rPr>
        <w:t>3</w:t>
      </w:r>
      <w:r>
        <w:t xml:space="preserve">Die Anordnung tritt außer Kraft, wenn sie nicht binnen drei Werktagen vom Gericht bestätigt wird. </w:t>
      </w:r>
      <w:r>
        <w:rPr>
          <w:rStyle w:val="Satznummer"/>
        </w:rPr>
        <w:t>4</w:t>
      </w:r>
      <w:r>
        <w:t xml:space="preserve">Die Anordnung ergeht schriftlich. </w:t>
      </w:r>
      <w:r>
        <w:rPr>
          <w:rStyle w:val="Satznummer"/>
        </w:rPr>
        <w:t>5</w:t>
      </w:r>
      <w:r>
        <w:t xml:space="preserve">Sie muß den zur Übermittlung Verpflichteten bezeichnen und ist auf die Daten und Prüfungsmerkmale zu beschränken, die für den Einzelfall benötigt werden. </w:t>
      </w:r>
      <w:r>
        <w:rPr>
          <w:rStyle w:val="Satznummer"/>
        </w:rPr>
        <w:t>6</w:t>
      </w:r>
      <w:r>
        <w:t xml:space="preserve">Die Übermittlung von Daten, deren Verwendung besondere bundesgesetzliche oder entsprechende landesgesetzliche Verwendungsregelungen entgegenstehen, darf nicht angeordnet werden. </w:t>
      </w:r>
      <w:r>
        <w:rPr>
          <w:rStyle w:val="Satznummer"/>
        </w:rPr>
        <w:t>7</w:t>
      </w:r>
      <w:r>
        <w:t xml:space="preserve">Die </w:t>
      </w:r>
      <w:hyperlink w:anchor="b135" w:history="1">
        <w:r>
          <w:rPr>
            <w:color w:val="0A3A8C"/>
            <w:u w:val="single"/>
          </w:rPr>
          <w:t xml:space="preserve">§§ 96</w:t>
        </w:r>
      </w:hyperlink>
      <w:r>
        <w:t xml:space="preserve">, </w:t>
      </w:r>
      <w:hyperlink w:anchor="b136" w:history="1">
        <w:r>
          <w:rPr>
            <w:color w:val="0A3A8C"/>
            <w:u w:val="single"/>
          </w:rPr>
          <w:t xml:space="preserve">97</w:t>
        </w:r>
      </w:hyperlink>
      <w:r>
        <w:t xml:space="preserve">, </w:t>
      </w:r>
      <w:hyperlink w:anchor="b137" w:history="1">
        <w:r>
          <w:rPr>
            <w:color w:val="0A3A8C"/>
            <w:u w:val="single"/>
          </w:rPr>
          <w:t xml:space="preserve">98</w:t>
        </w:r>
      </w:hyperlink>
      <w:r>
        <w:t xml:space="preserve"> Abs. 1 Satz 2 gelten entsprechend.</w:t>
      </w:r>
    </w:p>
    <w:p>
      <w:r>
        <w:t>(2) Ordnungs- und Zwangsmittel (</w:t>
      </w:r>
      <w:hyperlink w:anchor="b133" w:history="1">
        <w:r>
          <w:rPr>
            <w:color w:val="0A3A8C"/>
            <w:u w:val="single"/>
          </w:rPr>
          <w:t xml:space="preserve">§ 95</w:t>
        </w:r>
      </w:hyperlink>
      <w:r>
        <w:t xml:space="preserve"> Abs. 2) dürfen nur durch das Gericht, bei Gefahr im Verzug auch durch die Staatsanwaltschaft angeordnet werden; die Festsetzung von Haft bleibt dem Gericht vorbehalten.</w:t>
      </w:r>
    </w:p>
    <w:p>
      <w:r>
        <w:t xml:space="preserve">(3) </w:t>
      </w:r>
      <w:r>
        <w:rPr>
          <w:rStyle w:val="Satznummer"/>
        </w:rPr>
        <w:t>1</w:t>
      </w:r>
      <w:r>
        <w:t xml:space="preserve">Sind die Daten auf Datenträgern übermittelt worden, so sind diese nach Beendigung des Abgleichs unverzüglich zurückzugeben. </w:t>
      </w:r>
      <w:r>
        <w:rPr>
          <w:rStyle w:val="Satznummer"/>
        </w:rPr>
        <w:t>2</w:t>
      </w:r>
      <w:r>
        <w:t>Personenbezogene Daten, die auf andere Datenträger übertragen wurden, sind unverzüglich zu löschen, sobald sie für das Strafverfahren nicht mehr benötigt werden.</w:t>
      </w:r>
    </w:p>
    <w:p>
      <w:r>
        <w:t xml:space="preserve">(4) Nach Beendigung einer Maßnahme nach </w:t>
      </w:r>
      <w:hyperlink w:anchor="b138" w:history="1">
        <w:r>
          <w:rPr>
            <w:color w:val="0A3A8C"/>
            <w:u w:val="single"/>
          </w:rPr>
          <w:t xml:space="preserve">§ 98a</w:t>
        </w:r>
      </w:hyperlink>
      <w:r>
        <w:t xml:space="preserve"> ist die Stelle zu unterrichten, die für die Kontrolle der Einhaltung der Vorschriften über den Datenschutz bei öffentlichen Stellen zuständig ist.</w:t>
      </w:r>
    </w:p>
    <w:p>
      <w:pPr>
        <w:pStyle w:val="Heading3"/>
      </w:pPr>
      <w:bookmarkStart w:id="141" w:name="b140"/>
      <w:r>
        <w:t>§ 98c Maschineller Abgleich mit vorhandenen Daten</w:t>
      </w:r>
      <w:r>
        <w:t xml:space="preserve"> </w:t>
      </w:r>
      <w:r>
        <w:rPr>
          <w:rStyle w:val="Suchmarke"/>
        </w:rPr>
        <w:t>#98c#</w:t>
      </w:r>
      <w:bookmarkEnd w:id="141"/>
    </w:p>
    <w:p>
      <w:r>
        <w:rPr>
          <w:rStyle w:val="Satznummer"/>
        </w:rPr>
        <w:t>1</w:t>
      </w:r>
      <w:r>
        <w:t xml:space="preserve">Zur Aufklärung einer Straftat oder zur Ermittlung des Aufenthaltsortes einer Person, nach der für Zwecke eines Strafverfahrens gefahndet wird, dürfen personenbezogene Daten aus einem Strafverfahren mit anderen zur Strafverfolgung oder Strafvollstreckung oder zur Gefahrenabwehr gespeicherten Daten maschinell abgeglichen werden. </w:t>
      </w:r>
      <w:r>
        <w:rPr>
          <w:rStyle w:val="Satznummer"/>
        </w:rPr>
        <w:t>2</w:t>
      </w:r>
      <w:r>
        <w:t>Entgegenstehende besondere bundesgesetzliche oder entsprechende landesgesetzliche Verwendungsregelungen bleiben unberührt.</w:t>
      </w:r>
    </w:p>
    <w:p>
      <w:pPr>
        <w:pStyle w:val="Heading3"/>
      </w:pPr>
      <w:bookmarkStart w:id="142" w:name="b141"/>
      <w:r>
        <w:t>§ 99 Postbeschlagnahme und Auskunftsverlangen</w:t>
      </w:r>
      <w:r>
        <w:t xml:space="preserve"> </w:t>
      </w:r>
      <w:r>
        <w:rPr>
          <w:rStyle w:val="Suchmarke"/>
        </w:rPr>
        <w:t>#99#</w:t>
      </w:r>
      <w:bookmarkEnd w:id="142"/>
    </w:p>
    <w:p>
      <w:r>
        <w:t xml:space="preserve">(1) </w:t>
      </w:r>
      <w:r>
        <w:rPr>
          <w:rStyle w:val="Satznummer"/>
        </w:rPr>
        <w:t>1</w:t>
      </w:r>
      <w:r>
        <w:t xml:space="preserve">Zulässig ist die Beschlagnahme der an den Beschuldigten gerichteten Postsendungen und Telegramme, die sich im Gewahrsam von Personen oder Unternehmen befinden, die geschäftsmäßig Post- oder Telekommunikationsdienste erbringen oder daran mitwirken. </w:t>
      </w:r>
      <w:r>
        <w:rPr>
          <w:rStyle w:val="Satznummer"/>
        </w:rPr>
        <w:t>2</w:t>
      </w:r>
      <w:r>
        <w:t>Ebenso ist eine Beschlagnahme von Postsendungen und Telegrammen zulässig, bei denen aus vorliegenden Tatsachen zu schließen ist, daß sie von dem Beschuldigten herrühren oder für ihn bestimmt sind und daß ihr Inhalt für die Untersuchung Bedeutung hat.</w:t>
      </w:r>
    </w:p>
    <w:p>
      <w:r>
        <w:t xml:space="preserve">(2) </w:t>
      </w:r>
      <w:r>
        <w:rPr>
          <w:rStyle w:val="Satznummer"/>
        </w:rPr>
        <w:t>1</w:t>
      </w:r>
      <w:r>
        <w:t xml:space="preserve">Unter den Voraussetzungen des Absatzes 1 ist es auch zulässig, von Personen oder Unternehmen, die geschäftsmäßig Postdienste erbringen oder daran mitwirken, Auskunft über Postsendungen zu verlangen, die an den Beschuldigten gerichtet sind, von ihm herrühren oder für ihn bestimmt sind. </w:t>
      </w:r>
      <w:r>
        <w:rPr>
          <w:rStyle w:val="Satznummer"/>
        </w:rPr>
        <w:t>2</w:t>
      </w:r>
      <w:r>
        <w:t>Die Auskunft umfasst ausschließlich die aufgrund von Rechtsvorschriften außerhalb des Strafrechts erhobenen Daten, sofern sie Folgendes betreffen:</w:t>
      </w:r>
    </w:p>
    <w:p>
      <w:pPr>
        <w:tabs>
          <w:tab w:pos="567" w:val="left"/>
        </w:tabs>
        <w:ind w:left="567" w:hanging="567"/>
      </w:pPr>
      <w:r>
        <w:t>1.</w:t>
      </w:r>
      <w:r>
        <w:tab/>
      </w:r>
      <w:r>
        <w:t>Namen und Anschriften von Absendern, Empfängern und, soweit abweichend, von denjenigen Personen, welche die jeweilige Postsendung eingeliefert oder entgegengenommen haben,</w:t>
      </w:r>
    </w:p>
    <w:p>
      <w:pPr>
        <w:tabs>
          <w:tab w:pos="567" w:val="left"/>
        </w:tabs>
        <w:ind w:left="567" w:hanging="567"/>
      </w:pPr>
      <w:r>
        <w:t>2.</w:t>
      </w:r>
      <w:r>
        <w:tab/>
      </w:r>
      <w:r>
        <w:t>Art des in Anspruch genommenen Postdienstes,</w:t>
      </w:r>
    </w:p>
    <w:p>
      <w:pPr>
        <w:tabs>
          <w:tab w:pos="567" w:val="left"/>
        </w:tabs>
        <w:ind w:left="567" w:hanging="567"/>
      </w:pPr>
      <w:r>
        <w:t>3.</w:t>
      </w:r>
      <w:r>
        <w:tab/>
      </w:r>
      <w:r>
        <w:t>Maße und Gewicht der jeweiligen Postsendung,</w:t>
      </w:r>
    </w:p>
    <w:p>
      <w:pPr>
        <w:tabs>
          <w:tab w:pos="567" w:val="left"/>
        </w:tabs>
        <w:ind w:left="567" w:hanging="567"/>
      </w:pPr>
      <w:r>
        <w:t>4.</w:t>
      </w:r>
      <w:r>
        <w:tab/>
      </w:r>
      <w:r>
        <w:t>die vom Postdienstleister zugeteilte Sendungsnummer der jeweiligen Postsendung sowie, sofern der Empfänger eine Abholstation mit Selbstbedienungs-Schließfächern nutzt, dessen persönliche Postnummer,</w:t>
      </w:r>
    </w:p>
    <w:p>
      <w:pPr>
        <w:tabs>
          <w:tab w:pos="567" w:val="left"/>
        </w:tabs>
        <w:ind w:left="567" w:hanging="567"/>
      </w:pPr>
      <w:r>
        <w:t>5.</w:t>
      </w:r>
      <w:r>
        <w:tab/>
      </w:r>
      <w:r>
        <w:t>Zeit- und Ortsangaben zum jeweiligen Postsendungsverlauf sowie</w:t>
      </w:r>
    </w:p>
    <w:p>
      <w:pPr>
        <w:tabs>
          <w:tab w:pos="567" w:val="left"/>
        </w:tabs>
        <w:ind w:left="567" w:hanging="567"/>
      </w:pPr>
      <w:r>
        <w:t>6.</w:t>
      </w:r>
      <w:r>
        <w:tab/>
      </w:r>
      <w:r>
        <w:t>Bildaufnahmen von der Postsendung, die zu Zwecken der Erbringung der Postdienstleistung erstellt wurden.</w:t>
      </w:r>
    </w:p>
    <w:p>
      <w:r>
        <w:rPr>
          <w:rStyle w:val="Satznummer"/>
        </w:rPr>
        <w:t>3</w:t>
      </w:r>
      <w:r>
        <w:t xml:space="preserve">Auskunft über den Inhalt der Postsendung darf darüber hinaus nur verlangt werden, wenn die in Satz 1 bezeichneten Personen oder Unternehmen davon auf rechtmäßige Weise Kenntnis erlangt haben. </w:t>
      </w:r>
      <w:r>
        <w:rPr>
          <w:rStyle w:val="Satznummer"/>
        </w:rPr>
        <w:t>4</w:t>
      </w:r>
      <w:r>
        <w:t>Auskunft nach den Sätzen 2 und 3 müssen sie auch über solche Postsendungen erteilen, die sich noch nicht oder nicht mehr in ihrem Gewahrsam befinden.</w:t>
      </w:r>
    </w:p>
    <w:p>
      <w:pPr>
        <w:pStyle w:val="Heading3"/>
      </w:pPr>
      <w:bookmarkStart w:id="143" w:name="b142"/>
      <w:r>
        <w:t>§ 100 Verfahren bei der Postbeschlagnahme und Auskunftsverlangen</w:t>
      </w:r>
      <w:r>
        <w:t xml:space="preserve"> </w:t>
      </w:r>
      <w:r>
        <w:rPr>
          <w:rStyle w:val="Suchmarke"/>
        </w:rPr>
        <w:t>#100#</w:t>
      </w:r>
      <w:bookmarkEnd w:id="143"/>
    </w:p>
    <w:p>
      <w:r>
        <w:t xml:space="preserve">(1) Zur Anordnung der Maßnahmen nach </w:t>
      </w:r>
      <w:hyperlink w:anchor="b141" w:history="1">
        <w:r>
          <w:rPr>
            <w:color w:val="0A3A8C"/>
            <w:u w:val="single"/>
          </w:rPr>
          <w:t xml:space="preserve">§ 99</w:t>
        </w:r>
      </w:hyperlink>
      <w:r>
        <w:t xml:space="preserve"> ist nur das Gericht, bei Gefahr im Verzug auch die Staatsanwaltschaft befugt.</w:t>
      </w:r>
    </w:p>
    <w:p>
      <w:r>
        <w:t xml:space="preserve">(2) Anordnungen der Staatsanwaltschaft nach Absatz 1 treten, auch wenn sie eine Auslieferung nach </w:t>
      </w:r>
      <w:hyperlink w:anchor="b141" w:history="1">
        <w:r>
          <w:rPr>
            <w:color w:val="0A3A8C"/>
            <w:u w:val="single"/>
          </w:rPr>
          <w:t xml:space="preserve">§ 99</w:t>
        </w:r>
      </w:hyperlink>
      <w:r>
        <w:t xml:space="preserve"> Absatz 1 oder eine Auskunftserteilung nach </w:t>
      </w:r>
      <w:hyperlink w:anchor="b141" w:history="1">
        <w:r>
          <w:rPr>
            <w:color w:val="0A3A8C"/>
            <w:u w:val="single"/>
          </w:rPr>
          <w:t xml:space="preserve">§ 99</w:t>
        </w:r>
      </w:hyperlink>
      <w:r>
        <w:t xml:space="preserve"> Absatz 2 noch nicht zur Folge gehabt haben, außer Kraft, wenn sie nicht binnen drei Werktagen gerichtlich bestätigt werden.</w:t>
      </w:r>
    </w:p>
    <w:p>
      <w:r>
        <w:t xml:space="preserve">(3) </w:t>
      </w:r>
      <w:r>
        <w:rPr>
          <w:rStyle w:val="Satznummer"/>
        </w:rPr>
        <w:t>1</w:t>
      </w:r>
      <w:r>
        <w:t xml:space="preserve">Die Öffnung der ausgelieferten Postsendungen steht dem Gericht zu. </w:t>
      </w:r>
      <w:r>
        <w:rPr>
          <w:rStyle w:val="Satznummer"/>
        </w:rPr>
        <w:t>2</w:t>
      </w:r>
      <w:r>
        <w:t xml:space="preserve">Es kann diese Befugnis der Staatsanwaltschaft übertragen, soweit dies erforderlich ist, um den Untersuchungserfolg nicht durch Verzögerung zu gefährden. </w:t>
      </w:r>
      <w:r>
        <w:rPr>
          <w:rStyle w:val="Satznummer"/>
        </w:rPr>
        <w:t>3</w:t>
      </w:r>
      <w:r>
        <w:t xml:space="preserve">Die Übertragung ist nicht anfechtbar; sie kann jederzeit widerrufen werden. </w:t>
      </w:r>
      <w:r>
        <w:rPr>
          <w:rStyle w:val="Satznummer"/>
        </w:rPr>
        <w:t>4</w:t>
      </w:r>
      <w:r>
        <w:t>Solange eine Anordnung nach Satz 2 nicht ergangen ist, legt die Staatsanwaltschaft die ihr ausgelieferten Postsendungen sofort, und zwar verschlossene Postsendungen ungeöffnet, dem Gericht vor.</w:t>
      </w:r>
    </w:p>
    <w:p>
      <w:r>
        <w:t xml:space="preserve">(4) </w:t>
      </w:r>
      <w:r>
        <w:rPr>
          <w:rStyle w:val="Satznummer"/>
        </w:rPr>
        <w:t>1</w:t>
      </w:r>
      <w:r>
        <w:t xml:space="preserve">Über eine von der Staatsanwaltschaft verfügte Maßnahme nach </w:t>
      </w:r>
      <w:hyperlink w:anchor="b141" w:history="1">
        <w:r>
          <w:rPr>
            <w:color w:val="0A3A8C"/>
            <w:u w:val="single"/>
          </w:rPr>
          <w:t xml:space="preserve">§ 99</w:t>
        </w:r>
      </w:hyperlink>
      <w:r>
        <w:t xml:space="preserve"> entscheidet das nach </w:t>
      </w:r>
      <w:hyperlink w:anchor="b137" w:history="1">
        <w:r>
          <w:rPr>
            <w:color w:val="0A3A8C"/>
            <w:u w:val="single"/>
          </w:rPr>
          <w:t xml:space="preserve">§ 98</w:t>
        </w:r>
      </w:hyperlink>
      <w:r>
        <w:t xml:space="preserve"> zuständige Gericht. </w:t>
      </w:r>
      <w:r>
        <w:rPr>
          <w:rStyle w:val="Satznummer"/>
        </w:rPr>
        <w:t>2</w:t>
      </w:r>
      <w:r>
        <w:t>Über die Öffnung einer ausgelieferten Postsendung entscheidet das Gericht, das die Beschlagnahme angeordnet oder bestätigt hat.</w:t>
      </w:r>
    </w:p>
    <w:p>
      <w:r>
        <w:t xml:space="preserve">(5) </w:t>
      </w:r>
      <w:r>
        <w:rPr>
          <w:rStyle w:val="Satznummer"/>
        </w:rPr>
        <w:t>1</w:t>
      </w:r>
      <w:r>
        <w:t xml:space="preserve">Postsendungen, deren Öffnung nicht angeordnet worden ist, sind unverzüglich an den vorgesehenen Empfänger weiterzuleiten. </w:t>
      </w:r>
      <w:r>
        <w:rPr>
          <w:rStyle w:val="Satznummer"/>
        </w:rPr>
        <w:t>2</w:t>
      </w:r>
      <w:r>
        <w:t>Dasselbe gilt, soweit nach der Öffnung die Zurückbehaltung nicht erforderlich ist.</w:t>
      </w:r>
    </w:p>
    <w:p>
      <w:r>
        <w:t>(6) Der Teil einer zurückbehaltenen Postsendung, dessen Vorenthaltung nicht mit Rücksicht auf die Untersuchung geboten erscheint, ist dem vorgesehenen Empfänger abschriftlich mitzuteilen.</w:t>
      </w:r>
    </w:p>
    <w:p>
      <w:pPr>
        <w:pStyle w:val="Heading3"/>
      </w:pPr>
      <w:bookmarkStart w:id="144" w:name="b143"/>
      <w:r>
        <w:t>§ 100a Telekommunikationsüberwachung</w:t>
      </w:r>
      <w:r>
        <w:t xml:space="preserve"> </w:t>
      </w:r>
      <w:r>
        <w:rPr>
          <w:rStyle w:val="Suchmarke"/>
        </w:rPr>
        <w:t>#100a#</w:t>
      </w:r>
      <w:bookmarkEnd w:id="144"/>
    </w:p>
    <w:p>
      <w:r>
        <w:t xml:space="preserve">(1) </w:t>
      </w:r>
      <w:r>
        <w:rPr>
          <w:rStyle w:val="Satznummer"/>
        </w:rPr>
        <w:t>1</w:t>
      </w:r>
      <w:r>
        <w:t>Auch ohne Wissen der Betroffenen darf die Telekommunikation überwacht und aufgezeichnet werden, wenn</w:t>
      </w:r>
    </w:p>
    <w:p>
      <w:pPr>
        <w:tabs>
          <w:tab w:pos="567" w:val="left"/>
        </w:tabs>
        <w:ind w:left="567" w:hanging="567"/>
      </w:pPr>
      <w:r>
        <w:t>1.</w:t>
      </w:r>
      <w:r>
        <w:tab/>
      </w:r>
      <w:r>
        <w:t>bestimmte Tatsachen den Verdacht begründen, dass jemand als Täter oder Teilnehmer eine in Absatz 2 bezeichnete schwere Straftat begangen, in Fällen, in denen der Versuch strafbar ist, zu begehen versucht, oder durch eine Straftat vorbereitet hat,</w:t>
      </w:r>
    </w:p>
    <w:p>
      <w:pPr>
        <w:tabs>
          <w:tab w:pos="567" w:val="left"/>
        </w:tabs>
        <w:ind w:left="567" w:hanging="567"/>
      </w:pPr>
      <w:r>
        <w:t>2.</w:t>
      </w:r>
      <w:r>
        <w:tab/>
      </w:r>
      <w:r>
        <w:t>die Tat auch im Einzelfall schwer wiegt und</w:t>
      </w:r>
    </w:p>
    <w:p>
      <w:pPr>
        <w:tabs>
          <w:tab w:pos="567" w:val="left"/>
        </w:tabs>
        <w:ind w:left="567" w:hanging="567"/>
      </w:pPr>
      <w:r>
        <w:t>3.</w:t>
      </w:r>
      <w:r>
        <w:tab/>
      </w:r>
      <w:r>
        <w:t>die Erforschung des Sachverhalts oder die Ermittlung des Aufenthaltsortes des Beschuldigten auf andere Weise wesentlich erschwert oder aussichtslos wäre.</w:t>
      </w:r>
    </w:p>
    <w:p>
      <w:r>
        <w:rPr>
          <w:rStyle w:val="Satznummer"/>
          <w:i/>
        </w:rPr>
        <w:t>2</w:t>
      </w:r>
      <w:r>
        <w:rPr>
          <w:i/>
        </w:rPr>
        <w:t xml:space="preserve">Die Überwachung und Aufzeichnung der Telekommunikation darf auch in der Weise erfolgen, dass mit technischen Mitteln in von dem Betroffenen genutzte informationstechnische Systeme eingegriffen wird, wenn dies notwendig ist, um die Überwachung und Aufzeichnung insbesondere in unverschlüsselter Form zu ermöglichen. </w:t>
      </w:r>
      <w:r>
        <w:rPr>
          <w:rStyle w:val="Satznummer"/>
          <w:i/>
        </w:rPr>
        <w:t>3</w:t>
      </w:r>
      <w:r>
        <w:rPr>
          <w:i/>
        </w:rPr>
        <w:t>Auf dem informationstechnischen System des Betroffenen gespeicherte Inhalte und Umstände der Kommunikation dürfen überwacht und aufgezeichnet werden, wenn sie auch während des laufenden Übertragungsvorgangs im öffentlichen Telekommunikationsnetz in verschlüsselter Form hätten überwacht und aufgezeichnet werden können.</w:t>
      </w:r>
    </w:p>
    <w:p>
      <w:r>
        <w:t>(2) Schwere Straftaten im Sinne des Absatzes 1 Nr. 1 sind:</w:t>
      </w:r>
    </w:p>
    <w:p>
      <w:pPr>
        <w:tabs>
          <w:tab w:pos="567" w:val="left"/>
        </w:tabs>
        <w:ind w:left="567" w:hanging="567"/>
      </w:pPr>
      <w:r>
        <w:t>1.</w:t>
      </w:r>
      <w:r>
        <w:tab/>
      </w:r>
      <w:r>
        <w:t>aus dem Strafgesetzbuch:</w:t>
      </w:r>
    </w:p>
    <w:p>
      <w:pPr>
        <w:tabs>
          <w:tab w:pos="1134" w:val="left"/>
        </w:tabs>
        <w:ind w:left="1134" w:hanging="567"/>
      </w:pPr>
      <w:r>
        <w:t>a)</w:t>
      </w:r>
      <w:r>
        <w:tab/>
      </w:r>
      <w:r>
        <w:t xml:space="preserve">Straftaten des Friedensverrats, des Hochverrats und der Gefährdung des demokratischen Rechtsstaates sowie des Landesverrats und der Gefährdung der äußeren Sicherheit nach den </w:t>
      </w:r>
      <w:hyperlink w:anchor="b109" w:history="1">
        <w:r>
          <w:rPr>
            <w:color w:val="0A3A8C"/>
            <w:u w:val="single"/>
          </w:rPr>
          <w:t xml:space="preserve">§§ 80a</w:t>
        </w:r>
      </w:hyperlink>
      <w:r>
        <w:t xml:space="preserve"> bis </w:t>
      </w:r>
      <w:hyperlink w:anchor="b119" w:history="1">
        <w:r>
          <w:rPr>
            <w:color w:val="0A3A8C"/>
            <w:u w:val="single"/>
          </w:rPr>
          <w:t xml:space="preserve">82</w:t>
        </w:r>
      </w:hyperlink>
      <w:r>
        <w:t xml:space="preserve">, </w:t>
      </w:r>
      <w:hyperlink w:anchor="b121" w:history="1">
        <w:r>
          <w:rPr>
            <w:color w:val="0A3A8C"/>
            <w:u w:val="single"/>
          </w:rPr>
          <w:t xml:space="preserve">84</w:t>
        </w:r>
      </w:hyperlink>
      <w:r>
        <w:t xml:space="preserve"> bis </w:t>
      </w:r>
      <w:hyperlink w:anchor="b123" w:history="1">
        <w:r>
          <w:rPr>
            <w:color w:val="0A3A8C"/>
            <w:u w:val="single"/>
          </w:rPr>
          <w:t xml:space="preserve">86</w:t>
        </w:r>
      </w:hyperlink>
      <w:r>
        <w:t xml:space="preserve">, </w:t>
      </w:r>
      <w:hyperlink w:anchor="b124" w:history="1">
        <w:r>
          <w:rPr>
            <w:color w:val="0A3A8C"/>
            <w:u w:val="single"/>
          </w:rPr>
          <w:t xml:space="preserve">87</w:t>
        </w:r>
      </w:hyperlink>
      <w:r>
        <w:t xml:space="preserve"> bis 89a, 89c Absatz 1 bis 4 und 8, 94 bis 100a,</w:t>
      </w:r>
    </w:p>
    <w:p>
      <w:pPr>
        <w:tabs>
          <w:tab w:pos="1134" w:val="left"/>
        </w:tabs>
        <w:ind w:left="1134" w:hanging="567"/>
      </w:pPr>
      <w:r>
        <w:t>b)</w:t>
      </w:r>
      <w:r>
        <w:tab/>
      </w:r>
      <w:r>
        <w:t>Bestechlichkeit und Bestechung von Mandatsträgern nach § 108e,</w:t>
      </w:r>
    </w:p>
    <w:p>
      <w:pPr>
        <w:tabs>
          <w:tab w:pos="1134" w:val="left"/>
        </w:tabs>
        <w:ind w:left="1134" w:hanging="567"/>
      </w:pPr>
      <w:r>
        <w:t>c)</w:t>
      </w:r>
      <w:r>
        <w:tab/>
      </w:r>
      <w:r>
        <w:t>Straftaten gegen die Landesverteidigung nach den §§ 109d bis 109h,</w:t>
      </w:r>
    </w:p>
    <w:p>
      <w:pPr>
        <w:tabs>
          <w:tab w:pos="1134" w:val="left"/>
        </w:tabs>
        <w:ind w:left="1134" w:hanging="567"/>
      </w:pPr>
      <w:r>
        <w:t>d)</w:t>
      </w:r>
      <w:r>
        <w:tab/>
      </w:r>
      <w:r>
        <w:t xml:space="preserve">Straftaten gegen die öffentliche Ordnung nach </w:t>
      </w:r>
      <w:hyperlink w:anchor="b218" w:history="1">
        <w:r>
          <w:rPr>
            <w:color w:val="0A3A8C"/>
            <w:u w:val="single"/>
          </w:rPr>
          <w:t xml:space="preserve">§ 127</w:t>
        </w:r>
      </w:hyperlink>
      <w:r>
        <w:t xml:space="preserve"> Absatz 3 und 4 sowie den </w:t>
      </w:r>
      <w:hyperlink w:anchor="b222" w:history="1">
        <w:r>
          <w:rPr>
            <w:color w:val="0A3A8C"/>
            <w:u w:val="single"/>
          </w:rPr>
          <w:t xml:space="preserve">§§ 129</w:t>
        </w:r>
      </w:hyperlink>
      <w:r>
        <w:t xml:space="preserve"> bis </w:t>
      </w:r>
      <w:hyperlink w:anchor="b223" w:history="1">
        <w:r>
          <w:rPr>
            <w:color w:val="0A3A8C"/>
            <w:u w:val="single"/>
          </w:rPr>
          <w:t xml:space="preserve">130</w:t>
        </w:r>
      </w:hyperlink>
      <w:r>
        <w:t>,</w:t>
      </w:r>
    </w:p>
    <w:p>
      <w:pPr>
        <w:tabs>
          <w:tab w:pos="1134" w:val="left"/>
        </w:tabs>
        <w:ind w:left="1134" w:hanging="567"/>
      </w:pPr>
      <w:r>
        <w:t>e)</w:t>
      </w:r>
      <w:r>
        <w:tab/>
      </w:r>
      <w:r>
        <w:t xml:space="preserve">Geld- und Wertzeichenfälschung nach den </w:t>
      </w:r>
      <w:hyperlink w:anchor="b255" w:history="1">
        <w:r>
          <w:rPr>
            <w:color w:val="0A3A8C"/>
            <w:u w:val="single"/>
          </w:rPr>
          <w:t xml:space="preserve">§§ 146</w:t>
        </w:r>
      </w:hyperlink>
      <w:r>
        <w:t xml:space="preserve"> und </w:t>
      </w:r>
      <w:hyperlink w:anchor="b264" w:history="1">
        <w:r>
          <w:rPr>
            <w:color w:val="0A3A8C"/>
            <w:u w:val="single"/>
          </w:rPr>
          <w:t xml:space="preserve">151</w:t>
        </w:r>
      </w:hyperlink>
      <w:r>
        <w:t xml:space="preserve">, jeweils auch in Verbindung mit </w:t>
      </w:r>
      <w:hyperlink w:anchor="b265" w:history="1">
        <w:r>
          <w:rPr>
            <w:color w:val="0A3A8C"/>
            <w:u w:val="single"/>
          </w:rPr>
          <w:t xml:space="preserve">§ 152</w:t>
        </w:r>
      </w:hyperlink>
      <w:r>
        <w:t xml:space="preserve">, sowie nach </w:t>
      </w:r>
      <w:hyperlink w:anchor="b266" w:history="1">
        <w:r>
          <w:rPr>
            <w:color w:val="0A3A8C"/>
            <w:u w:val="single"/>
          </w:rPr>
          <w:t xml:space="preserve">§ 152a</w:t>
        </w:r>
      </w:hyperlink>
      <w:r>
        <w:t xml:space="preserve"> Abs. 3 und § 152b Abs. 1 bis 4,</w:t>
      </w:r>
    </w:p>
    <w:p>
      <w:pPr>
        <w:tabs>
          <w:tab w:pos="1134" w:val="left"/>
        </w:tabs>
        <w:ind w:left="1134" w:hanging="567"/>
      </w:pPr>
      <w:r>
        <w:t>f)</w:t>
      </w:r>
      <w:r>
        <w:tab/>
      </w:r>
      <w:r>
        <w:t xml:space="preserve">Straftaten gegen die sexuelle Selbstbestimmung in den Fällen der </w:t>
      </w:r>
      <w:hyperlink w:anchor="b321" w:history="1">
        <w:r>
          <w:rPr>
            <w:color w:val="0A3A8C"/>
            <w:u w:val="single"/>
          </w:rPr>
          <w:t xml:space="preserve">§§ 176</w:t>
        </w:r>
      </w:hyperlink>
      <w:r>
        <w:t xml:space="preserve">, 176c, 176d und, unter den in </w:t>
      </w:r>
      <w:hyperlink w:anchor="b322" w:history="1">
        <w:r>
          <w:rPr>
            <w:color w:val="0A3A8C"/>
            <w:u w:val="single"/>
          </w:rPr>
          <w:t xml:space="preserve">§ 177</w:t>
        </w:r>
      </w:hyperlink>
      <w:r>
        <w:t xml:space="preserve"> Absatz 6 Satz 2 Nummer 2 genannten Voraussetzungen, des </w:t>
      </w:r>
      <w:hyperlink w:anchor="b322" w:history="1">
        <w:r>
          <w:rPr>
            <w:color w:val="0A3A8C"/>
            <w:u w:val="single"/>
          </w:rPr>
          <w:t xml:space="preserve">§ 177</w:t>
        </w:r>
      </w:hyperlink>
      <w:r>
        <w:t>,</w:t>
      </w:r>
    </w:p>
    <w:p>
      <w:pPr>
        <w:tabs>
          <w:tab w:pos="1134" w:val="left"/>
        </w:tabs>
        <w:ind w:left="1134" w:hanging="567"/>
      </w:pPr>
      <w:r>
        <w:t>g)</w:t>
      </w:r>
      <w:r>
        <w:tab/>
      </w:r>
      <w:r>
        <w:t>Verbreitung, Erwerb und Besitz kinder- und jugendpornographischer Inhalte nach § 184b, § 184c Absatz 2,</w:t>
      </w:r>
    </w:p>
    <w:p>
      <w:pPr>
        <w:tabs>
          <w:tab w:pos="1134" w:val="left"/>
        </w:tabs>
        <w:ind w:left="1134" w:hanging="567"/>
      </w:pPr>
      <w:r>
        <w:t>h)</w:t>
      </w:r>
      <w:r>
        <w:tab/>
      </w:r>
      <w:r>
        <w:t xml:space="preserve">Mord und Totschlag nach den </w:t>
      </w:r>
      <w:hyperlink w:anchor="b342" w:history="1">
        <w:r>
          <w:rPr>
            <w:color w:val="0A3A8C"/>
            <w:u w:val="single"/>
          </w:rPr>
          <w:t xml:space="preserve">§§ 211</w:t>
        </w:r>
      </w:hyperlink>
      <w:r>
        <w:t xml:space="preserve"> und </w:t>
      </w:r>
      <w:hyperlink w:anchor="b344" w:history="1">
        <w:r>
          <w:rPr>
            <w:color w:val="0A3A8C"/>
            <w:u w:val="single"/>
          </w:rPr>
          <w:t xml:space="preserve">212</w:t>
        </w:r>
      </w:hyperlink>
      <w:r>
        <w:t>,</w:t>
      </w:r>
    </w:p>
    <w:p>
      <w:pPr>
        <w:tabs>
          <w:tab w:pos="1134" w:val="left"/>
        </w:tabs>
        <w:ind w:left="1134" w:hanging="567"/>
      </w:pPr>
      <w:r>
        <w:t>i)</w:t>
      </w:r>
      <w:r>
        <w:tab/>
      </w:r>
      <w:r>
        <w:t xml:space="preserve">Straftaten gegen die persönliche Freiheit nach den </w:t>
      </w:r>
      <w:hyperlink w:anchor="b371" w:history="1">
        <w:r>
          <w:rPr>
            <w:color w:val="0A3A8C"/>
            <w:u w:val="single"/>
          </w:rPr>
          <w:t xml:space="preserve">§§ 232</w:t>
        </w:r>
      </w:hyperlink>
      <w:r>
        <w:t xml:space="preserve">, 232a Absatz 1 bis 5, den §§ 232b, </w:t>
      </w:r>
      <w:hyperlink w:anchor="b372" w:history="1">
        <w:r>
          <w:rPr>
            <w:color w:val="0A3A8C"/>
            <w:u w:val="single"/>
          </w:rPr>
          <w:t xml:space="preserve">233</w:t>
        </w:r>
      </w:hyperlink>
      <w:r>
        <w:t xml:space="preserve"> Absatz 2, den §§ 233a, </w:t>
      </w:r>
      <w:hyperlink w:anchor="b373" w:history="1">
        <w:r>
          <w:rPr>
            <w:color w:val="0A3A8C"/>
            <w:u w:val="single"/>
          </w:rPr>
          <w:t xml:space="preserve">234</w:t>
        </w:r>
      </w:hyperlink>
      <w:r>
        <w:t xml:space="preserve"> bis 234b, 239a und 239b,</w:t>
      </w:r>
    </w:p>
    <w:p>
      <w:pPr>
        <w:tabs>
          <w:tab w:pos="1134" w:val="left"/>
        </w:tabs>
        <w:ind w:left="1134" w:hanging="567"/>
      </w:pPr>
      <w:r>
        <w:t>j)</w:t>
      </w:r>
      <w:r>
        <w:tab/>
      </w:r>
      <w:r>
        <w:t xml:space="preserve">Bandendiebstahl nach </w:t>
      </w:r>
      <w:hyperlink w:anchor="b385" w:history="1">
        <w:r>
          <w:rPr>
            <w:color w:val="0A3A8C"/>
            <w:u w:val="single"/>
          </w:rPr>
          <w:t xml:space="preserve">§ 244</w:t>
        </w:r>
      </w:hyperlink>
      <w:r>
        <w:t xml:space="preserve"> Abs. 1 Nr. 2, Wohnungseinbruchdiebstahl nach </w:t>
      </w:r>
      <w:hyperlink w:anchor="b385" w:history="1">
        <w:r>
          <w:rPr>
            <w:color w:val="0A3A8C"/>
            <w:u w:val="single"/>
          </w:rPr>
          <w:t xml:space="preserve">§ 244</w:t>
        </w:r>
      </w:hyperlink>
      <w:r>
        <w:t xml:space="preserve"> Absatz 4 und schwerer Bandendiebstahl nach § 244a,</w:t>
      </w:r>
    </w:p>
    <w:p>
      <w:pPr>
        <w:tabs>
          <w:tab w:pos="1134" w:val="left"/>
        </w:tabs>
        <w:ind w:left="1134" w:hanging="567"/>
      </w:pPr>
      <w:r>
        <w:t>k)</w:t>
      </w:r>
      <w:r>
        <w:tab/>
      </w:r>
      <w:r>
        <w:t xml:space="preserve">Straftaten des Raubes und der Erpressung nach den </w:t>
      </w:r>
      <w:hyperlink w:anchor="b392" w:history="1">
        <w:r>
          <w:rPr>
            <w:color w:val="0A3A8C"/>
            <w:u w:val="single"/>
          </w:rPr>
          <w:t xml:space="preserve">§§ 249</w:t>
        </w:r>
      </w:hyperlink>
      <w:r>
        <w:t xml:space="preserve"> bis </w:t>
      </w:r>
      <w:hyperlink w:anchor="b398" w:history="1">
        <w:r>
          <w:rPr>
            <w:color w:val="0A3A8C"/>
            <w:u w:val="single"/>
          </w:rPr>
          <w:t xml:space="preserve">255</w:t>
        </w:r>
      </w:hyperlink>
      <w:r>
        <w:t>,</w:t>
      </w:r>
    </w:p>
    <w:p>
      <w:pPr>
        <w:tabs>
          <w:tab w:pos="1134" w:val="left"/>
        </w:tabs>
        <w:ind w:left="1134" w:hanging="567"/>
      </w:pPr>
      <w:r>
        <w:t>l)</w:t>
      </w:r>
      <w:r>
        <w:tab/>
      </w:r>
      <w:r>
        <w:t xml:space="preserve">gewerbsmäßige Hehlerei, Bandenhehlerei und gewerbsmäßige Bandenhehlerei nach den </w:t>
      </w:r>
      <w:hyperlink w:anchor="b407" w:history="1">
        <w:r>
          <w:rPr>
            <w:color w:val="0A3A8C"/>
            <w:u w:val="single"/>
          </w:rPr>
          <w:t xml:space="preserve">§§ 260</w:t>
        </w:r>
      </w:hyperlink>
      <w:r>
        <w:t xml:space="preserve"> und 260a,</w:t>
      </w:r>
    </w:p>
    <w:p>
      <w:pPr>
        <w:tabs>
          <w:tab w:pos="1134" w:val="left"/>
        </w:tabs>
        <w:ind w:left="1134" w:hanging="567"/>
      </w:pPr>
      <w:r>
        <w:t>m)</w:t>
      </w:r>
      <w:r>
        <w:tab/>
      </w:r>
      <w:r>
        <w:t xml:space="preserve">Geldwäsche nach </w:t>
      </w:r>
      <w:hyperlink w:anchor="b408" w:history="1">
        <w:r>
          <w:rPr>
            <w:color w:val="0A3A8C"/>
            <w:u w:val="single"/>
          </w:rPr>
          <w:t xml:space="preserve">§ 261</w:t>
        </w:r>
      </w:hyperlink>
      <w:r>
        <w:t>, wenn die Vortat eine der in den Nummern 1 bis 11 genannten schweren Straftaten ist,</w:t>
      </w:r>
    </w:p>
    <w:p>
      <w:pPr>
        <w:tabs>
          <w:tab w:pos="1134" w:val="left"/>
        </w:tabs>
        <w:ind w:left="1134" w:hanging="567"/>
      </w:pPr>
      <w:r>
        <w:t>n)</w:t>
      </w:r>
      <w:r>
        <w:tab/>
      </w:r>
      <w:r>
        <w:t xml:space="preserve">Betrug und Computerbetrug unter den in </w:t>
      </w:r>
      <w:hyperlink w:anchor="b410" w:history="1">
        <w:r>
          <w:rPr>
            <w:color w:val="0A3A8C"/>
            <w:u w:val="single"/>
          </w:rPr>
          <w:t xml:space="preserve">§ 263</w:t>
        </w:r>
      </w:hyperlink>
      <w:r>
        <w:t xml:space="preserve"> Abs. 3 Satz 2 genannten Voraussetzungen und im Falle des </w:t>
      </w:r>
      <w:hyperlink w:anchor="b410" w:history="1">
        <w:r>
          <w:rPr>
            <w:color w:val="0A3A8C"/>
            <w:u w:val="single"/>
          </w:rPr>
          <w:t xml:space="preserve">§ 263</w:t>
        </w:r>
      </w:hyperlink>
      <w:r>
        <w:t xml:space="preserve"> Abs. 5, jeweils auch in Verbindung mit § 263a Abs. 2,</w:t>
      </w:r>
    </w:p>
    <w:p>
      <w:pPr>
        <w:tabs>
          <w:tab w:pos="1134" w:val="left"/>
        </w:tabs>
        <w:ind w:left="1134" w:hanging="567"/>
      </w:pPr>
      <w:r>
        <w:t>o)</w:t>
      </w:r>
      <w:r>
        <w:tab/>
      </w:r>
      <w:r>
        <w:t xml:space="preserve">Subventionsbetrug unter den in </w:t>
      </w:r>
      <w:hyperlink w:anchor="b411" w:history="1">
        <w:r>
          <w:rPr>
            <w:color w:val="0A3A8C"/>
            <w:u w:val="single"/>
          </w:rPr>
          <w:t xml:space="preserve">§ 264</w:t>
        </w:r>
      </w:hyperlink>
      <w:r>
        <w:t xml:space="preserve"> Abs. 2 Satz 2 genannten Voraussetzungen und im Falle des </w:t>
      </w:r>
      <w:hyperlink w:anchor="b411" w:history="1">
        <w:r>
          <w:rPr>
            <w:color w:val="0A3A8C"/>
            <w:u w:val="single"/>
          </w:rPr>
          <w:t xml:space="preserve">§ 264</w:t>
        </w:r>
      </w:hyperlink>
      <w:r>
        <w:t xml:space="preserve"> Abs. 3 in Verbindung mit </w:t>
      </w:r>
      <w:hyperlink w:anchor="b410" w:history="1">
        <w:r>
          <w:rPr>
            <w:color w:val="0A3A8C"/>
            <w:u w:val="single"/>
          </w:rPr>
          <w:t xml:space="preserve">§ 263</w:t>
        </w:r>
      </w:hyperlink>
      <w:r>
        <w:t xml:space="preserve"> Abs. 5,</w:t>
      </w:r>
    </w:p>
    <w:p>
      <w:pPr>
        <w:tabs>
          <w:tab w:pos="1134" w:val="left"/>
        </w:tabs>
        <w:ind w:left="1134" w:hanging="567"/>
      </w:pPr>
      <w:r>
        <w:t>p)</w:t>
      </w:r>
      <w:r>
        <w:tab/>
      </w:r>
      <w:r>
        <w:t>Sportwettbetrug und Manipulation von berufssportlichen Wettbewerben unter den in § 265e Satz 2 genannten Voraussetzungen,</w:t>
      </w:r>
    </w:p>
    <w:p>
      <w:pPr>
        <w:tabs>
          <w:tab w:pos="1134" w:val="left"/>
        </w:tabs>
        <w:ind w:left="1134" w:hanging="567"/>
      </w:pPr>
      <w:r>
        <w:t>q)</w:t>
      </w:r>
      <w:r>
        <w:tab/>
      </w:r>
      <w:r>
        <w:t>Vorenthalten und Veruntreuen von Arbeitsentgelt unter den in § 266a Absatz 4 Satz 2 Nummer 3 oder 4 genannten Voraussetzungen,</w:t>
      </w:r>
    </w:p>
    <w:p>
      <w:pPr>
        <w:tabs>
          <w:tab w:pos="1134" w:val="left"/>
        </w:tabs>
        <w:ind w:left="1134" w:hanging="567"/>
      </w:pPr>
      <w:r>
        <w:t>r)</w:t>
      </w:r>
      <w:r>
        <w:tab/>
      </w:r>
      <w:r>
        <w:t xml:space="preserve">Straftaten der Urkundenfälschung unter den in </w:t>
      </w:r>
      <w:hyperlink w:anchor="b415" w:history="1">
        <w:r>
          <w:rPr>
            <w:color w:val="0A3A8C"/>
            <w:u w:val="single"/>
          </w:rPr>
          <w:t xml:space="preserve">§ 267</w:t>
        </w:r>
      </w:hyperlink>
      <w:r>
        <w:t xml:space="preserve"> Abs. 3 Satz 2 genannten Voraussetzungen und im Fall des </w:t>
      </w:r>
      <w:hyperlink w:anchor="b415" w:history="1">
        <w:r>
          <w:rPr>
            <w:color w:val="0A3A8C"/>
            <w:u w:val="single"/>
          </w:rPr>
          <w:t xml:space="preserve">§ 267</w:t>
        </w:r>
      </w:hyperlink>
      <w:r>
        <w:t xml:space="preserve"> Abs. 4, jeweils auch in Verbindung mit </w:t>
      </w:r>
      <w:hyperlink w:anchor="b416" w:history="1">
        <w:r>
          <w:rPr>
            <w:color w:val="0A3A8C"/>
            <w:u w:val="single"/>
          </w:rPr>
          <w:t xml:space="preserve">§ 268</w:t>
        </w:r>
      </w:hyperlink>
      <w:r>
        <w:t xml:space="preserve"> Abs. 5 oder </w:t>
      </w:r>
      <w:hyperlink w:anchor="b421" w:history="1">
        <w:r>
          <w:rPr>
            <w:color w:val="0A3A8C"/>
            <w:u w:val="single"/>
          </w:rPr>
          <w:t xml:space="preserve">§ 269</w:t>
        </w:r>
      </w:hyperlink>
      <w:r>
        <w:t xml:space="preserve"> Abs. 3, sowie nach </w:t>
      </w:r>
      <w:hyperlink w:anchor="b427" w:history="1">
        <w:r>
          <w:rPr>
            <w:color w:val="0A3A8C"/>
            <w:u w:val="single"/>
          </w:rPr>
          <w:t xml:space="preserve">§ 275</w:t>
        </w:r>
      </w:hyperlink>
      <w:r>
        <w:t xml:space="preserve"> Abs. 2 und </w:t>
      </w:r>
      <w:hyperlink w:anchor="b431" w:history="1">
        <w:r>
          <w:rPr>
            <w:color w:val="0A3A8C"/>
            <w:u w:val="single"/>
          </w:rPr>
          <w:t xml:space="preserve">§ 276</w:t>
        </w:r>
      </w:hyperlink>
      <w:r>
        <w:t xml:space="preserve"> Abs. 2,</w:t>
      </w:r>
    </w:p>
    <w:p>
      <w:pPr>
        <w:tabs>
          <w:tab w:pos="1134" w:val="left"/>
        </w:tabs>
        <w:ind w:left="1134" w:hanging="567"/>
      </w:pPr>
      <w:r>
        <w:t>s)</w:t>
      </w:r>
      <w:r>
        <w:tab/>
      </w:r>
      <w:r>
        <w:t>Bankrott unter den in § 283a Satz 2 genannten Voraussetzungen,</w:t>
      </w:r>
    </w:p>
    <w:p>
      <w:pPr>
        <w:tabs>
          <w:tab w:pos="1134" w:val="left"/>
        </w:tabs>
        <w:ind w:left="1134" w:hanging="567"/>
      </w:pPr>
      <w:r>
        <w:t>t)</w:t>
      </w:r>
      <w:r>
        <w:tab/>
      </w:r>
      <w:r>
        <w:t xml:space="preserve">Straftaten gegen den Wettbewerb nach </w:t>
      </w:r>
      <w:hyperlink w:anchor="b448" w:history="1">
        <w:r>
          <w:rPr>
            <w:color w:val="0A3A8C"/>
            <w:u w:val="single"/>
          </w:rPr>
          <w:t xml:space="preserve">§ 298</w:t>
        </w:r>
      </w:hyperlink>
      <w:r>
        <w:t xml:space="preserve"> und, unter den in </w:t>
      </w:r>
      <w:hyperlink w:anchor="b450" w:history="1">
        <w:r>
          <w:rPr>
            <w:color w:val="0A3A8C"/>
            <w:u w:val="single"/>
          </w:rPr>
          <w:t xml:space="preserve">§ 300</w:t>
        </w:r>
      </w:hyperlink>
      <w:r>
        <w:t xml:space="preserve"> Satz 2 genannten Voraussetzungen, nach </w:t>
      </w:r>
      <w:hyperlink w:anchor="b449" w:history="1">
        <w:r>
          <w:rPr>
            <w:color w:val="0A3A8C"/>
            <w:u w:val="single"/>
          </w:rPr>
          <w:t xml:space="preserve">§ 299</w:t>
        </w:r>
      </w:hyperlink>
      <w:r>
        <w:t>,</w:t>
      </w:r>
    </w:p>
    <w:p>
      <w:pPr>
        <w:tabs>
          <w:tab w:pos="1134" w:val="left"/>
        </w:tabs>
        <w:ind w:left="1134" w:hanging="567"/>
      </w:pPr>
      <w:r>
        <w:t>u)</w:t>
      </w:r>
      <w:r>
        <w:tab/>
      </w:r>
      <w:r>
        <w:t xml:space="preserve">gemeingefährliche Straftaten in den Fällen der </w:t>
      </w:r>
      <w:hyperlink w:anchor="b458" w:history="1">
        <w:r>
          <w:rPr>
            <w:color w:val="0A3A8C"/>
            <w:u w:val="single"/>
          </w:rPr>
          <w:t xml:space="preserve">§§ 306</w:t>
        </w:r>
      </w:hyperlink>
      <w:r>
        <w:t xml:space="preserve"> bis 306c, </w:t>
      </w:r>
      <w:hyperlink w:anchor="b459" w:history="1">
        <w:r>
          <w:rPr>
            <w:color w:val="0A3A8C"/>
            <w:u w:val="single"/>
          </w:rPr>
          <w:t xml:space="preserve">307</w:t>
        </w:r>
      </w:hyperlink>
      <w:r>
        <w:t xml:space="preserve"> Abs. 1 bis 3, des </w:t>
      </w:r>
      <w:hyperlink w:anchor="b460" w:history="1">
        <w:r>
          <w:rPr>
            <w:color w:val="0A3A8C"/>
            <w:u w:val="single"/>
          </w:rPr>
          <w:t xml:space="preserve">§ 308</w:t>
        </w:r>
      </w:hyperlink>
      <w:r>
        <w:t xml:space="preserve"> Absatz 1 bis 4, des </w:t>
      </w:r>
      <w:hyperlink w:anchor="b461" w:history="1">
        <w:r>
          <w:rPr>
            <w:color w:val="0A3A8C"/>
            <w:u w:val="single"/>
          </w:rPr>
          <w:t xml:space="preserve">§ 309</w:t>
        </w:r>
      </w:hyperlink>
      <w:r>
        <w:t xml:space="preserve"> Abs. 1 bis 4, des </w:t>
      </w:r>
      <w:hyperlink w:anchor="b462" w:history="1">
        <w:r>
          <w:rPr>
            <w:color w:val="0A3A8C"/>
            <w:u w:val="single"/>
          </w:rPr>
          <w:t xml:space="preserve">§ 310</w:t>
        </w:r>
      </w:hyperlink>
      <w:r>
        <w:t xml:space="preserve"> Abs. 1, der </w:t>
      </w:r>
      <w:hyperlink w:anchor="b467" w:history="1">
        <w:r>
          <w:rPr>
            <w:color w:val="0A3A8C"/>
            <w:u w:val="single"/>
          </w:rPr>
          <w:t xml:space="preserve">§§ 313</w:t>
        </w:r>
      </w:hyperlink>
      <w:r>
        <w:t xml:space="preserve">, </w:t>
      </w:r>
      <w:hyperlink w:anchor="b468" w:history="1">
        <w:r>
          <w:rPr>
            <w:color w:val="0A3A8C"/>
            <w:u w:val="single"/>
          </w:rPr>
          <w:t xml:space="preserve">314</w:t>
        </w:r>
      </w:hyperlink>
      <w:r>
        <w:t xml:space="preserve">, </w:t>
      </w:r>
      <w:hyperlink w:anchor="b469" w:history="1">
        <w:r>
          <w:rPr>
            <w:color w:val="0A3A8C"/>
            <w:u w:val="single"/>
          </w:rPr>
          <w:t xml:space="preserve">315</w:t>
        </w:r>
      </w:hyperlink>
      <w:r>
        <w:t xml:space="preserve"> Abs. 3, des § 315b Abs. 3 sowie der §§ 316a und 316c,</w:t>
      </w:r>
    </w:p>
    <w:p>
      <w:pPr>
        <w:tabs>
          <w:tab w:pos="1134" w:val="left"/>
        </w:tabs>
        <w:ind w:left="1134" w:hanging="567"/>
      </w:pPr>
      <w:r>
        <w:t>v)</w:t>
      </w:r>
      <w:r>
        <w:tab/>
      </w:r>
      <w:r>
        <w:t xml:space="preserve">Bestechlichkeit und Bestechung nach den </w:t>
      </w:r>
      <w:hyperlink w:anchor="b487" w:history="1">
        <w:r>
          <w:rPr>
            <w:color w:val="0A3A8C"/>
            <w:u w:val="single"/>
          </w:rPr>
          <w:t xml:space="preserve">§§ 332</w:t>
        </w:r>
      </w:hyperlink>
      <w:r>
        <w:t xml:space="preserve"> und </w:t>
      </w:r>
      <w:hyperlink w:anchor="b490" w:history="1">
        <w:r>
          <w:rPr>
            <w:color w:val="0A3A8C"/>
            <w:u w:val="single"/>
          </w:rPr>
          <w:t xml:space="preserve">334</w:t>
        </w:r>
      </w:hyperlink>
      <w:r>
        <w:t>,</w:t>
      </w:r>
    </w:p>
    <w:p>
      <w:pPr>
        <w:tabs>
          <w:tab w:pos="567" w:val="left"/>
        </w:tabs>
        <w:ind w:left="567" w:hanging="567"/>
      </w:pPr>
      <w:r>
        <w:t>2.</w:t>
      </w:r>
      <w:r>
        <w:tab/>
      </w:r>
      <w:r>
        <w:t>aus der Abgabenordnung:</w:t>
      </w:r>
    </w:p>
    <w:p>
      <w:pPr>
        <w:tabs>
          <w:tab w:pos="1134" w:val="left"/>
        </w:tabs>
        <w:ind w:left="1134" w:hanging="567"/>
      </w:pPr>
      <w:r>
        <w:t>a)</w:t>
      </w:r>
      <w:r>
        <w:tab/>
      </w:r>
      <w:r>
        <w:t xml:space="preserve">Steuerhinterziehung unter den in </w:t>
      </w:r>
      <w:hyperlink w:anchor="b531" w:history="1">
        <w:r>
          <w:rPr>
            <w:color w:val="0A3A8C"/>
            <w:u w:val="single"/>
          </w:rPr>
          <w:t xml:space="preserve">§ 370</w:t>
        </w:r>
      </w:hyperlink>
      <w:r>
        <w:t xml:space="preserve"> Absatz 3 Satz 2 Nummer 1 genannten Voraussetzungen, sofern der Täter als Mitglied einer Bande, die sich zur fortgesetzten Begehung von Taten nach </w:t>
      </w:r>
      <w:hyperlink w:anchor="b531" w:history="1">
        <w:r>
          <w:rPr>
            <w:color w:val="0A3A8C"/>
            <w:u w:val="single"/>
          </w:rPr>
          <w:t xml:space="preserve">§ 370</w:t>
        </w:r>
      </w:hyperlink>
      <w:r>
        <w:t xml:space="preserve"> Absatz 1 verbunden hat, handelt, oder unter den in </w:t>
      </w:r>
      <w:hyperlink w:anchor="b531" w:history="1">
        <w:r>
          <w:rPr>
            <w:color w:val="0A3A8C"/>
            <w:u w:val="single"/>
          </w:rPr>
          <w:t xml:space="preserve">§ 370</w:t>
        </w:r>
      </w:hyperlink>
      <w:r>
        <w:t xml:space="preserve"> Absatz 3 Satz 2 Nummer 5 genannten Voraussetzungen,</w:t>
      </w:r>
    </w:p>
    <w:p>
      <w:pPr>
        <w:tabs>
          <w:tab w:pos="1134" w:val="left"/>
        </w:tabs>
        <w:ind w:left="1134" w:hanging="567"/>
      </w:pPr>
      <w:r>
        <w:t>b)</w:t>
      </w:r>
      <w:r>
        <w:tab/>
      </w:r>
      <w:r>
        <w:t xml:space="preserve">gewerbsmäßiger, gewaltsamer und bandenmäßiger Schmuggel nach </w:t>
      </w:r>
      <w:hyperlink w:anchor="b534" w:history="1">
        <w:r>
          <w:rPr>
            <w:color w:val="0A3A8C"/>
            <w:u w:val="single"/>
          </w:rPr>
          <w:t xml:space="preserve">§ 373</w:t>
        </w:r>
      </w:hyperlink>
      <w:r>
        <w:t>,</w:t>
      </w:r>
    </w:p>
    <w:p>
      <w:pPr>
        <w:tabs>
          <w:tab w:pos="1134" w:val="left"/>
        </w:tabs>
        <w:ind w:left="1134" w:hanging="567"/>
      </w:pPr>
      <w:r>
        <w:t>c)</w:t>
      </w:r>
      <w:r>
        <w:tab/>
      </w:r>
      <w:r>
        <w:t xml:space="preserve">Steuerhehlerei im Falle des </w:t>
      </w:r>
      <w:hyperlink w:anchor="b540" w:history="1">
        <w:r>
          <w:rPr>
            <w:color w:val="0A3A8C"/>
            <w:u w:val="single"/>
          </w:rPr>
          <w:t xml:space="preserve">§ 374</w:t>
        </w:r>
      </w:hyperlink>
      <w:r>
        <w:t xml:space="preserve"> Abs. 2,</w:t>
      </w:r>
    </w:p>
    <w:p>
      <w:pPr>
        <w:tabs>
          <w:tab w:pos="567" w:val="left"/>
        </w:tabs>
        <w:ind w:left="567" w:hanging="567"/>
      </w:pPr>
      <w:r>
        <w:t>3.</w:t>
      </w:r>
      <w:r>
        <w:tab/>
      </w:r>
      <w:r>
        <w:t>aus dem Anti-Doping-Gesetz:</w:t>
      </w:r>
    </w:p>
    <w:p>
      <w:pPr>
        <w:ind w:left="567"/>
      </w:pPr>
      <w:r>
        <w:t>Straftaten nach § 4 Absatz 4 Nummer 2 Buchstabe b,</w:t>
      </w:r>
    </w:p>
    <w:p>
      <w:pPr>
        <w:tabs>
          <w:tab w:pos="567" w:val="left"/>
        </w:tabs>
        <w:ind w:left="567" w:hanging="567"/>
      </w:pPr>
      <w:r>
        <w:t>4.</w:t>
      </w:r>
      <w:r>
        <w:tab/>
      </w:r>
      <w:r>
        <w:t>aus dem Asylgesetz:</w:t>
      </w:r>
    </w:p>
    <w:p>
      <w:pPr>
        <w:tabs>
          <w:tab w:pos="1134" w:val="left"/>
        </w:tabs>
        <w:ind w:left="1134" w:hanging="567"/>
      </w:pPr>
      <w:r>
        <w:t>a)</w:t>
      </w:r>
      <w:r>
        <w:tab/>
      </w:r>
      <w:r>
        <w:t xml:space="preserve">Verleitung zur missbräuchlichen Asylantragstellung nach </w:t>
      </w:r>
      <w:hyperlink w:anchor="b121" w:history="1">
        <w:r>
          <w:rPr>
            <w:color w:val="0A3A8C"/>
            <w:u w:val="single"/>
          </w:rPr>
          <w:t xml:space="preserve">§ 84</w:t>
        </w:r>
      </w:hyperlink>
      <w:r>
        <w:t xml:space="preserve"> Abs. 3,</w:t>
      </w:r>
    </w:p>
    <w:p>
      <w:pPr>
        <w:tabs>
          <w:tab w:pos="1134" w:val="left"/>
        </w:tabs>
        <w:ind w:left="1134" w:hanging="567"/>
      </w:pPr>
      <w:r>
        <w:t>b)</w:t>
      </w:r>
      <w:r>
        <w:tab/>
      </w:r>
      <w:r>
        <w:t>gewerbs- und bandenmäßige Verleitung zur missbräuchlichen Asylantragstellung nach § 84a,</w:t>
      </w:r>
    </w:p>
    <w:p>
      <w:pPr>
        <w:tabs>
          <w:tab w:pos="567" w:val="left"/>
        </w:tabs>
        <w:ind w:left="567" w:hanging="567"/>
      </w:pPr>
      <w:r>
        <w:t>5.</w:t>
      </w:r>
      <w:r>
        <w:tab/>
      </w:r>
      <w:r>
        <w:t>aus dem Aufenthaltsgesetz:</w:t>
      </w:r>
    </w:p>
    <w:p>
      <w:pPr>
        <w:tabs>
          <w:tab w:pos="1134" w:val="left"/>
        </w:tabs>
        <w:ind w:left="1134" w:hanging="567"/>
      </w:pPr>
      <w:r>
        <w:t>a)</w:t>
      </w:r>
      <w:r>
        <w:tab/>
      </w:r>
      <w:r>
        <w:t xml:space="preserve">Einschleusen von Ausländern und Personen, auf die das Freizügigkeitsgesetz/EU Anwendung findet, nach </w:t>
      </w:r>
      <w:hyperlink w:anchor="b135" w:history="1">
        <w:r>
          <w:rPr>
            <w:color w:val="0A3A8C"/>
            <w:u w:val="single"/>
          </w:rPr>
          <w:t xml:space="preserve">§ 96</w:t>
        </w:r>
      </w:hyperlink>
      <w:r>
        <w:t xml:space="preserve"> Absatz 1, 2 und 4,</w:t>
      </w:r>
    </w:p>
    <w:p>
      <w:pPr>
        <w:tabs>
          <w:tab w:pos="1134" w:val="left"/>
        </w:tabs>
        <w:ind w:left="1134" w:hanging="567"/>
      </w:pPr>
      <w:r>
        <w:t>b)</w:t>
      </w:r>
      <w:r>
        <w:tab/>
      </w:r>
      <w:r>
        <w:t xml:space="preserve">Einschleusen mit Todesfolge und gewerbs- und bandenmäßiges Einschleusen nach </w:t>
      </w:r>
      <w:hyperlink w:anchor="b136" w:history="1">
        <w:r>
          <w:rPr>
            <w:color w:val="0A3A8C"/>
            <w:u w:val="single"/>
          </w:rPr>
          <w:t xml:space="preserve">§ 97</w:t>
        </w:r>
      </w:hyperlink>
      <w:r>
        <w:t>,</w:t>
      </w:r>
    </w:p>
    <w:p>
      <w:pPr>
        <w:tabs>
          <w:tab w:pos="567" w:val="left"/>
        </w:tabs>
        <w:ind w:left="567" w:hanging="567"/>
      </w:pPr>
      <w:r>
        <w:t>5a.</w:t>
      </w:r>
      <w:r>
        <w:tab/>
      </w:r>
      <w:r>
        <w:t>aus dem Ausgangsstoffgesetz:</w:t>
      </w:r>
    </w:p>
    <w:p>
      <w:pPr>
        <w:ind w:left="567"/>
      </w:pPr>
      <w:r>
        <w:t xml:space="preserve">Straftaten nach </w:t>
      </w:r>
      <w:hyperlink w:anchor="b18" w:history="1">
        <w:r>
          <w:rPr>
            <w:color w:val="0A3A8C"/>
            <w:u w:val="single"/>
          </w:rPr>
          <w:t xml:space="preserve">§ 13</w:t>
        </w:r>
      </w:hyperlink>
      <w:r>
        <w:t xml:space="preserve"> Absatz 2,</w:t>
      </w:r>
    </w:p>
    <w:p>
      <w:pPr>
        <w:tabs>
          <w:tab w:pos="567" w:val="left"/>
        </w:tabs>
        <w:ind w:left="567" w:hanging="567"/>
      </w:pPr>
      <w:r>
        <w:t>6.</w:t>
      </w:r>
      <w:r>
        <w:tab/>
      </w:r>
      <w:r>
        <w:t>aus dem Außenwirtschaftsgesetz:</w:t>
      </w:r>
    </w:p>
    <w:p>
      <w:pPr>
        <w:ind w:left="567"/>
      </w:pPr>
      <w:r>
        <w:t>vorsätzliche Straftaten nach den §§ 17 und 18 des Außenwirtschaftsgesetzes,</w:t>
      </w:r>
    </w:p>
    <w:p>
      <w:pPr>
        <w:tabs>
          <w:tab w:pos="567" w:val="left"/>
        </w:tabs>
        <w:ind w:left="567" w:hanging="567"/>
      </w:pPr>
      <w:r>
        <w:t>7.</w:t>
      </w:r>
      <w:r>
        <w:tab/>
      </w:r>
      <w:r>
        <w:t>aus dem Betäubungsmittelgesetz:</w:t>
      </w:r>
    </w:p>
    <w:p>
      <w:pPr>
        <w:tabs>
          <w:tab w:pos="1134" w:val="left"/>
        </w:tabs>
        <w:ind w:left="1134" w:hanging="567"/>
      </w:pPr>
      <w:r>
        <w:t>a)</w:t>
      </w:r>
      <w:r>
        <w:tab/>
      </w:r>
      <w:r>
        <w:t>Straftaten nach einer in § 29 Abs. 3 Satz 2 Nr. 1 in Bezug genommenen Vorschrift unter den dort genannten Voraussetzungen,</w:t>
      </w:r>
    </w:p>
    <w:p>
      <w:pPr>
        <w:tabs>
          <w:tab w:pos="1134" w:val="left"/>
        </w:tabs>
        <w:ind w:left="1134" w:hanging="567"/>
      </w:pPr>
      <w:r>
        <w:t>b)</w:t>
      </w:r>
      <w:r>
        <w:tab/>
      </w:r>
      <w:r>
        <w:t xml:space="preserve">Straftaten nach den §§ 29a, </w:t>
      </w:r>
      <w:hyperlink w:anchor="b37" w:history="1">
        <w:r>
          <w:rPr>
            <w:color w:val="0A3A8C"/>
            <w:u w:val="single"/>
          </w:rPr>
          <w:t xml:space="preserve">30</w:t>
        </w:r>
      </w:hyperlink>
      <w:r>
        <w:t xml:space="preserve"> Abs. 1 Nr. 1, 2 und 4 sowie den §§ 30a und 30b,</w:t>
      </w:r>
    </w:p>
    <w:p>
      <w:pPr>
        <w:tabs>
          <w:tab w:pos="567" w:val="left"/>
        </w:tabs>
        <w:ind w:left="567" w:hanging="567"/>
      </w:pPr>
      <w:r>
        <w:t>7a.</w:t>
      </w:r>
      <w:r>
        <w:tab/>
      </w:r>
      <w:r>
        <w:t>aus dem Konsumcannabisgesetz:</w:t>
      </w:r>
    </w:p>
    <w:p>
      <w:pPr>
        <w:tabs>
          <w:tab w:pos="1134" w:val="left"/>
        </w:tabs>
        <w:ind w:left="1134" w:hanging="567"/>
      </w:pPr>
      <w:r>
        <w:t>a)</w:t>
      </w:r>
      <w:r>
        <w:tab/>
      </w:r>
      <w:r>
        <w:t>Straftaten nach einer in § 34 Absatz 3 Satz 2 Nummer 1 in Bezug genommenen Vorschrift unter den dort genannten Voraussetzungen,</w:t>
      </w:r>
    </w:p>
    <w:p>
      <w:pPr>
        <w:tabs>
          <w:tab w:pos="1134" w:val="left"/>
        </w:tabs>
        <w:ind w:left="1134" w:hanging="567"/>
      </w:pPr>
      <w:r>
        <w:t>b)</w:t>
      </w:r>
      <w:r>
        <w:tab/>
      </w:r>
      <w:r>
        <w:t xml:space="preserve">Straftaten nach </w:t>
      </w:r>
      <w:hyperlink w:anchor="b50" w:history="1">
        <w:r>
          <w:rPr>
            <w:color w:val="0A3A8C"/>
            <w:u w:val="single"/>
          </w:rPr>
          <w:t xml:space="preserve">§ 34</w:t>
        </w:r>
      </w:hyperlink>
      <w:r>
        <w:t xml:space="preserve"> Absatz 4,</w:t>
      </w:r>
    </w:p>
    <w:p>
      <w:pPr>
        <w:tabs>
          <w:tab w:pos="567" w:val="left"/>
        </w:tabs>
        <w:ind w:left="567" w:hanging="567"/>
      </w:pPr>
      <w:r>
        <w:t>7b.</w:t>
      </w:r>
      <w:r>
        <w:tab/>
      </w:r>
      <w:r>
        <w:t>aus dem Medizinal-Cannabisgesetz:</w:t>
      </w:r>
    </w:p>
    <w:p>
      <w:pPr>
        <w:tabs>
          <w:tab w:pos="1134" w:val="left"/>
        </w:tabs>
        <w:ind w:left="1134" w:hanging="567"/>
      </w:pPr>
      <w:r>
        <w:t>a)</w:t>
      </w:r>
      <w:r>
        <w:tab/>
      </w:r>
      <w:r>
        <w:t>Straftaten nach einer in § 25 Absatz 4 Satz 2 Nummer 1 in Bezug genommenen Vorschrift unter den dort genannten Voraussetzungen,</w:t>
      </w:r>
    </w:p>
    <w:p>
      <w:pPr>
        <w:tabs>
          <w:tab w:pos="1134" w:val="left"/>
        </w:tabs>
        <w:ind w:left="1134" w:hanging="567"/>
      </w:pPr>
      <w:r>
        <w:t>b)</w:t>
      </w:r>
      <w:r>
        <w:tab/>
      </w:r>
      <w:r>
        <w:t xml:space="preserve">Straftaten nach </w:t>
      </w:r>
      <w:hyperlink w:anchor="b31" w:history="1">
        <w:r>
          <w:rPr>
            <w:color w:val="0A3A8C"/>
            <w:u w:val="single"/>
          </w:rPr>
          <w:t xml:space="preserve">§ 25</w:t>
        </w:r>
      </w:hyperlink>
      <w:r>
        <w:t xml:space="preserve"> Absatz 5,</w:t>
      </w:r>
    </w:p>
    <w:p>
      <w:pPr>
        <w:tabs>
          <w:tab w:pos="567" w:val="left"/>
        </w:tabs>
        <w:ind w:left="567" w:hanging="567"/>
      </w:pPr>
      <w:r>
        <w:t>8.</w:t>
      </w:r>
      <w:r>
        <w:tab/>
      </w:r>
      <w:r>
        <w:t>aus dem Grundstoffüberwachungsgesetz:</w:t>
      </w:r>
    </w:p>
    <w:p>
      <w:pPr>
        <w:ind w:left="567"/>
      </w:pPr>
      <w:r>
        <w:t xml:space="preserve">Straftaten nach </w:t>
      </w:r>
      <w:hyperlink w:anchor="b24" w:history="1">
        <w:r>
          <w:rPr>
            <w:color w:val="0A3A8C"/>
            <w:u w:val="single"/>
          </w:rPr>
          <w:t xml:space="preserve">§ 19</w:t>
        </w:r>
      </w:hyperlink>
      <w:r>
        <w:t xml:space="preserve"> Abs. 1 unter den in </w:t>
      </w:r>
      <w:hyperlink w:anchor="b24" w:history="1">
        <w:r>
          <w:rPr>
            <w:color w:val="0A3A8C"/>
            <w:u w:val="single"/>
          </w:rPr>
          <w:t xml:space="preserve">§ 19</w:t>
        </w:r>
      </w:hyperlink>
      <w:r>
        <w:t xml:space="preserve"> Abs. 3 Satz 2 genannten Voraussetzungen,</w:t>
      </w:r>
    </w:p>
    <w:p>
      <w:pPr>
        <w:tabs>
          <w:tab w:pos="567" w:val="left"/>
        </w:tabs>
        <w:ind w:left="567" w:hanging="567"/>
      </w:pPr>
      <w:r>
        <w:t>9.</w:t>
      </w:r>
      <w:r>
        <w:tab/>
      </w:r>
      <w:r>
        <w:t>aus dem Gesetz über die Kontrolle von Kriegswaffen:</w:t>
      </w:r>
    </w:p>
    <w:p>
      <w:pPr>
        <w:tabs>
          <w:tab w:pos="1134" w:val="left"/>
        </w:tabs>
        <w:ind w:left="1134" w:hanging="567"/>
      </w:pPr>
      <w:r>
        <w:t>a)</w:t>
      </w:r>
      <w:r>
        <w:tab/>
      </w:r>
      <w:r>
        <w:t xml:space="preserve">Straftaten nach </w:t>
      </w:r>
      <w:hyperlink w:anchor="b24" w:history="1">
        <w:r>
          <w:rPr>
            <w:color w:val="0A3A8C"/>
            <w:u w:val="single"/>
          </w:rPr>
          <w:t xml:space="preserve">§ 19</w:t>
        </w:r>
      </w:hyperlink>
      <w:r>
        <w:t xml:space="preserve"> Abs. 1 bis 3 und </w:t>
      </w:r>
      <w:hyperlink w:anchor="b25" w:history="1">
        <w:r>
          <w:rPr>
            <w:color w:val="0A3A8C"/>
            <w:u w:val="single"/>
          </w:rPr>
          <w:t xml:space="preserve">§ 20</w:t>
        </w:r>
      </w:hyperlink>
      <w:r>
        <w:t xml:space="preserve"> Abs. 1 und 2 sowie § 20a Abs. 1 bis 3, jeweils auch in Verbindung mit </w:t>
      </w:r>
      <w:hyperlink w:anchor="b26" w:history="1">
        <w:r>
          <w:rPr>
            <w:color w:val="0A3A8C"/>
            <w:u w:val="single"/>
          </w:rPr>
          <w:t xml:space="preserve">§ 21</w:t>
        </w:r>
      </w:hyperlink>
      <w:r>
        <w:t>,</w:t>
      </w:r>
    </w:p>
    <w:p>
      <w:pPr>
        <w:tabs>
          <w:tab w:pos="1134" w:val="left"/>
        </w:tabs>
        <w:ind w:left="1134" w:hanging="567"/>
      </w:pPr>
      <w:r>
        <w:t>b)</w:t>
      </w:r>
      <w:r>
        <w:tab/>
      </w:r>
      <w:r>
        <w:t>Straftaten nach § 22a Abs. 1 bis 3,</w:t>
      </w:r>
    </w:p>
    <w:p>
      <w:pPr>
        <w:tabs>
          <w:tab w:pos="567" w:val="left"/>
        </w:tabs>
        <w:ind w:left="567" w:hanging="567"/>
      </w:pPr>
      <w:r>
        <w:t>9a.</w:t>
      </w:r>
      <w:r>
        <w:tab/>
      </w:r>
      <w:r>
        <w:t>aus dem Neue-psychoaktive-Stoffe-Gesetz:</w:t>
      </w:r>
    </w:p>
    <w:p>
      <w:pPr>
        <w:ind w:left="567"/>
      </w:pPr>
      <w:r>
        <w:t>Straftaten nach § 4 Absatz 3 Nummer 1 Buchstabe a,</w:t>
      </w:r>
    </w:p>
    <w:p>
      <w:pPr>
        <w:tabs>
          <w:tab w:pos="567" w:val="left"/>
        </w:tabs>
        <w:ind w:left="567" w:hanging="567"/>
      </w:pPr>
      <w:r>
        <w:t>9b.</w:t>
      </w:r>
      <w:r>
        <w:tab/>
      </w:r>
      <w:r>
        <w:t>aus dem Sprengstoffgesetz:</w:t>
      </w:r>
    </w:p>
    <w:p>
      <w:pPr>
        <w:ind w:left="567"/>
      </w:pPr>
      <w:r>
        <w:t xml:space="preserve">Straftaten nach </w:t>
      </w:r>
      <w:hyperlink w:anchor="b59" w:history="1">
        <w:r>
          <w:rPr>
            <w:color w:val="0A3A8C"/>
            <w:u w:val="single"/>
          </w:rPr>
          <w:t xml:space="preserve">§ 40</w:t>
        </w:r>
      </w:hyperlink>
      <w:r>
        <w:t xml:space="preserve"> Absatz 3a,</w:t>
      </w:r>
    </w:p>
    <w:p>
      <w:pPr>
        <w:tabs>
          <w:tab w:pos="567" w:val="left"/>
        </w:tabs>
        <w:ind w:left="567" w:hanging="567"/>
      </w:pPr>
      <w:r>
        <w:t>10.</w:t>
      </w:r>
      <w:r>
        <w:tab/>
      </w:r>
      <w:r>
        <w:t>aus dem Völkerstrafgesetzbuch:</w:t>
      </w:r>
    </w:p>
    <w:p>
      <w:pPr>
        <w:tabs>
          <w:tab w:pos="1134" w:val="left"/>
        </w:tabs>
        <w:ind w:left="1134" w:hanging="567"/>
      </w:pPr>
      <w:r>
        <w:t>a)</w:t>
      </w:r>
      <w:r>
        <w:tab/>
      </w:r>
      <w:r>
        <w:t xml:space="preserve">Völkermord nach </w:t>
      </w:r>
      <w:hyperlink w:anchor="b7" w:history="1">
        <w:r>
          <w:rPr>
            <w:color w:val="0A3A8C"/>
            <w:u w:val="single"/>
          </w:rPr>
          <w:t xml:space="preserve">§ 6</w:t>
        </w:r>
      </w:hyperlink>
      <w:r>
        <w:t>,</w:t>
      </w:r>
    </w:p>
    <w:p>
      <w:pPr>
        <w:tabs>
          <w:tab w:pos="1134" w:val="left"/>
        </w:tabs>
        <w:ind w:left="1134" w:hanging="567"/>
      </w:pPr>
      <w:r>
        <w:t>b)</w:t>
      </w:r>
      <w:r>
        <w:tab/>
      </w:r>
      <w:r>
        <w:t xml:space="preserve">Verbrechen gegen die Menschlichkeit nach </w:t>
      </w:r>
      <w:hyperlink w:anchor="b10" w:history="1">
        <w:r>
          <w:rPr>
            <w:color w:val="0A3A8C"/>
            <w:u w:val="single"/>
          </w:rPr>
          <w:t xml:space="preserve">§ 7</w:t>
        </w:r>
      </w:hyperlink>
      <w:r>
        <w:t>,</w:t>
      </w:r>
    </w:p>
    <w:p>
      <w:pPr>
        <w:tabs>
          <w:tab w:pos="1134" w:val="left"/>
        </w:tabs>
        <w:ind w:left="1134" w:hanging="567"/>
      </w:pPr>
      <w:r>
        <w:t>c)</w:t>
      </w:r>
      <w:r>
        <w:tab/>
      </w:r>
      <w:r>
        <w:t xml:space="preserve">Kriegsverbrechen nach den </w:t>
      </w:r>
      <w:hyperlink w:anchor="b11" w:history="1">
        <w:r>
          <w:rPr>
            <w:color w:val="0A3A8C"/>
            <w:u w:val="single"/>
          </w:rPr>
          <w:t xml:space="preserve">§§ 8</w:t>
        </w:r>
      </w:hyperlink>
      <w:r>
        <w:t xml:space="preserve"> bis </w:t>
      </w:r>
      <w:hyperlink w:anchor="b17" w:history="1">
        <w:r>
          <w:rPr>
            <w:color w:val="0A3A8C"/>
            <w:u w:val="single"/>
          </w:rPr>
          <w:t xml:space="preserve">12</w:t>
        </w:r>
      </w:hyperlink>
      <w:r>
        <w:t>,</w:t>
      </w:r>
    </w:p>
    <w:p>
      <w:pPr>
        <w:tabs>
          <w:tab w:pos="1134" w:val="left"/>
        </w:tabs>
        <w:ind w:left="1134" w:hanging="567"/>
      </w:pPr>
      <w:r>
        <w:t>d)</w:t>
      </w:r>
      <w:r>
        <w:tab/>
      </w:r>
      <w:r>
        <w:t xml:space="preserve">Verbrechen der Aggression nach </w:t>
      </w:r>
      <w:hyperlink w:anchor="b18" w:history="1">
        <w:r>
          <w:rPr>
            <w:color w:val="0A3A8C"/>
            <w:u w:val="single"/>
          </w:rPr>
          <w:t xml:space="preserve">§ 13</w:t>
        </w:r>
      </w:hyperlink>
      <w:r>
        <w:t>,</w:t>
      </w:r>
    </w:p>
    <w:p>
      <w:pPr>
        <w:tabs>
          <w:tab w:pos="567" w:val="left"/>
        </w:tabs>
        <w:ind w:left="567" w:hanging="567"/>
      </w:pPr>
      <w:r>
        <w:t>11.</w:t>
      </w:r>
      <w:r>
        <w:tab/>
      </w:r>
      <w:r>
        <w:t>aus dem Waffengesetz:</w:t>
      </w:r>
    </w:p>
    <w:p>
      <w:pPr>
        <w:tabs>
          <w:tab w:pos="1134" w:val="left"/>
        </w:tabs>
        <w:ind w:left="1134" w:hanging="567"/>
      </w:pPr>
      <w:r>
        <w:t>a)</w:t>
      </w:r>
      <w:r>
        <w:tab/>
      </w:r>
      <w:r>
        <w:t xml:space="preserve">Straftaten nach </w:t>
      </w:r>
      <w:hyperlink w:anchor="b73" w:history="1">
        <w:r>
          <w:rPr>
            <w:color w:val="0A3A8C"/>
            <w:u w:val="single"/>
          </w:rPr>
          <w:t xml:space="preserve">§ 51</w:t>
        </w:r>
      </w:hyperlink>
      <w:r>
        <w:t xml:space="preserve"> Abs. 1 bis 3,</w:t>
      </w:r>
    </w:p>
    <w:p>
      <w:pPr>
        <w:tabs>
          <w:tab w:pos="1134" w:val="left"/>
        </w:tabs>
        <w:ind w:left="1134" w:hanging="567"/>
      </w:pPr>
      <w:r>
        <w:t>b)</w:t>
      </w:r>
      <w:r>
        <w:tab/>
      </w:r>
      <w:r>
        <w:t>Straftaten nach § 52 Abs. 1 Nr. 1 und 2 Buchstabe c und d sowie Absatz 5 und 6,</w:t>
      </w:r>
    </w:p>
    <w:p>
      <w:pPr>
        <w:tabs>
          <w:tab w:pos="567" w:val="left"/>
        </w:tabs>
        <w:ind w:left="567" w:hanging="567"/>
      </w:pPr>
      <w:r>
        <w:t>12.</w:t>
      </w:r>
      <w:r>
        <w:tab/>
      </w:r>
      <w:r>
        <w:t>aus dem Schwarzarbeitsbekämpfungsgesetz:</w:t>
      </w:r>
    </w:p>
    <w:p>
      <w:pPr>
        <w:ind w:left="567"/>
      </w:pPr>
      <w:r>
        <w:t xml:space="preserve">Straftaten nach </w:t>
      </w:r>
      <w:hyperlink w:anchor="b12" w:history="1">
        <w:r>
          <w:rPr>
            <w:color w:val="0A3A8C"/>
            <w:u w:val="single"/>
          </w:rPr>
          <w:t xml:space="preserve">§ 9</w:t>
        </w:r>
      </w:hyperlink>
      <w:r>
        <w:t>.</w:t>
      </w:r>
    </w:p>
    <w:p>
      <w:r>
        <w:t>(3) Die Anordnung darf sich nur gegen den Beschuldigten oder gegen Personen richten, von denen auf Grund bestimmter Tatsachen anzunehmen ist, dass sie für den Beschuldigten bestimmte oder von ihm herrührende Mitteilungen entgegennehmen oder weitergeben oder dass der Beschuldigte ihren Anschluss oder ihr informationstechnisches System benutzt.</w:t>
      </w:r>
    </w:p>
    <w:p>
      <w:r>
        <w:t xml:space="preserve">(4) </w:t>
      </w:r>
      <w:r>
        <w:rPr>
          <w:rStyle w:val="Satznummer"/>
        </w:rPr>
        <w:t>1</w:t>
      </w:r>
      <w:r>
        <w:t xml:space="preserve">Auf Grund der Anordnung einer Überwachung und Aufzeichnung der Telekommunikation hat jeder, der Telekommunikationsdienste erbringt oder daran mitwirkt, dem Gericht, der Staatsanwaltschaft und ihren im Polizeidienst tätigen Ermittlungspersonen (§ 152 des Gerichtsverfassungsgesetzes) diese Maßnahmen zu ermöglichen und die erforderlichen Auskünfte unverzüglich zu erteilen. </w:t>
      </w:r>
      <w:r>
        <w:rPr>
          <w:rStyle w:val="Satznummer"/>
        </w:rPr>
        <w:t>2</w:t>
      </w:r>
      <w:r>
        <w:t xml:space="preserve">Ob und in welchem Umfang hierfür Vorkehrungen zu treffen sind, bestimmt sich nach dem Telekommunikationsgesetz und der Telekommunikations-Überwachungsverordnung. </w:t>
      </w:r>
      <w:r>
        <w:rPr>
          <w:rStyle w:val="Satznummer"/>
        </w:rPr>
        <w:t>3</w:t>
      </w:r>
      <w:hyperlink w:anchor="b133" w:history="1">
        <w:r>
          <w:rPr>
            <w:color w:val="0A3A8C"/>
            <w:u w:val="single"/>
          </w:rPr>
          <w:t xml:space="preserve">§ 95</w:t>
        </w:r>
      </w:hyperlink>
      <w:r>
        <w:t xml:space="preserve"> Absatz 2 gilt entsprechend.</w:t>
      </w:r>
    </w:p>
    <w:p>
      <w:r>
        <w:t xml:space="preserve">(5) </w:t>
      </w:r>
      <w:r>
        <w:rPr>
          <w:rStyle w:val="Satznummer"/>
        </w:rPr>
        <w:t>1</w:t>
      </w:r>
      <w:r>
        <w:t>Bei Maßnahmen nach Absatz 1 Satz 2 und 3 ist technisch sicherzustellen, dass</w:t>
      </w:r>
    </w:p>
    <w:p>
      <w:pPr>
        <w:tabs>
          <w:tab w:pos="567" w:val="left"/>
        </w:tabs>
        <w:ind w:left="567" w:hanging="567"/>
      </w:pPr>
      <w:r>
        <w:t>1.</w:t>
      </w:r>
      <w:r>
        <w:tab/>
      </w:r>
      <w:r>
        <w:t>ausschließlich überwacht und aufgezeichnet werden können:</w:t>
      </w:r>
    </w:p>
    <w:p>
      <w:pPr>
        <w:tabs>
          <w:tab w:pos="1134" w:val="left"/>
        </w:tabs>
        <w:ind w:left="1134" w:hanging="567"/>
      </w:pPr>
      <w:r>
        <w:t>a)</w:t>
      </w:r>
      <w:r>
        <w:tab/>
      </w:r>
      <w:r>
        <w:t>die laufende Telekommunikation (Absatz 1 Satz 2), oder</w:t>
      </w:r>
    </w:p>
    <w:p>
      <w:pPr>
        <w:tabs>
          <w:tab w:pos="1134" w:val="left"/>
        </w:tabs>
        <w:ind w:left="1134" w:hanging="567"/>
      </w:pPr>
      <w:r>
        <w:t>b)</w:t>
      </w:r>
      <w:r>
        <w:tab/>
      </w:r>
      <w:r>
        <w:t xml:space="preserve">Inhalte und Umstände der Kommunikation, die ab dem Zeitpunkt der Anordnung nach </w:t>
      </w:r>
      <w:hyperlink w:anchor="b147" w:history="1">
        <w:r>
          <w:rPr>
            <w:color w:val="0A3A8C"/>
            <w:u w:val="single"/>
          </w:rPr>
          <w:t xml:space="preserve">§ 100e</w:t>
        </w:r>
      </w:hyperlink>
      <w:r>
        <w:t xml:space="preserve"> Absatz 1 auch während des laufenden Übertragungsvorgangs im öffentlichen Telekommunikationsnetz hätten überwacht und aufgezeichnet werden können (Absatz 1 Satz 3),</w:t>
      </w:r>
    </w:p>
    <w:p>
      <w:pPr>
        <w:tabs>
          <w:tab w:pos="567" w:val="left"/>
        </w:tabs>
        <w:ind w:left="567" w:hanging="567"/>
      </w:pPr>
      <w:r>
        <w:t>2.</w:t>
      </w:r>
      <w:r>
        <w:tab/>
      </w:r>
      <w:r>
        <w:t>an dem informationstechnischen System nur Veränderungen vorgenommen werden, die für die Datenerhebung unerlässlich sind, und</w:t>
      </w:r>
    </w:p>
    <w:p>
      <w:pPr>
        <w:tabs>
          <w:tab w:pos="567" w:val="left"/>
        </w:tabs>
        <w:ind w:left="567" w:hanging="567"/>
      </w:pPr>
      <w:r>
        <w:t>3.</w:t>
      </w:r>
      <w:r>
        <w:tab/>
      </w:r>
      <w:r>
        <w:t>die vorgenommenen Veränderungen bei Beendigung der Maßnahme, soweit technisch möglich, automatisiert rückgängig gemacht werden.</w:t>
      </w:r>
    </w:p>
    <w:p>
      <w:r>
        <w:rPr>
          <w:rStyle w:val="Satznummer"/>
        </w:rPr>
        <w:t>2</w:t>
      </w:r>
      <w:r>
        <w:t xml:space="preserve">Das eingesetzte Mittel ist nach dem Stand der Technik gegen unbefugte Nutzung zu schützen. </w:t>
      </w:r>
      <w:r>
        <w:rPr>
          <w:rStyle w:val="Satznummer"/>
        </w:rPr>
        <w:t>3</w:t>
      </w:r>
      <w:r>
        <w:t>Kopierte Daten sind nach dem Stand der Technik gegen Veränderung, unbefugte Löschung und unbefugte Kenntnisnahme zu schützen.</w:t>
      </w:r>
    </w:p>
    <w:p>
      <w:r>
        <w:t>(6) Bei jedem Einsatz des technischen Mittels sind zu protokollieren</w:t>
      </w:r>
    </w:p>
    <w:p>
      <w:pPr>
        <w:tabs>
          <w:tab w:pos="567" w:val="left"/>
        </w:tabs>
        <w:ind w:left="567" w:hanging="567"/>
      </w:pPr>
      <w:r>
        <w:t>1.</w:t>
      </w:r>
      <w:r>
        <w:tab/>
      </w:r>
      <w:r>
        <w:t>die Bezeichnung des technischen Mittels und der Zeitpunkt seines Einsatzes,</w:t>
      </w:r>
    </w:p>
    <w:p>
      <w:pPr>
        <w:tabs>
          <w:tab w:pos="567" w:val="left"/>
        </w:tabs>
        <w:ind w:left="567" w:hanging="567"/>
      </w:pPr>
      <w:r>
        <w:t>2.</w:t>
      </w:r>
      <w:r>
        <w:tab/>
      </w:r>
      <w:r>
        <w:t>die Angaben zur Identifizierung des informationstechnischen Systems und die daran vorgenommenen nicht nur flüchtigen Veränderungen,</w:t>
      </w:r>
    </w:p>
    <w:p>
      <w:pPr>
        <w:tabs>
          <w:tab w:pos="567" w:val="left"/>
        </w:tabs>
        <w:ind w:left="567" w:hanging="567"/>
      </w:pPr>
      <w:r>
        <w:t>3.</w:t>
      </w:r>
      <w:r>
        <w:tab/>
      </w:r>
      <w:r>
        <w:t>die Angaben, die die Feststellung der erhobenen Daten ermöglichen, und</w:t>
      </w:r>
    </w:p>
    <w:p>
      <w:pPr>
        <w:tabs>
          <w:tab w:pos="567" w:val="left"/>
        </w:tabs>
        <w:ind w:left="567" w:hanging="567"/>
      </w:pPr>
      <w:r>
        <w:t>4.</w:t>
      </w:r>
      <w:r>
        <w:tab/>
      </w:r>
      <w:r>
        <w:t>die Organisationseinheit, die die Maßnahme durchführt.</w:t>
      </w:r>
    </w:p>
    <w:p>
      <w:pPr>
        <w:pStyle w:val="Heading3"/>
      </w:pPr>
      <w:bookmarkStart w:id="145" w:name="b144"/>
      <w:r>
        <w:t>§ 100b Online-Durchsuchung</w:t>
      </w:r>
      <w:r>
        <w:t xml:space="preserve"> </w:t>
      </w:r>
      <w:r>
        <w:rPr>
          <w:rStyle w:val="Suchmarke"/>
        </w:rPr>
        <w:t>#100b#</w:t>
      </w:r>
      <w:bookmarkEnd w:id="145"/>
    </w:p>
    <w:p>
      <w:r>
        <w:t>(1) Auch ohne Wissen des Betroffenen darf mit technischen Mitteln in ein von dem Betroffenen genutztes informationstechnisches System eingegriffen und dürfen Daten daraus erhoben werden (Online-Durchsuchung), wenn</w:t>
      </w:r>
    </w:p>
    <w:p>
      <w:pPr>
        <w:tabs>
          <w:tab w:pos="567" w:val="left"/>
        </w:tabs>
        <w:ind w:left="567" w:hanging="567"/>
      </w:pPr>
      <w:r>
        <w:t>1.</w:t>
      </w:r>
      <w:r>
        <w:tab/>
      </w:r>
      <w:r>
        <w:t>bestimmte Tatsachen den Verdacht begründen, dass jemand als Täter oder Teilnehmer eine in Absatz 2 bezeichnete besonders schwere Straftat begangen oder in Fällen, in denen der Versuch strafbar ist, zu begehen versucht hat,</w:t>
      </w:r>
    </w:p>
    <w:p>
      <w:pPr>
        <w:tabs>
          <w:tab w:pos="567" w:val="left"/>
        </w:tabs>
        <w:ind w:left="567" w:hanging="567"/>
      </w:pPr>
      <w:r>
        <w:t>2.</w:t>
      </w:r>
      <w:r>
        <w:tab/>
      </w:r>
      <w:r>
        <w:t>die Tat auch im Einzelfall besonders schwer wiegt und</w:t>
      </w:r>
    </w:p>
    <w:p>
      <w:pPr>
        <w:tabs>
          <w:tab w:pos="567" w:val="left"/>
        </w:tabs>
        <w:ind w:left="567" w:hanging="567"/>
      </w:pPr>
      <w:r>
        <w:t>3.</w:t>
      </w:r>
      <w:r>
        <w:tab/>
      </w:r>
      <w:r>
        <w:t>die Erforschung des Sachverhalts oder die Ermittlung des Aufenthaltsortes des Beschuldigten auf andere Weise wesentlich erschwert oder aussichtslos wäre.</w:t>
      </w:r>
    </w:p>
    <w:p>
      <w:r>
        <w:t>(2) Besonders schwere Straftaten im Sinne des Absatzes 1 Nummer 1 sind:</w:t>
      </w:r>
    </w:p>
    <w:p>
      <w:pPr>
        <w:tabs>
          <w:tab w:pos="567" w:val="left"/>
        </w:tabs>
        <w:ind w:left="567" w:hanging="567"/>
      </w:pPr>
      <w:r>
        <w:t>1.</w:t>
      </w:r>
      <w:r>
        <w:tab/>
      </w:r>
      <w:r>
        <w:t>aus dem Strafgesetzbuch:</w:t>
      </w:r>
    </w:p>
    <w:p>
      <w:pPr>
        <w:tabs>
          <w:tab w:pos="1134" w:val="left"/>
        </w:tabs>
        <w:ind w:left="1134" w:hanging="567"/>
      </w:pPr>
      <w:r>
        <w:t>a)</w:t>
      </w:r>
      <w:r>
        <w:tab/>
      </w:r>
      <w:r>
        <w:t xml:space="preserve">Straftaten des Hochverrats und der Gefährdung des demokratischen Rechtsstaates sowie des Landesverrats und der Gefährdung der äußeren Sicherheit nach den </w:t>
      </w:r>
      <w:hyperlink w:anchor="b110" w:history="1">
        <w:r>
          <w:rPr>
            <w:color w:val="0A3A8C"/>
            <w:u w:val="single"/>
          </w:rPr>
          <w:t xml:space="preserve">§§ 81</w:t>
        </w:r>
      </w:hyperlink>
      <w:r>
        <w:t xml:space="preserve">, </w:t>
      </w:r>
      <w:hyperlink w:anchor="b119" w:history="1">
        <w:r>
          <w:rPr>
            <w:color w:val="0A3A8C"/>
            <w:u w:val="single"/>
          </w:rPr>
          <w:t xml:space="preserve">82</w:t>
        </w:r>
      </w:hyperlink>
      <w:r>
        <w:t xml:space="preserve">, 89a Absatz 1 bis 7, § 89c Absatz 1 sowie Absatz 3 und 4, wenn es sich um eine Tat nach Absatz 1 handelt, nach den </w:t>
      </w:r>
      <w:hyperlink w:anchor="b132" w:history="1">
        <w:r>
          <w:rPr>
            <w:color w:val="0A3A8C"/>
            <w:u w:val="single"/>
          </w:rPr>
          <w:t xml:space="preserve">§§ 94</w:t>
        </w:r>
      </w:hyperlink>
      <w:r>
        <w:t xml:space="preserve">, </w:t>
      </w:r>
      <w:hyperlink w:anchor="b133" w:history="1">
        <w:r>
          <w:rPr>
            <w:color w:val="0A3A8C"/>
            <w:u w:val="single"/>
          </w:rPr>
          <w:t xml:space="preserve">95</w:t>
        </w:r>
      </w:hyperlink>
      <w:r>
        <w:t xml:space="preserve"> Absatz 3 und </w:t>
      </w:r>
      <w:hyperlink w:anchor="b135" w:history="1">
        <w:r>
          <w:rPr>
            <w:color w:val="0A3A8C"/>
            <w:u w:val="single"/>
          </w:rPr>
          <w:t xml:space="preserve">§ 96</w:t>
        </w:r>
      </w:hyperlink>
      <w:r>
        <w:t xml:space="preserve"> Absatz 1, jeweils auch in Verbindung mit § 97b, sowie nach den §§ 97a, </w:t>
      </w:r>
      <w:hyperlink w:anchor="b137" w:history="1">
        <w:r>
          <w:rPr>
            <w:color w:val="0A3A8C"/>
            <w:u w:val="single"/>
          </w:rPr>
          <w:t xml:space="preserve">98</w:t>
        </w:r>
      </w:hyperlink>
      <w:r>
        <w:t xml:space="preserve"> Absatz 1 Satz 2, </w:t>
      </w:r>
      <w:hyperlink w:anchor="b141" w:history="1">
        <w:r>
          <w:rPr>
            <w:color w:val="0A3A8C"/>
            <w:u w:val="single"/>
          </w:rPr>
          <w:t xml:space="preserve">§ 99</w:t>
        </w:r>
      </w:hyperlink>
      <w:r>
        <w:t xml:space="preserve"> und den </w:t>
      </w:r>
      <w:hyperlink w:anchor="b142" w:history="1">
        <w:r>
          <w:rPr>
            <w:color w:val="0A3A8C"/>
            <w:u w:val="single"/>
          </w:rPr>
          <w:t xml:space="preserve">§§ 100</w:t>
        </w:r>
      </w:hyperlink>
      <w:r>
        <w:t xml:space="preserve">, </w:t>
      </w:r>
      <w:hyperlink w:anchor="b143" w:history="1">
        <w:r>
          <w:rPr>
            <w:color w:val="0A3A8C"/>
            <w:u w:val="single"/>
          </w:rPr>
          <w:t xml:space="preserve">100a</w:t>
        </w:r>
      </w:hyperlink>
      <w:r>
        <w:t xml:space="preserve"> Absatz 4,</w:t>
      </w:r>
    </w:p>
    <w:p>
      <w:pPr>
        <w:tabs>
          <w:tab w:pos="1134" w:val="left"/>
        </w:tabs>
        <w:ind w:left="1134" w:hanging="567"/>
      </w:pPr>
      <w:r>
        <w:t>b)</w:t>
      </w:r>
      <w:r>
        <w:tab/>
      </w:r>
      <w:r>
        <w:t xml:space="preserve">Betreiben krimineller Handelsplattformen im Internet in den Fällen des </w:t>
      </w:r>
      <w:hyperlink w:anchor="b218" w:history="1">
        <w:r>
          <w:rPr>
            <w:color w:val="0A3A8C"/>
            <w:u w:val="single"/>
          </w:rPr>
          <w:t xml:space="preserve">§ 127</w:t>
        </w:r>
      </w:hyperlink>
      <w:r>
        <w:t xml:space="preserve"> Absatz 3 und 4, sofern der Zweck der Handelsplattform im Internet darauf ausgerichtet ist, in den Buchstaben a und c bis o sowie in den Nummern 2 bis 10 genannte besonders schwere Straftaten zu ermöglichen oder zu fördern,</w:t>
      </w:r>
    </w:p>
    <w:p>
      <w:pPr>
        <w:tabs>
          <w:tab w:pos="1134" w:val="left"/>
        </w:tabs>
        <w:ind w:left="1134" w:hanging="567"/>
      </w:pPr>
      <w:r>
        <w:t>c)</w:t>
      </w:r>
      <w:r>
        <w:tab/>
      </w:r>
      <w:r>
        <w:t xml:space="preserve">Bildung krimineller Vereinigungen nach </w:t>
      </w:r>
      <w:hyperlink w:anchor="b222" w:history="1">
        <w:r>
          <w:rPr>
            <w:color w:val="0A3A8C"/>
            <w:u w:val="single"/>
          </w:rPr>
          <w:t xml:space="preserve">§ 129</w:t>
        </w:r>
      </w:hyperlink>
      <w:r>
        <w:t xml:space="preserve"> Absatz 1 in Verbindung mit Absatz 5 Satz 3 und Bildung terroristischer Vereinigungen nach § 129a Absatz 1, 2, 4, 5 Satz 1 erste Alternative, jeweils auch in Verbindung mit § 129b Absatz 1,</w:t>
      </w:r>
    </w:p>
    <w:p>
      <w:pPr>
        <w:tabs>
          <w:tab w:pos="1134" w:val="left"/>
        </w:tabs>
        <w:ind w:left="1134" w:hanging="567"/>
      </w:pPr>
      <w:r>
        <w:t>d)</w:t>
      </w:r>
      <w:r>
        <w:tab/>
      </w:r>
      <w:r>
        <w:t xml:space="preserve">Geld- und Wertzeichenfälschung nach den </w:t>
      </w:r>
      <w:hyperlink w:anchor="b255" w:history="1">
        <w:r>
          <w:rPr>
            <w:color w:val="0A3A8C"/>
            <w:u w:val="single"/>
          </w:rPr>
          <w:t xml:space="preserve">§§ 146</w:t>
        </w:r>
      </w:hyperlink>
      <w:r>
        <w:t xml:space="preserve"> und </w:t>
      </w:r>
      <w:hyperlink w:anchor="b264" w:history="1">
        <w:r>
          <w:rPr>
            <w:color w:val="0A3A8C"/>
            <w:u w:val="single"/>
          </w:rPr>
          <w:t xml:space="preserve">151</w:t>
        </w:r>
      </w:hyperlink>
      <w:r>
        <w:t xml:space="preserve">, jeweils auch in Verbindung mit </w:t>
      </w:r>
      <w:hyperlink w:anchor="b265" w:history="1">
        <w:r>
          <w:rPr>
            <w:color w:val="0A3A8C"/>
            <w:u w:val="single"/>
          </w:rPr>
          <w:t xml:space="preserve">§ 152</w:t>
        </w:r>
      </w:hyperlink>
      <w:r>
        <w:t xml:space="preserve">, sowie nach </w:t>
      </w:r>
      <w:hyperlink w:anchor="b266" w:history="1">
        <w:r>
          <w:rPr>
            <w:color w:val="0A3A8C"/>
            <w:u w:val="single"/>
          </w:rPr>
          <w:t xml:space="preserve">§ 152a</w:t>
        </w:r>
      </w:hyperlink>
      <w:r>
        <w:t xml:space="preserve"> Absatz 3 und § 152b Absatz 1 bis 4,</w:t>
      </w:r>
    </w:p>
    <w:p>
      <w:pPr>
        <w:tabs>
          <w:tab w:pos="1134" w:val="left"/>
        </w:tabs>
        <w:ind w:left="1134" w:hanging="567"/>
      </w:pPr>
      <w:r>
        <w:t>e)</w:t>
      </w:r>
      <w:r>
        <w:tab/>
      </w:r>
      <w:r>
        <w:t xml:space="preserve">Straftaten gegen die sexuelle Selbstbestimmung in den Fällen des </w:t>
      </w:r>
      <w:hyperlink w:anchor="b321" w:history="1">
        <w:r>
          <w:rPr>
            <w:color w:val="0A3A8C"/>
            <w:u w:val="single"/>
          </w:rPr>
          <w:t xml:space="preserve">§ 176</w:t>
        </w:r>
      </w:hyperlink>
      <w:r>
        <w:t xml:space="preserve"> Absatz 1 und der §§ 176c, 176d und, unter den in </w:t>
      </w:r>
      <w:hyperlink w:anchor="b322" w:history="1">
        <w:r>
          <w:rPr>
            <w:color w:val="0A3A8C"/>
            <w:u w:val="single"/>
          </w:rPr>
          <w:t xml:space="preserve">§ 177</w:t>
        </w:r>
      </w:hyperlink>
      <w:r>
        <w:t xml:space="preserve"> Absatz 6 Satz 2 Nummer 2 genannten Voraussetzungen, des </w:t>
      </w:r>
      <w:hyperlink w:anchor="b322" w:history="1">
        <w:r>
          <w:rPr>
            <w:color w:val="0A3A8C"/>
            <w:u w:val="single"/>
          </w:rPr>
          <w:t xml:space="preserve">§ 177</w:t>
        </w:r>
      </w:hyperlink>
      <w:r>
        <w:t>,</w:t>
      </w:r>
    </w:p>
    <w:p>
      <w:pPr>
        <w:tabs>
          <w:tab w:pos="1134" w:val="left"/>
        </w:tabs>
        <w:ind w:left="1134" w:hanging="567"/>
      </w:pPr>
      <w:r>
        <w:t>f)</w:t>
      </w:r>
      <w:r>
        <w:tab/>
      </w:r>
      <w:r>
        <w:t>Verbreitung, Erwerb und Besitz kinderpornografischer Inhalte in den Fällen des § 184b Absatz 1 Satz 1 und Absatz 2,</w:t>
      </w:r>
    </w:p>
    <w:p>
      <w:pPr>
        <w:tabs>
          <w:tab w:pos="1134" w:val="left"/>
        </w:tabs>
        <w:ind w:left="1134" w:hanging="567"/>
      </w:pPr>
      <w:r>
        <w:t>g)</w:t>
      </w:r>
      <w:r>
        <w:tab/>
      </w:r>
      <w:r>
        <w:t xml:space="preserve">Mord und Totschlag nach den </w:t>
      </w:r>
      <w:hyperlink w:anchor="b342" w:history="1">
        <w:r>
          <w:rPr>
            <w:color w:val="0A3A8C"/>
            <w:u w:val="single"/>
          </w:rPr>
          <w:t xml:space="preserve">§§ 211</w:t>
        </w:r>
      </w:hyperlink>
      <w:r>
        <w:t xml:space="preserve">, </w:t>
      </w:r>
      <w:hyperlink w:anchor="b344" w:history="1">
        <w:r>
          <w:rPr>
            <w:color w:val="0A3A8C"/>
            <w:u w:val="single"/>
          </w:rPr>
          <w:t xml:space="preserve">212</w:t>
        </w:r>
      </w:hyperlink>
      <w:r>
        <w:t>,</w:t>
      </w:r>
    </w:p>
    <w:p>
      <w:pPr>
        <w:tabs>
          <w:tab w:pos="1134" w:val="left"/>
        </w:tabs>
        <w:ind w:left="1134" w:hanging="567"/>
      </w:pPr>
      <w:r>
        <w:t>h)</w:t>
      </w:r>
      <w:r>
        <w:tab/>
      </w:r>
      <w:r>
        <w:t xml:space="preserve">Straftaten gegen die persönliche Freiheit in den Fällen des </w:t>
      </w:r>
      <w:hyperlink w:anchor="b371" w:history="1">
        <w:r>
          <w:rPr>
            <w:color w:val="0A3A8C"/>
            <w:u w:val="single"/>
          </w:rPr>
          <w:t xml:space="preserve">§ 232</w:t>
        </w:r>
      </w:hyperlink>
      <w:r>
        <w:t xml:space="preserve"> Absatz 2 und 3, des § 232a Absatz 1, 3, 4 und 5 zweiter Halbsatz, des § 232b Absatz 1 und 3 sowie Absatz 4, dieser in Verbindung mit § 232a Absatz 4 und 5 zweiter Halbsatz, des </w:t>
      </w:r>
      <w:hyperlink w:anchor="b372" w:history="1">
        <w:r>
          <w:rPr>
            <w:color w:val="0A3A8C"/>
            <w:u w:val="single"/>
          </w:rPr>
          <w:t xml:space="preserve">§ 233</w:t>
        </w:r>
      </w:hyperlink>
      <w:r>
        <w:t xml:space="preserve"> Absatz 2, des § 233a Absatz 1, 3 und 4 zweiter Halbsatz, der </w:t>
      </w:r>
      <w:hyperlink w:anchor="b373" w:history="1">
        <w:r>
          <w:rPr>
            <w:color w:val="0A3A8C"/>
            <w:u w:val="single"/>
          </w:rPr>
          <w:t xml:space="preserve">§§ 234</w:t>
        </w:r>
      </w:hyperlink>
      <w:r>
        <w:t xml:space="preserve"> und </w:t>
      </w:r>
      <w:hyperlink w:anchor="b374" w:history="1">
        <w:r>
          <w:rPr>
            <w:color w:val="0A3A8C"/>
            <w:u w:val="single"/>
          </w:rPr>
          <w:t xml:space="preserve">234a</w:t>
        </w:r>
      </w:hyperlink>
      <w:r>
        <w:t xml:space="preserve"> Absatz 1 und 2 sowie der §§ 239a und 239b,</w:t>
      </w:r>
    </w:p>
    <w:p>
      <w:pPr>
        <w:tabs>
          <w:tab w:pos="1134" w:val="left"/>
        </w:tabs>
        <w:ind w:left="1134" w:hanging="567"/>
      </w:pPr>
      <w:r>
        <w:t>i)</w:t>
      </w:r>
      <w:r>
        <w:tab/>
      </w:r>
      <w:r>
        <w:t xml:space="preserve">Bandendiebstahl nach </w:t>
      </w:r>
      <w:hyperlink w:anchor="b385" w:history="1">
        <w:r>
          <w:rPr>
            <w:color w:val="0A3A8C"/>
            <w:u w:val="single"/>
          </w:rPr>
          <w:t xml:space="preserve">§ 244</w:t>
        </w:r>
      </w:hyperlink>
      <w:r>
        <w:t xml:space="preserve"> Absatz 1 Nummer 2 und schwerer Bandendiebstahl nach § 244a,</w:t>
      </w:r>
    </w:p>
    <w:p>
      <w:pPr>
        <w:tabs>
          <w:tab w:pos="1134" w:val="left"/>
        </w:tabs>
        <w:ind w:left="1134" w:hanging="567"/>
      </w:pPr>
      <w:r>
        <w:t>j)</w:t>
      </w:r>
      <w:r>
        <w:tab/>
      </w:r>
      <w:r>
        <w:t xml:space="preserve">schwerer Raub und Raub mit Todesfolge nach </w:t>
      </w:r>
      <w:hyperlink w:anchor="b393" w:history="1">
        <w:r>
          <w:rPr>
            <w:color w:val="0A3A8C"/>
            <w:u w:val="single"/>
          </w:rPr>
          <w:t xml:space="preserve">§ 250</w:t>
        </w:r>
      </w:hyperlink>
      <w:r>
        <w:t xml:space="preserve"> Absatz 1 oder Absatz 2, </w:t>
      </w:r>
      <w:hyperlink w:anchor="b394" w:history="1">
        <w:r>
          <w:rPr>
            <w:color w:val="0A3A8C"/>
            <w:u w:val="single"/>
          </w:rPr>
          <w:t xml:space="preserve">§ 251</w:t>
        </w:r>
      </w:hyperlink>
      <w:r>
        <w:t>,</w:t>
      </w:r>
    </w:p>
    <w:p>
      <w:pPr>
        <w:tabs>
          <w:tab w:pos="1134" w:val="left"/>
        </w:tabs>
        <w:ind w:left="1134" w:hanging="567"/>
      </w:pPr>
      <w:r>
        <w:t>k)</w:t>
      </w:r>
      <w:r>
        <w:tab/>
      </w:r>
      <w:r>
        <w:t xml:space="preserve">räuberische Erpressung nach </w:t>
      </w:r>
      <w:hyperlink w:anchor="b398" w:history="1">
        <w:r>
          <w:rPr>
            <w:color w:val="0A3A8C"/>
            <w:u w:val="single"/>
          </w:rPr>
          <w:t xml:space="preserve">§ 255</w:t>
        </w:r>
      </w:hyperlink>
      <w:r>
        <w:t xml:space="preserve"> und besonders schwerer Fall einer Erpressung nach </w:t>
      </w:r>
      <w:hyperlink w:anchor="b396" w:history="1">
        <w:r>
          <w:rPr>
            <w:color w:val="0A3A8C"/>
            <w:u w:val="single"/>
          </w:rPr>
          <w:t xml:space="preserve">§ 253</w:t>
        </w:r>
      </w:hyperlink>
      <w:r>
        <w:t xml:space="preserve"> unter den in </w:t>
      </w:r>
      <w:hyperlink w:anchor="b396" w:history="1">
        <w:r>
          <w:rPr>
            <w:color w:val="0A3A8C"/>
            <w:u w:val="single"/>
          </w:rPr>
          <w:t xml:space="preserve">§ 253</w:t>
        </w:r>
      </w:hyperlink>
      <w:r>
        <w:t xml:space="preserve"> Absatz 4 Satz 2 genannten Voraussetzungen,</w:t>
      </w:r>
    </w:p>
    <w:p>
      <w:pPr>
        <w:tabs>
          <w:tab w:pos="1134" w:val="left"/>
        </w:tabs>
        <w:ind w:left="1134" w:hanging="567"/>
      </w:pPr>
      <w:r>
        <w:t>l)</w:t>
      </w:r>
      <w:r>
        <w:tab/>
      </w:r>
      <w:r>
        <w:t xml:space="preserve">gewerbsmäßige Hehlerei, Bandenhehlerei und gewerbsmäßige Bandenhehlerei nach den </w:t>
      </w:r>
      <w:hyperlink w:anchor="b407" w:history="1">
        <w:r>
          <w:rPr>
            <w:color w:val="0A3A8C"/>
            <w:u w:val="single"/>
          </w:rPr>
          <w:t xml:space="preserve">§§ 260</w:t>
        </w:r>
      </w:hyperlink>
      <w:r>
        <w:t>, 260a,</w:t>
      </w:r>
    </w:p>
    <w:p>
      <w:pPr>
        <w:tabs>
          <w:tab w:pos="1134" w:val="left"/>
        </w:tabs>
        <w:ind w:left="1134" w:hanging="567"/>
      </w:pPr>
      <w:r>
        <w:t>m)</w:t>
      </w:r>
      <w:r>
        <w:tab/>
      </w:r>
      <w:r>
        <w:t xml:space="preserve">besonders schwerer Fall der Geldwäsche nach </w:t>
      </w:r>
      <w:hyperlink w:anchor="b408" w:history="1">
        <w:r>
          <w:rPr>
            <w:color w:val="0A3A8C"/>
            <w:u w:val="single"/>
          </w:rPr>
          <w:t xml:space="preserve">§ 261</w:t>
        </w:r>
      </w:hyperlink>
      <w:r>
        <w:t xml:space="preserve"> unter den in </w:t>
      </w:r>
      <w:hyperlink w:anchor="b408" w:history="1">
        <w:r>
          <w:rPr>
            <w:color w:val="0A3A8C"/>
            <w:u w:val="single"/>
          </w:rPr>
          <w:t xml:space="preserve">§ 261</w:t>
        </w:r>
      </w:hyperlink>
      <w:r>
        <w:t xml:space="preserve"> Absatz 5 Satz 2 genannten Voraussetzungen, wenn die Vortat eine der in den Nummern 1 bis 7 genannten besonders schweren Straftaten ist,</w:t>
      </w:r>
    </w:p>
    <w:p>
      <w:pPr>
        <w:tabs>
          <w:tab w:pos="1134" w:val="left"/>
        </w:tabs>
        <w:ind w:left="1134" w:hanging="567"/>
      </w:pPr>
      <w:r>
        <w:t>n)</w:t>
      </w:r>
      <w:r>
        <w:tab/>
      </w:r>
      <w:r>
        <w:t xml:space="preserve">Computerbetrug in den Fällen des § 263a Absatz 2 in Verbindung mit </w:t>
      </w:r>
      <w:hyperlink w:anchor="b410" w:history="1">
        <w:r>
          <w:rPr>
            <w:color w:val="0A3A8C"/>
            <w:u w:val="single"/>
          </w:rPr>
          <w:t xml:space="preserve">§ 263</w:t>
        </w:r>
      </w:hyperlink>
      <w:r>
        <w:t xml:space="preserve"> Absatz 5,</w:t>
      </w:r>
    </w:p>
    <w:p>
      <w:pPr>
        <w:tabs>
          <w:tab w:pos="1134" w:val="left"/>
        </w:tabs>
        <w:ind w:left="1134" w:hanging="567"/>
      </w:pPr>
      <w:r>
        <w:t>o)</w:t>
      </w:r>
      <w:r>
        <w:tab/>
      </w:r>
      <w:r>
        <w:t xml:space="preserve">besonders schwerer Fall der Bestechlichkeit und Bestechung nach </w:t>
      </w:r>
      <w:hyperlink w:anchor="b491" w:history="1">
        <w:r>
          <w:rPr>
            <w:color w:val="0A3A8C"/>
            <w:u w:val="single"/>
          </w:rPr>
          <w:t xml:space="preserve">§ 335</w:t>
        </w:r>
      </w:hyperlink>
      <w:r>
        <w:t xml:space="preserve"> Absatz 1 unter den in </w:t>
      </w:r>
      <w:hyperlink w:anchor="b491" w:history="1">
        <w:r>
          <w:rPr>
            <w:color w:val="0A3A8C"/>
            <w:u w:val="single"/>
          </w:rPr>
          <w:t xml:space="preserve">§ 335</w:t>
        </w:r>
      </w:hyperlink>
      <w:r>
        <w:t xml:space="preserve"> Absatz 2 Nummer 1 bis 3 genannten Voraussetzungen,</w:t>
      </w:r>
    </w:p>
    <w:p>
      <w:pPr>
        <w:tabs>
          <w:tab w:pos="567" w:val="left"/>
        </w:tabs>
        <w:ind w:left="567" w:hanging="567"/>
      </w:pPr>
      <w:r>
        <w:t>2.</w:t>
      </w:r>
      <w:r>
        <w:tab/>
      </w:r>
      <w:r>
        <w:t>aus dem Asylgesetz:</w:t>
      </w:r>
    </w:p>
    <w:p>
      <w:pPr>
        <w:tabs>
          <w:tab w:pos="1134" w:val="left"/>
        </w:tabs>
        <w:ind w:left="1134" w:hanging="567"/>
      </w:pPr>
      <w:r>
        <w:t>a)</w:t>
      </w:r>
      <w:r>
        <w:tab/>
      </w:r>
      <w:r>
        <w:t xml:space="preserve">Verleitung zur missbräuchlichen Asylantragstellung nach </w:t>
      </w:r>
      <w:hyperlink w:anchor="b121" w:history="1">
        <w:r>
          <w:rPr>
            <w:color w:val="0A3A8C"/>
            <w:u w:val="single"/>
          </w:rPr>
          <w:t xml:space="preserve">§ 84</w:t>
        </w:r>
      </w:hyperlink>
      <w:r>
        <w:t xml:space="preserve"> Absatz 3,</w:t>
      </w:r>
    </w:p>
    <w:p>
      <w:pPr>
        <w:tabs>
          <w:tab w:pos="1134" w:val="left"/>
        </w:tabs>
        <w:ind w:left="1134" w:hanging="567"/>
      </w:pPr>
      <w:r>
        <w:t>b)</w:t>
      </w:r>
      <w:r>
        <w:tab/>
      </w:r>
      <w:r>
        <w:t>gewerbs- und bandenmäßige Verleitung zur missbräuchlichen Asylantragstellung nach § 84a Absatz 1,</w:t>
      </w:r>
    </w:p>
    <w:p>
      <w:pPr>
        <w:tabs>
          <w:tab w:pos="567" w:val="left"/>
        </w:tabs>
        <w:ind w:left="567" w:hanging="567"/>
      </w:pPr>
      <w:r>
        <w:t>3.</w:t>
      </w:r>
      <w:r>
        <w:tab/>
      </w:r>
      <w:r>
        <w:t>aus dem Aufenthaltsgesetz:</w:t>
      </w:r>
    </w:p>
    <w:p>
      <w:pPr>
        <w:tabs>
          <w:tab w:pos="1134" w:val="left"/>
        </w:tabs>
        <w:ind w:left="1134" w:hanging="567"/>
      </w:pPr>
      <w:r>
        <w:t>a)</w:t>
      </w:r>
      <w:r>
        <w:tab/>
      </w:r>
      <w:r>
        <w:t xml:space="preserve">Einschleusen von Ausländern nach </w:t>
      </w:r>
      <w:hyperlink w:anchor="b135" w:history="1">
        <w:r>
          <w:rPr>
            <w:color w:val="0A3A8C"/>
            <w:u w:val="single"/>
          </w:rPr>
          <w:t xml:space="preserve">§ 96</w:t>
        </w:r>
      </w:hyperlink>
      <w:r>
        <w:t xml:space="preserve"> Absatz 2,</w:t>
      </w:r>
    </w:p>
    <w:p>
      <w:pPr>
        <w:tabs>
          <w:tab w:pos="1134" w:val="left"/>
        </w:tabs>
        <w:ind w:left="1134" w:hanging="567"/>
      </w:pPr>
      <w:r>
        <w:t>b)</w:t>
      </w:r>
      <w:r>
        <w:tab/>
      </w:r>
      <w:r>
        <w:t xml:space="preserve">Einschleusen mit Todesfolge oder gewerbs- und bandenmäßiges Einschleusen nach </w:t>
      </w:r>
      <w:hyperlink w:anchor="b136" w:history="1">
        <w:r>
          <w:rPr>
            <w:color w:val="0A3A8C"/>
            <w:u w:val="single"/>
          </w:rPr>
          <w:t xml:space="preserve">§ 97</w:t>
        </w:r>
      </w:hyperlink>
      <w:r>
        <w:t>,</w:t>
      </w:r>
    </w:p>
    <w:p>
      <w:pPr>
        <w:tabs>
          <w:tab w:pos="567" w:val="left"/>
        </w:tabs>
        <w:ind w:left="567" w:hanging="567"/>
      </w:pPr>
      <w:r>
        <w:t>4.</w:t>
      </w:r>
      <w:r>
        <w:tab/>
      </w:r>
      <w:r>
        <w:t>aus dem Außenwirtschaftsgesetz:</w:t>
      </w:r>
    </w:p>
    <w:p>
      <w:pPr>
        <w:tabs>
          <w:tab w:pos="1134" w:val="left"/>
        </w:tabs>
        <w:ind w:left="1134" w:hanging="567"/>
      </w:pPr>
      <w:r>
        <w:t>a)</w:t>
      </w:r>
      <w:r>
        <w:tab/>
      </w:r>
      <w:r>
        <w:t>Straftaten nach § 17 Absatz 1, 2 und 3, jeweils auch in Verbindung mit Absatz 6 oder 7,</w:t>
      </w:r>
    </w:p>
    <w:p>
      <w:pPr>
        <w:tabs>
          <w:tab w:pos="1134" w:val="left"/>
        </w:tabs>
        <w:ind w:left="1134" w:hanging="567"/>
      </w:pPr>
      <w:r>
        <w:t>b)</w:t>
      </w:r>
      <w:r>
        <w:tab/>
      </w:r>
      <w:r>
        <w:t>Straftaten nach § 18 Absatz 7 und 8, jeweils auch in Verbindung mit Absatz 10,</w:t>
      </w:r>
    </w:p>
    <w:p>
      <w:pPr>
        <w:tabs>
          <w:tab w:pos="567" w:val="left"/>
        </w:tabs>
        <w:ind w:left="567" w:hanging="567"/>
      </w:pPr>
      <w:r>
        <w:t>5.</w:t>
      </w:r>
      <w:r>
        <w:tab/>
      </w:r>
      <w:r>
        <w:t>aus dem Betäubungsmittelgesetz:</w:t>
      </w:r>
    </w:p>
    <w:p>
      <w:pPr>
        <w:tabs>
          <w:tab w:pos="1134" w:val="left"/>
        </w:tabs>
        <w:ind w:left="1134" w:hanging="567"/>
      </w:pPr>
      <w:r>
        <w:t>a)</w:t>
      </w:r>
      <w:r>
        <w:tab/>
      </w:r>
      <w:r>
        <w:t xml:space="preserve">besonders schwerer Fall einer Straftat nach </w:t>
      </w:r>
      <w:hyperlink w:anchor="b36" w:history="1">
        <w:r>
          <w:rPr>
            <w:color w:val="0A3A8C"/>
            <w:u w:val="single"/>
          </w:rPr>
          <w:t xml:space="preserve">§ 29</w:t>
        </w:r>
      </w:hyperlink>
      <w:r>
        <w:t xml:space="preserve"> Absatz 1 Satz 1 Nummer 1, 5, 6, 10, 11 oder 13, Absatz 3 unter der in </w:t>
      </w:r>
      <w:hyperlink w:anchor="b36" w:history="1">
        <w:r>
          <w:rPr>
            <w:color w:val="0A3A8C"/>
            <w:u w:val="single"/>
          </w:rPr>
          <w:t xml:space="preserve">§ 29</w:t>
        </w:r>
      </w:hyperlink>
      <w:r>
        <w:t xml:space="preserve"> Absatz 3 Satz 2 Nummer 1 genannten Voraussetzung,</w:t>
      </w:r>
    </w:p>
    <w:p>
      <w:pPr>
        <w:tabs>
          <w:tab w:pos="1134" w:val="left"/>
        </w:tabs>
        <w:ind w:left="1134" w:hanging="567"/>
      </w:pPr>
      <w:r>
        <w:t>b)</w:t>
      </w:r>
      <w:r>
        <w:tab/>
      </w:r>
      <w:r>
        <w:t xml:space="preserve">eine Straftat nach den §§ 29a, </w:t>
      </w:r>
      <w:hyperlink w:anchor="b37" w:history="1">
        <w:r>
          <w:rPr>
            <w:color w:val="0A3A8C"/>
            <w:u w:val="single"/>
          </w:rPr>
          <w:t xml:space="preserve">30</w:t>
        </w:r>
      </w:hyperlink>
      <w:r>
        <w:t xml:space="preserve"> Absatz 1 Nummer 1, 2, 4, § 30a,</w:t>
      </w:r>
    </w:p>
    <w:p>
      <w:pPr>
        <w:tabs>
          <w:tab w:pos="567" w:val="left"/>
        </w:tabs>
        <w:ind w:left="567" w:hanging="567"/>
      </w:pPr>
      <w:r>
        <w:t>5a.</w:t>
      </w:r>
      <w:r>
        <w:tab/>
      </w:r>
      <w:r>
        <w:t>aus dem Konsumcannabisgesetz:</w:t>
      </w:r>
    </w:p>
    <w:p>
      <w:pPr>
        <w:ind w:left="567"/>
      </w:pPr>
      <w:r>
        <w:t xml:space="preserve">Straftaten nach </w:t>
      </w:r>
      <w:hyperlink w:anchor="b50" w:history="1">
        <w:r>
          <w:rPr>
            <w:color w:val="0A3A8C"/>
            <w:u w:val="single"/>
          </w:rPr>
          <w:t xml:space="preserve">§ 34</w:t>
        </w:r>
      </w:hyperlink>
      <w:r>
        <w:t xml:space="preserve"> Absatz 4 Nummer 1, 3 oder Nummer 4,</w:t>
      </w:r>
    </w:p>
    <w:p>
      <w:pPr>
        <w:tabs>
          <w:tab w:pos="567" w:val="left"/>
        </w:tabs>
        <w:ind w:left="567" w:hanging="567"/>
      </w:pPr>
      <w:r>
        <w:t>5b.</w:t>
      </w:r>
      <w:r>
        <w:tab/>
      </w:r>
      <w:r>
        <w:t>aus dem Medizinal-Cannabisgesetz:</w:t>
      </w:r>
    </w:p>
    <w:p>
      <w:pPr>
        <w:ind w:left="567"/>
      </w:pPr>
      <w:r>
        <w:t xml:space="preserve">Straftaten nach </w:t>
      </w:r>
      <w:hyperlink w:anchor="b31" w:history="1">
        <w:r>
          <w:rPr>
            <w:color w:val="0A3A8C"/>
            <w:u w:val="single"/>
          </w:rPr>
          <w:t xml:space="preserve">§ 25</w:t>
        </w:r>
      </w:hyperlink>
      <w:r>
        <w:t xml:space="preserve"> Absatz 5 Nummer 1, 3 oder Nummer 4,</w:t>
      </w:r>
    </w:p>
    <w:p>
      <w:pPr>
        <w:tabs>
          <w:tab w:pos="567" w:val="left"/>
        </w:tabs>
        <w:ind w:left="567" w:hanging="567"/>
      </w:pPr>
      <w:r>
        <w:t>6.</w:t>
      </w:r>
      <w:r>
        <w:tab/>
      </w:r>
      <w:r>
        <w:t>aus dem Gesetz über die Kontrolle von Kriegswaffen:</w:t>
      </w:r>
    </w:p>
    <w:p>
      <w:pPr>
        <w:tabs>
          <w:tab w:pos="1134" w:val="left"/>
        </w:tabs>
        <w:ind w:left="1134" w:hanging="567"/>
      </w:pPr>
      <w:r>
        <w:t>a)</w:t>
      </w:r>
      <w:r>
        <w:tab/>
      </w:r>
      <w:r>
        <w:t xml:space="preserve">eine Straftat nach </w:t>
      </w:r>
      <w:hyperlink w:anchor="b24" w:history="1">
        <w:r>
          <w:rPr>
            <w:color w:val="0A3A8C"/>
            <w:u w:val="single"/>
          </w:rPr>
          <w:t xml:space="preserve">§ 19</w:t>
        </w:r>
      </w:hyperlink>
      <w:r>
        <w:t xml:space="preserve"> Absatz 2 oder </w:t>
      </w:r>
      <w:hyperlink w:anchor="b25" w:history="1">
        <w:r>
          <w:rPr>
            <w:color w:val="0A3A8C"/>
            <w:u w:val="single"/>
          </w:rPr>
          <w:t xml:space="preserve">§ 20</w:t>
        </w:r>
      </w:hyperlink>
      <w:r>
        <w:t xml:space="preserve"> Absatz 1, jeweils auch in Verbindung mit </w:t>
      </w:r>
      <w:hyperlink w:anchor="b26" w:history="1">
        <w:r>
          <w:rPr>
            <w:color w:val="0A3A8C"/>
            <w:u w:val="single"/>
          </w:rPr>
          <w:t xml:space="preserve">§ 21</w:t>
        </w:r>
      </w:hyperlink>
      <w:r>
        <w:t>,</w:t>
      </w:r>
    </w:p>
    <w:p>
      <w:pPr>
        <w:tabs>
          <w:tab w:pos="1134" w:val="left"/>
        </w:tabs>
        <w:ind w:left="1134" w:hanging="567"/>
      </w:pPr>
      <w:r>
        <w:t>b)</w:t>
      </w:r>
      <w:r>
        <w:tab/>
      </w:r>
      <w:r>
        <w:t>besonders schwerer Fall einer Straftat nach § 22a Absatz 1 in Verbindung mit Absatz 2,</w:t>
      </w:r>
    </w:p>
    <w:p>
      <w:pPr>
        <w:tabs>
          <w:tab w:pos="567" w:val="left"/>
        </w:tabs>
        <w:ind w:left="567" w:hanging="567"/>
      </w:pPr>
      <w:r>
        <w:t>7.</w:t>
      </w:r>
      <w:r>
        <w:tab/>
      </w:r>
      <w:r>
        <w:t>aus dem Grundstoffüberwachungsgesetz:</w:t>
      </w:r>
    </w:p>
    <w:p>
      <w:pPr>
        <w:ind w:left="567"/>
      </w:pPr>
      <w:r>
        <w:t xml:space="preserve">Straftaten nach </w:t>
      </w:r>
      <w:hyperlink w:anchor="b24" w:history="1">
        <w:r>
          <w:rPr>
            <w:color w:val="0A3A8C"/>
            <w:u w:val="single"/>
          </w:rPr>
          <w:t xml:space="preserve">§ 19</w:t>
        </w:r>
      </w:hyperlink>
      <w:r>
        <w:t xml:space="preserve"> Absatz 3,</w:t>
      </w:r>
    </w:p>
    <w:p>
      <w:pPr>
        <w:tabs>
          <w:tab w:pos="567" w:val="left"/>
        </w:tabs>
        <w:ind w:left="567" w:hanging="567"/>
      </w:pPr>
      <w:r>
        <w:t>8.</w:t>
      </w:r>
      <w:r>
        <w:tab/>
      </w:r>
      <w:r>
        <w:t>aus dem Neue-psychoaktive-Stoffe-Gesetz:</w:t>
      </w:r>
    </w:p>
    <w:p>
      <w:pPr>
        <w:ind w:left="567"/>
      </w:pPr>
      <w:r>
        <w:t xml:space="preserve">Straftaten nach </w:t>
      </w:r>
      <w:hyperlink w:anchor="b5" w:history="1">
        <w:r>
          <w:rPr>
            <w:color w:val="0A3A8C"/>
            <w:u w:val="single"/>
          </w:rPr>
          <w:t xml:space="preserve">§ 4</w:t>
        </w:r>
      </w:hyperlink>
      <w:r>
        <w:t xml:space="preserve"> Absatz 3 Nummer 1,</w:t>
      </w:r>
    </w:p>
    <w:p>
      <w:pPr>
        <w:tabs>
          <w:tab w:pos="567" w:val="left"/>
        </w:tabs>
        <w:ind w:left="567" w:hanging="567"/>
      </w:pPr>
      <w:r>
        <w:t>9.</w:t>
      </w:r>
      <w:r>
        <w:tab/>
      </w:r>
      <w:r>
        <w:t>aus dem Völkerstrafgesetzbuch:</w:t>
      </w:r>
    </w:p>
    <w:p>
      <w:pPr>
        <w:tabs>
          <w:tab w:pos="1134" w:val="left"/>
        </w:tabs>
        <w:ind w:left="1134" w:hanging="567"/>
      </w:pPr>
      <w:r>
        <w:t>a)</w:t>
      </w:r>
      <w:r>
        <w:tab/>
      </w:r>
      <w:r>
        <w:t xml:space="preserve">Völkermord nach </w:t>
      </w:r>
      <w:hyperlink w:anchor="b7" w:history="1">
        <w:r>
          <w:rPr>
            <w:color w:val="0A3A8C"/>
            <w:u w:val="single"/>
          </w:rPr>
          <w:t xml:space="preserve">§ 6</w:t>
        </w:r>
      </w:hyperlink>
      <w:r>
        <w:t>,</w:t>
      </w:r>
    </w:p>
    <w:p>
      <w:pPr>
        <w:tabs>
          <w:tab w:pos="1134" w:val="left"/>
        </w:tabs>
        <w:ind w:left="1134" w:hanging="567"/>
      </w:pPr>
      <w:r>
        <w:t>b)</w:t>
      </w:r>
      <w:r>
        <w:tab/>
      </w:r>
      <w:r>
        <w:t xml:space="preserve">Verbrechen gegen die Menschlichkeit nach </w:t>
      </w:r>
      <w:hyperlink w:anchor="b10" w:history="1">
        <w:r>
          <w:rPr>
            <w:color w:val="0A3A8C"/>
            <w:u w:val="single"/>
          </w:rPr>
          <w:t xml:space="preserve">§ 7</w:t>
        </w:r>
      </w:hyperlink>
      <w:r>
        <w:t>,</w:t>
      </w:r>
    </w:p>
    <w:p>
      <w:pPr>
        <w:tabs>
          <w:tab w:pos="1134" w:val="left"/>
        </w:tabs>
        <w:ind w:left="1134" w:hanging="567"/>
      </w:pPr>
      <w:r>
        <w:t>c)</w:t>
      </w:r>
      <w:r>
        <w:tab/>
      </w:r>
      <w:r>
        <w:t xml:space="preserve">Kriegsverbrechen nach den </w:t>
      </w:r>
      <w:hyperlink w:anchor="b11" w:history="1">
        <w:r>
          <w:rPr>
            <w:color w:val="0A3A8C"/>
            <w:u w:val="single"/>
          </w:rPr>
          <w:t xml:space="preserve">§§ 8</w:t>
        </w:r>
      </w:hyperlink>
      <w:r>
        <w:t xml:space="preserve"> bis </w:t>
      </w:r>
      <w:hyperlink w:anchor="b17" w:history="1">
        <w:r>
          <w:rPr>
            <w:color w:val="0A3A8C"/>
            <w:u w:val="single"/>
          </w:rPr>
          <w:t xml:space="preserve">12</w:t>
        </w:r>
      </w:hyperlink>
      <w:r>
        <w:t>,</w:t>
      </w:r>
    </w:p>
    <w:p>
      <w:pPr>
        <w:tabs>
          <w:tab w:pos="1134" w:val="left"/>
        </w:tabs>
        <w:ind w:left="1134" w:hanging="567"/>
      </w:pPr>
      <w:r>
        <w:t>d)</w:t>
      </w:r>
      <w:r>
        <w:tab/>
      </w:r>
      <w:r>
        <w:t xml:space="preserve">Verbrechen der Aggression nach </w:t>
      </w:r>
      <w:hyperlink w:anchor="b18" w:history="1">
        <w:r>
          <w:rPr>
            <w:color w:val="0A3A8C"/>
            <w:u w:val="single"/>
          </w:rPr>
          <w:t xml:space="preserve">§ 13</w:t>
        </w:r>
      </w:hyperlink>
      <w:r>
        <w:t>,</w:t>
      </w:r>
    </w:p>
    <w:p>
      <w:pPr>
        <w:tabs>
          <w:tab w:pos="567" w:val="left"/>
        </w:tabs>
        <w:ind w:left="567" w:hanging="567"/>
      </w:pPr>
      <w:r>
        <w:t>10.</w:t>
      </w:r>
      <w:r>
        <w:tab/>
      </w:r>
      <w:r>
        <w:t>aus dem Waffengesetz:</w:t>
      </w:r>
    </w:p>
    <w:p>
      <w:pPr>
        <w:tabs>
          <w:tab w:pos="1134" w:val="left"/>
        </w:tabs>
        <w:ind w:left="1134" w:hanging="567"/>
      </w:pPr>
      <w:r>
        <w:t>a)</w:t>
      </w:r>
      <w:r>
        <w:tab/>
      </w:r>
      <w:r>
        <w:t xml:space="preserve">besonders schwerer Fall einer Straftat nach </w:t>
      </w:r>
      <w:hyperlink w:anchor="b73" w:history="1">
        <w:r>
          <w:rPr>
            <w:color w:val="0A3A8C"/>
            <w:u w:val="single"/>
          </w:rPr>
          <w:t xml:space="preserve">§ 51</w:t>
        </w:r>
      </w:hyperlink>
      <w:r>
        <w:t xml:space="preserve"> Absatz 1 in Verbindung mit Absatz 2,</w:t>
      </w:r>
    </w:p>
    <w:p>
      <w:pPr>
        <w:tabs>
          <w:tab w:pos="1134" w:val="left"/>
        </w:tabs>
        <w:ind w:left="1134" w:hanging="567"/>
      </w:pPr>
      <w:r>
        <w:t>b)</w:t>
      </w:r>
      <w:r>
        <w:tab/>
      </w:r>
      <w:r>
        <w:t xml:space="preserve">besonders schwerer Fall einer Straftat nach </w:t>
      </w:r>
      <w:hyperlink w:anchor="b74" w:history="1">
        <w:r>
          <w:rPr>
            <w:color w:val="0A3A8C"/>
            <w:u w:val="single"/>
          </w:rPr>
          <w:t xml:space="preserve">§ 52</w:t>
        </w:r>
      </w:hyperlink>
      <w:r>
        <w:t xml:space="preserve"> Absatz 1 Nummer 1 in Verbindung mit Absatz 5.</w:t>
      </w:r>
    </w:p>
    <w:p>
      <w:r>
        <w:t xml:space="preserve">(3) </w:t>
      </w:r>
      <w:r>
        <w:rPr>
          <w:rStyle w:val="Satznummer"/>
        </w:rPr>
        <w:t>1</w:t>
      </w:r>
      <w:r>
        <w:t xml:space="preserve">Die Maßnahme darf sich nur gegen den Beschuldigten richten. </w:t>
      </w:r>
      <w:r>
        <w:rPr>
          <w:rStyle w:val="Satznummer"/>
        </w:rPr>
        <w:t>2</w:t>
      </w:r>
      <w:r>
        <w:t>Ein Eingriff in informationstechnische Systeme anderer Personen ist nur zulässig, wenn auf Grund bestimmter Tatsachen anzunehmen ist, dass</w:t>
      </w:r>
    </w:p>
    <w:p>
      <w:pPr>
        <w:tabs>
          <w:tab w:pos="567" w:val="left"/>
        </w:tabs>
        <w:ind w:left="567" w:hanging="567"/>
      </w:pPr>
      <w:r>
        <w:t>1.</w:t>
      </w:r>
      <w:r>
        <w:tab/>
      </w:r>
      <w:r>
        <w:t xml:space="preserve">der in der Anordnung nach </w:t>
      </w:r>
      <w:hyperlink w:anchor="b147" w:history="1">
        <w:r>
          <w:rPr>
            <w:color w:val="0A3A8C"/>
            <w:u w:val="single"/>
          </w:rPr>
          <w:t xml:space="preserve">§ 100e</w:t>
        </w:r>
      </w:hyperlink>
      <w:r>
        <w:t xml:space="preserve"> Absatz 3 bezeichnete Beschuldigte informationstechnische Systeme der anderen Person benutzt, und</w:t>
      </w:r>
    </w:p>
    <w:p>
      <w:pPr>
        <w:tabs>
          <w:tab w:pos="567" w:val="left"/>
        </w:tabs>
        <w:ind w:left="567" w:hanging="567"/>
      </w:pPr>
      <w:r>
        <w:t>2.</w:t>
      </w:r>
      <w:r>
        <w:tab/>
      </w:r>
      <w:r>
        <w:t>die Durchführung des Eingriffs in informationstechnische Systeme des Beschuldigten allein nicht zur Erforschung des Sachverhalts oder zur Ermittlung des Aufenthaltsortes eines Mitbeschuldigten führen wird.</w:t>
      </w:r>
    </w:p>
    <w:p>
      <w:r>
        <w:rPr>
          <w:rStyle w:val="Satznummer"/>
        </w:rPr>
        <w:t>3</w:t>
      </w:r>
      <w:r>
        <w:t>Die Maßnahme darf auch durchgeführt werden, wenn andere Personen unvermeidbar betroffen werden.</w:t>
      </w:r>
    </w:p>
    <w:p>
      <w:r>
        <w:t xml:space="preserve">(4) </w:t>
      </w:r>
      <w:hyperlink w:anchor="b143" w:history="1">
        <w:r>
          <w:rPr>
            <w:color w:val="0A3A8C"/>
            <w:u w:val="single"/>
          </w:rPr>
          <w:t xml:space="preserve">§ 100a</w:t>
        </w:r>
      </w:hyperlink>
      <w:r>
        <w:t xml:space="preserve"> Absatz 5 und 6 gilt mit Ausnahme von Absatz 5 Satz 1 Nummer 1 entsprechend.</w:t>
      </w:r>
    </w:p>
    <w:p>
      <w:pPr>
        <w:pStyle w:val="Heading3"/>
      </w:pPr>
      <w:bookmarkStart w:id="146" w:name="b145"/>
      <w:r>
        <w:t>§ 100c Akustische Wohnraumüberwachung</w:t>
      </w:r>
      <w:r>
        <w:t xml:space="preserve"> </w:t>
      </w:r>
      <w:r>
        <w:rPr>
          <w:rStyle w:val="Suchmarke"/>
        </w:rPr>
        <w:t>#100c#</w:t>
      </w:r>
      <w:bookmarkEnd w:id="146"/>
    </w:p>
    <w:p>
      <w:r>
        <w:t>(1) Auch ohne Wissen der Betroffenen darf das in einer Wohnung nichtöffentlich gesprochene Wort mit technischen Mitteln abgehört und aufgezeichnet werden, wenn</w:t>
      </w:r>
    </w:p>
    <w:p>
      <w:pPr>
        <w:tabs>
          <w:tab w:pos="567" w:val="left"/>
        </w:tabs>
        <w:ind w:left="567" w:hanging="567"/>
      </w:pPr>
      <w:r>
        <w:t>1.</w:t>
      </w:r>
      <w:r>
        <w:tab/>
      </w:r>
      <w:r>
        <w:t xml:space="preserve">bestimmte Tatsachen den Verdacht begründen, dass jemand als Täter oder Teilnehmer eine in </w:t>
      </w:r>
      <w:hyperlink w:anchor="b144" w:history="1">
        <w:r>
          <w:rPr>
            <w:color w:val="0A3A8C"/>
            <w:u w:val="single"/>
          </w:rPr>
          <w:t xml:space="preserve">§ 100b</w:t>
        </w:r>
      </w:hyperlink>
      <w:r>
        <w:t xml:space="preserve"> Absatz 2 bezeichnete besonders schwere Straftat begangen oder in Fällen, in denen der Versuch strafbar ist, zu begehen versucht hat,</w:t>
      </w:r>
    </w:p>
    <w:p>
      <w:pPr>
        <w:tabs>
          <w:tab w:pos="567" w:val="left"/>
        </w:tabs>
        <w:ind w:left="567" w:hanging="567"/>
      </w:pPr>
      <w:r>
        <w:t>2.</w:t>
      </w:r>
      <w:r>
        <w:tab/>
      </w:r>
      <w:r>
        <w:t>die Tat auch im Einzelfall besonders schwer wiegt,</w:t>
      </w:r>
    </w:p>
    <w:p>
      <w:pPr>
        <w:tabs>
          <w:tab w:pos="567" w:val="left"/>
        </w:tabs>
        <w:ind w:left="567" w:hanging="567"/>
      </w:pPr>
      <w:r>
        <w:t>3.</w:t>
      </w:r>
      <w:r>
        <w:tab/>
      </w:r>
      <w:r>
        <w:t>auf Grund tatsächlicher Anhaltspunkte anzunehmen ist, dass durch die Überwachung Äußerungen des Beschuldigten erfasst werden, die für die Erforschung des Sachverhalts oder die Ermittlung des Aufenthaltsortes eines Mitbeschuldigten von Bedeutung sind, und</w:t>
      </w:r>
    </w:p>
    <w:p>
      <w:pPr>
        <w:tabs>
          <w:tab w:pos="567" w:val="left"/>
        </w:tabs>
        <w:ind w:left="567" w:hanging="567"/>
      </w:pPr>
      <w:r>
        <w:t>4.</w:t>
      </w:r>
      <w:r>
        <w:tab/>
      </w:r>
      <w:r>
        <w:t>die Erforschung des Sachverhalts oder die Ermittlung des Aufenthaltsortes eines Mitbeschuldigten auf andere Weise unverhältnismäßig erschwert oder aussichtslos wäre.</w:t>
      </w:r>
    </w:p>
    <w:p>
      <w:r>
        <w:t xml:space="preserve">(2) </w:t>
      </w:r>
      <w:r>
        <w:rPr>
          <w:rStyle w:val="Satznummer"/>
        </w:rPr>
        <w:t>1</w:t>
      </w:r>
      <w:r>
        <w:t xml:space="preserve">Die Maßnahme darf sich nur gegen den Beschuldigten richten und nur in Wohnungen des Beschuldigten durchgeführt werden. </w:t>
      </w:r>
      <w:r>
        <w:rPr>
          <w:rStyle w:val="Satznummer"/>
        </w:rPr>
        <w:t>2</w:t>
      </w:r>
      <w:r>
        <w:t>In Wohnungen anderer Personen ist die Maßnahme nur zulässig, wenn auf Grund bestimmter Tatsachen anzunehmen ist, dass</w:t>
      </w:r>
    </w:p>
    <w:p>
      <w:pPr>
        <w:tabs>
          <w:tab w:pos="567" w:val="left"/>
        </w:tabs>
        <w:ind w:left="567" w:hanging="567"/>
      </w:pPr>
      <w:r>
        <w:t>1.</w:t>
      </w:r>
      <w:r>
        <w:tab/>
      </w:r>
      <w:r>
        <w:t xml:space="preserve">der in der Anordnung nach </w:t>
      </w:r>
      <w:hyperlink w:anchor="b147" w:history="1">
        <w:r>
          <w:rPr>
            <w:color w:val="0A3A8C"/>
            <w:u w:val="single"/>
          </w:rPr>
          <w:t xml:space="preserve">§ 100e</w:t>
        </w:r>
      </w:hyperlink>
      <w:r>
        <w:t xml:space="preserve"> Absatz 3 bezeichnete Beschuldigte sich dort aufhält und</w:t>
      </w:r>
    </w:p>
    <w:p>
      <w:pPr>
        <w:tabs>
          <w:tab w:pos="567" w:val="left"/>
        </w:tabs>
        <w:ind w:left="567" w:hanging="567"/>
      </w:pPr>
      <w:r>
        <w:t>2.</w:t>
      </w:r>
      <w:r>
        <w:tab/>
      </w:r>
      <w:r>
        <w:t>die Maßnahme in Wohnungen des Beschuldigten allein nicht zur Erforschung des Sachverhalts oder zur Ermittlung des Aufenthaltsortes eines Mitbeschuldigten führen wird.</w:t>
      </w:r>
    </w:p>
    <w:p>
      <w:r>
        <w:rPr>
          <w:rStyle w:val="Satznummer"/>
        </w:rPr>
        <w:t>3</w:t>
      </w:r>
      <w:r>
        <w:t>Die Maßnahme darf auch durchgeführt werden, wenn andere Personen unvermeidbar betroffen werden.</w:t>
      </w:r>
    </w:p>
    <w:p>
      <w:pPr>
        <w:pStyle w:val="Heading3"/>
      </w:pPr>
      <w:bookmarkStart w:id="147" w:name="b146"/>
      <w:r>
        <w:t>§ 100d Kernbereich privater Lebensgestaltung; Zeugnisverweigerungsberechtigte</w:t>
      </w:r>
      <w:r>
        <w:t xml:space="preserve"> </w:t>
      </w:r>
      <w:r>
        <w:rPr>
          <w:rStyle w:val="Suchmarke"/>
        </w:rPr>
        <w:t>#100d#</w:t>
      </w:r>
      <w:bookmarkEnd w:id="147"/>
    </w:p>
    <w:p>
      <w:r>
        <w:t xml:space="preserve">(1) Liegen tatsächliche Anhaltspunkte für die Annahme vor, dass durch eine Maßnahme nach den </w:t>
      </w:r>
      <w:hyperlink w:anchor="b143" w:history="1">
        <w:r>
          <w:rPr>
            <w:color w:val="0A3A8C"/>
            <w:u w:val="single"/>
          </w:rPr>
          <w:t xml:space="preserve">§§ 100a</w:t>
        </w:r>
      </w:hyperlink>
      <w:r>
        <w:t xml:space="preserve"> bis </w:t>
      </w:r>
      <w:hyperlink w:anchor="b145" w:history="1">
        <w:r>
          <w:rPr>
            <w:color w:val="0A3A8C"/>
            <w:u w:val="single"/>
          </w:rPr>
          <w:t xml:space="preserve">100c</w:t>
        </w:r>
      </w:hyperlink>
      <w:r>
        <w:t xml:space="preserve"> allein Erkenntnisse aus dem Kernbereich privater Lebensgestaltung erlangt werden, ist die Maßnahme unzulässig.</w:t>
      </w:r>
    </w:p>
    <w:p>
      <w:r>
        <w:t xml:space="preserve">(2) </w:t>
      </w:r>
      <w:r>
        <w:rPr>
          <w:rStyle w:val="Satznummer"/>
        </w:rPr>
        <w:t>1</w:t>
      </w:r>
      <w:r>
        <w:t xml:space="preserve">Erkenntnisse aus dem Kernbereich privater Lebensgestaltung, die durch eine Maßnahme nach den </w:t>
      </w:r>
      <w:hyperlink w:anchor="b143" w:history="1">
        <w:r>
          <w:rPr>
            <w:color w:val="0A3A8C"/>
            <w:u w:val="single"/>
          </w:rPr>
          <w:t xml:space="preserve">§§ 100a</w:t>
        </w:r>
      </w:hyperlink>
      <w:r>
        <w:t xml:space="preserve"> bis </w:t>
      </w:r>
      <w:hyperlink w:anchor="b145" w:history="1">
        <w:r>
          <w:rPr>
            <w:color w:val="0A3A8C"/>
            <w:u w:val="single"/>
          </w:rPr>
          <w:t xml:space="preserve">100c</w:t>
        </w:r>
      </w:hyperlink>
      <w:r>
        <w:t xml:space="preserve"> erlangt wurden, dürfen nicht verwertet werden. </w:t>
      </w:r>
      <w:r>
        <w:rPr>
          <w:rStyle w:val="Satznummer"/>
        </w:rPr>
        <w:t>2</w:t>
      </w:r>
      <w:r>
        <w:t xml:space="preserve">Aufzeichnungen über solche Erkenntnisse sind unverzüglich zu löschen. </w:t>
      </w:r>
      <w:r>
        <w:rPr>
          <w:rStyle w:val="Satznummer"/>
        </w:rPr>
        <w:t>3</w:t>
      </w:r>
      <w:r>
        <w:t>Die Tatsache ihrer Erlangung und Löschung ist zu dokumentieren.</w:t>
      </w:r>
    </w:p>
    <w:p>
      <w:r>
        <w:t xml:space="preserve">(3) </w:t>
      </w:r>
      <w:r>
        <w:rPr>
          <w:rStyle w:val="Satznummer"/>
        </w:rPr>
        <w:t>1</w:t>
      </w:r>
      <w:r>
        <w:t xml:space="preserve">Bei Maßnahmen nach </w:t>
      </w:r>
      <w:hyperlink w:anchor="b144" w:history="1">
        <w:r>
          <w:rPr>
            <w:color w:val="0A3A8C"/>
            <w:u w:val="single"/>
          </w:rPr>
          <w:t xml:space="preserve">§ 100b</w:t>
        </w:r>
      </w:hyperlink>
      <w:r>
        <w:t xml:space="preserve"> ist, soweit möglich, technisch sicherzustellen, dass Daten, die den Kernbereich privater Lebensgestaltung betreffen, nicht erhoben werden. </w:t>
      </w:r>
      <w:r>
        <w:rPr>
          <w:rStyle w:val="Satznummer"/>
        </w:rPr>
        <w:t>2</w:t>
      </w:r>
      <w:r>
        <w:t xml:space="preserve">Erkenntnisse, die durch Maßnahmen nach </w:t>
      </w:r>
      <w:hyperlink w:anchor="b144" w:history="1">
        <w:r>
          <w:rPr>
            <w:color w:val="0A3A8C"/>
            <w:u w:val="single"/>
          </w:rPr>
          <w:t xml:space="preserve">§ 100b</w:t>
        </w:r>
      </w:hyperlink>
      <w:r>
        <w:t xml:space="preserve"> erlangt wurden und den Kernbereich privater Lebensgestaltung betreffen, sind unverzüglich zu löschen oder von der Staatsanwaltschaft dem anordnenden Gericht zur Entscheidung über die Verwertbarkeit und Löschung der Daten vorzulegen. </w:t>
      </w:r>
      <w:r>
        <w:rPr>
          <w:rStyle w:val="Satznummer"/>
        </w:rPr>
        <w:t>3</w:t>
      </w:r>
      <w:r>
        <w:t>Die Entscheidung des Gerichts über die Verwertbarkeit ist für das weitere Verfahren bindend.</w:t>
      </w:r>
    </w:p>
    <w:p>
      <w:r>
        <w:t xml:space="preserve">(4) </w:t>
      </w:r>
      <w:r>
        <w:rPr>
          <w:rStyle w:val="Satznummer"/>
        </w:rPr>
        <w:t>1</w:t>
      </w:r>
      <w:r>
        <w:t xml:space="preserve">Maßnahmen nach </w:t>
      </w:r>
      <w:hyperlink w:anchor="b145" w:history="1">
        <w:r>
          <w:rPr>
            <w:color w:val="0A3A8C"/>
            <w:u w:val="single"/>
          </w:rPr>
          <w:t xml:space="preserve">§ 100c</w:t>
        </w:r>
      </w:hyperlink>
      <w:r>
        <w:t xml:space="preserve"> dürfen nur angeordnet werden, soweit auf Grund tatsächlicher Anhaltspunkte anzunehmen ist, dass durch die Überwachung Äußerungen, die dem Kernbereich privater Lebensgestaltung zuzurechnen sind, nicht erfasst werden. </w:t>
      </w:r>
      <w:r>
        <w:rPr>
          <w:rStyle w:val="Satznummer"/>
        </w:rPr>
        <w:t>2</w:t>
      </w:r>
      <w:r>
        <w:t xml:space="preserve">Das Abhören und Aufzeichnen ist unverzüglich zu unterbrechen, wenn sich während der Überwachung Anhaltspunkte dafür ergeben, dass Äußerungen, die dem Kernbereich privater Lebensgestaltung zuzurechnen sind, erfasst werden. </w:t>
      </w:r>
      <w:r>
        <w:rPr>
          <w:rStyle w:val="Satznummer"/>
        </w:rPr>
        <w:t>3</w:t>
      </w:r>
      <w:r>
        <w:t xml:space="preserve">Ist eine Maßnahme unterbrochen worden, so darf sie unter den in Satz 1 genannten Voraussetzungen fortgeführt werden. </w:t>
      </w:r>
      <w:r>
        <w:rPr>
          <w:rStyle w:val="Satznummer"/>
        </w:rPr>
        <w:t>4</w:t>
      </w:r>
      <w:r>
        <w:t xml:space="preserve">Im Zweifel hat die Staatsanwaltschaft über die Unterbrechung oder Fortführung der Maßnahme unverzüglich eine Entscheidung des Gerichts herbeizuführen; </w:t>
      </w:r>
      <w:hyperlink w:anchor="b147" w:history="1">
        <w:r>
          <w:rPr>
            <w:color w:val="0A3A8C"/>
            <w:u w:val="single"/>
          </w:rPr>
          <w:t xml:space="preserve">§ 100e</w:t>
        </w:r>
      </w:hyperlink>
      <w:r>
        <w:t xml:space="preserve"> Absatz 5 gilt entsprechend. </w:t>
      </w:r>
      <w:r>
        <w:rPr>
          <w:rStyle w:val="Satznummer"/>
        </w:rPr>
        <w:t>5</w:t>
      </w:r>
      <w:r>
        <w:t xml:space="preserve">Auch soweit für bereits erlangte Erkenntnisse ein Verwertungsverbot nach Absatz 2 in Betracht kommt, hat die Staatsanwaltschaft unverzüglich eine Entscheidung des Gerichts herbeizuführen. </w:t>
      </w:r>
      <w:r>
        <w:rPr>
          <w:rStyle w:val="Satznummer"/>
        </w:rPr>
        <w:t>6</w:t>
      </w:r>
      <w:r>
        <w:t>Absatz 3 Satz 3 gilt entsprechend.</w:t>
      </w:r>
    </w:p>
    <w:p>
      <w:r>
        <w:t xml:space="preserve">(5) </w:t>
      </w:r>
      <w:r>
        <w:rPr>
          <w:rStyle w:val="Satznummer"/>
        </w:rPr>
        <w:t>1</w:t>
      </w:r>
      <w:r>
        <w:t xml:space="preserve">In den Fällen des </w:t>
      </w:r>
      <w:hyperlink w:anchor="b75" w:history="1">
        <w:r>
          <w:rPr>
            <w:color w:val="0A3A8C"/>
            <w:u w:val="single"/>
          </w:rPr>
          <w:t xml:space="preserve">§ 53</w:t>
        </w:r>
      </w:hyperlink>
      <w:r>
        <w:t xml:space="preserve"> sind Maßnahmen nach den </w:t>
      </w:r>
      <w:hyperlink w:anchor="b144" w:history="1">
        <w:r>
          <w:rPr>
            <w:color w:val="0A3A8C"/>
            <w:u w:val="single"/>
          </w:rPr>
          <w:t xml:space="preserve">§§ 100b</w:t>
        </w:r>
      </w:hyperlink>
      <w:r>
        <w:t xml:space="preserve"> und </w:t>
      </w:r>
      <w:hyperlink w:anchor="b145" w:history="1">
        <w:r>
          <w:rPr>
            <w:color w:val="0A3A8C"/>
            <w:u w:val="single"/>
          </w:rPr>
          <w:t xml:space="preserve">100c</w:t>
        </w:r>
      </w:hyperlink>
      <w:r>
        <w:t xml:space="preserve"> unzulässig; ergibt sich während oder nach Durchführung der Maßnahme, dass ein Fall des </w:t>
      </w:r>
      <w:hyperlink w:anchor="b75" w:history="1">
        <w:r>
          <w:rPr>
            <w:color w:val="0A3A8C"/>
            <w:u w:val="single"/>
          </w:rPr>
          <w:t xml:space="preserve">§ 53</w:t>
        </w:r>
      </w:hyperlink>
      <w:r>
        <w:t xml:space="preserve"> vorliegt, gilt Absatz 2 entsprechend. </w:t>
      </w:r>
      <w:r>
        <w:rPr>
          <w:rStyle w:val="Satznummer"/>
        </w:rPr>
        <w:t>2</w:t>
      </w:r>
      <w:r>
        <w:t xml:space="preserve">In den Fällen der </w:t>
      </w:r>
      <w:hyperlink w:anchor="b74" w:history="1">
        <w:r>
          <w:rPr>
            <w:color w:val="0A3A8C"/>
            <w:u w:val="single"/>
          </w:rPr>
          <w:t xml:space="preserve">§§ 52</w:t>
        </w:r>
      </w:hyperlink>
      <w:r>
        <w:t xml:space="preserve"> und </w:t>
      </w:r>
      <w:hyperlink w:anchor="b76" w:history="1">
        <w:r>
          <w:rPr>
            <w:color w:val="0A3A8C"/>
            <w:u w:val="single"/>
          </w:rPr>
          <w:t xml:space="preserve">53a</w:t>
        </w:r>
      </w:hyperlink>
      <w:r>
        <w:t xml:space="preserve"> dürfen aus Maßnahmen nach den </w:t>
      </w:r>
      <w:hyperlink w:anchor="b144" w:history="1">
        <w:r>
          <w:rPr>
            <w:color w:val="0A3A8C"/>
            <w:u w:val="single"/>
          </w:rPr>
          <w:t xml:space="preserve">§§ 100b</w:t>
        </w:r>
      </w:hyperlink>
      <w:r>
        <w:t xml:space="preserve"> und </w:t>
      </w:r>
      <w:hyperlink w:anchor="b145" w:history="1">
        <w:r>
          <w:rPr>
            <w:color w:val="0A3A8C"/>
            <w:u w:val="single"/>
          </w:rPr>
          <w:t xml:space="preserve">100c</w:t>
        </w:r>
      </w:hyperlink>
      <w:r>
        <w:t xml:space="preserve"> gewonnene Erkenntnisse nur verwertet werden, wenn dies unter Berücksichtigung der Bedeutung des zugrunde liegenden Vertrauensverhältnisses nicht außer Verhältnis zum Interesse an der Erforschung des Sachverhalts oder der Ermittlung des Aufenthaltsortes eines Beschuldigten steht. </w:t>
      </w:r>
      <w:r>
        <w:rPr>
          <w:rStyle w:val="Satznummer"/>
        </w:rPr>
        <w:t>3</w:t>
      </w:r>
      <w:hyperlink w:anchor="b290" w:history="1">
        <w:r>
          <w:rPr>
            <w:color w:val="0A3A8C"/>
            <w:u w:val="single"/>
          </w:rPr>
          <w:t xml:space="preserve">§ 160a</w:t>
        </w:r>
      </w:hyperlink>
      <w:r>
        <w:t xml:space="preserve"> Absatz 4 gilt entsprechend.</w:t>
      </w:r>
    </w:p>
    <w:p>
      <w:pPr>
        <w:pStyle w:val="Heading3"/>
      </w:pPr>
      <w:bookmarkStart w:id="148" w:name="b147"/>
      <w:r>
        <w:t>§ 100e Verfahren bei Maßnahmen nach den §§ 100a bis 100c</w:t>
      </w:r>
      <w:r>
        <w:t xml:space="preserve"> </w:t>
      </w:r>
      <w:r>
        <w:rPr>
          <w:rStyle w:val="Suchmarke"/>
        </w:rPr>
        <w:t>#100e#</w:t>
      </w:r>
      <w:bookmarkEnd w:id="148"/>
    </w:p>
    <w:p>
      <w:r>
        <w:t xml:space="preserve">(1) </w:t>
      </w:r>
      <w:r>
        <w:rPr>
          <w:rStyle w:val="Satznummer"/>
        </w:rPr>
        <w:t>1</w:t>
      </w:r>
      <w:r>
        <w:t xml:space="preserve">Maßnahmen nach </w:t>
      </w:r>
      <w:hyperlink w:anchor="b143" w:history="1">
        <w:r>
          <w:rPr>
            <w:color w:val="0A3A8C"/>
            <w:u w:val="single"/>
          </w:rPr>
          <w:t xml:space="preserve">§ 100a</w:t>
        </w:r>
      </w:hyperlink>
      <w:r>
        <w:t xml:space="preserve"> dürfen nur auf Antrag der Staatsanwaltschaft durch das Gericht angeordnet werden. </w:t>
      </w:r>
      <w:r>
        <w:rPr>
          <w:rStyle w:val="Satznummer"/>
        </w:rPr>
        <w:t>2</w:t>
      </w:r>
      <w:r>
        <w:t xml:space="preserve">Bei Gefahr im Verzug kann die Anordnung auch durch die Staatsanwaltschaft getroffen werden. </w:t>
      </w:r>
      <w:r>
        <w:rPr>
          <w:rStyle w:val="Satznummer"/>
        </w:rPr>
        <w:t>3</w:t>
      </w:r>
      <w:r>
        <w:t xml:space="preserve">Soweit die Anordnung der Staatsanwaltschaft nicht binnen drei Werktagen von dem Gericht bestätigt wird, tritt sie außer Kraft. </w:t>
      </w:r>
      <w:r>
        <w:rPr>
          <w:rStyle w:val="Satznummer"/>
        </w:rPr>
        <w:t>4</w:t>
      </w:r>
      <w:r>
        <w:t xml:space="preserve">Die Anordnung ist auf höchstens drei Monate zu befristen. </w:t>
      </w:r>
      <w:r>
        <w:rPr>
          <w:rStyle w:val="Satznummer"/>
        </w:rPr>
        <w:t>5</w:t>
      </w:r>
      <w:r>
        <w:t>Eine Verlängerung um jeweils nicht mehr als drei Monate ist zulässig, soweit die Voraussetzungen der Anordnung unter Berücksichtigung der gewonnenen Ermittlungsergebnisse fortbestehen.</w:t>
      </w:r>
    </w:p>
    <w:p>
      <w:r>
        <w:t xml:space="preserve">(2) </w:t>
      </w:r>
      <w:r>
        <w:rPr>
          <w:rStyle w:val="Satznummer"/>
        </w:rPr>
        <w:t>1</w:t>
      </w:r>
      <w:r>
        <w:t xml:space="preserve">Maßnahmen nach den </w:t>
      </w:r>
      <w:hyperlink w:anchor="b144" w:history="1">
        <w:r>
          <w:rPr>
            <w:color w:val="0A3A8C"/>
            <w:u w:val="single"/>
          </w:rPr>
          <w:t xml:space="preserve">§§ 100b</w:t>
        </w:r>
      </w:hyperlink>
      <w:r>
        <w:t xml:space="preserve"> und </w:t>
      </w:r>
      <w:hyperlink w:anchor="b145" w:history="1">
        <w:r>
          <w:rPr>
            <w:color w:val="0A3A8C"/>
            <w:u w:val="single"/>
          </w:rPr>
          <w:t xml:space="preserve">100c</w:t>
        </w:r>
      </w:hyperlink>
      <w:r>
        <w:t xml:space="preserve"> dürfen nur auf Antrag der Staatsanwaltschaft durch die in § 74a Absatz 4 des Gerichtsverfassungsgesetzes genannte Kammer des Landgerichts angeordnet werden, in dessen Bezirk die Staatsanwaltschaft ihren Sitz hat. </w:t>
      </w:r>
      <w:r>
        <w:rPr>
          <w:rStyle w:val="Satznummer"/>
        </w:rPr>
        <w:t>2</w:t>
      </w:r>
      <w:r>
        <w:t xml:space="preserve">Bei Gefahr im Verzug kann diese Anordnung auch durch den Vorsitzenden getroffen werden. </w:t>
      </w:r>
      <w:r>
        <w:rPr>
          <w:rStyle w:val="Satznummer"/>
        </w:rPr>
        <w:t>3</w:t>
      </w:r>
      <w:r>
        <w:t xml:space="preserve">Dessen Anordnung tritt außer Kraft, wenn sie nicht binnen drei Werktagen von der Strafkammer bestätigt wird. </w:t>
      </w:r>
      <w:r>
        <w:rPr>
          <w:rStyle w:val="Satznummer"/>
        </w:rPr>
        <w:t>4</w:t>
      </w:r>
      <w:r>
        <w:t xml:space="preserve">Die Anordnung ist auf höchstens einen Monat zu befristen. </w:t>
      </w:r>
      <w:r>
        <w:rPr>
          <w:rStyle w:val="Satznummer"/>
        </w:rPr>
        <w:t>5</w:t>
      </w:r>
      <w:r>
        <w:t xml:space="preserve">Eine Verlängerung um jeweils nicht mehr als einen Monat ist zulässig, soweit die Voraussetzungen unter Berücksichtigung der gewonnenen Ermittlungsergebnisse fortbestehen. </w:t>
      </w:r>
      <w:r>
        <w:rPr>
          <w:rStyle w:val="Satznummer"/>
        </w:rPr>
        <w:t>6</w:t>
      </w:r>
      <w:r>
        <w:t>Ist die Dauer der Anordnung auf insgesamt sechs Monate verlängert worden, so entscheidet über weitere Verlängerungen das Oberlandesgericht.</w:t>
      </w:r>
    </w:p>
    <w:p>
      <w:r>
        <w:t xml:space="preserve">(3) </w:t>
      </w:r>
      <w:r>
        <w:rPr>
          <w:rStyle w:val="Satznummer"/>
        </w:rPr>
        <w:t>1</w:t>
      </w:r>
      <w:r>
        <w:t xml:space="preserve">Die Anordnung ergeht schriftlich. </w:t>
      </w:r>
      <w:r>
        <w:rPr>
          <w:rStyle w:val="Satznummer"/>
        </w:rPr>
        <w:t>2</w:t>
      </w:r>
      <w:r>
        <w:t>In ihrer Entscheidungsformel sind anzugeben:</w:t>
      </w:r>
    </w:p>
    <w:p>
      <w:pPr>
        <w:tabs>
          <w:tab w:pos="567" w:val="left"/>
        </w:tabs>
        <w:ind w:left="567" w:hanging="567"/>
      </w:pPr>
      <w:r>
        <w:t>1.</w:t>
      </w:r>
      <w:r>
        <w:tab/>
      </w:r>
      <w:r>
        <w:t>soweit möglich, der Name und die Anschrift des Betroffenen, gegen den sich die Maßnahme richtet,</w:t>
      </w:r>
    </w:p>
    <w:p>
      <w:pPr>
        <w:tabs>
          <w:tab w:pos="567" w:val="left"/>
        </w:tabs>
        <w:ind w:left="567" w:hanging="567"/>
      </w:pPr>
      <w:r>
        <w:t>2.</w:t>
      </w:r>
      <w:r>
        <w:tab/>
      </w:r>
      <w:r>
        <w:t>der Tatvorwurf, auf Grund dessen die Maßnahme angeordnet wird,</w:t>
      </w:r>
    </w:p>
    <w:p>
      <w:pPr>
        <w:tabs>
          <w:tab w:pos="567" w:val="left"/>
        </w:tabs>
        <w:ind w:left="567" w:hanging="567"/>
      </w:pPr>
      <w:r>
        <w:t>3.</w:t>
      </w:r>
      <w:r>
        <w:tab/>
      </w:r>
      <w:r>
        <w:t>Art, Umfang, Dauer und Endzeitpunkt der Maßnahme,</w:t>
      </w:r>
    </w:p>
    <w:p>
      <w:pPr>
        <w:tabs>
          <w:tab w:pos="567" w:val="left"/>
        </w:tabs>
        <w:ind w:left="567" w:hanging="567"/>
      </w:pPr>
      <w:r>
        <w:t>4.</w:t>
      </w:r>
      <w:r>
        <w:tab/>
      </w:r>
      <w:r>
        <w:t>die Art der durch die Maßnahme zu erhebenden Informationen und ihre Bedeutung für das Verfahren,</w:t>
      </w:r>
    </w:p>
    <w:p>
      <w:pPr>
        <w:tabs>
          <w:tab w:pos="567" w:val="left"/>
        </w:tabs>
        <w:ind w:left="567" w:hanging="567"/>
      </w:pPr>
      <w:r>
        <w:t>5.</w:t>
      </w:r>
      <w:r>
        <w:tab/>
      </w:r>
      <w:r>
        <w:t xml:space="preserve">bei Maßnahmen nach </w:t>
      </w:r>
      <w:hyperlink w:anchor="b143" w:history="1">
        <w:r>
          <w:rPr>
            <w:color w:val="0A3A8C"/>
            <w:u w:val="single"/>
          </w:rPr>
          <w:t xml:space="preserve">§ 100a</w:t>
        </w:r>
      </w:hyperlink>
      <w:r>
        <w:t xml:space="preserve"> die Rufnummer oder eine andere Kennung des zu überwachenden Anschlusses oder des Endgerätes, sofern sich nicht aus bestimmten Tatsachen ergibt, dass diese zugleich einem anderen Endgerät zugeordnet ist; im Fall des </w:t>
      </w:r>
      <w:hyperlink w:anchor="b143" w:history="1">
        <w:r>
          <w:rPr>
            <w:color w:val="0A3A8C"/>
            <w:u w:val="single"/>
          </w:rPr>
          <w:t xml:space="preserve">§ 100a</w:t>
        </w:r>
      </w:hyperlink>
      <w:r>
        <w:t xml:space="preserve"> Absatz 1 Satz 2 und 3 eine möglichst genaue Bezeichnung des informationstechnischen Systems, in das eingegriffen werden soll,</w:t>
      </w:r>
    </w:p>
    <w:p>
      <w:pPr>
        <w:tabs>
          <w:tab w:pos="567" w:val="left"/>
        </w:tabs>
        <w:ind w:left="567" w:hanging="567"/>
      </w:pPr>
      <w:r>
        <w:t>6.</w:t>
      </w:r>
      <w:r>
        <w:tab/>
      </w:r>
      <w:r>
        <w:t xml:space="preserve">bei Maßnahmen nach </w:t>
      </w:r>
      <w:hyperlink w:anchor="b144" w:history="1">
        <w:r>
          <w:rPr>
            <w:color w:val="0A3A8C"/>
            <w:u w:val="single"/>
          </w:rPr>
          <w:t xml:space="preserve">§ 100b</w:t>
        </w:r>
      </w:hyperlink>
      <w:r>
        <w:t xml:space="preserve"> eine möglichst genaue Bezeichnung des informationstechnischen Systems, aus dem Daten erhoben werden sollen,</w:t>
      </w:r>
    </w:p>
    <w:p>
      <w:pPr>
        <w:tabs>
          <w:tab w:pos="567" w:val="left"/>
        </w:tabs>
        <w:ind w:left="567" w:hanging="567"/>
      </w:pPr>
      <w:r>
        <w:t>7.</w:t>
      </w:r>
      <w:r>
        <w:tab/>
      </w:r>
      <w:r>
        <w:t xml:space="preserve">bei Maßnahmen nach </w:t>
      </w:r>
      <w:hyperlink w:anchor="b145" w:history="1">
        <w:r>
          <w:rPr>
            <w:color w:val="0A3A8C"/>
            <w:u w:val="single"/>
          </w:rPr>
          <w:t xml:space="preserve">§ 100c</w:t>
        </w:r>
      </w:hyperlink>
      <w:r>
        <w:t xml:space="preserve"> die zu überwachende Wohnung oder die zu überwachenden Wohnräume.</w:t>
      </w:r>
    </w:p>
    <w:p>
      <w:r>
        <w:t xml:space="preserve">(4) </w:t>
      </w:r>
      <w:r>
        <w:rPr>
          <w:rStyle w:val="Satznummer"/>
        </w:rPr>
        <w:t>1</w:t>
      </w:r>
      <w:r>
        <w:t xml:space="preserve">In der Begründung der Anordnung oder Verlängerung von Maßnahmen nach den </w:t>
      </w:r>
      <w:hyperlink w:anchor="b143" w:history="1">
        <w:r>
          <w:rPr>
            <w:color w:val="0A3A8C"/>
            <w:u w:val="single"/>
          </w:rPr>
          <w:t xml:space="preserve">§§ 100a</w:t>
        </w:r>
      </w:hyperlink>
      <w:r>
        <w:t xml:space="preserve"> bis </w:t>
      </w:r>
      <w:hyperlink w:anchor="b145" w:history="1">
        <w:r>
          <w:rPr>
            <w:color w:val="0A3A8C"/>
            <w:u w:val="single"/>
          </w:rPr>
          <w:t xml:space="preserve">100c</w:t>
        </w:r>
      </w:hyperlink>
      <w:r>
        <w:t xml:space="preserve"> sind deren Voraussetzungen und die wesentlichen Abwägungsgesichtspunkte darzulegen. </w:t>
      </w:r>
      <w:r>
        <w:rPr>
          <w:rStyle w:val="Satznummer"/>
        </w:rPr>
        <w:t>2</w:t>
      </w:r>
      <w:r>
        <w:t>Insbesondere sind einzelfallbezogen anzugeben:</w:t>
      </w:r>
    </w:p>
    <w:p>
      <w:pPr>
        <w:tabs>
          <w:tab w:pos="567" w:val="left"/>
        </w:tabs>
        <w:ind w:left="567" w:hanging="567"/>
      </w:pPr>
      <w:r>
        <w:t>1.</w:t>
      </w:r>
      <w:r>
        <w:tab/>
      </w:r>
      <w:r>
        <w:t>die bestimmten Tatsachen, die den Verdacht begründen,</w:t>
      </w:r>
    </w:p>
    <w:p>
      <w:pPr>
        <w:tabs>
          <w:tab w:pos="567" w:val="left"/>
        </w:tabs>
        <w:ind w:left="567" w:hanging="567"/>
      </w:pPr>
      <w:r>
        <w:t>2.</w:t>
      </w:r>
      <w:r>
        <w:tab/>
      </w:r>
      <w:r>
        <w:t>die wesentlichen Erwägungen zur Erforderlichkeit und Verhältnismäßigkeit der Maßnahme,</w:t>
      </w:r>
    </w:p>
    <w:p>
      <w:pPr>
        <w:tabs>
          <w:tab w:pos="567" w:val="left"/>
        </w:tabs>
        <w:ind w:left="567" w:hanging="567"/>
      </w:pPr>
      <w:r>
        <w:t>3.</w:t>
      </w:r>
      <w:r>
        <w:tab/>
      </w:r>
      <w:r>
        <w:t xml:space="preserve">bei Maßnahmen nach </w:t>
      </w:r>
      <w:hyperlink w:anchor="b145" w:history="1">
        <w:r>
          <w:rPr>
            <w:color w:val="0A3A8C"/>
            <w:u w:val="single"/>
          </w:rPr>
          <w:t xml:space="preserve">§ 100c</w:t>
        </w:r>
      </w:hyperlink>
      <w:r>
        <w:t xml:space="preserve"> die tatsächlichen Anhaltspunkte im Sinne des </w:t>
      </w:r>
      <w:hyperlink w:anchor="b146" w:history="1">
        <w:r>
          <w:rPr>
            <w:color w:val="0A3A8C"/>
            <w:u w:val="single"/>
          </w:rPr>
          <w:t xml:space="preserve">§ 100d</w:t>
        </w:r>
      </w:hyperlink>
      <w:r>
        <w:t xml:space="preserve"> Absatz 4 Satz 1.</w:t>
      </w:r>
    </w:p>
    <w:p>
      <w:r>
        <w:t xml:space="preserve">(5) </w:t>
      </w:r>
      <w:r>
        <w:rPr>
          <w:rStyle w:val="Satznummer"/>
        </w:rPr>
        <w:t>1</w:t>
      </w:r>
      <w:r>
        <w:t xml:space="preserve">Liegen die Voraussetzungen der Anordnung nicht mehr vor, so sind die auf Grund der Anordnung ergriffenen Maßnahmen unverzüglich zu beenden. </w:t>
      </w:r>
      <w:r>
        <w:rPr>
          <w:rStyle w:val="Satznummer"/>
        </w:rPr>
        <w:t>2</w:t>
      </w:r>
      <w:r>
        <w:t xml:space="preserve">Das anordnende Gericht ist nach Beendigung der Maßnahme über deren Ergebnisse zu unterrichten. </w:t>
      </w:r>
      <w:r>
        <w:rPr>
          <w:rStyle w:val="Satznummer"/>
        </w:rPr>
        <w:t>3</w:t>
      </w:r>
      <w:r>
        <w:t xml:space="preserve">Bei Maßnahmen nach den </w:t>
      </w:r>
      <w:hyperlink w:anchor="b144" w:history="1">
        <w:r>
          <w:rPr>
            <w:color w:val="0A3A8C"/>
            <w:u w:val="single"/>
          </w:rPr>
          <w:t xml:space="preserve">§§ 100b</w:t>
        </w:r>
      </w:hyperlink>
      <w:r>
        <w:t xml:space="preserve"> und </w:t>
      </w:r>
      <w:hyperlink w:anchor="b145" w:history="1">
        <w:r>
          <w:rPr>
            <w:color w:val="0A3A8C"/>
            <w:u w:val="single"/>
          </w:rPr>
          <w:t xml:space="preserve">100c</w:t>
        </w:r>
      </w:hyperlink>
      <w:r>
        <w:t xml:space="preserve"> ist das anordnende Gericht auch über den Verlauf zu unterrichten. </w:t>
      </w:r>
      <w:r>
        <w:rPr>
          <w:rStyle w:val="Satznummer"/>
        </w:rPr>
        <w:t>4</w:t>
      </w:r>
      <w:r>
        <w:t xml:space="preserve">Liegen die Voraussetzungen der Anordnung nicht mehr vor, so hat das Gericht den Abbruch der Maßnahme anzuordnen, sofern der Abbruch nicht bereits durch die Staatsanwaltschaft veranlasst wurde. </w:t>
      </w:r>
      <w:r>
        <w:rPr>
          <w:rStyle w:val="Satznummer"/>
        </w:rPr>
        <w:t>5</w:t>
      </w:r>
      <w:r>
        <w:t xml:space="preserve">Die Anordnung des Abbruchs einer Maßnahme nach den </w:t>
      </w:r>
      <w:hyperlink w:anchor="b144" w:history="1">
        <w:r>
          <w:rPr>
            <w:color w:val="0A3A8C"/>
            <w:u w:val="single"/>
          </w:rPr>
          <w:t xml:space="preserve">§§ 100b</w:t>
        </w:r>
      </w:hyperlink>
      <w:r>
        <w:t xml:space="preserve"> und </w:t>
      </w:r>
      <w:hyperlink w:anchor="b145" w:history="1">
        <w:r>
          <w:rPr>
            <w:color w:val="0A3A8C"/>
            <w:u w:val="single"/>
          </w:rPr>
          <w:t xml:space="preserve">100c</w:t>
        </w:r>
      </w:hyperlink>
      <w:r>
        <w:t xml:space="preserve"> kann auch durch den Vorsitzenden erfolgen.</w:t>
      </w:r>
    </w:p>
    <w:p>
      <w:r>
        <w:t xml:space="preserve">(6) Die durch Maßnahmen nach den </w:t>
      </w:r>
      <w:hyperlink w:anchor="b144" w:history="1">
        <w:r>
          <w:rPr>
            <w:color w:val="0A3A8C"/>
            <w:u w:val="single"/>
          </w:rPr>
          <w:t xml:space="preserve">§§ 100b</w:t>
        </w:r>
      </w:hyperlink>
      <w:r>
        <w:t xml:space="preserve"> und </w:t>
      </w:r>
      <w:hyperlink w:anchor="b145" w:history="1">
        <w:r>
          <w:rPr>
            <w:color w:val="0A3A8C"/>
            <w:u w:val="single"/>
          </w:rPr>
          <w:t xml:space="preserve">100c</w:t>
        </w:r>
      </w:hyperlink>
      <w:r>
        <w:t xml:space="preserve"> erlangten und verwertbaren personenbezogenen Daten dürfen für andere Zwecke nach folgenden Maßgaben verwendet werden:</w:t>
      </w:r>
    </w:p>
    <w:p>
      <w:pPr>
        <w:tabs>
          <w:tab w:pos="567" w:val="left"/>
        </w:tabs>
        <w:ind w:left="567" w:hanging="567"/>
      </w:pPr>
      <w:r>
        <w:t>1.</w:t>
      </w:r>
      <w:r>
        <w:tab/>
      </w:r>
      <w:r>
        <w:t xml:space="preserve">Die Daten dürfen in anderen Strafverfahren ohne Einwilligung der insoweit überwachten Personen nur zur Aufklärung einer Straftat, auf Grund derer Maßnahmen nach </w:t>
      </w:r>
      <w:hyperlink w:anchor="b144" w:history="1">
        <w:r>
          <w:rPr>
            <w:color w:val="0A3A8C"/>
            <w:u w:val="single"/>
          </w:rPr>
          <w:t xml:space="preserve">§ 100b</w:t>
        </w:r>
      </w:hyperlink>
      <w:r>
        <w:t xml:space="preserve"> oder </w:t>
      </w:r>
      <w:hyperlink w:anchor="b145" w:history="1">
        <w:r>
          <w:rPr>
            <w:color w:val="0A3A8C"/>
            <w:u w:val="single"/>
          </w:rPr>
          <w:t xml:space="preserve">§ 100c</w:t>
        </w:r>
      </w:hyperlink>
      <w:r>
        <w:t xml:space="preserve"> angeordnet werden könnten, oder zur Ermittlung des Aufenthalts der einer solchen Straftat beschuldigten Person verwendet werden.</w:t>
      </w:r>
    </w:p>
    <w:p>
      <w:pPr>
        <w:tabs>
          <w:tab w:pos="567" w:val="left"/>
        </w:tabs>
        <w:ind w:left="567" w:hanging="567"/>
      </w:pPr>
      <w:r>
        <w:t>2.</w:t>
      </w:r>
      <w:r>
        <w:tab/>
      </w:r>
      <w:r>
        <w:t xml:space="preserve">Die Verwendung der Daten, auch solcher nach </w:t>
      </w:r>
      <w:hyperlink w:anchor="b146" w:history="1">
        <w:r>
          <w:rPr>
            <w:color w:val="0A3A8C"/>
            <w:u w:val="single"/>
          </w:rPr>
          <w:t xml:space="preserve">§ 100d</w:t>
        </w:r>
      </w:hyperlink>
      <w:r>
        <w:t xml:space="preserve"> Absatz 5 Satz 1 zweiter Halbsatz, zu Zwecken der Gefahrenabwehr ist nur zur Abwehr einer im Einzelfall bestehenden Lebensgefahr oder einer dringenden Gefahr für Leib oder Freiheit einer Person, für die Sicherheit oder den Bestand des Staates oder für Gegenstände von bedeutendem Wert, die der Versorgung der Bevölkerung dienen, von kulturell herausragendem Wert oder in § 305 des Strafgesetzbuches genannt sind, zulässig. </w:t>
      </w:r>
      <w:r>
        <w:rPr>
          <w:rStyle w:val="Satznummer"/>
        </w:rPr>
        <w:t>2</w:t>
      </w:r>
      <w:r>
        <w:t xml:space="preserve">Die Daten dürfen auch zur Abwehr einer im Einzelfall bestehenden dringenden Gefahr für sonstige bedeutende Vermögenswerte verwendet werden. </w:t>
      </w:r>
      <w:r>
        <w:rPr>
          <w:rStyle w:val="Satznummer"/>
        </w:rPr>
        <w:t>3</w:t>
      </w:r>
      <w:r>
        <w:t xml:space="preserve">Sind die Daten zur Abwehr der Gefahr oder für eine vorgerichtliche oder gerichtliche Überprüfung der zur Gefahrenabwehr getroffenen Maßnahmen nicht mehr erforderlich, so sind Aufzeichnungen über diese Daten von der für die Gefahrenabwehr zuständigen Stelle unverzüglich zu löschen. </w:t>
      </w:r>
      <w:r>
        <w:rPr>
          <w:rStyle w:val="Satznummer"/>
        </w:rPr>
        <w:t>4</w:t>
      </w:r>
      <w:r>
        <w:t xml:space="preserve">Die Löschung ist aktenkundig zu machen. </w:t>
      </w:r>
      <w:r>
        <w:rPr>
          <w:rStyle w:val="Satznummer"/>
        </w:rPr>
        <w:t>5</w:t>
      </w:r>
      <w:r>
        <w:t>Soweit die Löschung lediglich für eine etwaige vorgerichtliche oder gerichtliche Überprüfung zurückgestellt ist, dürfen die Daten nur für diesen Zweck verwendet werden; für eine Verwendung zu anderen Zwecken sind sie zu sperren.</w:t>
      </w:r>
    </w:p>
    <w:p>
      <w:pPr>
        <w:tabs>
          <w:tab w:pos="567" w:val="left"/>
        </w:tabs>
        <w:ind w:left="567" w:hanging="567"/>
      </w:pPr>
      <w:r>
        <w:t>3.</w:t>
      </w:r>
      <w:r>
        <w:tab/>
      </w:r>
      <w:r>
        <w:t xml:space="preserve">Sind verwertbare personenbezogene Daten durch eine entsprechende polizeirechtliche Maßnahme erlangt worden, dürfen sie in einem Strafverfahren ohne Einwilligung der insoweit überwachten Personen nur zur Aufklärung einer Straftat, auf Grund derer die Maßnahmen nach </w:t>
      </w:r>
      <w:hyperlink w:anchor="b144" w:history="1">
        <w:r>
          <w:rPr>
            <w:color w:val="0A3A8C"/>
            <w:u w:val="single"/>
          </w:rPr>
          <w:t xml:space="preserve">§ 100b</w:t>
        </w:r>
      </w:hyperlink>
      <w:r>
        <w:t xml:space="preserve"> oder </w:t>
      </w:r>
      <w:hyperlink w:anchor="b145" w:history="1">
        <w:r>
          <w:rPr>
            <w:color w:val="0A3A8C"/>
            <w:u w:val="single"/>
          </w:rPr>
          <w:t xml:space="preserve">§ 100c</w:t>
        </w:r>
      </w:hyperlink>
      <w:r>
        <w:t xml:space="preserve"> angeordnet werden könnten, oder zur Ermittlung des Aufenthalts der einer solchen Straftat beschuldigten Person verwendet werden.</w:t>
      </w:r>
    </w:p>
    <w:p>
      <w:pPr>
        <w:pStyle w:val="Heading3"/>
      </w:pPr>
      <w:bookmarkStart w:id="149" w:name="b148"/>
      <w:r>
        <w:t>§ 100f Akustische Überwachung außerhalb von Wohnraum</w:t>
      </w:r>
      <w:r>
        <w:t xml:space="preserve"> </w:t>
      </w:r>
      <w:r>
        <w:rPr>
          <w:rStyle w:val="Suchmarke"/>
        </w:rPr>
        <w:t>#100f#</w:t>
      </w:r>
      <w:bookmarkEnd w:id="149"/>
    </w:p>
    <w:p>
      <w:r>
        <w:t xml:space="preserve">(1) Auch ohne Wissen der betroffenen Personen darf außerhalb von Wohnungen das nichtöffentlich gesprochene Wort mit technischen Mitteln abgehört und aufgezeichnet werden, wenn bestimmte Tatsachen den Verdacht begründen, dass jemand als Täter oder Teilnehmer eine in </w:t>
      </w:r>
      <w:hyperlink w:anchor="b143" w:history="1">
        <w:r>
          <w:rPr>
            <w:color w:val="0A3A8C"/>
            <w:u w:val="single"/>
          </w:rPr>
          <w:t xml:space="preserve">§ 100a</w:t>
        </w:r>
      </w:hyperlink>
      <w:r>
        <w:t xml:space="preserve"> Abs. 2 bezeichnete, auch im Einzelfall schwerwiegende Straftat begangen oder in Fällen, in denen der Versuch strafbar ist, zu begehen versucht hat, und die Erforschung des Sachverhalts oder die Ermittlung des Aufenthaltsortes eines Beschuldigten auf andere Weise aussichtslos oder wesentlich erschwert wäre.</w:t>
      </w:r>
    </w:p>
    <w:p>
      <w:r>
        <w:t xml:space="preserve">(2) </w:t>
      </w:r>
      <w:r>
        <w:rPr>
          <w:rStyle w:val="Satznummer"/>
        </w:rPr>
        <w:t>1</w:t>
      </w:r>
      <w:r>
        <w:t xml:space="preserve">Die Maßnahme darf sich nur gegen einen Beschuldigten richten. </w:t>
      </w:r>
      <w:r>
        <w:rPr>
          <w:rStyle w:val="Satznummer"/>
        </w:rPr>
        <w:t>2</w:t>
      </w:r>
      <w:r>
        <w:t>Gegen andere Personen darf die Maßnahme nur angeordnet werden, wenn auf Grund bestimmter Tatsachen anzunehmen ist, dass sie mit einem Beschuldigten in Verbindung stehen oder eine solche Verbindung hergestellt wird, die Maßnahme zur Erforschung des Sachverhalts oder zur Ermittlung des Aufenthaltsortes eines Beschuldigten führen wird und dies auf andere Weise aussichtslos oder wesentlich erschwert wäre.</w:t>
      </w:r>
    </w:p>
    <w:p>
      <w:r>
        <w:t>(3) Die Maßnahme darf auch durchgeführt werden, wenn Dritte unvermeidbar betroffen werden.</w:t>
      </w:r>
    </w:p>
    <w:p>
      <w:r>
        <w:t xml:space="preserve">(4) </w:t>
      </w:r>
      <w:hyperlink w:anchor="b146" w:history="1">
        <w:r>
          <w:rPr>
            <w:color w:val="0A3A8C"/>
            <w:u w:val="single"/>
          </w:rPr>
          <w:t xml:space="preserve">§ 100d</w:t>
        </w:r>
      </w:hyperlink>
      <w:r>
        <w:t xml:space="preserve"> Absatz 1 und 2 sowie </w:t>
      </w:r>
      <w:hyperlink w:anchor="b147" w:history="1">
        <w:r>
          <w:rPr>
            <w:color w:val="0A3A8C"/>
            <w:u w:val="single"/>
          </w:rPr>
          <w:t xml:space="preserve">§ 100e</w:t>
        </w:r>
      </w:hyperlink>
      <w:r>
        <w:t xml:space="preserve"> Absatz 1, 3, 5 Satz 1 gelten entsprechend.</w:t>
      </w:r>
    </w:p>
    <w:p>
      <w:pPr>
        <w:pStyle w:val="Heading3"/>
      </w:pPr>
      <w:bookmarkStart w:id="150" w:name="b149"/>
      <w:r>
        <w:t>§ 100g Erhebung von Verkehrsdaten</w:t>
      </w:r>
      <w:r>
        <w:t xml:space="preserve"> </w:t>
      </w:r>
      <w:r>
        <w:rPr>
          <w:rStyle w:val="Suchmarke"/>
        </w:rPr>
        <w:t>#100g#</w:t>
      </w:r>
      <w:bookmarkEnd w:id="150"/>
    </w:p>
    <w:p>
      <w:r>
        <w:t xml:space="preserve">(1) </w:t>
      </w:r>
      <w:r>
        <w:rPr>
          <w:rStyle w:val="Satznummer"/>
        </w:rPr>
        <w:t>1</w:t>
      </w:r>
      <w:r>
        <w:t>Begründen bestimmte Tatsachen den Verdacht, dass jemand als Täter oder Teilnehmer</w:t>
      </w:r>
    </w:p>
    <w:p>
      <w:pPr>
        <w:tabs>
          <w:tab w:pos="567" w:val="left"/>
        </w:tabs>
        <w:ind w:left="567" w:hanging="567"/>
      </w:pPr>
      <w:r>
        <w:t>1.</w:t>
      </w:r>
      <w:r>
        <w:tab/>
      </w:r>
      <w:r>
        <w:t xml:space="preserve">eine Straftat von auch im Einzelfall erheblicher Bedeutung, insbesondere eine in </w:t>
      </w:r>
      <w:hyperlink w:anchor="b143" w:history="1">
        <w:r>
          <w:rPr>
            <w:color w:val="0A3A8C"/>
            <w:u w:val="single"/>
          </w:rPr>
          <w:t xml:space="preserve">§ 100a</w:t>
        </w:r>
      </w:hyperlink>
      <w:r>
        <w:t xml:space="preserve"> Absatz 2 bezeichnete Straftat, begangen hat, in Fällen, in denen der Versuch strafbar ist, zu begehen versucht hat oder durch eine Straftat vorbereitet hat oder</w:t>
      </w:r>
    </w:p>
    <w:p>
      <w:pPr>
        <w:tabs>
          <w:tab w:pos="567" w:val="left"/>
        </w:tabs>
        <w:ind w:left="567" w:hanging="567"/>
      </w:pPr>
      <w:r>
        <w:t>2.</w:t>
      </w:r>
      <w:r>
        <w:tab/>
      </w:r>
      <w:r>
        <w:t>eine Straftat mittels Telekommunikation begangen hat,</w:t>
      </w:r>
    </w:p>
    <w:p>
      <w:r>
        <w:t xml:space="preserve">so dürfen Verkehrsdaten (§§ 9 und 12 des Telekommunikation-Digitale-Dienste-Datenschutz-Gesetzes und § 2a Absatz 1 des Gesetzes über die Errichtung einer Bundesanstalt für den Digitalfunk der Behörden und Organisationen mit Sicherheitsaufgaben) erhoben werden, soweit dies für die Erforschung des Sachverhalts erforderlich ist und die Erhebung der Daten in einem angemessenen Verhältnis zur Bedeutung der Sache steht. </w:t>
      </w:r>
      <w:r>
        <w:rPr>
          <w:rStyle w:val="Satznummer"/>
        </w:rPr>
        <w:t>2</w:t>
      </w:r>
      <w:r>
        <w:t xml:space="preserve">Im Fall des Satzes 1 Nummer 2 ist die Maßnahme nur zulässig, wenn die Erforschung des Sachverhalts auf andere Weise aussichtslos wäre. </w:t>
      </w:r>
      <w:r>
        <w:rPr>
          <w:rStyle w:val="Satznummer"/>
        </w:rPr>
        <w:t>3</w:t>
      </w:r>
      <w:r>
        <w:t xml:space="preserve">Die Erhebung gespeicherter (retrograder) Standortdaten ist nach diesem Absatz nur unter den Voraussetzungen des Absatzes 2 zulässig. </w:t>
      </w:r>
      <w:r>
        <w:rPr>
          <w:rStyle w:val="Satznummer"/>
        </w:rPr>
        <w:t>4</w:t>
      </w:r>
      <w:r>
        <w:t>Im Übrigen ist die Erhebung von Standortdaten nur für künftig anfallende Verkehrsdaten oder in Echtzeit und nur im Fall des Satzes 1 Nummer 1 zulässig, soweit sie für die Erforschung des Sachverhalts oder die Ermittlung des Aufenthaltsortes des Beschuldigten erforderlich ist.</w:t>
      </w:r>
    </w:p>
    <w:p>
      <w:r>
        <w:t xml:space="preserve">(2) </w:t>
      </w:r>
      <w:r>
        <w:rPr>
          <w:rStyle w:val="Satznummer"/>
        </w:rPr>
        <w:t>1</w:t>
      </w:r>
      <w:r>
        <w:t xml:space="preserve">Begründen bestimmte Tatsachen den Verdacht, dass jemand als Täter oder Teilnehmer eine der in Satz 2 bezeichneten besonders schweren Straftaten begangen hat oder in Fällen, in denen der Versuch strafbar ist, eine solche Straftat zu begehen versucht hat, und wiegt die Tat auch im Einzelfall besonders schwer, dürfen die nach § 176 des Telekommunikationsgesetzes gespeicherten Verkehrsdaten erhoben werden, soweit die Erforschung des Sachverhalts oder die Ermittlung des Aufenthaltsortes des Beschuldigten auf andere Weise wesentlich erschwert oder aussichtslos wäre und die Erhebung der Daten in einem angemessenen Verhältnis zur Bedeutung der Sache steht. </w:t>
      </w:r>
      <w:r>
        <w:rPr>
          <w:rStyle w:val="Satznummer"/>
        </w:rPr>
        <w:t>2</w:t>
      </w:r>
      <w:r>
        <w:t>Besonders schwere Straftaten im Sinne des Satzes 1 sind:</w:t>
      </w:r>
    </w:p>
    <w:p>
      <w:pPr>
        <w:tabs>
          <w:tab w:pos="567" w:val="left"/>
        </w:tabs>
        <w:ind w:left="567" w:hanging="567"/>
      </w:pPr>
      <w:r>
        <w:t>1.</w:t>
      </w:r>
      <w:r>
        <w:tab/>
      </w:r>
      <w:r>
        <w:t>aus dem Strafgesetzbuch:</w:t>
      </w:r>
    </w:p>
    <w:p>
      <w:pPr>
        <w:tabs>
          <w:tab w:pos="1134" w:val="left"/>
        </w:tabs>
        <w:ind w:left="1134" w:hanging="567"/>
      </w:pPr>
      <w:r>
        <w:t>a)</w:t>
      </w:r>
      <w:r>
        <w:tab/>
      </w:r>
      <w:r>
        <w:t xml:space="preserve">Straftaten des Hochverrats und der Gefährdung des demokratischen Rechtsstaates sowie des Landesverrats und der Gefährdung der äußeren Sicherheit nach den </w:t>
      </w:r>
      <w:hyperlink w:anchor="b110" w:history="1">
        <w:r>
          <w:rPr>
            <w:color w:val="0A3A8C"/>
            <w:u w:val="single"/>
          </w:rPr>
          <w:t xml:space="preserve">§§ 81</w:t>
        </w:r>
      </w:hyperlink>
      <w:r>
        <w:t xml:space="preserve">, </w:t>
      </w:r>
      <w:hyperlink w:anchor="b119" w:history="1">
        <w:r>
          <w:rPr>
            <w:color w:val="0A3A8C"/>
            <w:u w:val="single"/>
          </w:rPr>
          <w:t xml:space="preserve">82</w:t>
        </w:r>
      </w:hyperlink>
      <w:r>
        <w:t xml:space="preserve">, 89a, nach den </w:t>
      </w:r>
      <w:hyperlink w:anchor="b132" w:history="1">
        <w:r>
          <w:rPr>
            <w:color w:val="0A3A8C"/>
            <w:u w:val="single"/>
          </w:rPr>
          <w:t xml:space="preserve">§§ 94</w:t>
        </w:r>
      </w:hyperlink>
      <w:r>
        <w:t xml:space="preserve">, </w:t>
      </w:r>
      <w:hyperlink w:anchor="b133" w:history="1">
        <w:r>
          <w:rPr>
            <w:color w:val="0A3A8C"/>
            <w:u w:val="single"/>
          </w:rPr>
          <w:t xml:space="preserve">95</w:t>
        </w:r>
      </w:hyperlink>
      <w:r>
        <w:t xml:space="preserve"> Absatz 3 und </w:t>
      </w:r>
      <w:hyperlink w:anchor="b135" w:history="1">
        <w:r>
          <w:rPr>
            <w:color w:val="0A3A8C"/>
            <w:u w:val="single"/>
          </w:rPr>
          <w:t xml:space="preserve">§ 96</w:t>
        </w:r>
      </w:hyperlink>
      <w:r>
        <w:t xml:space="preserve"> Absatz 1, jeweils auch in Verbindung mit § 97b, sowie nach den §§ 97a, </w:t>
      </w:r>
      <w:hyperlink w:anchor="b137" w:history="1">
        <w:r>
          <w:rPr>
            <w:color w:val="0A3A8C"/>
            <w:u w:val="single"/>
          </w:rPr>
          <w:t xml:space="preserve">98</w:t>
        </w:r>
      </w:hyperlink>
      <w:r>
        <w:t xml:space="preserve"> Absatz 1 Satz 2, </w:t>
      </w:r>
      <w:hyperlink w:anchor="b141" w:history="1">
        <w:r>
          <w:rPr>
            <w:color w:val="0A3A8C"/>
            <w:u w:val="single"/>
          </w:rPr>
          <w:t xml:space="preserve">§ 99</w:t>
        </w:r>
      </w:hyperlink>
      <w:r>
        <w:t xml:space="preserve"> Absatz 1 und den </w:t>
      </w:r>
      <w:hyperlink w:anchor="b142" w:history="1">
        <w:r>
          <w:rPr>
            <w:color w:val="0A3A8C"/>
            <w:u w:val="single"/>
          </w:rPr>
          <w:t xml:space="preserve">§§ 100</w:t>
        </w:r>
      </w:hyperlink>
      <w:r>
        <w:t xml:space="preserve">, </w:t>
      </w:r>
      <w:hyperlink w:anchor="b143" w:history="1">
        <w:r>
          <w:rPr>
            <w:color w:val="0A3A8C"/>
            <w:u w:val="single"/>
          </w:rPr>
          <w:t xml:space="preserve">100a</w:t>
        </w:r>
      </w:hyperlink>
      <w:r>
        <w:t xml:space="preserve"> Absatz 4,</w:t>
      </w:r>
    </w:p>
    <w:p>
      <w:pPr>
        <w:tabs>
          <w:tab w:pos="1134" w:val="left"/>
        </w:tabs>
        <w:ind w:left="1134" w:hanging="567"/>
      </w:pPr>
      <w:r>
        <w:t>b)</w:t>
      </w:r>
      <w:r>
        <w:tab/>
      </w:r>
      <w:r>
        <w:t xml:space="preserve">besonders schwerer Fall des Landfriedensbruchs nach § 125a sowie Betreiben krimineller Handelsplattformen im Internet in den Fällen des </w:t>
      </w:r>
      <w:hyperlink w:anchor="b218" w:history="1">
        <w:r>
          <w:rPr>
            <w:color w:val="0A3A8C"/>
            <w:u w:val="single"/>
          </w:rPr>
          <w:t xml:space="preserve">§ 127</w:t>
        </w:r>
      </w:hyperlink>
      <w:r>
        <w:t xml:space="preserve"> Absatz 3 und 4,</w:t>
      </w:r>
    </w:p>
    <w:p>
      <w:pPr>
        <w:tabs>
          <w:tab w:pos="1134" w:val="left"/>
        </w:tabs>
        <w:ind w:left="1134" w:hanging="567"/>
      </w:pPr>
      <w:r>
        <w:t>c)</w:t>
      </w:r>
      <w:r>
        <w:tab/>
      </w:r>
      <w:r>
        <w:t xml:space="preserve">Bildung krimineller Vereinigungen nach </w:t>
      </w:r>
      <w:hyperlink w:anchor="b222" w:history="1">
        <w:r>
          <w:rPr>
            <w:color w:val="0A3A8C"/>
            <w:u w:val="single"/>
          </w:rPr>
          <w:t xml:space="preserve">§ 129</w:t>
        </w:r>
      </w:hyperlink>
      <w:r>
        <w:t xml:space="preserve"> Absatz 1 in Verbindung mit Absatz 5 Satz 3 sowie Bildung terroristischer Vereinigungen nach § 129a Absatz 1, 2, 4, 5 Satz 1 erste Alternative, jeweils auch in Verbindung mit § 129b Absatz 1,</w:t>
      </w:r>
    </w:p>
    <w:p>
      <w:pPr>
        <w:tabs>
          <w:tab w:pos="1134" w:val="left"/>
        </w:tabs>
        <w:ind w:left="1134" w:hanging="567"/>
      </w:pPr>
      <w:r>
        <w:t>d)</w:t>
      </w:r>
      <w:r>
        <w:tab/>
      </w:r>
      <w:r>
        <w:t xml:space="preserve">Straftaten gegen die sexuelle Selbstbestimmung in den Fällen der </w:t>
      </w:r>
      <w:hyperlink w:anchor="b321" w:history="1">
        <w:r>
          <w:rPr>
            <w:color w:val="0A3A8C"/>
            <w:u w:val="single"/>
          </w:rPr>
          <w:t xml:space="preserve">§§ 176</w:t>
        </w:r>
      </w:hyperlink>
      <w:r>
        <w:t xml:space="preserve">, 176c, 176d und, unter den in </w:t>
      </w:r>
      <w:hyperlink w:anchor="b322" w:history="1">
        <w:r>
          <w:rPr>
            <w:color w:val="0A3A8C"/>
            <w:u w:val="single"/>
          </w:rPr>
          <w:t xml:space="preserve">§ 177</w:t>
        </w:r>
      </w:hyperlink>
      <w:r>
        <w:t xml:space="preserve"> Absatz 6 Satz 2 Nummer 2 genannten Voraussetzungen, des </w:t>
      </w:r>
      <w:hyperlink w:anchor="b322" w:history="1">
        <w:r>
          <w:rPr>
            <w:color w:val="0A3A8C"/>
            <w:u w:val="single"/>
          </w:rPr>
          <w:t xml:space="preserve">§ 177</w:t>
        </w:r>
      </w:hyperlink>
      <w:r>
        <w:t>,</w:t>
      </w:r>
    </w:p>
    <w:p>
      <w:pPr>
        <w:tabs>
          <w:tab w:pos="1134" w:val="left"/>
        </w:tabs>
        <w:ind w:left="1134" w:hanging="567"/>
      </w:pPr>
      <w:r>
        <w:t>e)</w:t>
      </w:r>
      <w:r>
        <w:tab/>
      </w:r>
      <w:r>
        <w:t>Verbreitung, Erwerb und Besitz kinder- und jugendpornographischer Inhalte in den Fällen des § 184b Absatz 1 Satz 1, Absatz 2 und 3 sowie des § 184c Absatz 2,</w:t>
      </w:r>
    </w:p>
    <w:p>
      <w:pPr>
        <w:tabs>
          <w:tab w:pos="1134" w:val="left"/>
        </w:tabs>
        <w:ind w:left="1134" w:hanging="567"/>
      </w:pPr>
      <w:r>
        <w:t>f)</w:t>
      </w:r>
      <w:r>
        <w:tab/>
      </w:r>
      <w:r>
        <w:t xml:space="preserve">Mord und Totschlag nach den </w:t>
      </w:r>
      <w:hyperlink w:anchor="b342" w:history="1">
        <w:r>
          <w:rPr>
            <w:color w:val="0A3A8C"/>
            <w:u w:val="single"/>
          </w:rPr>
          <w:t xml:space="preserve">§§ 211</w:t>
        </w:r>
      </w:hyperlink>
      <w:r>
        <w:t xml:space="preserve"> und </w:t>
      </w:r>
      <w:hyperlink w:anchor="b344" w:history="1">
        <w:r>
          <w:rPr>
            <w:color w:val="0A3A8C"/>
            <w:u w:val="single"/>
          </w:rPr>
          <w:t xml:space="preserve">212</w:t>
        </w:r>
      </w:hyperlink>
      <w:r>
        <w:t>,</w:t>
      </w:r>
    </w:p>
    <w:p>
      <w:pPr>
        <w:tabs>
          <w:tab w:pos="1134" w:val="left"/>
        </w:tabs>
        <w:ind w:left="1134" w:hanging="567"/>
      </w:pPr>
      <w:r>
        <w:t>g)</w:t>
      </w:r>
      <w:r>
        <w:tab/>
      </w:r>
      <w:r>
        <w:t xml:space="preserve">Straftaten gegen die persönliche Freiheit in den Fällen der </w:t>
      </w:r>
      <w:hyperlink w:anchor="b373" w:history="1">
        <w:r>
          <w:rPr>
            <w:color w:val="0A3A8C"/>
            <w:u w:val="single"/>
          </w:rPr>
          <w:t xml:space="preserve">§§ 234</w:t>
        </w:r>
      </w:hyperlink>
      <w:r>
        <w:t xml:space="preserve">, </w:t>
      </w:r>
      <w:hyperlink w:anchor="b374" w:history="1">
        <w:r>
          <w:rPr>
            <w:color w:val="0A3A8C"/>
            <w:u w:val="single"/>
          </w:rPr>
          <w:t xml:space="preserve">234a</w:t>
        </w:r>
      </w:hyperlink>
      <w:r>
        <w:t xml:space="preserve"> Absatz 1, 2, §§ 239a, 239b und Zwangsprostitution und Zwangsarbeit nach § 232a Absatz 3, 4 oder 5 zweiter Halbsatz, § 232b Absatz 3 oder 4 in Verbindung mit § 232a Absatz 4 oder 5 zweiter Halbsatz und Ausbeutung unter Ausnutzung einer Freiheitsberaubung nach § 233a Absatz 3 oder 4 zweiter Halbsatz,</w:t>
      </w:r>
    </w:p>
    <w:p>
      <w:pPr>
        <w:tabs>
          <w:tab w:pos="1134" w:val="left"/>
        </w:tabs>
        <w:ind w:left="1134" w:hanging="567"/>
      </w:pPr>
      <w:r>
        <w:t>h)</w:t>
      </w:r>
      <w:r>
        <w:tab/>
      </w:r>
      <w:r>
        <w:t xml:space="preserve">Einbruchdiebstahl in eine dauerhaft genutzte Privatwohnung nach </w:t>
      </w:r>
      <w:hyperlink w:anchor="b385" w:history="1">
        <w:r>
          <w:rPr>
            <w:color w:val="0A3A8C"/>
            <w:u w:val="single"/>
          </w:rPr>
          <w:t xml:space="preserve">§ 244</w:t>
        </w:r>
      </w:hyperlink>
      <w:r>
        <w:t xml:space="preserve"> Absatz 4, schwerer Bandendiebstahl nach § 244a Absatz 1, schwerer Raub nach </w:t>
      </w:r>
      <w:hyperlink w:anchor="b393" w:history="1">
        <w:r>
          <w:rPr>
            <w:color w:val="0A3A8C"/>
            <w:u w:val="single"/>
          </w:rPr>
          <w:t xml:space="preserve">§ 250</w:t>
        </w:r>
      </w:hyperlink>
      <w:r>
        <w:t xml:space="preserve"> Absatz 1 oder Absatz 2, Raub mit Todesfolge nach </w:t>
      </w:r>
      <w:hyperlink w:anchor="b394" w:history="1">
        <w:r>
          <w:rPr>
            <w:color w:val="0A3A8C"/>
            <w:u w:val="single"/>
          </w:rPr>
          <w:t xml:space="preserve">§ 251</w:t>
        </w:r>
      </w:hyperlink>
      <w:r>
        <w:t xml:space="preserve">, räuberische Erpressung nach </w:t>
      </w:r>
      <w:hyperlink w:anchor="b398" w:history="1">
        <w:r>
          <w:rPr>
            <w:color w:val="0A3A8C"/>
            <w:u w:val="single"/>
          </w:rPr>
          <w:t xml:space="preserve">§ 255</w:t>
        </w:r>
      </w:hyperlink>
      <w:r>
        <w:t xml:space="preserve"> und besonders schwerer Fall einer Erpressung nach </w:t>
      </w:r>
      <w:hyperlink w:anchor="b396" w:history="1">
        <w:r>
          <w:rPr>
            <w:color w:val="0A3A8C"/>
            <w:u w:val="single"/>
          </w:rPr>
          <w:t xml:space="preserve">§ 253</w:t>
        </w:r>
      </w:hyperlink>
      <w:r>
        <w:t xml:space="preserve"> unter den in </w:t>
      </w:r>
      <w:hyperlink w:anchor="b396" w:history="1">
        <w:r>
          <w:rPr>
            <w:color w:val="0A3A8C"/>
            <w:u w:val="single"/>
          </w:rPr>
          <w:t xml:space="preserve">§ 253</w:t>
        </w:r>
      </w:hyperlink>
      <w:r>
        <w:t xml:space="preserve"> Absatz 4 Satz 2 genannten Voraussetzungen, gewerbsmäßige Bandenhehlerei nach § 260a Absatz 1, besonders schwerer Fall der Geldwäsche nach </w:t>
      </w:r>
      <w:hyperlink w:anchor="b408" w:history="1">
        <w:r>
          <w:rPr>
            <w:color w:val="0A3A8C"/>
            <w:u w:val="single"/>
          </w:rPr>
          <w:t xml:space="preserve">§ 261</w:t>
        </w:r>
      </w:hyperlink>
      <w:r>
        <w:t xml:space="preserve"> unter den in </w:t>
      </w:r>
      <w:hyperlink w:anchor="b408" w:history="1">
        <w:r>
          <w:rPr>
            <w:color w:val="0A3A8C"/>
            <w:u w:val="single"/>
          </w:rPr>
          <w:t xml:space="preserve">§ 261</w:t>
        </w:r>
      </w:hyperlink>
      <w:r>
        <w:t xml:space="preserve"> Absatz 5 Satz 2 genannten Voraussetzungen, wenn die Vortat eine der in den Nummern 1 bis 8 genannten besonders schweren Straftaten ist,</w:t>
      </w:r>
    </w:p>
    <w:p>
      <w:pPr>
        <w:tabs>
          <w:tab w:pos="1134" w:val="left"/>
        </w:tabs>
        <w:ind w:left="1134" w:hanging="567"/>
      </w:pPr>
      <w:r>
        <w:t>i)</w:t>
      </w:r>
      <w:r>
        <w:tab/>
      </w:r>
      <w:r>
        <w:t xml:space="preserve">gemeingefährliche Straftaten in den Fällen der </w:t>
      </w:r>
      <w:hyperlink w:anchor="b458" w:history="1">
        <w:r>
          <w:rPr>
            <w:color w:val="0A3A8C"/>
            <w:u w:val="single"/>
          </w:rPr>
          <w:t xml:space="preserve">§§ 306</w:t>
        </w:r>
      </w:hyperlink>
      <w:r>
        <w:t xml:space="preserve"> bis 306c, </w:t>
      </w:r>
      <w:hyperlink w:anchor="b459" w:history="1">
        <w:r>
          <w:rPr>
            <w:color w:val="0A3A8C"/>
            <w:u w:val="single"/>
          </w:rPr>
          <w:t xml:space="preserve">307</w:t>
        </w:r>
      </w:hyperlink>
      <w:r>
        <w:t xml:space="preserve"> Absatz 1 bis 3, des </w:t>
      </w:r>
      <w:hyperlink w:anchor="b460" w:history="1">
        <w:r>
          <w:rPr>
            <w:color w:val="0A3A8C"/>
            <w:u w:val="single"/>
          </w:rPr>
          <w:t xml:space="preserve">§ 308</w:t>
        </w:r>
      </w:hyperlink>
      <w:r>
        <w:t xml:space="preserve"> Absatz 1 bis 3, des </w:t>
      </w:r>
      <w:hyperlink w:anchor="b461" w:history="1">
        <w:r>
          <w:rPr>
            <w:color w:val="0A3A8C"/>
            <w:u w:val="single"/>
          </w:rPr>
          <w:t xml:space="preserve">§ 309</w:t>
        </w:r>
      </w:hyperlink>
      <w:r>
        <w:t xml:space="preserve"> Absatz 1 bis 4, des </w:t>
      </w:r>
      <w:hyperlink w:anchor="b462" w:history="1">
        <w:r>
          <w:rPr>
            <w:color w:val="0A3A8C"/>
            <w:u w:val="single"/>
          </w:rPr>
          <w:t xml:space="preserve">§ 310</w:t>
        </w:r>
      </w:hyperlink>
      <w:r>
        <w:t xml:space="preserve"> Absatz 1, der </w:t>
      </w:r>
      <w:hyperlink w:anchor="b467" w:history="1">
        <w:r>
          <w:rPr>
            <w:color w:val="0A3A8C"/>
            <w:u w:val="single"/>
          </w:rPr>
          <w:t xml:space="preserve">§§ 313</w:t>
        </w:r>
      </w:hyperlink>
      <w:r>
        <w:t xml:space="preserve">, </w:t>
      </w:r>
      <w:hyperlink w:anchor="b468" w:history="1">
        <w:r>
          <w:rPr>
            <w:color w:val="0A3A8C"/>
            <w:u w:val="single"/>
          </w:rPr>
          <w:t xml:space="preserve">314</w:t>
        </w:r>
      </w:hyperlink>
      <w:r>
        <w:t xml:space="preserve">, </w:t>
      </w:r>
      <w:hyperlink w:anchor="b469" w:history="1">
        <w:r>
          <w:rPr>
            <w:color w:val="0A3A8C"/>
            <w:u w:val="single"/>
          </w:rPr>
          <w:t xml:space="preserve">315</w:t>
        </w:r>
      </w:hyperlink>
      <w:r>
        <w:t xml:space="preserve"> Absatz 3, des § 315b Absatz 3 sowie der §§ 316a und 316c,</w:t>
      </w:r>
    </w:p>
    <w:p>
      <w:pPr>
        <w:tabs>
          <w:tab w:pos="567" w:val="left"/>
        </w:tabs>
        <w:ind w:left="567" w:hanging="567"/>
      </w:pPr>
      <w:r>
        <w:t>2.</w:t>
      </w:r>
      <w:r>
        <w:tab/>
      </w:r>
      <w:r>
        <w:t>aus dem Aufenthaltsgesetz:</w:t>
      </w:r>
    </w:p>
    <w:p>
      <w:pPr>
        <w:tabs>
          <w:tab w:pos="1134" w:val="left"/>
        </w:tabs>
        <w:ind w:left="1134" w:hanging="567"/>
      </w:pPr>
      <w:r>
        <w:t>a)</w:t>
      </w:r>
      <w:r>
        <w:tab/>
      </w:r>
      <w:r>
        <w:t xml:space="preserve">Einschleusen von Ausländern nach </w:t>
      </w:r>
      <w:hyperlink w:anchor="b135" w:history="1">
        <w:r>
          <w:rPr>
            <w:color w:val="0A3A8C"/>
            <w:u w:val="single"/>
          </w:rPr>
          <w:t xml:space="preserve">§ 96</w:t>
        </w:r>
      </w:hyperlink>
      <w:r>
        <w:t xml:space="preserve"> Absatz 2,</w:t>
      </w:r>
    </w:p>
    <w:p>
      <w:pPr>
        <w:tabs>
          <w:tab w:pos="1134" w:val="left"/>
        </w:tabs>
        <w:ind w:left="1134" w:hanging="567"/>
      </w:pPr>
      <w:r>
        <w:t>b)</w:t>
      </w:r>
      <w:r>
        <w:tab/>
      </w:r>
      <w:r>
        <w:t xml:space="preserve">Einschleusen mit Todesfolge oder gewerbs- und bandenmäßiges Einschleusen nach </w:t>
      </w:r>
      <w:hyperlink w:anchor="b136" w:history="1">
        <w:r>
          <w:rPr>
            <w:color w:val="0A3A8C"/>
            <w:u w:val="single"/>
          </w:rPr>
          <w:t xml:space="preserve">§ 97</w:t>
        </w:r>
      </w:hyperlink>
      <w:r>
        <w:t>,</w:t>
      </w:r>
    </w:p>
    <w:p>
      <w:pPr>
        <w:tabs>
          <w:tab w:pos="567" w:val="left"/>
        </w:tabs>
        <w:ind w:left="567" w:hanging="567"/>
      </w:pPr>
      <w:r>
        <w:t>3.</w:t>
      </w:r>
      <w:r>
        <w:tab/>
      </w:r>
      <w:r>
        <w:t>aus dem Außenwirtschaftsgesetz:</w:t>
      </w:r>
    </w:p>
    <w:p>
      <w:pPr>
        <w:ind w:left="567"/>
      </w:pPr>
      <w:r>
        <w:t>Straftaten nach § 17 Absatz 1 bis 3 und § 18 Absatz 7 und 8,</w:t>
      </w:r>
    </w:p>
    <w:p>
      <w:pPr>
        <w:tabs>
          <w:tab w:pos="567" w:val="left"/>
        </w:tabs>
        <w:ind w:left="567" w:hanging="567"/>
      </w:pPr>
      <w:r>
        <w:t>4.</w:t>
      </w:r>
      <w:r>
        <w:tab/>
      </w:r>
      <w:r>
        <w:t>aus dem Betäubungsmittelgesetz:</w:t>
      </w:r>
    </w:p>
    <w:p>
      <w:pPr>
        <w:tabs>
          <w:tab w:pos="1134" w:val="left"/>
        </w:tabs>
        <w:ind w:left="1134" w:hanging="567"/>
      </w:pPr>
      <w:r>
        <w:t>a)</w:t>
      </w:r>
      <w:r>
        <w:tab/>
      </w:r>
      <w:r>
        <w:t xml:space="preserve">besonders schwerer Fall einer Straftat nach </w:t>
      </w:r>
      <w:hyperlink w:anchor="b36" w:history="1">
        <w:r>
          <w:rPr>
            <w:color w:val="0A3A8C"/>
            <w:u w:val="single"/>
          </w:rPr>
          <w:t xml:space="preserve">§ 29</w:t>
        </w:r>
      </w:hyperlink>
      <w:r>
        <w:t xml:space="preserve"> Absatz 1 Satz 1 Nummer 1, 5, 6, 10, 11 oder 13, Absatz 3 unter der in </w:t>
      </w:r>
      <w:hyperlink w:anchor="b36" w:history="1">
        <w:r>
          <w:rPr>
            <w:color w:val="0A3A8C"/>
            <w:u w:val="single"/>
          </w:rPr>
          <w:t xml:space="preserve">§ 29</w:t>
        </w:r>
      </w:hyperlink>
      <w:r>
        <w:t xml:space="preserve"> Absatz 3 Satz 2 Nummer 1 genannten Voraussetzung,</w:t>
      </w:r>
    </w:p>
    <w:p>
      <w:pPr>
        <w:tabs>
          <w:tab w:pos="1134" w:val="left"/>
        </w:tabs>
        <w:ind w:left="1134" w:hanging="567"/>
      </w:pPr>
      <w:r>
        <w:t>b)</w:t>
      </w:r>
      <w:r>
        <w:tab/>
      </w:r>
      <w:r>
        <w:t xml:space="preserve">eine Straftat nach den §§ 29a, </w:t>
      </w:r>
      <w:hyperlink w:anchor="b37" w:history="1">
        <w:r>
          <w:rPr>
            <w:color w:val="0A3A8C"/>
            <w:u w:val="single"/>
          </w:rPr>
          <w:t xml:space="preserve">30</w:t>
        </w:r>
      </w:hyperlink>
      <w:r>
        <w:t xml:space="preserve"> Absatz 1 Nummer 1, 2, 4, § 30a,</w:t>
      </w:r>
    </w:p>
    <w:p>
      <w:pPr>
        <w:tabs>
          <w:tab w:pos="567" w:val="left"/>
        </w:tabs>
        <w:ind w:left="567" w:hanging="567"/>
      </w:pPr>
      <w:r>
        <w:t>5.</w:t>
      </w:r>
      <w:r>
        <w:tab/>
      </w:r>
      <w:r>
        <w:t>aus dem Grundstoffüberwachungsgesetz:</w:t>
      </w:r>
    </w:p>
    <w:p>
      <w:pPr>
        <w:ind w:left="567"/>
      </w:pPr>
      <w:r>
        <w:t xml:space="preserve">eine Straftat nach </w:t>
      </w:r>
      <w:hyperlink w:anchor="b24" w:history="1">
        <w:r>
          <w:rPr>
            <w:color w:val="0A3A8C"/>
            <w:u w:val="single"/>
          </w:rPr>
          <w:t xml:space="preserve">§ 19</w:t>
        </w:r>
      </w:hyperlink>
      <w:r>
        <w:t xml:space="preserve"> Absatz 1 unter den in </w:t>
      </w:r>
      <w:hyperlink w:anchor="b24" w:history="1">
        <w:r>
          <w:rPr>
            <w:color w:val="0A3A8C"/>
            <w:u w:val="single"/>
          </w:rPr>
          <w:t xml:space="preserve">§ 19</w:t>
        </w:r>
      </w:hyperlink>
      <w:r>
        <w:t xml:space="preserve"> Absatz 3 Satz 2 genannten Voraussetzungen,</w:t>
      </w:r>
    </w:p>
    <w:p>
      <w:pPr>
        <w:tabs>
          <w:tab w:pos="567" w:val="left"/>
        </w:tabs>
        <w:ind w:left="567" w:hanging="567"/>
      </w:pPr>
      <w:r>
        <w:t>6.</w:t>
      </w:r>
      <w:r>
        <w:tab/>
      </w:r>
      <w:r>
        <w:t>aus dem Gesetz über die Kontrolle von Kriegswaffen:</w:t>
      </w:r>
    </w:p>
    <w:p>
      <w:pPr>
        <w:tabs>
          <w:tab w:pos="1134" w:val="left"/>
        </w:tabs>
        <w:ind w:left="1134" w:hanging="567"/>
      </w:pPr>
      <w:r>
        <w:t>a)</w:t>
      </w:r>
      <w:r>
        <w:tab/>
      </w:r>
      <w:r>
        <w:t xml:space="preserve">eine Straftat nach </w:t>
      </w:r>
      <w:hyperlink w:anchor="b24" w:history="1">
        <w:r>
          <w:rPr>
            <w:color w:val="0A3A8C"/>
            <w:u w:val="single"/>
          </w:rPr>
          <w:t xml:space="preserve">§ 19</w:t>
        </w:r>
      </w:hyperlink>
      <w:r>
        <w:t xml:space="preserve"> Absatz 2 oder </w:t>
      </w:r>
      <w:hyperlink w:anchor="b25" w:history="1">
        <w:r>
          <w:rPr>
            <w:color w:val="0A3A8C"/>
            <w:u w:val="single"/>
          </w:rPr>
          <w:t xml:space="preserve">§ 20</w:t>
        </w:r>
      </w:hyperlink>
      <w:r>
        <w:t xml:space="preserve"> Absatz 1, jeweils auch in Verbindung mit </w:t>
      </w:r>
      <w:hyperlink w:anchor="b26" w:history="1">
        <w:r>
          <w:rPr>
            <w:color w:val="0A3A8C"/>
            <w:u w:val="single"/>
          </w:rPr>
          <w:t xml:space="preserve">§ 21</w:t>
        </w:r>
      </w:hyperlink>
      <w:r>
        <w:t>,</w:t>
      </w:r>
    </w:p>
    <w:p>
      <w:pPr>
        <w:tabs>
          <w:tab w:pos="1134" w:val="left"/>
        </w:tabs>
        <w:ind w:left="1134" w:hanging="567"/>
      </w:pPr>
      <w:r>
        <w:t>b)</w:t>
      </w:r>
      <w:r>
        <w:tab/>
      </w:r>
      <w:r>
        <w:t>besonders schwerer Fall einer Straftat nach § 22a Absatz 1 in Verbindung mit Absatz 2,</w:t>
      </w:r>
    </w:p>
    <w:p>
      <w:pPr>
        <w:tabs>
          <w:tab w:pos="567" w:val="left"/>
        </w:tabs>
        <w:ind w:left="567" w:hanging="567"/>
      </w:pPr>
      <w:r>
        <w:t>7.</w:t>
      </w:r>
      <w:r>
        <w:tab/>
      </w:r>
      <w:r>
        <w:t>aus dem Völkerstrafgesetzbuch:</w:t>
      </w:r>
    </w:p>
    <w:p>
      <w:pPr>
        <w:tabs>
          <w:tab w:pos="1134" w:val="left"/>
        </w:tabs>
        <w:ind w:left="1134" w:hanging="567"/>
      </w:pPr>
      <w:r>
        <w:t>a)</w:t>
      </w:r>
      <w:r>
        <w:tab/>
      </w:r>
      <w:r>
        <w:t xml:space="preserve">Völkermord nach </w:t>
      </w:r>
      <w:hyperlink w:anchor="b7" w:history="1">
        <w:r>
          <w:rPr>
            <w:color w:val="0A3A8C"/>
            <w:u w:val="single"/>
          </w:rPr>
          <w:t xml:space="preserve">§ 6</w:t>
        </w:r>
      </w:hyperlink>
      <w:r>
        <w:t>,</w:t>
      </w:r>
    </w:p>
    <w:p>
      <w:pPr>
        <w:tabs>
          <w:tab w:pos="1134" w:val="left"/>
        </w:tabs>
        <w:ind w:left="1134" w:hanging="567"/>
      </w:pPr>
      <w:r>
        <w:t>b)</w:t>
      </w:r>
      <w:r>
        <w:tab/>
      </w:r>
      <w:r>
        <w:t xml:space="preserve">Verbrechen gegen die Menschlichkeit nach </w:t>
      </w:r>
      <w:hyperlink w:anchor="b10" w:history="1">
        <w:r>
          <w:rPr>
            <w:color w:val="0A3A8C"/>
            <w:u w:val="single"/>
          </w:rPr>
          <w:t xml:space="preserve">§ 7</w:t>
        </w:r>
      </w:hyperlink>
      <w:r>
        <w:t>,</w:t>
      </w:r>
    </w:p>
    <w:p>
      <w:pPr>
        <w:tabs>
          <w:tab w:pos="1134" w:val="left"/>
        </w:tabs>
        <w:ind w:left="1134" w:hanging="567"/>
      </w:pPr>
      <w:r>
        <w:t>c)</w:t>
      </w:r>
      <w:r>
        <w:tab/>
      </w:r>
      <w:r>
        <w:t xml:space="preserve">Kriegsverbrechen nach den </w:t>
      </w:r>
      <w:hyperlink w:anchor="b11" w:history="1">
        <w:r>
          <w:rPr>
            <w:color w:val="0A3A8C"/>
            <w:u w:val="single"/>
          </w:rPr>
          <w:t xml:space="preserve">§§ 8</w:t>
        </w:r>
      </w:hyperlink>
      <w:r>
        <w:t xml:space="preserve"> bis </w:t>
      </w:r>
      <w:hyperlink w:anchor="b17" w:history="1">
        <w:r>
          <w:rPr>
            <w:color w:val="0A3A8C"/>
            <w:u w:val="single"/>
          </w:rPr>
          <w:t xml:space="preserve">12</w:t>
        </w:r>
      </w:hyperlink>
      <w:r>
        <w:t>,</w:t>
      </w:r>
    </w:p>
    <w:p>
      <w:pPr>
        <w:tabs>
          <w:tab w:pos="1134" w:val="left"/>
        </w:tabs>
        <w:ind w:left="1134" w:hanging="567"/>
      </w:pPr>
      <w:r>
        <w:t>d)</w:t>
      </w:r>
      <w:r>
        <w:tab/>
      </w:r>
      <w:r>
        <w:t xml:space="preserve">Verbrechen der Aggression nach </w:t>
      </w:r>
      <w:hyperlink w:anchor="b18" w:history="1">
        <w:r>
          <w:rPr>
            <w:color w:val="0A3A8C"/>
            <w:u w:val="single"/>
          </w:rPr>
          <w:t xml:space="preserve">§ 13</w:t>
        </w:r>
      </w:hyperlink>
      <w:r>
        <w:t>,</w:t>
      </w:r>
    </w:p>
    <w:p>
      <w:pPr>
        <w:tabs>
          <w:tab w:pos="567" w:val="left"/>
        </w:tabs>
        <w:ind w:left="567" w:hanging="567"/>
      </w:pPr>
      <w:r>
        <w:t>8.</w:t>
      </w:r>
      <w:r>
        <w:tab/>
      </w:r>
      <w:r>
        <w:t>aus dem Waffengesetz:</w:t>
      </w:r>
    </w:p>
    <w:p>
      <w:pPr>
        <w:tabs>
          <w:tab w:pos="1134" w:val="left"/>
        </w:tabs>
        <w:ind w:left="1134" w:hanging="567"/>
      </w:pPr>
      <w:r>
        <w:t>a)</w:t>
      </w:r>
      <w:r>
        <w:tab/>
      </w:r>
      <w:r>
        <w:t xml:space="preserve">besonders schwerer Fall einer Straftat nach </w:t>
      </w:r>
      <w:hyperlink w:anchor="b73" w:history="1">
        <w:r>
          <w:rPr>
            <w:color w:val="0A3A8C"/>
            <w:u w:val="single"/>
          </w:rPr>
          <w:t xml:space="preserve">§ 51</w:t>
        </w:r>
      </w:hyperlink>
      <w:r>
        <w:t xml:space="preserve"> Absatz 1 in Verbindung mit Absatz 2,</w:t>
      </w:r>
    </w:p>
    <w:p>
      <w:pPr>
        <w:tabs>
          <w:tab w:pos="1134" w:val="left"/>
        </w:tabs>
        <w:ind w:left="1134" w:hanging="567"/>
      </w:pPr>
      <w:r>
        <w:t>b)</w:t>
      </w:r>
      <w:r>
        <w:tab/>
      </w:r>
      <w:r>
        <w:t xml:space="preserve">besonders schwerer Fall einer Straftat nach </w:t>
      </w:r>
      <w:hyperlink w:anchor="b74" w:history="1">
        <w:r>
          <w:rPr>
            <w:color w:val="0A3A8C"/>
            <w:u w:val="single"/>
          </w:rPr>
          <w:t xml:space="preserve">§ 52</w:t>
        </w:r>
      </w:hyperlink>
      <w:r>
        <w:t xml:space="preserve"> Absatz 1 Nummer 1 in Verbindung mit Absatz 5.</w:t>
      </w:r>
    </w:p>
    <w:p>
      <w:r>
        <w:t xml:space="preserve">(3) </w:t>
      </w:r>
      <w:r>
        <w:rPr>
          <w:rStyle w:val="Satznummer"/>
        </w:rPr>
        <w:t>1</w:t>
      </w:r>
      <w:r>
        <w:t>Die Erhebung aller in einer Funkzelle angefallenen Verkehrsdaten (Funkzellenabfrage) ist nur zulässig,</w:t>
      </w:r>
    </w:p>
    <w:p>
      <w:pPr>
        <w:tabs>
          <w:tab w:pos="567" w:val="left"/>
        </w:tabs>
        <w:ind w:left="567" w:hanging="567"/>
      </w:pPr>
      <w:r>
        <w:t>1.</w:t>
      </w:r>
      <w:r>
        <w:tab/>
      </w:r>
      <w:r>
        <w:t>wenn die Voraussetzungen des Absatzes 1 Satz 1 Nummer 1 erfüllt sind,</w:t>
      </w:r>
    </w:p>
    <w:p>
      <w:pPr>
        <w:tabs>
          <w:tab w:pos="567" w:val="left"/>
        </w:tabs>
        <w:ind w:left="567" w:hanging="567"/>
      </w:pPr>
      <w:r>
        <w:t>2.</w:t>
      </w:r>
      <w:r>
        <w:tab/>
      </w:r>
      <w:r>
        <w:t>soweit die Erhebung der Daten in einem angemessenen Verhältnis zur Bedeutung der Sache steht und</w:t>
      </w:r>
    </w:p>
    <w:p>
      <w:pPr>
        <w:tabs>
          <w:tab w:pos="567" w:val="left"/>
        </w:tabs>
        <w:ind w:left="567" w:hanging="567"/>
      </w:pPr>
      <w:r>
        <w:t>3.</w:t>
      </w:r>
      <w:r>
        <w:tab/>
      </w:r>
      <w:r>
        <w:t>soweit die Erforschung des Sachverhalts oder die Ermittlung des Aufenthaltsortes des Beschuldigten auf andere Weise aussichtslos oder wesentlich erschwert wäre.</w:t>
      </w:r>
    </w:p>
    <w:p>
      <w:r>
        <w:rPr>
          <w:rStyle w:val="Satznummer"/>
        </w:rPr>
        <w:t>2</w:t>
      </w:r>
      <w:r>
        <w:t>Auf nach § 176 des Telekommunikationsgesetzes gespeicherte Verkehrsdaten darf für eine Funkzellenabfrage nur unter den Voraussetzungen des Absatzes 2 zurückgegriffen werden.</w:t>
      </w:r>
    </w:p>
    <w:p>
      <w:r>
        <w:t xml:space="preserve">(4) </w:t>
      </w:r>
      <w:r>
        <w:rPr>
          <w:rStyle w:val="Satznummer"/>
        </w:rPr>
        <w:t>1</w:t>
      </w:r>
      <w:r>
        <w:t xml:space="preserve">Die Erhebung von Verkehrsdaten nach Absatz 2, auch in Verbindung mit Absatz 3 Satz 2, die sich gegen eine der in </w:t>
      </w:r>
      <w:hyperlink w:anchor="b75" w:history="1">
        <w:r>
          <w:rPr>
            <w:color w:val="0A3A8C"/>
            <w:u w:val="single"/>
          </w:rPr>
          <w:t xml:space="preserve">§ 53</w:t>
        </w:r>
      </w:hyperlink>
      <w:r>
        <w:t xml:space="preserve"> Absatz 1 Satz 1 Nummer 1 bis 5 genannten Personen richtet und die voraussichtlich Erkenntnisse erbringen würde, über die diese das Zeugnis verweigern dürfte, ist unzulässig. </w:t>
      </w:r>
      <w:r>
        <w:rPr>
          <w:rStyle w:val="Satznummer"/>
        </w:rPr>
        <w:t>2</w:t>
      </w:r>
      <w:r>
        <w:t xml:space="preserve">Dennoch erlangte Erkenntnisse dürfen nicht verwendet werden. </w:t>
      </w:r>
      <w:r>
        <w:rPr>
          <w:rStyle w:val="Satznummer"/>
        </w:rPr>
        <w:t>3</w:t>
      </w:r>
      <w:r>
        <w:t xml:space="preserve">Aufzeichnungen hierüber sind unverzüglich zu löschen. </w:t>
      </w:r>
      <w:r>
        <w:rPr>
          <w:rStyle w:val="Satznummer"/>
        </w:rPr>
        <w:t>4</w:t>
      </w:r>
      <w:r>
        <w:t xml:space="preserve">Die Tatsache ihrer Erlangung und der Löschung der Aufzeichnungen ist aktenkundig zu machen. </w:t>
      </w:r>
      <w:r>
        <w:rPr>
          <w:rStyle w:val="Satznummer"/>
        </w:rPr>
        <w:t>5</w:t>
      </w:r>
      <w:r>
        <w:t xml:space="preserve">Die Sätze 2 bis 4 gelten entsprechend, wenn durch eine Ermittlungsmaßnahme, die sich nicht gegen eine in </w:t>
      </w:r>
      <w:hyperlink w:anchor="b75" w:history="1">
        <w:r>
          <w:rPr>
            <w:color w:val="0A3A8C"/>
            <w:u w:val="single"/>
          </w:rPr>
          <w:t xml:space="preserve">§ 53</w:t>
        </w:r>
      </w:hyperlink>
      <w:r>
        <w:t xml:space="preserve"> Absatz 1 Satz 1 Nummer 1 bis 5 genannte Person richtet, von dieser Person Erkenntnisse erlangt werden, über die sie das Zeugnis verweigern dürfte. </w:t>
      </w:r>
      <w:r>
        <w:rPr>
          <w:rStyle w:val="Satznummer"/>
        </w:rPr>
        <w:t>6</w:t>
      </w:r>
      <w:hyperlink w:anchor="b290" w:history="1">
        <w:r>
          <w:rPr>
            <w:color w:val="0A3A8C"/>
            <w:u w:val="single"/>
          </w:rPr>
          <w:t xml:space="preserve">§ 160a</w:t>
        </w:r>
      </w:hyperlink>
      <w:r>
        <w:t xml:space="preserve"> Absatz 3 und 4 gilt entsprechend.</w:t>
      </w:r>
    </w:p>
    <w:p>
      <w:r>
        <w:t>(5) Erfolgt die Erhebung von Verkehrsdaten nicht beim Erbringer von Telekommunikationsdiensten, bestimmt sie sich nach Abschluss des Kommunikationsvorgangs nach den allgemeinen Vorschriften.</w:t>
      </w:r>
    </w:p>
    <w:p>
      <w:pPr>
        <w:pStyle w:val="Heading3"/>
      </w:pPr>
      <w:bookmarkStart w:id="151" w:name="b150"/>
      <w:r>
        <w:t>§ 100h Weitere Maßnahmen außerhalb von Wohnraum</w:t>
      </w:r>
      <w:r>
        <w:t xml:space="preserve"> </w:t>
      </w:r>
      <w:r>
        <w:rPr>
          <w:rStyle w:val="Suchmarke"/>
        </w:rPr>
        <w:t>#100h#</w:t>
      </w:r>
      <w:bookmarkEnd w:id="151"/>
    </w:p>
    <w:p>
      <w:r>
        <w:t xml:space="preserve">(1) </w:t>
      </w:r>
      <w:r>
        <w:rPr>
          <w:rStyle w:val="Satznummer"/>
        </w:rPr>
        <w:t>1</w:t>
      </w:r>
      <w:r>
        <w:t>Auch ohne Wissen der betroffenen Personen dürfen außerhalb von Wohnungen</w:t>
      </w:r>
    </w:p>
    <w:p>
      <w:pPr>
        <w:tabs>
          <w:tab w:pos="567" w:val="left"/>
        </w:tabs>
        <w:ind w:left="567" w:hanging="567"/>
      </w:pPr>
      <w:r>
        <w:t>1.</w:t>
      </w:r>
      <w:r>
        <w:tab/>
      </w:r>
      <w:r>
        <w:t>Bildaufnahmen hergestellt werden,</w:t>
      </w:r>
    </w:p>
    <w:p>
      <w:pPr>
        <w:tabs>
          <w:tab w:pos="567" w:val="left"/>
        </w:tabs>
        <w:ind w:left="567" w:hanging="567"/>
      </w:pPr>
      <w:r>
        <w:t>2.</w:t>
      </w:r>
      <w:r>
        <w:tab/>
      </w:r>
      <w:r>
        <w:t>sonstige besondere für Observationszwecke bestimmte technische Mittel verwendet werden,</w:t>
      </w:r>
    </w:p>
    <w:p>
      <w:r>
        <w:t xml:space="preserve">wenn die Erforschung des Sachverhalts oder die Ermittlung des Aufenthaltsortes eines Beschuldigten auf andere Weise weniger erfolgversprechend oder erschwert wäre. </w:t>
      </w:r>
      <w:r>
        <w:rPr>
          <w:rStyle w:val="Satznummer"/>
        </w:rPr>
        <w:t>2</w:t>
      </w:r>
      <w:r>
        <w:t>Eine Maßnahme nach Satz 1 Nr. 2 ist nur zulässig, wenn Gegenstand der Untersuchung eine Straftat von erheblicher Bedeutung ist.</w:t>
      </w:r>
    </w:p>
    <w:p>
      <w:r>
        <w:t xml:space="preserve">(2) </w:t>
      </w:r>
      <w:r>
        <w:rPr>
          <w:rStyle w:val="Satznummer"/>
        </w:rPr>
        <w:t>1</w:t>
      </w:r>
      <w:r>
        <w:t xml:space="preserve">Die Maßnahmen dürfen sich nur gegen einen Beschuldigten richten. </w:t>
      </w:r>
      <w:r>
        <w:rPr>
          <w:rStyle w:val="Satznummer"/>
        </w:rPr>
        <w:t>2</w:t>
      </w:r>
      <w:r>
        <w:t>Gegen andere Personen sind</w:t>
      </w:r>
    </w:p>
    <w:p>
      <w:pPr>
        <w:tabs>
          <w:tab w:pos="567" w:val="left"/>
        </w:tabs>
        <w:ind w:left="567" w:hanging="567"/>
      </w:pPr>
      <w:r>
        <w:t>1.</w:t>
      </w:r>
      <w:r>
        <w:tab/>
      </w:r>
      <w:r>
        <w:t>Maßnahmen nach Absatz 1 Nr. 1 nur zulässig, wenn die Erforschung des Sachverhalts oder die Ermittlung des Aufenthaltsortes eines Beschuldigten auf andere Weise erheblich weniger erfolgversprechend oder wesentlich erschwert wäre,</w:t>
      </w:r>
    </w:p>
    <w:p>
      <w:pPr>
        <w:tabs>
          <w:tab w:pos="567" w:val="left"/>
        </w:tabs>
        <w:ind w:left="567" w:hanging="567"/>
      </w:pPr>
      <w:r>
        <w:t>2.</w:t>
      </w:r>
      <w:r>
        <w:tab/>
      </w:r>
      <w:r>
        <w:t>Maßnahmen nach Absatz 1 Nr. 2 nur zulässig, wenn auf Grund bestimmter Tatsachen anzunehmen ist, dass sie mit einem Beschuldigten in Verbindung stehen oder eine solche Verbindung hergestellt wird, die Maßnahme zur Erforschung des Sachverhalts oder zur Ermittlung des Aufenthaltsortes eines Beschuldigten führen wird und dies auf andere Weise aussichtslos oder wesentlich erschwert wäre.</w:t>
      </w:r>
    </w:p>
    <w:p>
      <w:r>
        <w:t>(3) Die Maßnahmen dürfen auch durchgeführt werden, wenn Dritte unvermeidbar mitbetroffen werden.</w:t>
      </w:r>
    </w:p>
    <w:p>
      <w:r>
        <w:t xml:space="preserve">(4) </w:t>
      </w:r>
      <w:hyperlink w:anchor="b146" w:history="1">
        <w:r>
          <w:rPr>
            <w:color w:val="0A3A8C"/>
            <w:u w:val="single"/>
          </w:rPr>
          <w:t xml:space="preserve">§ 100d</w:t>
        </w:r>
      </w:hyperlink>
      <w:r>
        <w:t xml:space="preserve"> Absatz 1 und 2 gilt entsprechend.</w:t>
      </w:r>
    </w:p>
    <w:p>
      <w:pPr>
        <w:pStyle w:val="Heading3"/>
      </w:pPr>
      <w:bookmarkStart w:id="152" w:name="b151"/>
      <w:r>
        <w:t>§ 100i Technische Ermittlungsmaßnahmen bei Mobilfunkendgeräten</w:t>
      </w:r>
      <w:r>
        <w:t xml:space="preserve"> </w:t>
      </w:r>
      <w:r>
        <w:rPr>
          <w:rStyle w:val="Suchmarke"/>
        </w:rPr>
        <w:t>#100i#</w:t>
      </w:r>
      <w:bookmarkEnd w:id="152"/>
    </w:p>
    <w:p>
      <w:r>
        <w:t xml:space="preserve">(1) Begründen bestimmte Tatsachen den Verdacht, dass jemand als Täter oder Teilnehmer eine Straftat von auch im Einzelfall erheblicher Bedeutung, insbesondere eine in </w:t>
      </w:r>
      <w:hyperlink w:anchor="b143" w:history="1">
        <w:r>
          <w:rPr>
            <w:color w:val="0A3A8C"/>
            <w:u w:val="single"/>
          </w:rPr>
          <w:t xml:space="preserve">§ 100a</w:t>
        </w:r>
      </w:hyperlink>
      <w:r>
        <w:t xml:space="preserve"> Abs. 2 bezeichnete Straftat, begangen hat, in Fällen, in denen der Versuch strafbar ist, zu begehen versucht hat oder durch eine Straftat vorbereitet hat, so dürfen durch technische Mittel</w:t>
      </w:r>
    </w:p>
    <w:p>
      <w:pPr>
        <w:tabs>
          <w:tab w:pos="567" w:val="left"/>
        </w:tabs>
        <w:ind w:left="567" w:hanging="567"/>
      </w:pPr>
      <w:r>
        <w:t>1.</w:t>
      </w:r>
      <w:r>
        <w:tab/>
      </w:r>
      <w:r>
        <w:t>die Gerätenummer eines Mobilfunkendgerätes und die Kartennummer der darin verwendeten Karte sowie</w:t>
      </w:r>
    </w:p>
    <w:p>
      <w:pPr>
        <w:tabs>
          <w:tab w:pos="567" w:val="left"/>
        </w:tabs>
        <w:ind w:left="567" w:hanging="567"/>
      </w:pPr>
      <w:r>
        <w:t>2.</w:t>
      </w:r>
      <w:r>
        <w:tab/>
      </w:r>
      <w:r>
        <w:t>der Standort eines Mobilfunkendgerätes</w:t>
      </w:r>
    </w:p>
    <w:p>
      <w:r>
        <w:t>ermittelt werden, soweit dies für die Erforschung des Sachverhalts oder die Ermittlung des Aufenthaltsortes des Beschuldigten erforderlich ist.</w:t>
      </w:r>
    </w:p>
    <w:p>
      <w:r>
        <w:t xml:space="preserve">(2) </w:t>
      </w:r>
      <w:r>
        <w:rPr>
          <w:rStyle w:val="Satznummer"/>
        </w:rPr>
        <w:t>1</w:t>
      </w:r>
      <w:r>
        <w:t xml:space="preserve">Personenbezogene Daten Dritter dürfen anlässlich solcher Maßnahmen nur erhoben werden, wenn dies aus technischen Gründen zur Erreichung des Zwecks nach Absatz 1 unvermeidbar ist. </w:t>
      </w:r>
      <w:r>
        <w:rPr>
          <w:rStyle w:val="Satznummer"/>
        </w:rPr>
        <w:t>2</w:t>
      </w:r>
      <w:r>
        <w:t>Über den Datenabgleich zur Ermittlung der gesuchten Geräte- und Kartennummer hinaus dürfen sie nicht verwendet werden und sind nach Beendigung der Maßnahme unverzüglich zu löschen.</w:t>
      </w:r>
    </w:p>
    <w:p>
      <w:r>
        <w:t xml:space="preserve">(3) </w:t>
      </w:r>
      <w:r>
        <w:rPr>
          <w:rStyle w:val="Satznummer"/>
        </w:rPr>
        <w:t>1</w:t>
      </w:r>
      <w:hyperlink w:anchor="b143" w:history="1">
        <w:r>
          <w:rPr>
            <w:color w:val="0A3A8C"/>
            <w:u w:val="single"/>
          </w:rPr>
          <w:t xml:space="preserve">§ 100a</w:t>
        </w:r>
      </w:hyperlink>
      <w:r>
        <w:t xml:space="preserve"> Abs. 3 und </w:t>
      </w:r>
      <w:hyperlink w:anchor="b147" w:history="1">
        <w:r>
          <w:rPr>
            <w:color w:val="0A3A8C"/>
            <w:u w:val="single"/>
          </w:rPr>
          <w:t xml:space="preserve">§ 100e</w:t>
        </w:r>
      </w:hyperlink>
      <w:r>
        <w:t xml:space="preserve"> Absatz 1 Satz 1 bis 3, Absatz 3 Satz 1 und Absatz 5 Satz 1 gelten entsprechend. </w:t>
      </w:r>
      <w:r>
        <w:rPr>
          <w:rStyle w:val="Satznummer"/>
        </w:rPr>
        <w:t>2</w:t>
      </w:r>
      <w:r>
        <w:t xml:space="preserve">Die Anordnung ist auf höchstens sechs Monate zu befristen. </w:t>
      </w:r>
      <w:r>
        <w:rPr>
          <w:rStyle w:val="Satznummer"/>
        </w:rPr>
        <w:t>3</w:t>
      </w:r>
      <w:r>
        <w:t>Eine Verlängerung um jeweils nicht mehr als sechs weitere Monate ist zulässig, soweit die in Absatz 1 bezeichneten Voraussetzungen fortbestehen.</w:t>
      </w:r>
    </w:p>
    <w:p>
      <w:pPr>
        <w:pStyle w:val="Heading3"/>
      </w:pPr>
      <w:bookmarkStart w:id="153" w:name="b152"/>
      <w:r>
        <w:t>§ 100j Bestandsdatenauskunft</w:t>
      </w:r>
      <w:r>
        <w:t xml:space="preserve"> </w:t>
      </w:r>
      <w:r>
        <w:rPr>
          <w:rStyle w:val="Suchmarke"/>
        </w:rPr>
        <w:t>#100j#</w:t>
      </w:r>
      <w:bookmarkEnd w:id="153"/>
    </w:p>
    <w:p>
      <w:r>
        <w:t xml:space="preserve">(1) </w:t>
      </w:r>
      <w:r>
        <w:rPr>
          <w:rStyle w:val="Satznummer"/>
        </w:rPr>
        <w:t>1</w:t>
      </w:r>
      <w:r>
        <w:t>Soweit dies für die Erforschung des Sachverhalts oder die Ermittlung des Aufenthaltsortes eines Beschuldigten erforderlich ist, darf Auskunft verlangt werden</w:t>
      </w:r>
    </w:p>
    <w:p>
      <w:pPr>
        <w:tabs>
          <w:tab w:pos="567" w:val="left"/>
        </w:tabs>
        <w:ind w:left="567" w:hanging="567"/>
      </w:pPr>
      <w:r>
        <w:t>1.</w:t>
      </w:r>
      <w:r>
        <w:tab/>
      </w:r>
      <w:r>
        <w:t>über Bestandsdaten gemäß § 3 Nummer 6 des Telekommunikationsgesetzes und über die nach § 172 des Telekommunikationsgesetzes erhobenen Daten (§ 174 Absatz 1 Satz 1 des Telekommunikationsgesetzes) von demjenigen, der geschäftsmäßig Telekommunikationsdienste erbringt oder daran mitwirkt, und</w:t>
      </w:r>
    </w:p>
    <w:p>
      <w:pPr>
        <w:tabs>
          <w:tab w:pos="567" w:val="left"/>
        </w:tabs>
        <w:ind w:left="567" w:hanging="567"/>
      </w:pPr>
      <w:r>
        <w:t>2.</w:t>
      </w:r>
      <w:r>
        <w:tab/>
      </w:r>
      <w:r>
        <w:t>über Bestandsdaten gemäß § 2 Absatz 2 Nummer 2 des Telekommunikation-Digitale-Dienste-Datenschutz-Gesetzes (§ 22 Absatz 1 Satz 1 des Telekommunikation-Digitale-Dienste-Datenschutz-Gesetzes) von demjenigen, der geschäftsmäßig eigene oder fremde digitale Dienste zur Nutzung bereithält oder den Zugang zur Nutzung vermittelt.</w:t>
      </w:r>
    </w:p>
    <w:p>
      <w:r>
        <w:rPr>
          <w:rStyle w:val="Satznummer"/>
        </w:rPr>
        <w:t>2</w:t>
      </w:r>
      <w:r>
        <w:t xml:space="preserve">Bezieht sich das Auskunftsverlangen nach Satz 1 Nummer 1 auf Daten, mittels derer der Zugriff auf Endgeräte oder auf Speichereinrichtungen, die in diesen Endgeräten oder hiervon räumlich getrennt eingesetzt werden, geschützt wird (§ 174 Absatz 1 Satz 2 des Telekommunikationsgesetzes), darf die Auskunft nur verlangt werden, wenn die gesetzlichen Voraussetzungen für die Nutzung der Daten vorliegen. </w:t>
      </w:r>
      <w:r>
        <w:rPr>
          <w:rStyle w:val="Satznummer"/>
        </w:rPr>
        <w:t>3</w:t>
      </w:r>
      <w:r>
        <w:t>Bezieht sich das Auskunftsverlangen nach Satz 1 Nummer 2 auf als Bestandsdaten erhobene Passwörter oder andere Daten, mittels derer der Zugriff auf Endgeräte oder auf Speichereinrichtungen, die in diesen Endgeräten oder hiervon räumlich getrennt eingesetzt werden, geschützt wird (§ 23 des Telekommunikation-Digitale-Dienste-Datenschutz-Gesetzes), darf die Auskunft nur verlangt werden, wenn die gesetzlichen Voraussetzungen für ihre Nutzung zur Verfolgung einer besonders schweren Straftat nach § 100b Absatz 2 Nummer 1 Buchstabe a, c, e, f, g, h oder m, Nummer 3 Buchstabe b erste Alternative oder Nummer 5, 5a, 5b, 6, 9 oder 10 vorliegen.</w:t>
      </w:r>
    </w:p>
    <w:p>
      <w:r>
        <w:t xml:space="preserve">(2) </w:t>
      </w:r>
      <w:r>
        <w:rPr>
          <w:rStyle w:val="Satznummer"/>
        </w:rPr>
        <w:t>1</w:t>
      </w:r>
      <w:r>
        <w:t xml:space="preserve">Die Auskunft nach Absatz 1 darf auch anhand einer zu einem bestimmten Zeitpunkt zugewiesenen Internetprotokoll-Adresse verlangt werden (§ 174 Absatz 1 Satz 3, § 177 Absatz 1 Nummer 3 des Telekommunikationsgesetzes und § 22 Absatz 1 Satz 3 und 4 des Telekommunikation-Digitale-Dienste-Datenschutz-Gesetzes). </w:t>
      </w:r>
      <w:r>
        <w:rPr>
          <w:rStyle w:val="Satznummer"/>
        </w:rPr>
        <w:t>2</w:t>
      </w:r>
      <w:r>
        <w:t>Das Vorliegen der Voraussetzungen für ein Auskunftsverlangen nach Satz 1 ist aktenkundig zu machen.</w:t>
      </w:r>
    </w:p>
    <w:p>
      <w:r>
        <w:t xml:space="preserve">(3) </w:t>
      </w:r>
      <w:r>
        <w:rPr>
          <w:rStyle w:val="Satznummer"/>
        </w:rPr>
        <w:t>1</w:t>
      </w:r>
      <w:r>
        <w:t xml:space="preserve">Auskunftsverlangen nach Absatz 1 Satz 2 und 3 dürfen nur auf Antrag der Staatsanwaltschaft durch das Gericht angeordnet werden. </w:t>
      </w:r>
      <w:r>
        <w:rPr>
          <w:rStyle w:val="Satznummer"/>
        </w:rPr>
        <w:t>2</w:t>
      </w:r>
      <w:r>
        <w:t xml:space="preserve">Im Fall von Auskunftsverlangen nach Absatz 1 Satz 2 kann die Anordnung bei Gefahr im Verzug auch durch die Staatsanwaltschaft oder ihre Ermittlungspersonen (§ 152 des Gerichtsverfassungsgesetzes) getroffen werden. </w:t>
      </w:r>
      <w:r>
        <w:rPr>
          <w:rStyle w:val="Satznummer"/>
        </w:rPr>
        <w:t>3</w:t>
      </w:r>
      <w:r>
        <w:t xml:space="preserve">In diesem Fall ist die gerichtliche Entscheidung unverzüglich nachzuholen. </w:t>
      </w:r>
      <w:r>
        <w:rPr>
          <w:rStyle w:val="Satznummer"/>
        </w:rPr>
        <w:t>4</w:t>
      </w:r>
      <w:r>
        <w:t xml:space="preserve">Die Sätze 1 bis 3 finden bei Auskunftsverlangen nach Absatz 1 Satz 2 keine Anwendung, wenn die betroffene Person vom Auskunftsverlangen bereits Kenntnis hat oder haben muss oder wenn die Nutzung der Daten bereits durch eine gerichtliche Entscheidung gestattet wird. </w:t>
      </w:r>
      <w:r>
        <w:rPr>
          <w:rStyle w:val="Satznummer"/>
        </w:rPr>
        <w:t>5</w:t>
      </w:r>
      <w:r>
        <w:t>Das Vorliegen der Voraussetzungen nach Satz 4 ist aktenkundig zu machen.</w:t>
      </w:r>
    </w:p>
    <w:p>
      <w:r>
        <w:t xml:space="preserve">(4) </w:t>
      </w:r>
      <w:r>
        <w:rPr>
          <w:rStyle w:val="Satznummer"/>
        </w:rPr>
        <w:t>1</w:t>
      </w:r>
      <w:r>
        <w:t xml:space="preserve">Die betroffene Person ist in den Fällen des Absatzes 1 Satz 2 und 3 und des Absatzes 2 über die Beauskunftung zu benachrichtigen. </w:t>
      </w:r>
      <w:r>
        <w:rPr>
          <w:rStyle w:val="Satznummer"/>
        </w:rPr>
        <w:t>2</w:t>
      </w:r>
      <w:r>
        <w:t xml:space="preserve">Die Benachrichtigung erfolgt, soweit und sobald hierdurch der Zweck der Auskunft nicht vereitelt wird. </w:t>
      </w:r>
      <w:r>
        <w:rPr>
          <w:rStyle w:val="Satznummer"/>
        </w:rPr>
        <w:t>3</w:t>
      </w:r>
      <w:r>
        <w:t xml:space="preserve">Sie unterbleibt, wenn ihr überwiegende schutzwürdige Belange Dritter oder der betroffenen Person selbst entgegenstehen. </w:t>
      </w:r>
      <w:r>
        <w:rPr>
          <w:rStyle w:val="Satznummer"/>
        </w:rPr>
        <w:t>4</w:t>
      </w:r>
      <w:r>
        <w:t>Wird die Benachrichtigung nach Satz 2 zurückgestellt oder nach Satz 3 von ihr abgesehen, sind die Gründe aktenkundig zu machen.</w:t>
      </w:r>
    </w:p>
    <w:p>
      <w:r>
        <w:t xml:space="preserve">(5) </w:t>
      </w:r>
      <w:r>
        <w:rPr>
          <w:rStyle w:val="Satznummer"/>
        </w:rPr>
        <w:t>1</w:t>
      </w:r>
      <w:r>
        <w:t xml:space="preserve">Auf Grund eines Auskunftsverlangens nach Absatz 1 oder 2 hat derjenige, der geschäftsmäßig Telekommunikationsdienste oder Telemediendienste erbringt oder daran mitwirkt, die zur Auskunftserteilung erforderlichen Daten unverzüglich zu übermitteln. </w:t>
      </w:r>
      <w:r>
        <w:rPr>
          <w:rStyle w:val="Satznummer"/>
        </w:rPr>
        <w:t>2</w:t>
      </w:r>
      <w:hyperlink w:anchor="b133" w:history="1">
        <w:r>
          <w:rPr>
            <w:color w:val="0A3A8C"/>
            <w:u w:val="single"/>
          </w:rPr>
          <w:t xml:space="preserve">§ 95</w:t>
        </w:r>
      </w:hyperlink>
      <w:r>
        <w:t xml:space="preserve"> Absatz 2 gilt entsprechend.</w:t>
      </w:r>
    </w:p>
    <w:p>
      <w:pPr>
        <w:pStyle w:val="Heading3"/>
      </w:pPr>
      <w:bookmarkStart w:id="154" w:name="b153"/>
      <w:r>
        <w:t>§ 100k Erhebung von Nutzungsdaten bei digitalen Diensten</w:t>
      </w:r>
      <w:r>
        <w:t xml:space="preserve"> </w:t>
      </w:r>
      <w:r>
        <w:rPr>
          <w:rStyle w:val="Suchmarke"/>
        </w:rPr>
        <w:t>#100k#</w:t>
      </w:r>
      <w:bookmarkEnd w:id="154"/>
    </w:p>
    <w:p>
      <w:r>
        <w:t xml:space="preserve">(1) </w:t>
      </w:r>
      <w:r>
        <w:rPr>
          <w:rStyle w:val="Satznummer"/>
        </w:rPr>
        <w:t>1</w:t>
      </w:r>
      <w:r>
        <w:t xml:space="preserve">Begründen bestimmte Tatsachen den Verdacht, dass jemand als Täter oder Teilnehmer eine Straftat von auch im Einzelfall erheblicher Bedeutung, insbesondere eine in </w:t>
      </w:r>
      <w:hyperlink w:anchor="b143" w:history="1">
        <w:r>
          <w:rPr>
            <w:color w:val="0A3A8C"/>
            <w:u w:val="single"/>
          </w:rPr>
          <w:t xml:space="preserve">§ 100a</w:t>
        </w:r>
      </w:hyperlink>
      <w:r>
        <w:t xml:space="preserve"> Absatz 2 bezeichnete Straftat, begangen hat, in Fällen, in denen der Versuch strafbar ist, zu begehen versucht hat oder durch eine Straftat vorbereitet hat, dürfen von demjenigen, der geschäftsmäßig eigene oder fremde digitale Dienste zur Nutzung bereithält oder den Zugang zur Nutzung vermittelt, Nutzungsdaten (§ 2 Absatz 2 Nummer 3 des Telekommunikation-Digitale-Dienste-Datenschutz-Gesetzes) erhoben werden, soweit dies für die Erforschung des Sachverhalts erforderlich ist und die Erhebung der Daten in einem angemessenen Verhältnis zur Bedeutung der Sache steht. </w:t>
      </w:r>
      <w:r>
        <w:rPr>
          <w:rStyle w:val="Satznummer"/>
        </w:rPr>
        <w:t>2</w:t>
      </w:r>
      <w:r>
        <w:t xml:space="preserve">Die Erhebung gespeicherter (retrograder) Standortdaten ist nur unter den Voraussetzungen von </w:t>
      </w:r>
      <w:hyperlink w:anchor="b149" w:history="1">
        <w:r>
          <w:rPr>
            <w:color w:val="0A3A8C"/>
            <w:u w:val="single"/>
          </w:rPr>
          <w:t xml:space="preserve">§ 100g</w:t>
        </w:r>
      </w:hyperlink>
      <w:r>
        <w:t xml:space="preserve"> Absatz 2 zulässig. </w:t>
      </w:r>
      <w:r>
        <w:rPr>
          <w:rStyle w:val="Satznummer"/>
        </w:rPr>
        <w:t>3</w:t>
      </w:r>
      <w:r>
        <w:t>Im Übrigen ist die Erhebung von Standortdaten nur für künftig anfallende Nutzungsdaten oder in Echtzeit zulässig, soweit sie für die Erforschung des Sachverhalts oder die Ermittlung des Aufenthaltsortes des Beschuldigten erforderlich ist.</w:t>
      </w:r>
    </w:p>
    <w:p>
      <w:r>
        <w:t xml:space="preserve">(2) </w:t>
      </w:r>
      <w:r>
        <w:rPr>
          <w:rStyle w:val="Satznummer"/>
        </w:rPr>
        <w:t>1</w:t>
      </w:r>
      <w:r>
        <w:t>Soweit die Straftat nicht von Absatz 1 erfasst wird, dürfen Nutzungsdaten auch dann erhoben werden, wenn bestimmte Tatsachen den Verdacht begründen, dass jemand als Täter oder Teilnehmer mittels Telemedien eine der folgenden Straftaten begangen hat und die Erforschung des Sachverhalts auf andere Weise aussichtslos wäre:</w:t>
      </w:r>
    </w:p>
    <w:p>
      <w:pPr>
        <w:tabs>
          <w:tab w:pos="567" w:val="left"/>
        </w:tabs>
        <w:ind w:left="567" w:hanging="567"/>
      </w:pPr>
      <w:r>
        <w:t>1.</w:t>
      </w:r>
      <w:r>
        <w:tab/>
      </w:r>
      <w:r>
        <w:t>aus dem Strafgesetzbuch</w:t>
      </w:r>
    </w:p>
    <w:p>
      <w:pPr>
        <w:tabs>
          <w:tab w:pos="1134" w:val="left"/>
        </w:tabs>
        <w:ind w:left="1134" w:hanging="567"/>
      </w:pPr>
      <w:r>
        <w:t>a)</w:t>
      </w:r>
      <w:r>
        <w:tab/>
      </w:r>
      <w:r>
        <w:t>Verwenden von Kennzeichen verfassungswidriger Organisationen nach § 86a,</w:t>
      </w:r>
    </w:p>
    <w:p>
      <w:pPr>
        <w:tabs>
          <w:tab w:pos="1134" w:val="left"/>
        </w:tabs>
        <w:ind w:left="1134" w:hanging="567"/>
      </w:pPr>
      <w:r>
        <w:t>b)</w:t>
      </w:r>
      <w:r>
        <w:tab/>
      </w:r>
      <w:r>
        <w:t xml:space="preserve">Anleitung zur Begehung einer schweren staatsgefährdenden Gewalttat nach </w:t>
      </w:r>
      <w:hyperlink w:anchor="b128" w:history="1">
        <w:r>
          <w:rPr>
            <w:color w:val="0A3A8C"/>
            <w:u w:val="single"/>
          </w:rPr>
          <w:t xml:space="preserve">§ 91</w:t>
        </w:r>
      </w:hyperlink>
      <w:r>
        <w:t>,</w:t>
      </w:r>
    </w:p>
    <w:p>
      <w:pPr>
        <w:tabs>
          <w:tab w:pos="1134" w:val="left"/>
        </w:tabs>
        <w:ind w:left="1134" w:hanging="567"/>
      </w:pPr>
      <w:r>
        <w:t>c)</w:t>
      </w:r>
      <w:r>
        <w:tab/>
      </w:r>
      <w:r>
        <w:t xml:space="preserve">Öffentliche Aufforderung zu Straftaten nach </w:t>
      </w:r>
      <w:hyperlink w:anchor="b170" w:history="1">
        <w:r>
          <w:rPr>
            <w:color w:val="0A3A8C"/>
            <w:u w:val="single"/>
          </w:rPr>
          <w:t xml:space="preserve">§ 111</w:t>
        </w:r>
      </w:hyperlink>
      <w:r>
        <w:t>,</w:t>
      </w:r>
    </w:p>
    <w:p>
      <w:pPr>
        <w:tabs>
          <w:tab w:pos="1134" w:val="left"/>
        </w:tabs>
        <w:ind w:left="1134" w:hanging="567"/>
      </w:pPr>
      <w:r>
        <w:t>d)</w:t>
      </w:r>
      <w:r>
        <w:tab/>
      </w:r>
      <w:r>
        <w:t xml:space="preserve">Straftaten gegen die öffentliche Ordnung nach den </w:t>
      </w:r>
      <w:hyperlink w:anchor="b216" w:history="1">
        <w:r>
          <w:rPr>
            <w:color w:val="0A3A8C"/>
            <w:u w:val="single"/>
          </w:rPr>
          <w:t xml:space="preserve">§§ 126</w:t>
        </w:r>
      </w:hyperlink>
      <w:r>
        <w:t xml:space="preserve">, </w:t>
      </w:r>
      <w:hyperlink w:anchor="b225" w:history="1">
        <w:r>
          <w:rPr>
            <w:color w:val="0A3A8C"/>
            <w:u w:val="single"/>
          </w:rPr>
          <w:t xml:space="preserve">131</w:t>
        </w:r>
      </w:hyperlink>
      <w:r>
        <w:t xml:space="preserve"> und </w:t>
      </w:r>
      <w:hyperlink w:anchor="b246" w:history="1">
        <w:r>
          <w:rPr>
            <w:color w:val="0A3A8C"/>
            <w:u w:val="single"/>
          </w:rPr>
          <w:t xml:space="preserve">140</w:t>
        </w:r>
      </w:hyperlink>
      <w:r>
        <w:t>,</w:t>
      </w:r>
    </w:p>
    <w:p>
      <w:pPr>
        <w:tabs>
          <w:tab w:pos="1134" w:val="left"/>
        </w:tabs>
        <w:ind w:left="1134" w:hanging="567"/>
      </w:pPr>
      <w:r>
        <w:t>e)</w:t>
      </w:r>
      <w:r>
        <w:tab/>
      </w:r>
      <w:r>
        <w:t xml:space="preserve">Beschimpfung von Bekenntnissen, Religionsgesellschaften und Weltanschauungsvereinigungen nach </w:t>
      </w:r>
      <w:hyperlink w:anchor="b305" w:history="1">
        <w:r>
          <w:rPr>
            <w:color w:val="0A3A8C"/>
            <w:u w:val="single"/>
          </w:rPr>
          <w:t xml:space="preserve">§ 166</w:t>
        </w:r>
      </w:hyperlink>
      <w:r>
        <w:t>,</w:t>
      </w:r>
    </w:p>
    <w:p>
      <w:pPr>
        <w:tabs>
          <w:tab w:pos="1134" w:val="left"/>
        </w:tabs>
        <w:ind w:left="1134" w:hanging="567"/>
      </w:pPr>
      <w:r>
        <w:t>f)</w:t>
      </w:r>
      <w:r>
        <w:tab/>
      </w:r>
      <w:r>
        <w:t>Verbreitung, Erwerb und Besitz kinderpornographischer Inhalte nach § 184b,</w:t>
      </w:r>
    </w:p>
    <w:p>
      <w:pPr>
        <w:tabs>
          <w:tab w:pos="1134" w:val="left"/>
        </w:tabs>
        <w:ind w:left="1134" w:hanging="567"/>
      </w:pPr>
      <w:r>
        <w:t>g)</w:t>
      </w:r>
      <w:r>
        <w:tab/>
      </w:r>
      <w:r>
        <w:t>Beleidigung, üble Nachrede und Verleumdung nach den §§ 185 bis 187 und Verunglimpfung des Andenkens Verstorbener nach § 189,</w:t>
      </w:r>
    </w:p>
    <w:p>
      <w:pPr>
        <w:tabs>
          <w:tab w:pos="1134" w:val="left"/>
        </w:tabs>
        <w:ind w:left="1134" w:hanging="567"/>
      </w:pPr>
      <w:r>
        <w:t>h)</w:t>
      </w:r>
      <w:r>
        <w:tab/>
      </w:r>
      <w:r>
        <w:t xml:space="preserve">Verletzungen des persönlichen Lebens- und Geheimbereichs nach den §§ 201a, </w:t>
      </w:r>
      <w:hyperlink w:anchor="b330" w:history="1">
        <w:r>
          <w:rPr>
            <w:color w:val="0A3A8C"/>
            <w:u w:val="single"/>
          </w:rPr>
          <w:t xml:space="preserve">202a</w:t>
        </w:r>
      </w:hyperlink>
      <w:r>
        <w:t xml:space="preserve"> und 202c,</w:t>
      </w:r>
    </w:p>
    <w:p>
      <w:pPr>
        <w:tabs>
          <w:tab w:pos="1134" w:val="left"/>
        </w:tabs>
        <w:ind w:left="1134" w:hanging="567"/>
      </w:pPr>
      <w:r>
        <w:t>i)</w:t>
      </w:r>
      <w:r>
        <w:tab/>
      </w:r>
      <w:r>
        <w:t xml:space="preserve">Nachstellung nach </w:t>
      </w:r>
      <w:hyperlink w:anchor="b378" w:history="1">
        <w:r>
          <w:rPr>
            <w:color w:val="0A3A8C"/>
            <w:u w:val="single"/>
          </w:rPr>
          <w:t xml:space="preserve">§ 238</w:t>
        </w:r>
      </w:hyperlink>
      <w:r>
        <w:t>,</w:t>
      </w:r>
    </w:p>
    <w:p>
      <w:pPr>
        <w:tabs>
          <w:tab w:pos="1134" w:val="left"/>
        </w:tabs>
        <w:ind w:left="1134" w:hanging="567"/>
      </w:pPr>
      <w:r>
        <w:t>j)</w:t>
      </w:r>
      <w:r>
        <w:tab/>
      </w:r>
      <w:r>
        <w:t xml:space="preserve">Bedrohung nach </w:t>
      </w:r>
      <w:hyperlink w:anchor="b381" w:history="1">
        <w:r>
          <w:rPr>
            <w:color w:val="0A3A8C"/>
            <w:u w:val="single"/>
          </w:rPr>
          <w:t xml:space="preserve">§ 241</w:t>
        </w:r>
      </w:hyperlink>
      <w:r>
        <w:t>,</w:t>
      </w:r>
    </w:p>
    <w:p>
      <w:pPr>
        <w:tabs>
          <w:tab w:pos="1134" w:val="left"/>
        </w:tabs>
        <w:ind w:left="1134" w:hanging="567"/>
      </w:pPr>
      <w:r>
        <w:t>k)</w:t>
      </w:r>
      <w:r>
        <w:tab/>
      </w:r>
      <w:r>
        <w:t>Vorbereitung eines Computerbetruges nach § 263a Absatz 3,</w:t>
      </w:r>
    </w:p>
    <w:p>
      <w:pPr>
        <w:tabs>
          <w:tab w:pos="1134" w:val="left"/>
        </w:tabs>
        <w:ind w:left="1134" w:hanging="567"/>
      </w:pPr>
      <w:r>
        <w:t>l)</w:t>
      </w:r>
      <w:r>
        <w:tab/>
      </w:r>
      <w:r>
        <w:t>Datenveränderung und Computersabotage nach den §§ 303a und 303b Absatz 1,</w:t>
      </w:r>
    </w:p>
    <w:p>
      <w:pPr>
        <w:tabs>
          <w:tab w:pos="567" w:val="left"/>
        </w:tabs>
        <w:ind w:left="567" w:hanging="567"/>
      </w:pPr>
      <w:r>
        <w:t>2.</w:t>
      </w:r>
      <w:r>
        <w:tab/>
      </w:r>
      <w:r>
        <w:t xml:space="preserve">aus dem Gesetz über Urheberrecht und verwandte Schutzrechte Straftaten nach den </w:t>
      </w:r>
      <w:hyperlink w:anchor="b161" w:history="1">
        <w:r>
          <w:rPr>
            <w:color w:val="0A3A8C"/>
            <w:u w:val="single"/>
          </w:rPr>
          <w:t xml:space="preserve">§§ 106</w:t>
        </w:r>
      </w:hyperlink>
      <w:r>
        <w:t xml:space="preserve"> bis 108b,</w:t>
      </w:r>
    </w:p>
    <w:p>
      <w:pPr>
        <w:tabs>
          <w:tab w:pos="567" w:val="left"/>
        </w:tabs>
        <w:ind w:left="567" w:hanging="567"/>
      </w:pPr>
      <w:r>
        <w:t>3.</w:t>
      </w:r>
      <w:r>
        <w:tab/>
      </w:r>
      <w:r>
        <w:t xml:space="preserve">aus dem Bundesdatenschutzgesetz nach </w:t>
      </w:r>
      <w:hyperlink w:anchor="b62" w:history="1">
        <w:r>
          <w:rPr>
            <w:color w:val="0A3A8C"/>
            <w:u w:val="single"/>
          </w:rPr>
          <w:t xml:space="preserve">§ 42</w:t>
        </w:r>
      </w:hyperlink>
      <w:r>
        <w:t>.</w:t>
      </w:r>
    </w:p>
    <w:p>
      <w:r>
        <w:rPr>
          <w:rStyle w:val="Satznummer"/>
        </w:rPr>
        <w:t>2</w:t>
      </w:r>
      <w:r>
        <w:t>Satz 1 gilt nicht für die Erhebung von Standortdaten.</w:t>
      </w:r>
    </w:p>
    <w:p>
      <w:r>
        <w:t>(3) Abweichend von Absatz 1 und 2 darf die Staatsanwaltschaft ausschließlich zur Identifikation des Nutzers Auskunft über die nach § 2 Absatz 2 Nummer 3 Buchstabe a des Telekommunikation-Digitale-Dienste-Datenschutz-Gesetzes erhobenen Daten verlangen, wenn ihr der Inhalt der Nutzung des digitalen Dienstes nach § 1 Absatz 4 Nummer 1 des Digitale-Dienste-Gesetzes bereits bekannt ist.</w:t>
      </w:r>
    </w:p>
    <w:p>
      <w:r>
        <w:t>(4) Die Erhebung von Nutzungsdaten nach Absatz 1 und 2 ist nur zulässig, wenn aufgrund von Tatsachen die Annahme gerechtfertigt ist, dass die betroffene Person den digitalen Dienst nach § 1 Absatz 4 Nummer 1 des Digitale-Dienste-Gesetzes nutzt, den derjenige, gegen den sich die Anordnung richtet, geschäftsmäßig zur Nutzung bereithält oder zu dem er den Zugang zur Nutzung vermittelt.</w:t>
      </w:r>
    </w:p>
    <w:p>
      <w:r>
        <w:t>(5) Erfolgt die Erhebung von Nutzungsdaten oder Inhalten der Nutzung eines digitalen Dienstes nach § 1 Absatz 4 Nummer 1 des Digitale-Dienste-Gesetzes nicht bei einem Diensteanbieter, der geschäftsmäßig digitale Dienste zur Nutzung bereithält, bestimmt sie sich nach Abschluss des Kommunikationsvorgangs nach den allgemeinen Vorschriften.</w:t>
      </w:r>
    </w:p>
    <w:p>
      <w:pPr>
        <w:pStyle w:val="Heading3"/>
      </w:pPr>
      <w:bookmarkStart w:id="155" w:name="b154"/>
      <w:r>
        <w:t>§ 101 Verfahrensregelungen bei verdeckten Maßnahmen</w:t>
      </w:r>
      <w:r>
        <w:t xml:space="preserve"> </w:t>
      </w:r>
      <w:r>
        <w:rPr>
          <w:rStyle w:val="Suchmarke"/>
        </w:rPr>
        <w:t>#101#</w:t>
      </w:r>
      <w:bookmarkEnd w:id="155"/>
    </w:p>
    <w:p>
      <w:r>
        <w:t xml:space="preserve">(1) Für Maßnahmen nach den </w:t>
      </w:r>
      <w:hyperlink w:anchor="b138" w:history="1">
        <w:r>
          <w:rPr>
            <w:color w:val="0A3A8C"/>
            <w:u w:val="single"/>
          </w:rPr>
          <w:t xml:space="preserve">§§ 98a</w:t>
        </w:r>
      </w:hyperlink>
      <w:r>
        <w:t xml:space="preserve">, </w:t>
      </w:r>
      <w:hyperlink w:anchor="b141" w:history="1">
        <w:r>
          <w:rPr>
            <w:color w:val="0A3A8C"/>
            <w:u w:val="single"/>
          </w:rPr>
          <w:t xml:space="preserve">99</w:t>
        </w:r>
      </w:hyperlink>
      <w:r>
        <w:t xml:space="preserve">, </w:t>
      </w:r>
      <w:hyperlink w:anchor="b143" w:history="1">
        <w:r>
          <w:rPr>
            <w:color w:val="0A3A8C"/>
            <w:u w:val="single"/>
          </w:rPr>
          <w:t xml:space="preserve">100a</w:t>
        </w:r>
      </w:hyperlink>
      <w:r>
        <w:t xml:space="preserve"> bis </w:t>
      </w:r>
      <w:hyperlink w:anchor="b148" w:history="1">
        <w:r>
          <w:rPr>
            <w:color w:val="0A3A8C"/>
            <w:u w:val="single"/>
          </w:rPr>
          <w:t xml:space="preserve">100f</w:t>
        </w:r>
      </w:hyperlink>
      <w:r>
        <w:t xml:space="preserve">, </w:t>
      </w:r>
      <w:hyperlink w:anchor="b150" w:history="1">
        <w:r>
          <w:rPr>
            <w:color w:val="0A3A8C"/>
            <w:u w:val="single"/>
          </w:rPr>
          <w:t xml:space="preserve">100h</w:t>
        </w:r>
      </w:hyperlink>
      <w:r>
        <w:t xml:space="preserve">, </w:t>
      </w:r>
      <w:hyperlink w:anchor="b151" w:history="1">
        <w:r>
          <w:rPr>
            <w:color w:val="0A3A8C"/>
            <w:u w:val="single"/>
          </w:rPr>
          <w:t xml:space="preserve">100i</w:t>
        </w:r>
      </w:hyperlink>
      <w:r>
        <w:t xml:space="preserve">, </w:t>
      </w:r>
      <w:hyperlink w:anchor="b166" w:history="1">
        <w:r>
          <w:rPr>
            <w:color w:val="0A3A8C"/>
            <w:u w:val="single"/>
          </w:rPr>
          <w:t xml:space="preserve">110a</w:t>
        </w:r>
      </w:hyperlink>
      <w:r>
        <w:t xml:space="preserve">, </w:t>
      </w:r>
      <w:hyperlink w:anchor="b299" w:history="1">
        <w:r>
          <w:rPr>
            <w:color w:val="0A3A8C"/>
            <w:u w:val="single"/>
          </w:rPr>
          <w:t xml:space="preserve">163d</w:t>
        </w:r>
      </w:hyperlink>
      <w:r>
        <w:t xml:space="preserve"> bis </w:t>
      </w:r>
      <w:hyperlink w:anchor="b302" w:history="1">
        <w:r>
          <w:rPr>
            <w:color w:val="0A3A8C"/>
            <w:u w:val="single"/>
          </w:rPr>
          <w:t xml:space="preserve">163g</w:t>
        </w:r>
      </w:hyperlink>
      <w:r>
        <w:t xml:space="preserve"> gelten, soweit nichts anderes bestimmt ist, die nachstehenden Regelungen.</w:t>
      </w:r>
    </w:p>
    <w:p>
      <w:r>
        <w:t xml:space="preserve">(2) </w:t>
      </w:r>
      <w:r>
        <w:rPr>
          <w:rStyle w:val="Satznummer"/>
        </w:rPr>
        <w:t>1</w:t>
      </w:r>
      <w:r>
        <w:t xml:space="preserve">Entscheidungen und sonstige Unterlagen über Maßnahmen nach den </w:t>
      </w:r>
      <w:hyperlink w:anchor="b144" w:history="1">
        <w:r>
          <w:rPr>
            <w:color w:val="0A3A8C"/>
            <w:u w:val="single"/>
          </w:rPr>
          <w:t xml:space="preserve">§§ 100b</w:t>
        </w:r>
      </w:hyperlink>
      <w:r>
        <w:t xml:space="preserve">, </w:t>
      </w:r>
      <w:hyperlink w:anchor="b145" w:history="1">
        <w:r>
          <w:rPr>
            <w:color w:val="0A3A8C"/>
            <w:u w:val="single"/>
          </w:rPr>
          <w:t xml:space="preserve">100c</w:t>
        </w:r>
      </w:hyperlink>
      <w:r>
        <w:t xml:space="preserve">, </w:t>
      </w:r>
      <w:hyperlink w:anchor="b148" w:history="1">
        <w:r>
          <w:rPr>
            <w:color w:val="0A3A8C"/>
            <w:u w:val="single"/>
          </w:rPr>
          <w:t xml:space="preserve">100f</w:t>
        </w:r>
      </w:hyperlink>
      <w:r>
        <w:t xml:space="preserve">, </w:t>
      </w:r>
      <w:hyperlink w:anchor="b150" w:history="1">
        <w:r>
          <w:rPr>
            <w:color w:val="0A3A8C"/>
            <w:u w:val="single"/>
          </w:rPr>
          <w:t xml:space="preserve">100h</w:t>
        </w:r>
      </w:hyperlink>
      <w:r>
        <w:t xml:space="preserve"> Abs. 1 Nr. 2 und </w:t>
      </w:r>
      <w:hyperlink w:anchor="b166" w:history="1">
        <w:r>
          <w:rPr>
            <w:color w:val="0A3A8C"/>
            <w:u w:val="single"/>
          </w:rPr>
          <w:t xml:space="preserve">§ 110a</w:t>
        </w:r>
      </w:hyperlink>
      <w:r>
        <w:t xml:space="preserve"> werden bei der Staatsanwaltschaft verwahrt. </w:t>
      </w:r>
      <w:r>
        <w:rPr>
          <w:rStyle w:val="Satznummer"/>
        </w:rPr>
        <w:t>2</w:t>
      </w:r>
      <w:r>
        <w:t>Zu den Akten sind sie erst zu nehmen, wenn die Voraussetzungen für eine Benachrichtigung nach Absatz 5 erfüllt sind.</w:t>
      </w:r>
    </w:p>
    <w:p>
      <w:r>
        <w:t xml:space="preserve">(3) </w:t>
      </w:r>
      <w:r>
        <w:rPr>
          <w:rStyle w:val="Satznummer"/>
        </w:rPr>
        <w:t>1</w:t>
      </w:r>
      <w:r>
        <w:t xml:space="preserve">Personenbezogene Daten, die durch Maßnahmen nach Absatz 1 erhoben wurden, sind entsprechend zu kennzeichnen. </w:t>
      </w:r>
      <w:r>
        <w:rPr>
          <w:rStyle w:val="Satznummer"/>
        </w:rPr>
        <w:t>2</w:t>
      </w:r>
      <w:r>
        <w:t>Nach einer Übermittlung an eine andere Stelle ist die Kennzeichnung durch diese aufrechtzuerhalten.</w:t>
      </w:r>
    </w:p>
    <w:p>
      <w:r>
        <w:t xml:space="preserve">(4) </w:t>
      </w:r>
      <w:r>
        <w:rPr>
          <w:rStyle w:val="Satznummer"/>
        </w:rPr>
        <w:t>1</w:t>
      </w:r>
      <w:r>
        <w:t>Von den in Absatz 1 genannten Maßnahmen sind im Falle</w:t>
      </w:r>
    </w:p>
    <w:p>
      <w:pPr>
        <w:tabs>
          <w:tab w:pos="567" w:val="left"/>
        </w:tabs>
        <w:ind w:left="567" w:hanging="567"/>
      </w:pPr>
      <w:r>
        <w:t>1.</w:t>
      </w:r>
      <w:r>
        <w:tab/>
      </w:r>
      <w:r>
        <w:t xml:space="preserve">des </w:t>
      </w:r>
      <w:hyperlink w:anchor="b138" w:history="1">
        <w:r>
          <w:rPr>
            <w:color w:val="0A3A8C"/>
            <w:u w:val="single"/>
          </w:rPr>
          <w:t xml:space="preserve">§ 98a</w:t>
        </w:r>
      </w:hyperlink>
      <w:r>
        <w:t xml:space="preserve"> die betroffenen Personen, gegen die nach Auswertung der Daten weitere Ermittlungen geführt wurden,</w:t>
      </w:r>
    </w:p>
    <w:p>
      <w:pPr>
        <w:tabs>
          <w:tab w:pos="567" w:val="left"/>
        </w:tabs>
        <w:ind w:left="567" w:hanging="567"/>
      </w:pPr>
      <w:r>
        <w:t>2.</w:t>
      </w:r>
      <w:r>
        <w:tab/>
      </w:r>
      <w:r>
        <w:t>des § 99 der Absender und der Adressat der Postsendung,</w:t>
      </w:r>
    </w:p>
    <w:p>
      <w:pPr>
        <w:tabs>
          <w:tab w:pos="567" w:val="left"/>
        </w:tabs>
        <w:ind w:left="567" w:hanging="567"/>
      </w:pPr>
      <w:r>
        <w:t>3.</w:t>
      </w:r>
      <w:r>
        <w:tab/>
      </w:r>
      <w:r>
        <w:t xml:space="preserve">des </w:t>
      </w:r>
      <w:hyperlink w:anchor="b143" w:history="1">
        <w:r>
          <w:rPr>
            <w:color w:val="0A3A8C"/>
            <w:u w:val="single"/>
          </w:rPr>
          <w:t xml:space="preserve">§ 100a</w:t>
        </w:r>
      </w:hyperlink>
      <w:r>
        <w:t xml:space="preserve"> die Beteiligten der überwachten Telekommunikation,</w:t>
      </w:r>
    </w:p>
    <w:p>
      <w:pPr>
        <w:tabs>
          <w:tab w:pos="567" w:val="left"/>
        </w:tabs>
        <w:ind w:left="567" w:hanging="567"/>
      </w:pPr>
      <w:r>
        <w:t>4.</w:t>
      </w:r>
      <w:r>
        <w:tab/>
      </w:r>
      <w:r>
        <w:t xml:space="preserve">des </w:t>
      </w:r>
      <w:hyperlink w:anchor="b144" w:history="1">
        <w:r>
          <w:rPr>
            <w:color w:val="0A3A8C"/>
            <w:u w:val="single"/>
          </w:rPr>
          <w:t xml:space="preserve">§ 100b</w:t>
        </w:r>
      </w:hyperlink>
      <w:r>
        <w:t xml:space="preserve"> die Zielperson sowie die erheblich mitbetroffenen Personen,</w:t>
      </w:r>
    </w:p>
    <w:p>
      <w:pPr>
        <w:tabs>
          <w:tab w:pos="567" w:val="left"/>
        </w:tabs>
        <w:ind w:left="567" w:hanging="567"/>
      </w:pPr>
      <w:r>
        <w:t>5.</w:t>
      </w:r>
      <w:r>
        <w:tab/>
      </w:r>
      <w:r>
        <w:t>des § 100c</w:t>
      </w:r>
    </w:p>
    <w:p>
      <w:pPr>
        <w:tabs>
          <w:tab w:pos="1134" w:val="left"/>
        </w:tabs>
        <w:ind w:left="1134" w:hanging="567"/>
      </w:pPr>
      <w:r>
        <w:t>a)</w:t>
      </w:r>
      <w:r>
        <w:tab/>
      </w:r>
      <w:r>
        <w:t>der Beschuldigte, gegen den sich die Maßnahme richtete,</w:t>
      </w:r>
    </w:p>
    <w:p>
      <w:pPr>
        <w:tabs>
          <w:tab w:pos="1134" w:val="left"/>
        </w:tabs>
        <w:ind w:left="1134" w:hanging="567"/>
      </w:pPr>
      <w:r>
        <w:t>b)</w:t>
      </w:r>
      <w:r>
        <w:tab/>
      </w:r>
      <w:r>
        <w:t>sonstige überwachte Personen,</w:t>
      </w:r>
    </w:p>
    <w:p>
      <w:pPr>
        <w:tabs>
          <w:tab w:pos="1134" w:val="left"/>
        </w:tabs>
        <w:ind w:left="1134" w:hanging="567"/>
      </w:pPr>
      <w:r>
        <w:t>c)</w:t>
      </w:r>
      <w:r>
        <w:tab/>
      </w:r>
      <w:r>
        <w:t>Personen, die die überwachte Wohnung zur Zeit der Durchführung der Maßnahme innehatten oder bewohnten,</w:t>
      </w:r>
    </w:p>
    <w:p>
      <w:pPr>
        <w:tabs>
          <w:tab w:pos="567" w:val="left"/>
        </w:tabs>
        <w:ind w:left="567" w:hanging="567"/>
      </w:pPr>
      <w:r>
        <w:t>6.</w:t>
      </w:r>
      <w:r>
        <w:tab/>
      </w:r>
      <w:r>
        <w:t xml:space="preserve">des </w:t>
      </w:r>
      <w:hyperlink w:anchor="b148" w:history="1">
        <w:r>
          <w:rPr>
            <w:color w:val="0A3A8C"/>
            <w:u w:val="single"/>
          </w:rPr>
          <w:t xml:space="preserve">§ 100f</w:t>
        </w:r>
      </w:hyperlink>
      <w:r>
        <w:t xml:space="preserve"> die Zielperson sowie die erheblich mitbetroffenen Personen,</w:t>
      </w:r>
    </w:p>
    <w:p>
      <w:pPr>
        <w:tabs>
          <w:tab w:pos="567" w:val="left"/>
        </w:tabs>
        <w:ind w:left="567" w:hanging="567"/>
      </w:pPr>
      <w:r>
        <w:t>7.</w:t>
      </w:r>
      <w:r>
        <w:tab/>
      </w:r>
      <w:r>
        <w:t xml:space="preserve">des </w:t>
      </w:r>
      <w:hyperlink w:anchor="b150" w:history="1">
        <w:r>
          <w:rPr>
            <w:color w:val="0A3A8C"/>
            <w:u w:val="single"/>
          </w:rPr>
          <w:t xml:space="preserve">§ 100h</w:t>
        </w:r>
      </w:hyperlink>
      <w:r>
        <w:t xml:space="preserve"> Abs. 1 die Zielperson sowie die erheblich mitbetroffenen Personen,</w:t>
      </w:r>
    </w:p>
    <w:p>
      <w:pPr>
        <w:tabs>
          <w:tab w:pos="567" w:val="left"/>
        </w:tabs>
        <w:ind w:left="567" w:hanging="567"/>
      </w:pPr>
      <w:r>
        <w:t>8.</w:t>
      </w:r>
      <w:r>
        <w:tab/>
      </w:r>
      <w:r>
        <w:t xml:space="preserve">des </w:t>
      </w:r>
      <w:hyperlink w:anchor="b151" w:history="1">
        <w:r>
          <w:rPr>
            <w:color w:val="0A3A8C"/>
            <w:u w:val="single"/>
          </w:rPr>
          <w:t xml:space="preserve">§ 100i</w:t>
        </w:r>
      </w:hyperlink>
      <w:r>
        <w:t xml:space="preserve"> die Zielperson,</w:t>
      </w:r>
    </w:p>
    <w:p>
      <w:pPr>
        <w:tabs>
          <w:tab w:pos="567" w:val="left"/>
        </w:tabs>
        <w:ind w:left="567" w:hanging="567"/>
      </w:pPr>
      <w:r>
        <w:t>9.</w:t>
      </w:r>
      <w:r>
        <w:tab/>
      </w:r>
      <w:r>
        <w:t>des § 110a</w:t>
      </w:r>
    </w:p>
    <w:p>
      <w:pPr>
        <w:tabs>
          <w:tab w:pos="1134" w:val="left"/>
        </w:tabs>
        <w:ind w:left="1134" w:hanging="567"/>
      </w:pPr>
      <w:r>
        <w:t>a)</w:t>
      </w:r>
      <w:r>
        <w:tab/>
      </w:r>
      <w:r>
        <w:t>die Zielperson,</w:t>
      </w:r>
    </w:p>
    <w:p>
      <w:pPr>
        <w:tabs>
          <w:tab w:pos="1134" w:val="left"/>
        </w:tabs>
        <w:ind w:left="1134" w:hanging="567"/>
      </w:pPr>
      <w:r>
        <w:t>b)</w:t>
      </w:r>
      <w:r>
        <w:tab/>
      </w:r>
      <w:r>
        <w:t>die erheblich mitbetroffenen Personen,</w:t>
      </w:r>
    </w:p>
    <w:p>
      <w:pPr>
        <w:tabs>
          <w:tab w:pos="1134" w:val="left"/>
        </w:tabs>
        <w:ind w:left="1134" w:hanging="567"/>
      </w:pPr>
      <w:r>
        <w:t>c)</w:t>
      </w:r>
      <w:r>
        <w:tab/>
      </w:r>
      <w:r>
        <w:t>die Personen, deren nicht allgemein zugängliche Wohnung der Verdeckte Ermittler betreten hat,</w:t>
      </w:r>
    </w:p>
    <w:p>
      <w:pPr>
        <w:tabs>
          <w:tab w:pos="567" w:val="left"/>
        </w:tabs>
        <w:ind w:left="567" w:hanging="567"/>
      </w:pPr>
      <w:r>
        <w:t>10.</w:t>
      </w:r>
      <w:r>
        <w:tab/>
      </w:r>
      <w:r>
        <w:t xml:space="preserve">des </w:t>
      </w:r>
      <w:hyperlink w:anchor="b299" w:history="1">
        <w:r>
          <w:rPr>
            <w:color w:val="0A3A8C"/>
            <w:u w:val="single"/>
          </w:rPr>
          <w:t xml:space="preserve">§ 163d</w:t>
        </w:r>
      </w:hyperlink>
      <w:r>
        <w:t xml:space="preserve"> die betroffenen Personen, gegen die nach Auswertung der Daten weitere Ermittlungen geführt wurden,</w:t>
      </w:r>
    </w:p>
    <w:p>
      <w:pPr>
        <w:tabs>
          <w:tab w:pos="567" w:val="left"/>
        </w:tabs>
        <w:ind w:left="567" w:hanging="567"/>
      </w:pPr>
      <w:r>
        <w:t>11.</w:t>
      </w:r>
      <w:r>
        <w:tab/>
      </w:r>
      <w:r>
        <w:t xml:space="preserve">des </w:t>
      </w:r>
      <w:hyperlink w:anchor="b300" w:history="1">
        <w:r>
          <w:rPr>
            <w:color w:val="0A3A8C"/>
            <w:u w:val="single"/>
          </w:rPr>
          <w:t xml:space="preserve">§ 163e</w:t>
        </w:r>
      </w:hyperlink>
      <w:r>
        <w:t xml:space="preserve"> die Zielperson und die Person, deren personenbezogene Daten gemeldet worden sind,</w:t>
      </w:r>
    </w:p>
    <w:p>
      <w:pPr>
        <w:tabs>
          <w:tab w:pos="567" w:val="left"/>
        </w:tabs>
        <w:ind w:left="567" w:hanging="567"/>
      </w:pPr>
      <w:r>
        <w:t>12.</w:t>
      </w:r>
      <w:r>
        <w:tab/>
      </w:r>
      <w:r>
        <w:t xml:space="preserve">des </w:t>
      </w:r>
      <w:hyperlink w:anchor="b301" w:history="1">
        <w:r>
          <w:rPr>
            <w:color w:val="0A3A8C"/>
            <w:u w:val="single"/>
          </w:rPr>
          <w:t xml:space="preserve">§ 163f</w:t>
        </w:r>
      </w:hyperlink>
      <w:r>
        <w:t xml:space="preserve"> die Zielperson sowie die erheblich mitbetroffenen Personen,</w:t>
      </w:r>
    </w:p>
    <w:p>
      <w:pPr>
        <w:tabs>
          <w:tab w:pos="567" w:val="left"/>
        </w:tabs>
        <w:ind w:left="567" w:hanging="567"/>
      </w:pPr>
      <w:r>
        <w:t>13.</w:t>
      </w:r>
      <w:r>
        <w:tab/>
      </w:r>
      <w:r>
        <w:t xml:space="preserve">des </w:t>
      </w:r>
      <w:hyperlink w:anchor="b302" w:history="1">
        <w:r>
          <w:rPr>
            <w:color w:val="0A3A8C"/>
            <w:u w:val="single"/>
          </w:rPr>
          <w:t xml:space="preserve">§ 163g</w:t>
        </w:r>
      </w:hyperlink>
      <w:r>
        <w:t xml:space="preserve"> die Zielperson</w:t>
      </w:r>
    </w:p>
    <w:p>
      <w:r>
        <w:t xml:space="preserve">zu benachrichtigen. </w:t>
      </w:r>
      <w:r>
        <w:rPr>
          <w:rStyle w:val="Satznummer"/>
        </w:rPr>
        <w:t>2</w:t>
      </w:r>
      <w:r>
        <w:t xml:space="preserve">Dabei ist auf die Möglichkeit nachträglichen Rechtsschutzes nach Absatz 7 und die dafür vorgesehene Frist hinzuweisen. </w:t>
      </w:r>
      <w:r>
        <w:rPr>
          <w:rStyle w:val="Satznummer"/>
        </w:rPr>
        <w:t>3</w:t>
      </w:r>
      <w:r>
        <w:t xml:space="preserve">Die Benachrichtigung unterbleibt, wenn ihr überwiegende schutzwürdige Belange einer betroffenen Person entgegenstehen. </w:t>
      </w:r>
      <w:r>
        <w:rPr>
          <w:rStyle w:val="Satznummer"/>
        </w:rPr>
        <w:t>4</w:t>
      </w:r>
      <w:r>
        <w:t xml:space="preserve">Zudem kann die Benachrichtigung einer in Satz 1 Nummer 2 und 3 bezeichneten Person, gegen die sich die Maßnahme nicht gerichtet hat, unterbleiben, wenn diese von der Maßnahme nur unerheblich betroffen wurde und anzunehmen ist, dass sie kein Interesse an einer Benachrichtigung hat. </w:t>
      </w:r>
      <w:r>
        <w:rPr>
          <w:rStyle w:val="Satznummer"/>
        </w:rPr>
        <w:t>5</w:t>
      </w:r>
      <w:r>
        <w:t>Nachforschungen zur Feststellung der Identität einer in Satz 1 bezeichneten Person sind nur vorzunehmen, wenn dies unter Berücksichtigung der Eingriffsintensität der Maßnahme gegenüber dieser Person, des Aufwands für die Feststellung ihrer Identität sowie der daraus für diese oder andere Personen folgenden Beeinträchtigungen geboten ist.</w:t>
      </w:r>
    </w:p>
    <w:p>
      <w:r>
        <w:t xml:space="preserve">(5) </w:t>
      </w:r>
      <w:r>
        <w:rPr>
          <w:rStyle w:val="Satznummer"/>
        </w:rPr>
        <w:t>1</w:t>
      </w:r>
      <w:r>
        <w:t xml:space="preserve">Die Benachrichtigung erfolgt, sobald dies ohne Gefährdung des Untersuchungszwecks, des Lebens, der körperlichen Unversehrtheit und der persönlichen Freiheit einer Person und von bedeutenden Vermögenswerten, im Fall des </w:t>
      </w:r>
      <w:hyperlink w:anchor="b166" w:history="1">
        <w:r>
          <w:rPr>
            <w:color w:val="0A3A8C"/>
            <w:u w:val="single"/>
          </w:rPr>
          <w:t xml:space="preserve">§ 110a</w:t>
        </w:r>
      </w:hyperlink>
      <w:r>
        <w:t xml:space="preserve"> auch der Möglichkeit der weiteren Verwendung des Verdeckten Ermittlers möglich ist. </w:t>
      </w:r>
      <w:r>
        <w:rPr>
          <w:rStyle w:val="Satznummer"/>
        </w:rPr>
        <w:t>2</w:t>
      </w:r>
      <w:r>
        <w:t>Wird die Benachrichtigung nach Satz 1 zurückgestellt, sind die Gründe aktenkundig zu machen.</w:t>
      </w:r>
    </w:p>
    <w:p>
      <w:r>
        <w:t xml:space="preserve">(6) </w:t>
      </w:r>
      <w:r>
        <w:rPr>
          <w:rStyle w:val="Satznummer"/>
        </w:rPr>
        <w:t>1</w:t>
      </w:r>
      <w:r>
        <w:t xml:space="preserve">Erfolgt die nach Absatz 5 zurückgestellte Benachrichtigung nicht binnen zwölf Monaten nach Beendigung der Maßnahme, bedürfen weitere Zurückstellungen der gerichtlichen Zustimmung. </w:t>
      </w:r>
      <w:r>
        <w:rPr>
          <w:rStyle w:val="Satznummer"/>
        </w:rPr>
        <w:t>2</w:t>
      </w:r>
      <w:r>
        <w:t xml:space="preserve">Das Gericht bestimmt die Dauer weiterer Zurückstellungen. </w:t>
      </w:r>
      <w:r>
        <w:rPr>
          <w:rStyle w:val="Satznummer"/>
        </w:rPr>
        <w:t>3</w:t>
      </w:r>
      <w:r>
        <w:t xml:space="preserve">Es kann dem endgültigen Absehen von der Benachrichtigung zustimmen, wenn die Voraussetzungen für eine Benachrichtigung mit an Sicherheit grenzender Wahrscheinlichkeit auch in Zukunft nicht eintreten werden. </w:t>
      </w:r>
      <w:r>
        <w:rPr>
          <w:rStyle w:val="Satznummer"/>
        </w:rPr>
        <w:t>4</w:t>
      </w:r>
      <w:r>
        <w:t xml:space="preserve">Sind mehrere Maßnahmen in einem engen zeitlichen Zusammenhang durchgeführt worden, so beginnt die in Satz 1 genannte Frist mit der Beendigung der letzten Maßnahme. </w:t>
      </w:r>
      <w:r>
        <w:rPr>
          <w:rStyle w:val="Satznummer"/>
        </w:rPr>
        <w:t>5</w:t>
      </w:r>
      <w:r>
        <w:t xml:space="preserve">Bei Maßnahmen nach den </w:t>
      </w:r>
      <w:hyperlink w:anchor="b144" w:history="1">
        <w:r>
          <w:rPr>
            <w:color w:val="0A3A8C"/>
            <w:u w:val="single"/>
          </w:rPr>
          <w:t xml:space="preserve">§§ 100b</w:t>
        </w:r>
      </w:hyperlink>
      <w:r>
        <w:t xml:space="preserve"> und </w:t>
      </w:r>
      <w:hyperlink w:anchor="b145" w:history="1">
        <w:r>
          <w:rPr>
            <w:color w:val="0A3A8C"/>
            <w:u w:val="single"/>
          </w:rPr>
          <w:t xml:space="preserve">100c</w:t>
        </w:r>
      </w:hyperlink>
      <w:r>
        <w:t xml:space="preserve"> beträgt die in Satz 1 genannte Frist sechs Monate.</w:t>
      </w:r>
    </w:p>
    <w:p>
      <w:r>
        <w:t xml:space="preserve">(7) </w:t>
      </w:r>
      <w:r>
        <w:rPr>
          <w:rStyle w:val="Satznummer"/>
        </w:rPr>
        <w:t>1</w:t>
      </w:r>
      <w:r>
        <w:t xml:space="preserve">Gerichtliche Entscheidungen nach Absatz 6 trifft das für die Anordnung der Maßnahme zuständige Gericht, im Übrigen das Gericht am Sitz der zuständigen Staatsanwaltschaft. </w:t>
      </w:r>
      <w:r>
        <w:rPr>
          <w:rStyle w:val="Satznummer"/>
        </w:rPr>
        <w:t>2</w:t>
      </w:r>
      <w:r>
        <w:t xml:space="preserve">Die in Absatz 4 Satz 1 genannten Personen können bei dem nach Satz 1 zuständigen Gericht auch nach Beendigung der Maßnahme bis zu zwei Wochen nach ihrer Benachrichtigung die Überprüfung der Rechtmäßigkeit der Maßnahme sowie der Art und Weise ihres Vollzugs beantragen. </w:t>
      </w:r>
      <w:r>
        <w:rPr>
          <w:rStyle w:val="Satznummer"/>
        </w:rPr>
        <w:t>3</w:t>
      </w:r>
      <w:r>
        <w:t xml:space="preserve">Gegen die Entscheidung ist die sofortige Beschwerde statthaft. </w:t>
      </w:r>
      <w:r>
        <w:rPr>
          <w:rStyle w:val="Satznummer"/>
        </w:rPr>
        <w:t>4</w:t>
      </w:r>
      <w:r>
        <w:t>Ist die öffentliche Klage erhoben und der Angeklagte benachrichtigt worden, entscheidet über den Antrag das mit der Sache befasste Gericht in der das Verfahren abschließenden Entscheidung.</w:t>
      </w:r>
    </w:p>
    <w:p>
      <w:r>
        <w:t xml:space="preserve">(8) </w:t>
      </w:r>
      <w:r>
        <w:rPr>
          <w:rStyle w:val="Satznummer"/>
        </w:rPr>
        <w:t>1</w:t>
      </w:r>
      <w:r>
        <w:t xml:space="preserve">Sind die durch die Maßnahme erlangten personenbezogenen Daten zur Strafverfolgung und für eine etwaige gerichtliche Überprüfung der Maßnahme nicht mehr erforderlich, so sind sie unverzüglich zu löschen. </w:t>
      </w:r>
      <w:r>
        <w:rPr>
          <w:rStyle w:val="Satznummer"/>
        </w:rPr>
        <w:t>2</w:t>
      </w:r>
      <w:r>
        <w:t xml:space="preserve">Die Löschung ist aktenkundig zu machen. </w:t>
      </w:r>
      <w:r>
        <w:rPr>
          <w:rStyle w:val="Satznummer"/>
        </w:rPr>
        <w:t>3</w:t>
      </w:r>
      <w:r>
        <w:t>Soweit die Löschung lediglich für eine etwaige gerichtliche Überprüfung der Maßnahme zurückgestellt ist, dürfen die Daten ohne Einwilligung der betroffenen Personen nur zu diesem Zweck verwendet werden; ihre Verarbeitung ist entsprechend einzuschränken.</w:t>
      </w:r>
    </w:p>
    <w:p>
      <w:pPr>
        <w:pStyle w:val="Heading3"/>
      </w:pPr>
      <w:bookmarkStart w:id="156" w:name="b155"/>
      <w:r>
        <w:t>§ 101a Gerichtliche Entscheidung; Datenkennzeichnung und -auswertung; Benachrichtigungspflichten bei Verkehrs- und Nutzungsdaten</w:t>
      </w:r>
      <w:r>
        <w:t xml:space="preserve"> </w:t>
      </w:r>
      <w:r>
        <w:rPr>
          <w:rStyle w:val="Suchmarke"/>
        </w:rPr>
        <w:t>#101a#</w:t>
      </w:r>
      <w:bookmarkEnd w:id="156"/>
    </w:p>
    <w:p>
      <w:r>
        <w:t xml:space="preserve">(1) </w:t>
      </w:r>
      <w:r>
        <w:rPr>
          <w:rStyle w:val="Satznummer"/>
        </w:rPr>
        <w:t>1</w:t>
      </w:r>
      <w:r>
        <w:t xml:space="preserve">Bei Erhebungen von Verkehrsdaten nach </w:t>
      </w:r>
      <w:hyperlink w:anchor="b149" w:history="1">
        <w:r>
          <w:rPr>
            <w:color w:val="0A3A8C"/>
            <w:u w:val="single"/>
          </w:rPr>
          <w:t xml:space="preserve">§ 100g</w:t>
        </w:r>
      </w:hyperlink>
      <w:r>
        <w:t xml:space="preserve"> gelten </w:t>
      </w:r>
      <w:hyperlink w:anchor="b143" w:history="1">
        <w:r>
          <w:rPr>
            <w:color w:val="0A3A8C"/>
            <w:u w:val="single"/>
          </w:rPr>
          <w:t xml:space="preserve">§ 100a</w:t>
        </w:r>
      </w:hyperlink>
      <w:r>
        <w:t xml:space="preserve"> Absatz 3 und 4 und </w:t>
      </w:r>
      <w:hyperlink w:anchor="b147" w:history="1">
        <w:r>
          <w:rPr>
            <w:color w:val="0A3A8C"/>
            <w:u w:val="single"/>
          </w:rPr>
          <w:t xml:space="preserve">§ 100e</w:t>
        </w:r>
      </w:hyperlink>
      <w:r>
        <w:t xml:space="preserve"> entsprechend mit der Maßgabe, dass</w:t>
      </w:r>
    </w:p>
    <w:p>
      <w:pPr>
        <w:tabs>
          <w:tab w:pos="567" w:val="left"/>
        </w:tabs>
        <w:ind w:left="567" w:hanging="567"/>
      </w:pPr>
      <w:r>
        <w:t>1.</w:t>
      </w:r>
      <w:r>
        <w:tab/>
      </w:r>
      <w:r>
        <w:t xml:space="preserve">in der Entscheidungsformel nach </w:t>
      </w:r>
      <w:hyperlink w:anchor="b147" w:history="1">
        <w:r>
          <w:rPr>
            <w:color w:val="0A3A8C"/>
            <w:u w:val="single"/>
          </w:rPr>
          <w:t xml:space="preserve">§ 100e</w:t>
        </w:r>
      </w:hyperlink>
      <w:r>
        <w:t xml:space="preserve"> Absatz 3 Satz 2 auch die zu übermittelnden Daten und der Zeitraum, für den sie übermittelt werden sollen, eindeutig anzugeben sind,</w:t>
      </w:r>
    </w:p>
    <w:p>
      <w:pPr>
        <w:tabs>
          <w:tab w:pos="567" w:val="left"/>
        </w:tabs>
        <w:ind w:left="567" w:hanging="567"/>
      </w:pPr>
      <w:r>
        <w:t>2.</w:t>
      </w:r>
      <w:r>
        <w:tab/>
      </w:r>
      <w:r>
        <w:t>der nach § 100a Absatz 4 Satz 1 zur Auskunft Verpflichtete auch mitzuteilen hat, welche der von ihm übermittelten Daten nach § 176 des Telekommunikationsgesetzes gespeichert wurden.</w:t>
      </w:r>
    </w:p>
    <w:p>
      <w:r>
        <w:rPr>
          <w:rStyle w:val="Satznummer"/>
        </w:rPr>
        <w:t>2</w:t>
      </w:r>
      <w:r>
        <w:t xml:space="preserve">In den Fällen des </w:t>
      </w:r>
      <w:hyperlink w:anchor="b149" w:history="1">
        <w:r>
          <w:rPr>
            <w:color w:val="0A3A8C"/>
            <w:u w:val="single"/>
          </w:rPr>
          <w:t xml:space="preserve">§ 100g</w:t>
        </w:r>
      </w:hyperlink>
      <w:r>
        <w:t xml:space="preserve"> Absatz 2, auch in Verbindung mit </w:t>
      </w:r>
      <w:hyperlink w:anchor="b149" w:history="1">
        <w:r>
          <w:rPr>
            <w:color w:val="0A3A8C"/>
            <w:u w:val="single"/>
          </w:rPr>
          <w:t xml:space="preserve">§ 100g</w:t>
        </w:r>
      </w:hyperlink>
      <w:r>
        <w:t xml:space="preserve"> Absatz 3 Satz 2, findet abweichend von Satz 1 </w:t>
      </w:r>
      <w:hyperlink w:anchor="b147" w:history="1">
        <w:r>
          <w:rPr>
            <w:color w:val="0A3A8C"/>
            <w:u w:val="single"/>
          </w:rPr>
          <w:t xml:space="preserve">§ 100e</w:t>
        </w:r>
      </w:hyperlink>
      <w:r>
        <w:t xml:space="preserve"> Absatz 1 Satz 2 keine Anwendung. </w:t>
      </w:r>
      <w:r>
        <w:rPr>
          <w:rStyle w:val="Satznummer"/>
        </w:rPr>
        <w:t>3</w:t>
      </w:r>
      <w:r>
        <w:t xml:space="preserve">Bei Funkzellenabfragen nach </w:t>
      </w:r>
      <w:hyperlink w:anchor="b149" w:history="1">
        <w:r>
          <w:rPr>
            <w:color w:val="0A3A8C"/>
            <w:u w:val="single"/>
          </w:rPr>
          <w:t xml:space="preserve">§ 100g</w:t>
        </w:r>
      </w:hyperlink>
      <w:r>
        <w:t xml:space="preserve"> Absatz 3 genügt abweichend von </w:t>
      </w:r>
      <w:hyperlink w:anchor="b147" w:history="1">
        <w:r>
          <w:rPr>
            <w:color w:val="0A3A8C"/>
            <w:u w:val="single"/>
          </w:rPr>
          <w:t xml:space="preserve">§ 100e</w:t>
        </w:r>
      </w:hyperlink>
      <w:r>
        <w:t xml:space="preserve"> Absatz 3 Satz 2 Nummer 5 eine räumlich und zeitlich eng begrenzte und hinreichend bestimmte Bezeichnung der Telekommunikation.</w:t>
      </w:r>
    </w:p>
    <w:p>
      <w:r>
        <w:t xml:space="preserve">(1a) Bei der Erhebung und Beauskunftung von Nutzungsdaten eines digitalen Dienstes nach § 1 Absatz 4 Nummer 1 des Digitale-Dienste-Gesetzes nach </w:t>
      </w:r>
      <w:hyperlink w:anchor="b153" w:history="1">
        <w:r>
          <w:rPr>
            <w:color w:val="0A3A8C"/>
            <w:u w:val="single"/>
          </w:rPr>
          <w:t xml:space="preserve">§ 100k</w:t>
        </w:r>
      </w:hyperlink>
      <w:r>
        <w:t xml:space="preserve"> gilt </w:t>
      </w:r>
      <w:hyperlink w:anchor="b143" w:history="1">
        <w:r>
          <w:rPr>
            <w:color w:val="0A3A8C"/>
            <w:u w:val="single"/>
          </w:rPr>
          <w:t xml:space="preserve">§ 100a</w:t>
        </w:r>
      </w:hyperlink>
      <w:r>
        <w:t xml:space="preserve"> Absatz 3 und 4, bei der Erhebung von Nutzungsdaten nach </w:t>
      </w:r>
      <w:hyperlink w:anchor="b153" w:history="1">
        <w:r>
          <w:rPr>
            <w:color w:val="0A3A8C"/>
            <w:u w:val="single"/>
          </w:rPr>
          <w:t xml:space="preserve">§ 100k</w:t>
        </w:r>
      </w:hyperlink>
      <w:r>
        <w:t xml:space="preserve"> Absatz 1 und 2 zudem </w:t>
      </w:r>
      <w:hyperlink w:anchor="b147" w:history="1">
        <w:r>
          <w:rPr>
            <w:color w:val="0A3A8C"/>
            <w:u w:val="single"/>
          </w:rPr>
          <w:t xml:space="preserve">§ 100e</w:t>
        </w:r>
      </w:hyperlink>
      <w:r>
        <w:t xml:space="preserve"> Absatz 1 und 3 bis 5 entsprechend mit der Maßgabe, dass in der Entscheidungsformel nach </w:t>
      </w:r>
      <w:hyperlink w:anchor="b147" w:history="1">
        <w:r>
          <w:rPr>
            <w:color w:val="0A3A8C"/>
            <w:u w:val="single"/>
          </w:rPr>
          <w:t xml:space="preserve">§ 100e</w:t>
        </w:r>
      </w:hyperlink>
      <w:r>
        <w:t xml:space="preserve"> Absatz 3 Satz 2 an die Stelle der Rufnummer (</w:t>
      </w:r>
      <w:hyperlink w:anchor="b147" w:history="1">
        <w:r>
          <w:rPr>
            <w:color w:val="0A3A8C"/>
            <w:u w:val="single"/>
          </w:rPr>
          <w:t xml:space="preserve">§ 100e</w:t>
        </w:r>
      </w:hyperlink>
      <w:r>
        <w:t xml:space="preserve"> Absatz 3 Satz 2 Nummer 5), soweit möglich eine eindeutige Kennung des Nutzerkontos des Betroffenen, ansonsten eine möglichst genaue Bezeichnung des digitalen Dienstes nach § 1 Absatz 4 Nummer 1 des Digitale-Dienste-Gesetzes tritt, auf den sich das Auskunftsverlangen bezieht.</w:t>
      </w:r>
    </w:p>
    <w:p>
      <w:r>
        <w:t xml:space="preserve">(2) Wird eine Maßnahme nach </w:t>
      </w:r>
      <w:hyperlink w:anchor="b149" w:history="1">
        <w:r>
          <w:rPr>
            <w:color w:val="0A3A8C"/>
            <w:u w:val="single"/>
          </w:rPr>
          <w:t xml:space="preserve">§ 100g</w:t>
        </w:r>
      </w:hyperlink>
      <w:r>
        <w:t xml:space="preserve"> oder </w:t>
      </w:r>
      <w:hyperlink w:anchor="b153" w:history="1">
        <w:r>
          <w:rPr>
            <w:color w:val="0A3A8C"/>
            <w:u w:val="single"/>
          </w:rPr>
          <w:t xml:space="preserve">§ 100k</w:t>
        </w:r>
      </w:hyperlink>
      <w:r>
        <w:t xml:space="preserve"> Absatz 1 oder Absatz 2 angeordnet oder verlängert, sind in der Begründung einzelfallbezogen insbesondere die wesentlichen Erwägungen zur Erforderlichkeit und Angemessenheit der Maßnahme, auch hinsichtlich des Umfangs der zu erhebenden Daten und des Zeitraums, für den sie erhoben werden sollen, darzulegen.</w:t>
      </w:r>
    </w:p>
    <w:p>
      <w:r>
        <w:t xml:space="preserve">(3) </w:t>
      </w:r>
      <w:r>
        <w:rPr>
          <w:rStyle w:val="Satznummer"/>
        </w:rPr>
        <w:t>1</w:t>
      </w:r>
      <w:r>
        <w:t xml:space="preserve">Personenbezogene Daten, die durch Maßnahmen nach </w:t>
      </w:r>
      <w:hyperlink w:anchor="b149" w:history="1">
        <w:r>
          <w:rPr>
            <w:color w:val="0A3A8C"/>
            <w:u w:val="single"/>
          </w:rPr>
          <w:t xml:space="preserve">§ 100g</w:t>
        </w:r>
      </w:hyperlink>
      <w:r>
        <w:t xml:space="preserve"> oder </w:t>
      </w:r>
      <w:hyperlink w:anchor="b153" w:history="1">
        <w:r>
          <w:rPr>
            <w:color w:val="0A3A8C"/>
            <w:u w:val="single"/>
          </w:rPr>
          <w:t xml:space="preserve">§ 100k</w:t>
        </w:r>
      </w:hyperlink>
      <w:r>
        <w:t xml:space="preserve"> Absatz 1 oder Absatz 2 erhoben wurden, sind entsprechend zu kennzeichnen und unverzüglich auszuwerten. </w:t>
      </w:r>
      <w:r>
        <w:rPr>
          <w:rStyle w:val="Satznummer"/>
        </w:rPr>
        <w:t>2</w:t>
      </w:r>
      <w:r>
        <w:t xml:space="preserve">Bei der Kennzeichnung ist erkennbar zu machen, ob es sich um Daten handelt, die nach § 176 des Telekommunikationsgesetzes gespeichert waren. </w:t>
      </w:r>
      <w:r>
        <w:rPr>
          <w:rStyle w:val="Satznummer"/>
        </w:rPr>
        <w:t>3</w:t>
      </w:r>
      <w:r>
        <w:t xml:space="preserve">Nach einer Übermittlung an eine andere Stelle ist die Kennzeichnung durch diese aufrechtzuerhalten. </w:t>
      </w:r>
      <w:r>
        <w:rPr>
          <w:rStyle w:val="Satznummer"/>
        </w:rPr>
        <w:t>4</w:t>
      </w:r>
      <w:r>
        <w:t xml:space="preserve">Für die Löschung personenbezogener Daten gilt </w:t>
      </w:r>
      <w:hyperlink w:anchor="b154" w:history="1">
        <w:r>
          <w:rPr>
            <w:color w:val="0A3A8C"/>
            <w:u w:val="single"/>
          </w:rPr>
          <w:t xml:space="preserve">§ 101</w:t>
        </w:r>
      </w:hyperlink>
      <w:r>
        <w:t xml:space="preserve"> Absatz 8 entsprechend.</w:t>
      </w:r>
    </w:p>
    <w:p>
      <w:r>
        <w:t xml:space="preserve">(4) </w:t>
      </w:r>
      <w:r>
        <w:rPr>
          <w:rStyle w:val="Satznummer"/>
        </w:rPr>
        <w:t>1</w:t>
      </w:r>
      <w:r>
        <w:t xml:space="preserve">Verwertbare personenbezogene Daten, die durch Maßnahmen nach </w:t>
      </w:r>
      <w:hyperlink w:anchor="b149" w:history="1">
        <w:r>
          <w:rPr>
            <w:color w:val="0A3A8C"/>
            <w:u w:val="single"/>
          </w:rPr>
          <w:t xml:space="preserve">§ 100g</w:t>
        </w:r>
      </w:hyperlink>
      <w:r>
        <w:t xml:space="preserve"> Absatz 2, auch in Verbindung mit </w:t>
      </w:r>
      <w:hyperlink w:anchor="b149" w:history="1">
        <w:r>
          <w:rPr>
            <w:color w:val="0A3A8C"/>
            <w:u w:val="single"/>
          </w:rPr>
          <w:t xml:space="preserve">§ 100g</w:t>
        </w:r>
      </w:hyperlink>
      <w:r>
        <w:t xml:space="preserve"> Absatz 1 Satz 3 oder Absatz 3 Satz 2, erhoben wurden, dürfen ohne Einwilligung der Beteiligten der betroffenen Telekommunikation nur für folgende andere Zwecke und nur nach folgenden Maßgaben verwendet werden:</w:t>
      </w:r>
    </w:p>
    <w:p>
      <w:pPr>
        <w:tabs>
          <w:tab w:pos="567" w:val="left"/>
        </w:tabs>
        <w:ind w:left="567" w:hanging="567"/>
      </w:pPr>
      <w:r>
        <w:t>1.</w:t>
      </w:r>
      <w:r>
        <w:tab/>
      </w:r>
      <w:r>
        <w:t xml:space="preserve">in anderen Strafverfahren zur Aufklärung einer Straftat, auf Grund derer eine Maßnahme nach </w:t>
      </w:r>
      <w:hyperlink w:anchor="b149" w:history="1">
        <w:r>
          <w:rPr>
            <w:color w:val="0A3A8C"/>
            <w:u w:val="single"/>
          </w:rPr>
          <w:t xml:space="preserve">§ 100g</w:t>
        </w:r>
      </w:hyperlink>
      <w:r>
        <w:t xml:space="preserve"> Absatz 2, auch in Verbindung mit </w:t>
      </w:r>
      <w:hyperlink w:anchor="b149" w:history="1">
        <w:r>
          <w:rPr>
            <w:color w:val="0A3A8C"/>
            <w:u w:val="single"/>
          </w:rPr>
          <w:t xml:space="preserve">§ 100g</w:t>
        </w:r>
      </w:hyperlink>
      <w:r>
        <w:t xml:space="preserve"> Absatz 1 Satz 3 oder Absatz 3 Satz 2, angeordnet werden könnte, oder zur Ermittlung des Aufenthalts der einer solchen Straftat beschuldigten Person,</w:t>
      </w:r>
    </w:p>
    <w:p>
      <w:pPr>
        <w:tabs>
          <w:tab w:pos="567" w:val="left"/>
        </w:tabs>
        <w:ind w:left="567" w:hanging="567"/>
      </w:pPr>
      <w:r>
        <w:t>2.</w:t>
      </w:r>
      <w:r>
        <w:tab/>
      </w:r>
      <w:r>
        <w:t>Übermittlung zu Zwecken der Abwehr von konkreten Gefahren für Leib, Leben oder Freiheit einer Person oder für den Bestand des Bundes oder eines Landes (§ 177 Absatz 1 Nummer 2 des Telekommunikationsgesetzes).</w:t>
      </w:r>
    </w:p>
    <w:p>
      <w:r>
        <w:rPr>
          <w:rStyle w:val="Satznummer"/>
        </w:rPr>
        <w:t>2</w:t>
      </w:r>
      <w:r>
        <w:t xml:space="preserve">Die Stelle, die die Daten weiterleitet, macht die Weiterleitung und deren Zweck aktenkundig. </w:t>
      </w:r>
      <w:r>
        <w:rPr>
          <w:rStyle w:val="Satznummer"/>
        </w:rPr>
        <w:t>3</w:t>
      </w:r>
      <w:r>
        <w:t xml:space="preserve">Sind die Daten nach Satz 1 Nummer 2 nicht mehr zur Abwehr der Gefahr oder nicht mehr für eine vorgerichtliche oder gerichtliche Überprüfung der zur Gefahrenabwehr getroffenen Maßnahmen erforderlich, so sind Aufzeichnungen über diese Daten von der für die Gefahrenabwehr zuständigen Stelle unverzüglich zu löschen. </w:t>
      </w:r>
      <w:r>
        <w:rPr>
          <w:rStyle w:val="Satznummer"/>
        </w:rPr>
        <w:t>4</w:t>
      </w:r>
      <w:r>
        <w:t xml:space="preserve">Die Löschung ist aktenkundig zu machen. </w:t>
      </w:r>
      <w:r>
        <w:rPr>
          <w:rStyle w:val="Satznummer"/>
        </w:rPr>
        <w:t>5</w:t>
      </w:r>
      <w:r>
        <w:t>Soweit die Löschung lediglich für eine etwaige vorgerichtliche oder gerichtliche Überprüfung zurückgestellt ist, dürfen die Daten nur für diesen Zweck verwendet werden; für eine Verwendung zu anderen Zwecken sind sie zu sperren.</w:t>
      </w:r>
    </w:p>
    <w:p>
      <w:r>
        <w:t xml:space="preserve">(5) Sind verwertbare personenbezogene Daten, die nach § 176 des Telekommunikationsgesetzes gespeichert waren, durch eine entsprechende polizeirechtliche Maßnahme erlangt worden, dürfen sie in einem Strafverfahren ohne Einwilligung der Beteiligten der betroffenen Telekommunikation nur zur Aufklärung einer Straftat, auf Grund derer eine Maßnahme nach </w:t>
      </w:r>
      <w:hyperlink w:anchor="b149" w:history="1">
        <w:r>
          <w:rPr>
            <w:color w:val="0A3A8C"/>
            <w:u w:val="single"/>
          </w:rPr>
          <w:t xml:space="preserve">§ 100g</w:t>
        </w:r>
      </w:hyperlink>
      <w:r>
        <w:t xml:space="preserve"> Absatz 2, auch in Verbindung mit Absatz 3 Satz 2, angeordnet werden könnte, oder zur Ermittlung des Aufenthalts der einer solchen Straftat beschuldigten Person verwendet werden.</w:t>
      </w:r>
    </w:p>
    <w:p>
      <w:r>
        <w:t xml:space="preserve">(6) </w:t>
      </w:r>
      <w:r>
        <w:rPr>
          <w:rStyle w:val="Satznummer"/>
        </w:rPr>
        <w:t>1</w:t>
      </w:r>
      <w:r>
        <w:t xml:space="preserve">Die Beteiligten der betroffenen Telekommunikation und die betroffenen Nutzer des digitalen Dienstes nach § 1 Absatz 4 Nummer 1 des Digitale-Dienste-Gesetzes sind von der Erhebung der Verkehrsdaten nach </w:t>
      </w:r>
      <w:hyperlink w:anchor="b149" w:history="1">
        <w:r>
          <w:rPr>
            <w:color w:val="0A3A8C"/>
            <w:u w:val="single"/>
          </w:rPr>
          <w:t xml:space="preserve">§ 100g</w:t>
        </w:r>
      </w:hyperlink>
      <w:r>
        <w:t xml:space="preserve"> oder der Nutzungsdaten nach </w:t>
      </w:r>
      <w:hyperlink w:anchor="b153" w:history="1">
        <w:r>
          <w:rPr>
            <w:color w:val="0A3A8C"/>
            <w:u w:val="single"/>
          </w:rPr>
          <w:t xml:space="preserve">§ 100k</w:t>
        </w:r>
      </w:hyperlink>
      <w:r>
        <w:t xml:space="preserve"> Absatz 1 und 2 zu benachrichtigen. </w:t>
      </w:r>
      <w:r>
        <w:rPr>
          <w:rStyle w:val="Satznummer"/>
        </w:rPr>
        <w:t>2</w:t>
      </w:r>
      <w:hyperlink w:anchor="b154" w:history="1">
        <w:r>
          <w:rPr>
            <w:color w:val="0A3A8C"/>
            <w:u w:val="single"/>
          </w:rPr>
          <w:t xml:space="preserve">§ 101</w:t>
        </w:r>
      </w:hyperlink>
      <w:r>
        <w:t xml:space="preserve"> Absatz 4 Satz 2 bis 5 und Absatz 5 bis 7 gilt entsprechend mit der Maßgabe, dass</w:t>
      </w:r>
    </w:p>
    <w:p>
      <w:pPr>
        <w:tabs>
          <w:tab w:pos="567" w:val="left"/>
        </w:tabs>
        <w:ind w:left="567" w:hanging="567"/>
      </w:pPr>
      <w:r>
        <w:t>1.</w:t>
      </w:r>
      <w:r>
        <w:tab/>
      </w:r>
      <w:r>
        <w:t>das Unterbleiben der Benachrichtigung nach § 101 Absatz 4 Satz 3 der Anordnung des zuständigen Gerichts bedarf;</w:t>
      </w:r>
    </w:p>
    <w:p>
      <w:pPr>
        <w:tabs>
          <w:tab w:pos="567" w:val="left"/>
        </w:tabs>
        <w:ind w:left="567" w:hanging="567"/>
      </w:pPr>
      <w:r>
        <w:t>2.</w:t>
      </w:r>
      <w:r>
        <w:tab/>
      </w:r>
      <w:r>
        <w:t xml:space="preserve">abweichend von </w:t>
      </w:r>
      <w:hyperlink w:anchor="b154" w:history="1">
        <w:r>
          <w:rPr>
            <w:color w:val="0A3A8C"/>
            <w:u w:val="single"/>
          </w:rPr>
          <w:t xml:space="preserve">§ 101</w:t>
        </w:r>
      </w:hyperlink>
      <w:r>
        <w:t xml:space="preserve"> Absatz 6 Satz 1 die Zurückstellung der Benachrichtigung nach </w:t>
      </w:r>
      <w:hyperlink w:anchor="b154" w:history="1">
        <w:r>
          <w:rPr>
            <w:color w:val="0A3A8C"/>
            <w:u w:val="single"/>
          </w:rPr>
          <w:t xml:space="preserve">§ 101</w:t>
        </w:r>
      </w:hyperlink>
      <w:r>
        <w:t xml:space="preserve"> Absatz 5 Satz 1 stets der Anordnung des zuständigen Gerichts bedarf und eine erstmalige Zurückstellung auf höchstens zwölf Monate zu befristen ist.</w:t>
      </w:r>
    </w:p>
    <w:p>
      <w:r>
        <w:t xml:space="preserve">(7) </w:t>
      </w:r>
      <w:r>
        <w:rPr>
          <w:rStyle w:val="Satznummer"/>
        </w:rPr>
        <w:t>1</w:t>
      </w:r>
      <w:r>
        <w:t xml:space="preserve">Die betroffene Person ist in den Fällen des </w:t>
      </w:r>
      <w:hyperlink w:anchor="b153" w:history="1">
        <w:r>
          <w:rPr>
            <w:color w:val="0A3A8C"/>
            <w:u w:val="single"/>
          </w:rPr>
          <w:t xml:space="preserve">§ 100k</w:t>
        </w:r>
      </w:hyperlink>
      <w:r>
        <w:t xml:space="preserve"> Absatz 3 über die Beauskunftung zu benachrichtigen. </w:t>
      </w:r>
      <w:r>
        <w:rPr>
          <w:rStyle w:val="Satznummer"/>
        </w:rPr>
        <w:t>2</w:t>
      </w:r>
      <w:r>
        <w:t xml:space="preserve">Die Benachrichtigung erfolgt, soweit und sobald hierdurch der Zweck der Beauskunftung nicht vereitelt wird. </w:t>
      </w:r>
      <w:r>
        <w:rPr>
          <w:rStyle w:val="Satznummer"/>
        </w:rPr>
        <w:t>3</w:t>
      </w:r>
      <w:r>
        <w:t xml:space="preserve">Sie unterbleibt, wenn ihr überwiegende schutzwürdige Belange Dritter oder der betroffenen Person selbst entgegenstehen. </w:t>
      </w:r>
      <w:r>
        <w:rPr>
          <w:rStyle w:val="Satznummer"/>
        </w:rPr>
        <w:t>4</w:t>
      </w:r>
      <w:r>
        <w:t>Wird die Benachrichtigung nach Satz 2 zurückgestellt oder nach Satz 3 von ihr abgesehen, sind die Gründe aktenkundig zu machen.</w:t>
      </w:r>
    </w:p>
    <w:p>
      <w:pPr>
        <w:pStyle w:val="Heading3"/>
      </w:pPr>
      <w:bookmarkStart w:id="157" w:name="b156"/>
      <w:r>
        <w:t>§ 101b Statistische Erfassung; Berichtspflichten</w:t>
      </w:r>
      <w:r>
        <w:t xml:space="preserve"> </w:t>
      </w:r>
      <w:r>
        <w:rPr>
          <w:rStyle w:val="Suchmarke"/>
        </w:rPr>
        <w:t>#101b#</w:t>
      </w:r>
      <w:bookmarkEnd w:id="157"/>
    </w:p>
    <w:p>
      <w:r>
        <w:t xml:space="preserve">(1) </w:t>
      </w:r>
      <w:r>
        <w:rPr>
          <w:rStyle w:val="Satznummer"/>
        </w:rPr>
        <w:t>1</w:t>
      </w:r>
      <w:r>
        <w:t xml:space="preserve">Die Länder und der Generalbundesanwalt berichten dem Bundesamt für Justiz kalenderjährlich jeweils bis zum 30. Juni des dem Berichtsjahr folgenden Jahres über in ihrem Zuständigkeitsbereich angeordnete Maßnahmen nach den </w:t>
      </w:r>
      <w:hyperlink w:anchor="b143" w:history="1">
        <w:r>
          <w:rPr>
            <w:color w:val="0A3A8C"/>
            <w:u w:val="single"/>
          </w:rPr>
          <w:t xml:space="preserve">§§ 100a</w:t>
        </w:r>
      </w:hyperlink>
      <w:r>
        <w:t xml:space="preserve">, </w:t>
      </w:r>
      <w:hyperlink w:anchor="b144" w:history="1">
        <w:r>
          <w:rPr>
            <w:color w:val="0A3A8C"/>
            <w:u w:val="single"/>
          </w:rPr>
          <w:t xml:space="preserve">100b</w:t>
        </w:r>
      </w:hyperlink>
      <w:r>
        <w:t xml:space="preserve">, </w:t>
      </w:r>
      <w:hyperlink w:anchor="b145" w:history="1">
        <w:r>
          <w:rPr>
            <w:color w:val="0A3A8C"/>
            <w:u w:val="single"/>
          </w:rPr>
          <w:t xml:space="preserve">100c</w:t>
        </w:r>
      </w:hyperlink>
      <w:r>
        <w:t xml:space="preserve">, </w:t>
      </w:r>
      <w:hyperlink w:anchor="b149" w:history="1">
        <w:r>
          <w:rPr>
            <w:color w:val="0A3A8C"/>
            <w:u w:val="single"/>
          </w:rPr>
          <w:t xml:space="preserve">100g</w:t>
        </w:r>
      </w:hyperlink>
      <w:r>
        <w:t xml:space="preserve"> und </w:t>
      </w:r>
      <w:hyperlink w:anchor="b153" w:history="1">
        <w:r>
          <w:rPr>
            <w:color w:val="0A3A8C"/>
            <w:u w:val="single"/>
          </w:rPr>
          <w:t xml:space="preserve">100k</w:t>
        </w:r>
      </w:hyperlink>
      <w:r>
        <w:t xml:space="preserve"> Absatz 1 und 2. </w:t>
      </w:r>
      <w:r>
        <w:rPr>
          <w:rStyle w:val="Satznummer"/>
        </w:rPr>
        <w:t>2</w:t>
      </w:r>
      <w:r>
        <w:t xml:space="preserve">Das Bundesamt für Justiz erstellt eine Übersicht zu den im Berichtsjahr bundesweit angeordneten Maßnahmen und veröffentlicht diese im Internet. </w:t>
      </w:r>
      <w:r>
        <w:rPr>
          <w:rStyle w:val="Satznummer"/>
        </w:rPr>
        <w:t>3</w:t>
      </w:r>
      <w:r>
        <w:t xml:space="preserve">Über die im jeweils vorangegangenen Kalenderjahr nach </w:t>
      </w:r>
      <w:hyperlink w:anchor="b145" w:history="1">
        <w:r>
          <w:rPr>
            <w:color w:val="0A3A8C"/>
            <w:u w:val="single"/>
          </w:rPr>
          <w:t xml:space="preserve">§ 100c</w:t>
        </w:r>
      </w:hyperlink>
      <w:r>
        <w:t xml:space="preserve"> angeordneten Maßnahmen berichtet die Bundesregierung dem Deutschen Bundestag vor der Veröffentlichung im Internet.</w:t>
      </w:r>
    </w:p>
    <w:p>
      <w:r>
        <w:t xml:space="preserve">(2) In den Übersichten über Maßnahmen nach </w:t>
      </w:r>
      <w:hyperlink w:anchor="b143" w:history="1">
        <w:r>
          <w:rPr>
            <w:color w:val="0A3A8C"/>
            <w:u w:val="single"/>
          </w:rPr>
          <w:t xml:space="preserve">§ 100a</w:t>
        </w:r>
      </w:hyperlink>
      <w:r>
        <w:t xml:space="preserve"> sind anzugeben:</w:t>
      </w:r>
    </w:p>
    <w:p>
      <w:pPr>
        <w:tabs>
          <w:tab w:pos="567" w:val="left"/>
        </w:tabs>
        <w:ind w:left="567" w:hanging="567"/>
      </w:pPr>
      <w:r>
        <w:t>1.</w:t>
      </w:r>
      <w:r>
        <w:tab/>
      </w:r>
      <w:r>
        <w:t xml:space="preserve">die Anzahl der Verfahren, in denen Maßnahmen nach </w:t>
      </w:r>
      <w:hyperlink w:anchor="b143" w:history="1">
        <w:r>
          <w:rPr>
            <w:color w:val="0A3A8C"/>
            <w:u w:val="single"/>
          </w:rPr>
          <w:t xml:space="preserve">§ 100a</w:t>
        </w:r>
      </w:hyperlink>
      <w:r>
        <w:t xml:space="preserve"> Absatz 1 angeordnet worden sind;</w:t>
      </w:r>
    </w:p>
    <w:p>
      <w:pPr>
        <w:tabs>
          <w:tab w:pos="567" w:val="left"/>
        </w:tabs>
        <w:ind w:left="567" w:hanging="567"/>
      </w:pPr>
      <w:r>
        <w:t>2.</w:t>
      </w:r>
      <w:r>
        <w:tab/>
      </w:r>
      <w:r>
        <w:t xml:space="preserve">die Anzahl der Überwachungsanordnungen nach </w:t>
      </w:r>
      <w:hyperlink w:anchor="b143" w:history="1">
        <w:r>
          <w:rPr>
            <w:color w:val="0A3A8C"/>
            <w:u w:val="single"/>
          </w:rPr>
          <w:t xml:space="preserve">§ 100a</w:t>
        </w:r>
      </w:hyperlink>
      <w:r>
        <w:t xml:space="preserve"> Absatz 1, unterschieden nach Erst- und Verlängerungsanordnungen;</w:t>
      </w:r>
    </w:p>
    <w:p>
      <w:pPr>
        <w:tabs>
          <w:tab w:pos="567" w:val="left"/>
        </w:tabs>
        <w:ind w:left="567" w:hanging="567"/>
      </w:pPr>
      <w:r>
        <w:t>3.</w:t>
      </w:r>
      <w:r>
        <w:tab/>
      </w:r>
      <w:r>
        <w:t xml:space="preserve">die jeweils zugrunde liegende Anlassstraftat nach der Unterteilung in </w:t>
      </w:r>
      <w:hyperlink w:anchor="b143" w:history="1">
        <w:r>
          <w:rPr>
            <w:color w:val="0A3A8C"/>
            <w:u w:val="single"/>
          </w:rPr>
          <w:t xml:space="preserve">§ 100a</w:t>
        </w:r>
      </w:hyperlink>
      <w:r>
        <w:t xml:space="preserve"> Absatz 2;</w:t>
      </w:r>
    </w:p>
    <w:p>
      <w:pPr>
        <w:tabs>
          <w:tab w:pos="567" w:val="left"/>
        </w:tabs>
        <w:ind w:left="567" w:hanging="567"/>
      </w:pPr>
      <w:r>
        <w:t>4.</w:t>
      </w:r>
      <w:r>
        <w:tab/>
      </w:r>
      <w:r>
        <w:t>die Anzahl der Verfahren, in denen ein Eingriff in ein von dem Betroffenen genutztes informationstechnisches System nach § 100a Absatz 1 Satz 2 und 3</w:t>
      </w:r>
    </w:p>
    <w:p>
      <w:pPr>
        <w:tabs>
          <w:tab w:pos="1134" w:val="left"/>
        </w:tabs>
        <w:ind w:left="1134" w:hanging="567"/>
      </w:pPr>
      <w:r>
        <w:t>a)</w:t>
      </w:r>
      <w:r>
        <w:tab/>
      </w:r>
      <w:r>
        <w:t>im richterlichen Beschluss angeordnet wurde und</w:t>
      </w:r>
    </w:p>
    <w:p>
      <w:pPr>
        <w:tabs>
          <w:tab w:pos="1134" w:val="left"/>
        </w:tabs>
        <w:ind w:left="1134" w:hanging="567"/>
      </w:pPr>
      <w:r>
        <w:t>b)</w:t>
      </w:r>
      <w:r>
        <w:tab/>
      </w:r>
      <w:r>
        <w:t>tatsächlich durchgeführt wurde.</w:t>
      </w:r>
    </w:p>
    <w:p>
      <w:r>
        <w:t xml:space="preserve">(3) In den Übersichten über Maßnahmen nach </w:t>
      </w:r>
      <w:hyperlink w:anchor="b144" w:history="1">
        <w:r>
          <w:rPr>
            <w:color w:val="0A3A8C"/>
            <w:u w:val="single"/>
          </w:rPr>
          <w:t xml:space="preserve">§ 100b</w:t>
        </w:r>
      </w:hyperlink>
      <w:r>
        <w:t xml:space="preserve"> sind anzugeben:</w:t>
      </w:r>
    </w:p>
    <w:p>
      <w:pPr>
        <w:tabs>
          <w:tab w:pos="567" w:val="left"/>
        </w:tabs>
        <w:ind w:left="567" w:hanging="567"/>
      </w:pPr>
      <w:r>
        <w:t>1.</w:t>
      </w:r>
      <w:r>
        <w:tab/>
      </w:r>
      <w:r>
        <w:t xml:space="preserve">die Anzahl der Verfahren, in denen Maßnahmen nach </w:t>
      </w:r>
      <w:hyperlink w:anchor="b144" w:history="1">
        <w:r>
          <w:rPr>
            <w:color w:val="0A3A8C"/>
            <w:u w:val="single"/>
          </w:rPr>
          <w:t xml:space="preserve">§ 100b</w:t>
        </w:r>
      </w:hyperlink>
      <w:r>
        <w:t xml:space="preserve"> Absatz 1 angeordnet worden sind;</w:t>
      </w:r>
    </w:p>
    <w:p>
      <w:pPr>
        <w:tabs>
          <w:tab w:pos="567" w:val="left"/>
        </w:tabs>
        <w:ind w:left="567" w:hanging="567"/>
      </w:pPr>
      <w:r>
        <w:t>2.</w:t>
      </w:r>
      <w:r>
        <w:tab/>
      </w:r>
      <w:r>
        <w:t xml:space="preserve">die Anzahl der Überwachungsanordnungen nach </w:t>
      </w:r>
      <w:hyperlink w:anchor="b144" w:history="1">
        <w:r>
          <w:rPr>
            <w:color w:val="0A3A8C"/>
            <w:u w:val="single"/>
          </w:rPr>
          <w:t xml:space="preserve">§ 100b</w:t>
        </w:r>
      </w:hyperlink>
      <w:r>
        <w:t xml:space="preserve"> Absatz 1, unterschieden nach Erst- und Verlängerungsanordnungen;</w:t>
      </w:r>
    </w:p>
    <w:p>
      <w:pPr>
        <w:tabs>
          <w:tab w:pos="567" w:val="left"/>
        </w:tabs>
        <w:ind w:left="567" w:hanging="567"/>
      </w:pPr>
      <w:r>
        <w:t>3.</w:t>
      </w:r>
      <w:r>
        <w:tab/>
      </w:r>
      <w:r>
        <w:t xml:space="preserve">die jeweils zugrunde liegende Anlassstraftat nach Maßgabe der Unterteilung in </w:t>
      </w:r>
      <w:hyperlink w:anchor="b144" w:history="1">
        <w:r>
          <w:rPr>
            <w:color w:val="0A3A8C"/>
            <w:u w:val="single"/>
          </w:rPr>
          <w:t xml:space="preserve">§ 100b</w:t>
        </w:r>
      </w:hyperlink>
      <w:r>
        <w:t xml:space="preserve"> Absatz 2;</w:t>
      </w:r>
    </w:p>
    <w:p>
      <w:pPr>
        <w:tabs>
          <w:tab w:pos="567" w:val="left"/>
        </w:tabs>
        <w:ind w:left="567" w:hanging="567"/>
      </w:pPr>
      <w:r>
        <w:t>4.</w:t>
      </w:r>
      <w:r>
        <w:tab/>
      </w:r>
      <w:r>
        <w:t>die Anzahl der Verfahren, in denen ein Eingriff in ein vom Betroffenen genutztes informationstechnisches System tatsächlich durchgeführt wurde.</w:t>
      </w:r>
    </w:p>
    <w:p>
      <w:r>
        <w:t xml:space="preserve">(4) In den Berichten über Maßnahmen nach </w:t>
      </w:r>
      <w:hyperlink w:anchor="b145" w:history="1">
        <w:r>
          <w:rPr>
            <w:color w:val="0A3A8C"/>
            <w:u w:val="single"/>
          </w:rPr>
          <w:t xml:space="preserve">§ 100c</w:t>
        </w:r>
      </w:hyperlink>
      <w:r>
        <w:t xml:space="preserve"> sind anzugeben:</w:t>
      </w:r>
    </w:p>
    <w:p>
      <w:pPr>
        <w:tabs>
          <w:tab w:pos="567" w:val="left"/>
        </w:tabs>
        <w:ind w:left="567" w:hanging="567"/>
      </w:pPr>
      <w:r>
        <w:t>1.</w:t>
      </w:r>
      <w:r>
        <w:tab/>
      </w:r>
      <w:r>
        <w:t xml:space="preserve">die Anzahl der Verfahren, in denen Maßnahmen nach </w:t>
      </w:r>
      <w:hyperlink w:anchor="b145" w:history="1">
        <w:r>
          <w:rPr>
            <w:color w:val="0A3A8C"/>
            <w:u w:val="single"/>
          </w:rPr>
          <w:t xml:space="preserve">§ 100c</w:t>
        </w:r>
      </w:hyperlink>
      <w:r>
        <w:t xml:space="preserve"> Absatz 1 angeordnet worden sind;</w:t>
      </w:r>
    </w:p>
    <w:p>
      <w:pPr>
        <w:tabs>
          <w:tab w:pos="567" w:val="left"/>
        </w:tabs>
        <w:ind w:left="567" w:hanging="567"/>
      </w:pPr>
      <w:r>
        <w:t>2.</w:t>
      </w:r>
      <w:r>
        <w:tab/>
      </w:r>
      <w:r>
        <w:t xml:space="preserve">die jeweils zugrunde liegende Anlassstraftat nach Maßgabe der Unterteilung in </w:t>
      </w:r>
      <w:hyperlink w:anchor="b144" w:history="1">
        <w:r>
          <w:rPr>
            <w:color w:val="0A3A8C"/>
            <w:u w:val="single"/>
          </w:rPr>
          <w:t xml:space="preserve">§ 100b</w:t>
        </w:r>
      </w:hyperlink>
      <w:r>
        <w:t xml:space="preserve"> Absatz 2;</w:t>
      </w:r>
    </w:p>
    <w:p>
      <w:pPr>
        <w:tabs>
          <w:tab w:pos="567" w:val="left"/>
        </w:tabs>
        <w:ind w:left="567" w:hanging="567"/>
      </w:pPr>
      <w:r>
        <w:t>3.</w:t>
      </w:r>
      <w:r>
        <w:tab/>
      </w:r>
      <w:r>
        <w:t>ob das Verfahren einen Bezug zur Verfolgung organisierter Kriminalität aufweist;</w:t>
      </w:r>
    </w:p>
    <w:p>
      <w:pPr>
        <w:tabs>
          <w:tab w:pos="567" w:val="left"/>
        </w:tabs>
        <w:ind w:left="567" w:hanging="567"/>
      </w:pPr>
      <w:r>
        <w:t>4.</w:t>
      </w:r>
      <w:r>
        <w:tab/>
      </w:r>
      <w:r>
        <w:t>die Anzahl der überwachten Objekte je Verfahren nach Privatwohnungen und sonstigen Wohnungen sowie nach Wohnungen des Beschuldigten und Wohnungen dritter Personen;</w:t>
      </w:r>
    </w:p>
    <w:p>
      <w:pPr>
        <w:tabs>
          <w:tab w:pos="567" w:val="left"/>
        </w:tabs>
        <w:ind w:left="567" w:hanging="567"/>
      </w:pPr>
      <w:r>
        <w:t>5.</w:t>
      </w:r>
      <w:r>
        <w:tab/>
      </w:r>
      <w:r>
        <w:t>die Anzahl der überwachten Personen je Verfahren nach Beschuldigten und nichtbeschuldigten Personen;</w:t>
      </w:r>
    </w:p>
    <w:p>
      <w:pPr>
        <w:tabs>
          <w:tab w:pos="567" w:val="left"/>
        </w:tabs>
        <w:ind w:left="567" w:hanging="567"/>
      </w:pPr>
      <w:r>
        <w:t>6.</w:t>
      </w:r>
      <w:r>
        <w:tab/>
      </w:r>
      <w:r>
        <w:t>die Dauer der einzelnen Überwachung nach Dauer der Anordnung, Dauer der Verlängerung und Abhördauer;</w:t>
      </w:r>
    </w:p>
    <w:p>
      <w:pPr>
        <w:tabs>
          <w:tab w:pos="567" w:val="left"/>
        </w:tabs>
        <w:ind w:left="567" w:hanging="567"/>
      </w:pPr>
      <w:r>
        <w:t>7.</w:t>
      </w:r>
      <w:r>
        <w:tab/>
      </w:r>
      <w:r>
        <w:t xml:space="preserve">wie häufig eine Maßnahme nach </w:t>
      </w:r>
      <w:hyperlink w:anchor="b146" w:history="1">
        <w:r>
          <w:rPr>
            <w:color w:val="0A3A8C"/>
            <w:u w:val="single"/>
          </w:rPr>
          <w:t xml:space="preserve">§ 100d</w:t>
        </w:r>
      </w:hyperlink>
      <w:r>
        <w:t xml:space="preserve"> Absatz 4, </w:t>
      </w:r>
      <w:hyperlink w:anchor="b147" w:history="1">
        <w:r>
          <w:rPr>
            <w:color w:val="0A3A8C"/>
            <w:u w:val="single"/>
          </w:rPr>
          <w:t xml:space="preserve">§ 100e</w:t>
        </w:r>
      </w:hyperlink>
      <w:r>
        <w:t xml:space="preserve"> Absatz 5 unterbrochen oder abgebrochen worden ist;</w:t>
      </w:r>
    </w:p>
    <w:p>
      <w:pPr>
        <w:tabs>
          <w:tab w:pos="567" w:val="left"/>
        </w:tabs>
        <w:ind w:left="567" w:hanging="567"/>
      </w:pPr>
      <w:r>
        <w:t>8.</w:t>
      </w:r>
      <w:r>
        <w:tab/>
      </w:r>
      <w:r>
        <w:t>ob eine Benachrichtigung der betroffenen Personen (</w:t>
      </w:r>
      <w:hyperlink w:anchor="b154" w:history="1">
        <w:r>
          <w:rPr>
            <w:color w:val="0A3A8C"/>
            <w:u w:val="single"/>
          </w:rPr>
          <w:t xml:space="preserve">§ 101</w:t>
        </w:r>
      </w:hyperlink>
      <w:r>
        <w:t xml:space="preserve"> Absatz 4 bis 6) erfolgt ist oder aus welchen Gründen von einer Benachrichtigung abgesehen worden ist;</w:t>
      </w:r>
    </w:p>
    <w:p>
      <w:pPr>
        <w:tabs>
          <w:tab w:pos="567" w:val="left"/>
        </w:tabs>
        <w:ind w:left="567" w:hanging="567"/>
      </w:pPr>
      <w:r>
        <w:t>9.</w:t>
      </w:r>
      <w:r>
        <w:tab/>
      </w:r>
      <w:r>
        <w:t>ob die Überwachung Ergebnisse erbracht hat, die für das Verfahren relevant sind oder voraussichtlich relevant sein werden;</w:t>
      </w:r>
    </w:p>
    <w:p>
      <w:pPr>
        <w:tabs>
          <w:tab w:pos="567" w:val="left"/>
        </w:tabs>
        <w:ind w:left="567" w:hanging="567"/>
      </w:pPr>
      <w:r>
        <w:t>10.</w:t>
      </w:r>
      <w:r>
        <w:tab/>
      </w:r>
      <w:r>
        <w:t>ob die Überwachung Ergebnisse erbracht hat, die für andere Strafverfahren relevant sind oder voraussichtlich relevant sein werden;</w:t>
      </w:r>
    </w:p>
    <w:p>
      <w:pPr>
        <w:tabs>
          <w:tab w:pos="567" w:val="left"/>
        </w:tabs>
        <w:ind w:left="567" w:hanging="567"/>
      </w:pPr>
      <w:r>
        <w:t>11.</w:t>
      </w:r>
      <w:r>
        <w:tab/>
      </w:r>
      <w:r>
        <w:t>wenn die Überwachung keine relevanten Ergebnisse erbracht hat: die Gründe hierfür, differenziert nach technischen Gründen und sonstigen Gründen;</w:t>
      </w:r>
    </w:p>
    <w:p>
      <w:pPr>
        <w:tabs>
          <w:tab w:pos="567" w:val="left"/>
        </w:tabs>
        <w:ind w:left="567" w:hanging="567"/>
      </w:pPr>
      <w:r>
        <w:t>12.</w:t>
      </w:r>
      <w:r>
        <w:tab/>
      </w:r>
      <w:r>
        <w:t>die Kosten der Maßnahme, differenziert nach Kosten für Übersetzungsdienste und sonstigen Kosten.</w:t>
      </w:r>
    </w:p>
    <w:p>
      <w:r>
        <w:t xml:space="preserve">(5) In den Übersichten über Maßnahmen nach </w:t>
      </w:r>
      <w:hyperlink w:anchor="b149" w:history="1">
        <w:r>
          <w:rPr>
            <w:color w:val="0A3A8C"/>
            <w:u w:val="single"/>
          </w:rPr>
          <w:t xml:space="preserve">§ 100g</w:t>
        </w:r>
      </w:hyperlink>
      <w:r>
        <w:t xml:space="preserve"> sind anzugeben:</w:t>
      </w:r>
    </w:p>
    <w:p>
      <w:pPr>
        <w:tabs>
          <w:tab w:pos="567" w:val="left"/>
        </w:tabs>
        <w:ind w:left="567" w:hanging="567"/>
      </w:pPr>
      <w:r>
        <w:t>1.</w:t>
      </w:r>
      <w:r>
        <w:tab/>
      </w:r>
      <w:r>
        <w:t>unterschieden nach Maßnahmen nach § 100g Absatz 1, 2 und 3</w:t>
      </w:r>
    </w:p>
    <w:p>
      <w:pPr>
        <w:tabs>
          <w:tab w:pos="1134" w:val="left"/>
        </w:tabs>
        <w:ind w:left="1134" w:hanging="567"/>
      </w:pPr>
      <w:r>
        <w:t>a)</w:t>
      </w:r>
      <w:r>
        <w:tab/>
      </w:r>
      <w:r>
        <w:t>die Anzahl der Verfahren, in denen diese Maßnahmen durchgeführt wurden;</w:t>
      </w:r>
    </w:p>
    <w:p>
      <w:pPr>
        <w:tabs>
          <w:tab w:pos="1134" w:val="left"/>
        </w:tabs>
        <w:ind w:left="1134" w:hanging="567"/>
      </w:pPr>
      <w:r>
        <w:t>b)</w:t>
      </w:r>
      <w:r>
        <w:tab/>
      </w:r>
      <w:r>
        <w:t>die Anzahl der Erstanordnungen, mit denen diese Maßnahmen angeordnet wurden;</w:t>
      </w:r>
    </w:p>
    <w:p>
      <w:pPr>
        <w:tabs>
          <w:tab w:pos="1134" w:val="left"/>
        </w:tabs>
        <w:ind w:left="1134" w:hanging="567"/>
      </w:pPr>
      <w:r>
        <w:t>c)</w:t>
      </w:r>
      <w:r>
        <w:tab/>
      </w:r>
      <w:r>
        <w:t>die Anzahl der Verlängerungsanordnungen, mit denen diese Maßnahmen angeordnet wurden;</w:t>
      </w:r>
    </w:p>
    <w:p>
      <w:pPr>
        <w:tabs>
          <w:tab w:pos="567" w:val="left"/>
        </w:tabs>
        <w:ind w:left="567" w:hanging="567"/>
      </w:pPr>
      <w:r>
        <w:t>2.</w:t>
      </w:r>
      <w:r>
        <w:tab/>
      </w:r>
      <w:r>
        <w:t>untergliedert nach der Anzahl der zurückliegenden Wochen, für die die Erhebung von Verkehrsdaten angeordnet wurde, jeweils bemessen ab dem Zeitpunkt der Anordnung</w:t>
      </w:r>
    </w:p>
    <w:p>
      <w:pPr>
        <w:tabs>
          <w:tab w:pos="1134" w:val="left"/>
        </w:tabs>
        <w:ind w:left="1134" w:hanging="567"/>
      </w:pPr>
      <w:r>
        <w:t>a)</w:t>
      </w:r>
      <w:r>
        <w:tab/>
      </w:r>
      <w:r>
        <w:t xml:space="preserve">die Anzahl der Anordnungen nach </w:t>
      </w:r>
      <w:hyperlink w:anchor="b149" w:history="1">
        <w:r>
          <w:rPr>
            <w:color w:val="0A3A8C"/>
            <w:u w:val="single"/>
          </w:rPr>
          <w:t xml:space="preserve">§ 100g</w:t>
        </w:r>
      </w:hyperlink>
      <w:r>
        <w:t xml:space="preserve"> Absatz 1;</w:t>
      </w:r>
    </w:p>
    <w:p>
      <w:pPr>
        <w:tabs>
          <w:tab w:pos="1134" w:val="left"/>
        </w:tabs>
        <w:ind w:left="1134" w:hanging="567"/>
      </w:pPr>
      <w:r>
        <w:t>b)</w:t>
      </w:r>
      <w:r>
        <w:tab/>
      </w:r>
      <w:r>
        <w:t xml:space="preserve">die Anzahl der Anordnungen nach </w:t>
      </w:r>
      <w:hyperlink w:anchor="b149" w:history="1">
        <w:r>
          <w:rPr>
            <w:color w:val="0A3A8C"/>
            <w:u w:val="single"/>
          </w:rPr>
          <w:t xml:space="preserve">§ 100g</w:t>
        </w:r>
      </w:hyperlink>
      <w:r>
        <w:t xml:space="preserve"> Absatz 2;</w:t>
      </w:r>
    </w:p>
    <w:p>
      <w:pPr>
        <w:tabs>
          <w:tab w:pos="1134" w:val="left"/>
        </w:tabs>
        <w:ind w:left="1134" w:hanging="567"/>
      </w:pPr>
      <w:r>
        <w:t>c)</w:t>
      </w:r>
      <w:r>
        <w:tab/>
      </w:r>
      <w:r>
        <w:t xml:space="preserve">die Anzahl der Anordnungen nach </w:t>
      </w:r>
      <w:hyperlink w:anchor="b149" w:history="1">
        <w:r>
          <w:rPr>
            <w:color w:val="0A3A8C"/>
            <w:u w:val="single"/>
          </w:rPr>
          <w:t xml:space="preserve">§ 100g</w:t>
        </w:r>
      </w:hyperlink>
      <w:r>
        <w:t xml:space="preserve"> Absatz 3;</w:t>
      </w:r>
    </w:p>
    <w:p>
      <w:pPr>
        <w:tabs>
          <w:tab w:pos="1134" w:val="left"/>
        </w:tabs>
        <w:ind w:left="1134" w:hanging="567"/>
      </w:pPr>
      <w:r>
        <w:t>d)</w:t>
      </w:r>
      <w:r>
        <w:tab/>
      </w:r>
      <w:r>
        <w:t>die Anzahl der Anordnungen, die teilweise ergebnislos geblieben sind, weil die abgefragten Daten teilweise nicht verfügbar waren;</w:t>
      </w:r>
    </w:p>
    <w:p>
      <w:pPr>
        <w:tabs>
          <w:tab w:pos="1134" w:val="left"/>
        </w:tabs>
        <w:ind w:left="1134" w:hanging="567"/>
      </w:pPr>
      <w:r>
        <w:t>e)</w:t>
      </w:r>
      <w:r>
        <w:tab/>
      </w:r>
      <w:r>
        <w:t>die Anzahl der Anordnungen, die ergebnislos geblieben sind, weil keine Daten verfügbar waren.</w:t>
      </w:r>
    </w:p>
    <w:p>
      <w:r>
        <w:t xml:space="preserve">(6) In den Übersichten über Maßnahmen nach </w:t>
      </w:r>
      <w:hyperlink w:anchor="b153" w:history="1">
        <w:r>
          <w:rPr>
            <w:color w:val="0A3A8C"/>
            <w:u w:val="single"/>
          </w:rPr>
          <w:t xml:space="preserve">§ 100k</w:t>
        </w:r>
      </w:hyperlink>
      <w:r>
        <w:t xml:space="preserve"> sind jeweils unterschieden nach Maßnahmen nach den Absätzen 1 und 2 anzugeben:</w:t>
      </w:r>
    </w:p>
    <w:p>
      <w:pPr>
        <w:tabs>
          <w:tab w:pos="567" w:val="left"/>
        </w:tabs>
        <w:ind w:left="567" w:hanging="567"/>
      </w:pPr>
      <w:r>
        <w:t>1.</w:t>
      </w:r>
      <w:r>
        <w:tab/>
      </w:r>
      <w:r>
        <w:t>die Anzahl der Verfahren, in denen Maßnahmen angeordnet worden sind;</w:t>
      </w:r>
    </w:p>
    <w:p>
      <w:pPr>
        <w:tabs>
          <w:tab w:pos="567" w:val="left"/>
        </w:tabs>
        <w:ind w:left="567" w:hanging="567"/>
      </w:pPr>
      <w:r>
        <w:t>2.</w:t>
      </w:r>
      <w:r>
        <w:tab/>
      </w:r>
      <w:r>
        <w:t>die Anzahl der Anordnungen, unterschieden nach Erst- und Verlängerungsanordnungen;</w:t>
      </w:r>
    </w:p>
    <w:p>
      <w:pPr>
        <w:tabs>
          <w:tab w:pos="567" w:val="left"/>
        </w:tabs>
        <w:ind w:left="567" w:hanging="567"/>
      </w:pPr>
      <w:r>
        <w:t>3.</w:t>
      </w:r>
      <w:r>
        <w:tab/>
      </w:r>
      <w:r>
        <w:t>untergliedert nach der Anzahl der zurückliegenden Wochen, für die die Erhebung von Nutzungsdaten angeordnet wurde, jeweils bemessen ab dem Zeitpunkt der Anordnung</w:t>
      </w:r>
    </w:p>
    <w:p>
      <w:pPr>
        <w:tabs>
          <w:tab w:pos="1134" w:val="left"/>
        </w:tabs>
        <w:ind w:left="1134" w:hanging="567"/>
      </w:pPr>
      <w:r>
        <w:t>a)</w:t>
      </w:r>
      <w:r>
        <w:tab/>
      </w:r>
      <w:r>
        <w:t>die Anzahl der Anordnungen, die teilweise ergebnislos geblieben sind, weil die abgefragten Daten teilweise nicht verfügbar waren;</w:t>
      </w:r>
    </w:p>
    <w:p>
      <w:pPr>
        <w:tabs>
          <w:tab w:pos="1134" w:val="left"/>
        </w:tabs>
        <w:ind w:left="1134" w:hanging="567"/>
      </w:pPr>
      <w:r>
        <w:t>b)</w:t>
      </w:r>
      <w:r>
        <w:tab/>
      </w:r>
      <w:r>
        <w:t>die Anzahl der Anordnungen, die ergebnislos geblieben sind, weil keine Daten verfügbar waren.</w:t>
      </w:r>
    </w:p>
    <w:p>
      <w:pPr>
        <w:pStyle w:val="Heading3"/>
      </w:pPr>
      <w:bookmarkStart w:id="158" w:name="b157"/>
      <w:r>
        <w:t>§ 102 Durchsuchung bei Beschuldigten</w:t>
      </w:r>
      <w:r>
        <w:t xml:space="preserve"> </w:t>
      </w:r>
      <w:r>
        <w:rPr>
          <w:rStyle w:val="Suchmarke"/>
        </w:rPr>
        <w:t>#102#</w:t>
      </w:r>
      <w:bookmarkEnd w:id="158"/>
    </w:p>
    <w:p>
      <w:r>
        <w:t>Bei dem, welcher als Täter oder Teilnehmer einer Straftat oder der Datenhehlerei, Begünstigung, Strafvereitelung oder Hehlerei verdächtig ist, kann eine Durchsuchung der Wohnung und anderer Räume sowie seiner Person und der ihm gehörenden Sachen sowohl zum Zweck seiner Ergreifung als auch dann vorgenommen werden, wenn zu vermuten ist, daß die Durchsuchung zur Auffindung von Beweismitteln führen werde.</w:t>
      </w:r>
    </w:p>
    <w:p>
      <w:pPr>
        <w:pStyle w:val="Heading3"/>
      </w:pPr>
      <w:bookmarkStart w:id="159" w:name="b158"/>
      <w:r>
        <w:t>§ 103 Durchsuchung bei anderen Personen</w:t>
      </w:r>
      <w:r>
        <w:t xml:space="preserve"> </w:t>
      </w:r>
      <w:r>
        <w:rPr>
          <w:rStyle w:val="Suchmarke"/>
        </w:rPr>
        <w:t>#103#</w:t>
      </w:r>
      <w:bookmarkEnd w:id="159"/>
    </w:p>
    <w:p>
      <w:r>
        <w:t xml:space="preserve">(1) </w:t>
      </w:r>
      <w:r>
        <w:rPr>
          <w:rStyle w:val="Satznummer"/>
        </w:rPr>
        <w:t>1</w:t>
      </w:r>
      <w:r>
        <w:t xml:space="preserve">Bei anderen Personen sind Durchsuchungen nur zur Ergreifung des Beschuldigten oder zur Verfolgung von Spuren einer Straftat oder zur Beschlagnahme bestimmter Gegenstände und nur dann zulässig, wenn Tatsachen vorliegen, aus denen zu schließen ist, daß die gesuchte Person, Spur oder Sache sich in den zu durchsuchenden Räumen befindet. </w:t>
      </w:r>
      <w:r>
        <w:rPr>
          <w:rStyle w:val="Satznummer"/>
        </w:rPr>
        <w:t>2</w:t>
      </w:r>
      <w:r>
        <w:t>Zum Zwecke der Ergreifung eines Beschuldigten, der dringend verdächtig ist, eine Straftat nach § 89a oder § 89c Absatz 1 bis 4 und 8 des Strafgesetzbuchs oder nach § 129a, auch in Verbindung mit § 129b Abs. 1, des Strafgesetzbuches oder eine der in dieser Vorschrift bezeichneten Straftaten begangen zu haben, ist eine Durchsuchung von Wohnungen und anderen Räumen auch zulässig, wenn diese sich in einem Gebäude befinden, von dem auf Grund von Tatsachen anzunehmen ist, daß sich der Beschuldigte in ihm aufhält.</w:t>
      </w:r>
    </w:p>
    <w:p>
      <w:r>
        <w:t>(2) Die Beschränkungen des Absatzes 1 Satz 1 gelten nicht für Räume, in denen der Beschuldigte ergriffen worden ist oder die er während der Verfolgung betreten hat.</w:t>
      </w:r>
    </w:p>
    <w:p>
      <w:pPr>
        <w:pStyle w:val="Heading3"/>
      </w:pPr>
      <w:bookmarkStart w:id="160" w:name="b159"/>
      <w:r>
        <w:t>§ 104 Durchsuchung von Räumen zur Nachtzeit</w:t>
      </w:r>
      <w:r>
        <w:t xml:space="preserve"> </w:t>
      </w:r>
      <w:r>
        <w:rPr>
          <w:rStyle w:val="Suchmarke"/>
        </w:rPr>
        <w:t>#104#</w:t>
      </w:r>
      <w:bookmarkEnd w:id="160"/>
    </w:p>
    <w:p>
      <w:r>
        <w:t>(1) Zur Nachtzeit dürfen die Wohnung, die Geschäftsräume und das befriedete Besitztum nur in folgenden Fällen durchsucht werden:</w:t>
      </w:r>
    </w:p>
    <w:p>
      <w:pPr>
        <w:tabs>
          <w:tab w:pos="567" w:val="left"/>
        </w:tabs>
        <w:ind w:left="567" w:hanging="567"/>
      </w:pPr>
      <w:r>
        <w:t>1.</w:t>
      </w:r>
      <w:r>
        <w:tab/>
      </w:r>
      <w:r>
        <w:t>bei Verfolgung auf frischer Tat,</w:t>
      </w:r>
    </w:p>
    <w:p>
      <w:pPr>
        <w:tabs>
          <w:tab w:pos="567" w:val="left"/>
        </w:tabs>
        <w:ind w:left="567" w:hanging="567"/>
      </w:pPr>
      <w:r>
        <w:t>2.</w:t>
      </w:r>
      <w:r>
        <w:tab/>
      </w:r>
      <w:r>
        <w:t>bei Gefahr im Verzug,</w:t>
      </w:r>
    </w:p>
    <w:p>
      <w:pPr>
        <w:tabs>
          <w:tab w:pos="567" w:val="left"/>
        </w:tabs>
        <w:ind w:left="567" w:hanging="567"/>
      </w:pPr>
      <w:r>
        <w:t>3.</w:t>
      </w:r>
      <w:r>
        <w:tab/>
      </w:r>
      <w:r>
        <w:t>wenn bestimmte Tatsachen den Verdacht begründen, dass während der Durchsuchung auf ein elektronisches Speichermedium zugegriffen werden wird, das als Beweismittel in Betracht kommt, und ohne die Durchsuchung zur Nachtzeit die Auswertung des elektronischen Speichermediums, insbesondere in unverschlüsselter Form, aussichtslos oder wesentlich erschwert wäre oder</w:t>
      </w:r>
    </w:p>
    <w:p>
      <w:pPr>
        <w:tabs>
          <w:tab w:pos="567" w:val="left"/>
        </w:tabs>
        <w:ind w:left="567" w:hanging="567"/>
      </w:pPr>
      <w:r>
        <w:t>4.</w:t>
      </w:r>
      <w:r>
        <w:tab/>
      </w:r>
      <w:r>
        <w:t>zur Wiederergreifung eines entwichenen Gefangenen.</w:t>
      </w:r>
    </w:p>
    <w:p>
      <w:r>
        <w:t>(2) Diese Beschränkung gilt nicht für Räume, die zur Nachtzeit jedermann zugänglich oder die der Polizei als Herbergen oder Versammlungsorte bestrafter Personen, als Niederlagen von Sachen, die mittels Straftaten erlangt sind, oder als Schlupfwinkel des Glücksspiels, des unerlaubten Betäubungsmittel-, Cannabis- und Waffenhandels oder der Prostitution bekannt sind.</w:t>
      </w:r>
    </w:p>
    <w:p>
      <w:r>
        <w:t>(3) Die Nachtzeit umfasst den Zeitraum von 21 bis 6 Uhr.</w:t>
      </w:r>
    </w:p>
    <w:p>
      <w:pPr>
        <w:pStyle w:val="Heading3"/>
      </w:pPr>
      <w:bookmarkStart w:id="161" w:name="b160"/>
      <w:r>
        <w:t>§ 105 Verfahren bei der Durchsuchung</w:t>
      </w:r>
      <w:r>
        <w:t xml:space="preserve"> </w:t>
      </w:r>
      <w:r>
        <w:rPr>
          <w:rStyle w:val="Suchmarke"/>
        </w:rPr>
        <w:t>#105#</w:t>
      </w:r>
      <w:bookmarkEnd w:id="161"/>
    </w:p>
    <w:p>
      <w:r>
        <w:t xml:space="preserve">(1) </w:t>
      </w:r>
      <w:r>
        <w:rPr>
          <w:rStyle w:val="Satznummer"/>
        </w:rPr>
        <w:t>1</w:t>
      </w:r>
      <w:r>
        <w:t xml:space="preserve">Durchsuchungen dürfen nur durch den Richter, bei Gefahr im Verzug auch durch die Staatsanwaltschaft und ihre Ermittlungspersonen (§ 152 des Gerichtsverfassungsgesetzes) angeordnet werden. </w:t>
      </w:r>
      <w:r>
        <w:rPr>
          <w:rStyle w:val="Satznummer"/>
        </w:rPr>
        <w:t>2</w:t>
      </w:r>
      <w:r>
        <w:t xml:space="preserve">Durchsuchungen nach </w:t>
      </w:r>
      <w:hyperlink w:anchor="b158" w:history="1">
        <w:r>
          <w:rPr>
            <w:color w:val="0A3A8C"/>
            <w:u w:val="single"/>
          </w:rPr>
          <w:t xml:space="preserve">§ 103</w:t>
        </w:r>
      </w:hyperlink>
      <w:r>
        <w:t xml:space="preserve"> Abs. 1 Satz 2 ordnet der Richter an; die Staatsanwaltschaft ist hierzu befugt, wenn Gefahr im Verzug ist.</w:t>
      </w:r>
    </w:p>
    <w:p>
      <w:r>
        <w:t xml:space="preserve">(2) </w:t>
      </w:r>
      <w:r>
        <w:rPr>
          <w:rStyle w:val="Satznummer"/>
        </w:rPr>
        <w:t>1</w:t>
      </w:r>
      <w:r>
        <w:t xml:space="preserve">Wenn eine Durchsuchung der Wohnung, der Geschäftsräume oder des befriedeten Besitztums ohne Beisein des Richters oder des Staatsanwalts stattfindet, so sind, wenn möglich, ein Gemeindebeamter oder zwei Mitglieder der Gemeinde, in deren Bezirk die Durchsuchung erfolgt, zuzuziehen. </w:t>
      </w:r>
      <w:r>
        <w:rPr>
          <w:rStyle w:val="Satznummer"/>
        </w:rPr>
        <w:t>2</w:t>
      </w:r>
      <w:r>
        <w:t>Die als Gemeindemitglieder zugezogenen Personen dürfen nicht Polizeibeamte oder Ermittlungspersonen der Staatsanwaltschaft sein.</w:t>
      </w:r>
    </w:p>
    <w:p>
      <w:r>
        <w:t xml:space="preserve">(3) </w:t>
      </w:r>
      <w:r>
        <w:rPr>
          <w:rStyle w:val="Satznummer"/>
        </w:rPr>
        <w:t>1</w:t>
      </w:r>
      <w:r>
        <w:t xml:space="preserve">Wird eine Durchsuchung in einem Dienstgebäude oder einer nicht allgemein zugänglichen Einrichtung oder Anlage der Bundeswehr erforderlich, so wird die vorgesetzte Dienststelle der Bundeswehr um ihre Durchführung ersucht. </w:t>
      </w:r>
      <w:r>
        <w:rPr>
          <w:rStyle w:val="Satznummer"/>
        </w:rPr>
        <w:t>2</w:t>
      </w:r>
      <w:r>
        <w:t xml:space="preserve">Die ersuchende Stelle ist zur Mitwirkung berechtigt. </w:t>
      </w:r>
      <w:r>
        <w:rPr>
          <w:rStyle w:val="Satznummer"/>
        </w:rPr>
        <w:t>3</w:t>
      </w:r>
      <w:r>
        <w:t>Des Ersuchens bedarf es nicht, wenn die Durchsuchung von Räumen vorzunehmen ist, die ausschließlich von anderen Personen als Soldaten bewohnt werden.</w:t>
      </w:r>
    </w:p>
    <w:p>
      <w:pPr>
        <w:pStyle w:val="Heading3"/>
      </w:pPr>
      <w:bookmarkStart w:id="162" w:name="b161"/>
      <w:r>
        <w:t>§ 106 Hinzuziehung des Inhabers eines Durchsuchungsobjekts</w:t>
      </w:r>
      <w:r>
        <w:t xml:space="preserve"> </w:t>
      </w:r>
      <w:r>
        <w:rPr>
          <w:rStyle w:val="Suchmarke"/>
        </w:rPr>
        <w:t>#106#</w:t>
      </w:r>
      <w:bookmarkEnd w:id="162"/>
    </w:p>
    <w:p>
      <w:r>
        <w:t xml:space="preserve">(1) </w:t>
      </w:r>
      <w:r>
        <w:rPr>
          <w:rStyle w:val="Satznummer"/>
        </w:rPr>
        <w:t>1</w:t>
      </w:r>
      <w:r>
        <w:t xml:space="preserve">Der Inhaber der zu durchsuchenden Räume oder Gegenstände darf der Durchsuchung beiwohnen. </w:t>
      </w:r>
      <w:r>
        <w:rPr>
          <w:rStyle w:val="Satznummer"/>
        </w:rPr>
        <w:t>2</w:t>
      </w:r>
      <w:r>
        <w:t>Ist er abwesend, so ist, wenn möglich, sein Vertreter oder ein erwachsener Angehöriger, Hausgenosse oder Nachbar zuzuziehen.</w:t>
      </w:r>
    </w:p>
    <w:p>
      <w:r>
        <w:t xml:space="preserve">(2) </w:t>
      </w:r>
      <w:r>
        <w:rPr>
          <w:rStyle w:val="Satznummer"/>
        </w:rPr>
        <w:t>1</w:t>
      </w:r>
      <w:r>
        <w:t xml:space="preserve">Dem Inhaber oder der in dessen Abwesenheit zugezogenen Person ist in den Fällen des § 103 Abs. 1 der Zweck der Durchsuchung vor deren Beginn bekanntzumachen. </w:t>
      </w:r>
      <w:r>
        <w:rPr>
          <w:rStyle w:val="Satznummer"/>
        </w:rPr>
        <w:t>2</w:t>
      </w:r>
      <w:r>
        <w:t xml:space="preserve">Diese Vorschrift gilt nicht für die Inhaber der in </w:t>
      </w:r>
      <w:hyperlink w:anchor="b159" w:history="1">
        <w:r>
          <w:rPr>
            <w:color w:val="0A3A8C"/>
            <w:u w:val="single"/>
          </w:rPr>
          <w:t xml:space="preserve">§ 104</w:t>
        </w:r>
      </w:hyperlink>
      <w:r>
        <w:t xml:space="preserve"> Abs. 2 bezeichneten Räume.</w:t>
      </w:r>
    </w:p>
    <w:p>
      <w:pPr>
        <w:pStyle w:val="Heading3"/>
      </w:pPr>
      <w:bookmarkStart w:id="163" w:name="b162"/>
      <w:r>
        <w:t>§ 107 Durchsuchungsbescheinigung; Beschlagnahmeverzeichnis</w:t>
      </w:r>
      <w:r>
        <w:t xml:space="preserve"> </w:t>
      </w:r>
      <w:r>
        <w:rPr>
          <w:rStyle w:val="Suchmarke"/>
        </w:rPr>
        <w:t>#107#</w:t>
      </w:r>
      <w:bookmarkEnd w:id="163"/>
    </w:p>
    <w:p>
      <w:r>
        <w:rPr>
          <w:rStyle w:val="Satznummer"/>
        </w:rPr>
        <w:t>1</w:t>
      </w:r>
      <w:r>
        <w:t>Dem von der Durchsuchung Betroffenen ist nach deren Beendigung auf Verlangen eine schriftliche Mitteilung zu machen, die den Grund der Durchsuchung (</w:t>
      </w:r>
      <w:hyperlink w:anchor="b157" w:history="1">
        <w:r>
          <w:rPr>
            <w:color w:val="0A3A8C"/>
            <w:u w:val="single"/>
          </w:rPr>
          <w:t xml:space="preserve">§§ 102</w:t>
        </w:r>
      </w:hyperlink>
      <w:r>
        <w:t xml:space="preserve">, </w:t>
      </w:r>
      <w:hyperlink w:anchor="b158" w:history="1">
        <w:r>
          <w:rPr>
            <w:color w:val="0A3A8C"/>
            <w:u w:val="single"/>
          </w:rPr>
          <w:t xml:space="preserve">103</w:t>
        </w:r>
      </w:hyperlink>
      <w:r>
        <w:t xml:space="preserve">) sowie im Falle des </w:t>
      </w:r>
      <w:hyperlink w:anchor="b157" w:history="1">
        <w:r>
          <w:rPr>
            <w:color w:val="0A3A8C"/>
            <w:u w:val="single"/>
          </w:rPr>
          <w:t xml:space="preserve">§ 102</w:t>
        </w:r>
      </w:hyperlink>
      <w:r>
        <w:t xml:space="preserve"> die Straftat bezeichnen muß. </w:t>
      </w:r>
      <w:r>
        <w:rPr>
          <w:rStyle w:val="Satznummer"/>
        </w:rPr>
        <w:t>2</w:t>
      </w:r>
      <w:r>
        <w:t>Auch ist ihm auf Verlangen ein Verzeichnis der in Verwahrung oder in Beschlag genommenen Gegenstände, falls aber nichts Verdächtiges gefunden wird, eine Bescheinigung hierüber zu geben.</w:t>
      </w:r>
    </w:p>
    <w:p>
      <w:pPr>
        <w:pStyle w:val="Heading3"/>
      </w:pPr>
      <w:bookmarkStart w:id="164" w:name="b163"/>
      <w:r>
        <w:t>§ 108 Beschlagnahme anderer Gegenstände</w:t>
      </w:r>
      <w:r>
        <w:t xml:space="preserve"> </w:t>
      </w:r>
      <w:r>
        <w:rPr>
          <w:rStyle w:val="Suchmarke"/>
        </w:rPr>
        <w:t>#108#</w:t>
      </w:r>
      <w:bookmarkEnd w:id="164"/>
    </w:p>
    <w:p>
      <w:r>
        <w:t xml:space="preserve">(1) </w:t>
      </w:r>
      <w:r>
        <w:rPr>
          <w:rStyle w:val="Satznummer"/>
        </w:rPr>
        <w:t>1</w:t>
      </w:r>
      <w:r>
        <w:t xml:space="preserve">Werden bei Gelegenheit einer Durchsuchung Gegenstände gefunden, die zwar in keiner Beziehung zu der Untersuchung stehen, aber auf die Verübung einer anderen Straftat hindeuten, so sind sie einstweilen in Beschlag zu nehmen. </w:t>
      </w:r>
      <w:r>
        <w:rPr>
          <w:rStyle w:val="Satznummer"/>
        </w:rPr>
        <w:t>2</w:t>
      </w:r>
      <w:r>
        <w:t xml:space="preserve">Der Staatsanwaltschaft ist hiervon Kenntnis zu geben. </w:t>
      </w:r>
      <w:r>
        <w:rPr>
          <w:rStyle w:val="Satznummer"/>
        </w:rPr>
        <w:t>3</w:t>
      </w:r>
      <w:r>
        <w:t xml:space="preserve">Satz 1 findet keine Anwendung, soweit eine Durchsuchung nach </w:t>
      </w:r>
      <w:hyperlink w:anchor="b158" w:history="1">
        <w:r>
          <w:rPr>
            <w:color w:val="0A3A8C"/>
            <w:u w:val="single"/>
          </w:rPr>
          <w:t xml:space="preserve">§ 103</w:t>
        </w:r>
      </w:hyperlink>
      <w:r>
        <w:t xml:space="preserve"> Abs. 1 Satz 2 stattfindet.</w:t>
      </w:r>
    </w:p>
    <w:p>
      <w:r>
        <w:t>(2) Werden bei einem Arzt Gegenstände im Sinne von Absatz 1 Satz 1 gefunden, die den Schwangerschaftsabbruch einer Patientin betreffen, ist ihre Verwertung zu Beweiszwecken in einem Strafverfahren gegen die Patientin wegen einer Straftat nach § 218 des Strafgesetzbuches unzulässig.</w:t>
      </w:r>
    </w:p>
    <w:p>
      <w:r>
        <w:t xml:space="preserve">(3) Werden bei einer in </w:t>
      </w:r>
      <w:hyperlink w:anchor="b75" w:history="1">
        <w:r>
          <w:rPr>
            <w:color w:val="0A3A8C"/>
            <w:u w:val="single"/>
          </w:rPr>
          <w:t xml:space="preserve">§ 53</w:t>
        </w:r>
      </w:hyperlink>
      <w:r>
        <w:t xml:space="preserve"> Abs. 1 Satz 1 Nr. 5 genannten Person Gegenstände im Sinne von Absatz 1 Satz 1 gefunden, auf die sich das Zeugnisverweigerungsrecht der genannten Person erstreckt, ist die Verwertung des Gegenstandes zu Beweiszwecken in einem Strafverfahren nur insoweit zulässig, als Gegenstand dieses Strafverfahrens eine Straftat ist, die im Höchstmaß mit mindestens fünf Jahren Freiheitsstrafe bedroht ist und bei der es sich nicht um eine Straftat nach § 353b des Strafgesetzbuches handelt.</w:t>
      </w:r>
    </w:p>
    <w:p>
      <w:pPr>
        <w:pStyle w:val="Heading3"/>
      </w:pPr>
      <w:bookmarkStart w:id="165" w:name="b164"/>
      <w:r>
        <w:t>§ 109 Kenntlichmachung beschlagnahmter Gegenstände</w:t>
      </w:r>
      <w:r>
        <w:t xml:space="preserve"> </w:t>
      </w:r>
      <w:r>
        <w:rPr>
          <w:rStyle w:val="Suchmarke"/>
        </w:rPr>
        <w:t>#109#</w:t>
      </w:r>
      <w:bookmarkEnd w:id="165"/>
    </w:p>
    <w:p>
      <w:r>
        <w:t>Die in Verwahrung oder in Beschlag genommenen Gegenstände sind genau zu verzeichnen und zur Verhütung von Verwechslungen durch amtliche Siegel oder in sonst geeigneter Weise kenntlich zu machen.</w:t>
      </w:r>
    </w:p>
    <w:p>
      <w:pPr>
        <w:pStyle w:val="Heading3"/>
      </w:pPr>
      <w:bookmarkStart w:id="166" w:name="b165"/>
      <w:r>
        <w:t>§ 110 Durchsicht von Papieren und elektronischen Speichermedien</w:t>
      </w:r>
      <w:r>
        <w:t xml:space="preserve"> </w:t>
      </w:r>
      <w:r>
        <w:rPr>
          <w:rStyle w:val="Suchmarke"/>
        </w:rPr>
        <w:t>#110#</w:t>
      </w:r>
      <w:bookmarkEnd w:id="166"/>
    </w:p>
    <w:p>
      <w:r>
        <w:t>(1) Die Durchsicht der Papiere des von der Durchsuchung Betroffenen steht der Staatsanwaltschaft und auf deren Anordnung ihren Ermittlungspersonen (§ 152 des Gerichtsverfassungsgesetzes) zu.</w:t>
      </w:r>
    </w:p>
    <w:p>
      <w:r>
        <w:t xml:space="preserve">(2) </w:t>
      </w:r>
      <w:r>
        <w:rPr>
          <w:rStyle w:val="Satznummer"/>
        </w:rPr>
        <w:t>1</w:t>
      </w:r>
      <w:r>
        <w:t xml:space="preserve">Im Übrigen sind Beamte zur Durchsicht der aufgefundenen Papiere nur dann befugt, wenn der Inhaber die Durchsicht genehmigt. </w:t>
      </w:r>
      <w:r>
        <w:rPr>
          <w:rStyle w:val="Satznummer"/>
        </w:rPr>
        <w:t>2</w:t>
      </w:r>
      <w:r>
        <w:t>Andernfalls haben sie die Papiere, deren Durchsicht sie für geboten erachten, in einem Umschlag, der in Gegenwart des Inhabers mit dem Amtssiegel zu verschließen ist, an die Staatsanwaltschaft abzuliefern.</w:t>
      </w:r>
    </w:p>
    <w:p>
      <w:r>
        <w:t xml:space="preserve">(3) </w:t>
      </w:r>
      <w:r>
        <w:rPr>
          <w:rStyle w:val="Satznummer"/>
        </w:rPr>
        <w:t>1</w:t>
      </w:r>
      <w:r>
        <w:t xml:space="preserve">Nach Maßgabe der Absätze 1 und 2 ist auch die Durchsicht von elektronischen Speichermedien bei dem von der Durchsuchung Betroffenen zulässig. </w:t>
      </w:r>
      <w:r>
        <w:rPr>
          <w:rStyle w:val="Satznummer"/>
        </w:rPr>
        <w:t>2</w:t>
      </w:r>
      <w:r>
        <w:t xml:space="preserve">Diese Durchsicht darf auch auf hiervon räumlich getrennte Speichermedien erstreckt werden, soweit auf sie von dem elektronischen Speichermedium aus zugegriffen werden kann, wenn andernfalls der Verlust der gesuchten Daten zu befürchten ist. </w:t>
      </w:r>
      <w:r>
        <w:rPr>
          <w:rStyle w:val="Satznummer"/>
        </w:rPr>
        <w:t>3</w:t>
      </w:r>
      <w:r>
        <w:t>Daten, die für die Untersuchung von Bedeutung sein können, dürfen gesichert werden.</w:t>
      </w:r>
    </w:p>
    <w:p>
      <w:r>
        <w:t xml:space="preserve">(4) Werden Papiere zur Durchsicht mitgenommen oder Daten vorläufig gesichert, gelten die </w:t>
      </w:r>
      <w:hyperlink w:anchor="b134" w:history="1">
        <w:r>
          <w:rPr>
            <w:color w:val="0A3A8C"/>
            <w:u w:val="single"/>
          </w:rPr>
          <w:t xml:space="preserve">§§ 95a</w:t>
        </w:r>
      </w:hyperlink>
      <w:r>
        <w:t xml:space="preserve"> und </w:t>
      </w:r>
      <w:hyperlink w:anchor="b137" w:history="1">
        <w:r>
          <w:rPr>
            <w:color w:val="0A3A8C"/>
            <w:u w:val="single"/>
          </w:rPr>
          <w:t xml:space="preserve">98</w:t>
        </w:r>
      </w:hyperlink>
      <w:r>
        <w:t xml:space="preserve"> Absatz 2 entsprechend.</w:t>
      </w:r>
    </w:p>
    <w:p>
      <w:pPr>
        <w:pStyle w:val="Heading3"/>
      </w:pPr>
      <w:bookmarkStart w:id="167" w:name="b166"/>
      <w:r>
        <w:t>§ 110a Verdeckter Ermittler</w:t>
      </w:r>
      <w:r>
        <w:t xml:space="preserve"> </w:t>
      </w:r>
      <w:r>
        <w:rPr>
          <w:rStyle w:val="Suchmarke"/>
        </w:rPr>
        <w:t>#110a#</w:t>
      </w:r>
      <w:bookmarkEnd w:id="167"/>
    </w:p>
    <w:p>
      <w:r>
        <w:t xml:space="preserve">(1) </w:t>
      </w:r>
      <w:r>
        <w:rPr>
          <w:rStyle w:val="Satznummer"/>
        </w:rPr>
        <w:t>1</w:t>
      </w:r>
      <w:r>
        <w:t>Verdeckte Ermittler dürfen zur Aufklärung von Straftaten eingesetzt werden, wenn zureichende tatsächliche Anhaltspunkte dafür vorliegen, daß eine Straftat von erheblicher Bedeutung</w:t>
      </w:r>
    </w:p>
    <w:p>
      <w:pPr>
        <w:tabs>
          <w:tab w:pos="567" w:val="left"/>
        </w:tabs>
        <w:ind w:left="567" w:hanging="567"/>
      </w:pPr>
      <w:r>
        <w:t>1.</w:t>
      </w:r>
      <w:r>
        <w:tab/>
      </w:r>
      <w:r>
        <w:t>auf dem Gebiet des unerlaubten Betäubungsmittel- oder Waffenverkehrs, der Geld- oder Wertzeichenfälschung,</w:t>
      </w:r>
    </w:p>
    <w:p>
      <w:pPr>
        <w:tabs>
          <w:tab w:pos="567" w:val="left"/>
        </w:tabs>
        <w:ind w:left="567" w:hanging="567"/>
      </w:pPr>
      <w:r>
        <w:t>2.</w:t>
      </w:r>
      <w:r>
        <w:tab/>
      </w:r>
      <w:r>
        <w:t>auf dem Gebiet des Staatsschutzes (§§ 74a, 120 des Gerichtsverfassungsgesetzes),</w:t>
      </w:r>
    </w:p>
    <w:p>
      <w:pPr>
        <w:tabs>
          <w:tab w:pos="567" w:val="left"/>
        </w:tabs>
        <w:ind w:left="567" w:hanging="567"/>
      </w:pPr>
      <w:r>
        <w:t>3.</w:t>
      </w:r>
      <w:r>
        <w:tab/>
      </w:r>
      <w:r>
        <w:t>gewerbs- oder gewohnheitsmäßig oder</w:t>
      </w:r>
    </w:p>
    <w:p>
      <w:pPr>
        <w:tabs>
          <w:tab w:pos="567" w:val="left"/>
        </w:tabs>
        <w:ind w:left="567" w:hanging="567"/>
      </w:pPr>
      <w:r>
        <w:t>4.</w:t>
      </w:r>
      <w:r>
        <w:tab/>
      </w:r>
      <w:r>
        <w:t>von einem Bandenmitglied oder in anderer Weise organisiert</w:t>
      </w:r>
    </w:p>
    <w:p>
      <w:r>
        <w:t xml:space="preserve">begangen worden ist. </w:t>
      </w:r>
      <w:r>
        <w:rPr>
          <w:rStyle w:val="Satznummer"/>
        </w:rPr>
        <w:t>2</w:t>
      </w:r>
      <w:r>
        <w:t xml:space="preserve">Zur Aufklärung von Verbrechen dürfen Verdeckte Ermittler auch eingesetzt werden, soweit auf Grund bestimmter Tatsachen die Gefahr der Wiederholung besteht. </w:t>
      </w:r>
      <w:r>
        <w:rPr>
          <w:rStyle w:val="Satznummer"/>
        </w:rPr>
        <w:t>3</w:t>
      </w:r>
      <w:r>
        <w:t xml:space="preserve">Der Einsatz ist nur zulässig, soweit die Aufklärung auf andere Weise aussichtslos oder wesentlich erschwert wäre. </w:t>
      </w:r>
      <w:r>
        <w:rPr>
          <w:rStyle w:val="Satznummer"/>
        </w:rPr>
        <w:t>4</w:t>
      </w:r>
      <w:r>
        <w:t xml:space="preserve">Zur Aufklärung von Verbrechen dürfen Verdeckte Ermittler außerdem eingesetzt werden, wenn die besondere Bedeutung der Tat den Einsatz gebietet und andere Maßnahmen aussichtslos wären. </w:t>
      </w:r>
      <w:r>
        <w:rPr>
          <w:rStyle w:val="Satznummer"/>
        </w:rPr>
        <w:t>5</w:t>
      </w:r>
      <w:hyperlink w:anchor="b146" w:history="1">
        <w:r>
          <w:rPr>
            <w:color w:val="0A3A8C"/>
            <w:u w:val="single"/>
          </w:rPr>
          <w:t xml:space="preserve">§ 100d</w:t>
        </w:r>
      </w:hyperlink>
      <w:r>
        <w:t xml:space="preserve"> Absatz 1 und 2 gilt entsprechend.</w:t>
      </w:r>
    </w:p>
    <w:p>
      <w:r>
        <w:t xml:space="preserve">(2) </w:t>
      </w:r>
      <w:r>
        <w:rPr>
          <w:rStyle w:val="Satznummer"/>
        </w:rPr>
        <w:t>1</w:t>
      </w:r>
      <w:r>
        <w:t xml:space="preserve">Verdeckte Ermittler sind Beamte des Polizeidienstes, die unter einer ihnen verliehenen, auf Dauer angelegten, veränderten Identität (Legende) ermitteln. </w:t>
      </w:r>
      <w:r>
        <w:rPr>
          <w:rStyle w:val="Satznummer"/>
        </w:rPr>
        <w:t>2</w:t>
      </w:r>
      <w:r>
        <w:t>Sie dürfen unter der Legende am Rechtsverkehr teilnehmen.</w:t>
      </w:r>
    </w:p>
    <w:p>
      <w:r>
        <w:t>(3) Soweit es für den Aufbau oder die Aufrechterhaltung der Legende unerläßlich ist, dürfen entsprechende Urkunden hergestellt, verändert und gebraucht werden.</w:t>
      </w:r>
    </w:p>
    <w:p>
      <w:pPr>
        <w:pStyle w:val="Heading3"/>
      </w:pPr>
      <w:bookmarkStart w:id="168" w:name="b167"/>
      <w:r>
        <w:t>§ 110b Verfahren beim Einsatz eines Verdeckten Ermittlers</w:t>
      </w:r>
      <w:r>
        <w:t xml:space="preserve"> </w:t>
      </w:r>
      <w:r>
        <w:rPr>
          <w:rStyle w:val="Suchmarke"/>
        </w:rPr>
        <w:t>#110b#</w:t>
      </w:r>
      <w:bookmarkEnd w:id="168"/>
    </w:p>
    <w:p>
      <w:r>
        <w:t xml:space="preserve">(1) </w:t>
      </w:r>
      <w:r>
        <w:rPr>
          <w:rStyle w:val="Satznummer"/>
        </w:rPr>
        <w:t>1</w:t>
      </w:r>
      <w:r>
        <w:t xml:space="preserve">Der Einsatz eines Verdeckten Ermittlers ist erst nach Zustimmung der Staatsanwaltschaft zulässig. </w:t>
      </w:r>
      <w:r>
        <w:rPr>
          <w:rStyle w:val="Satznummer"/>
        </w:rPr>
        <w:t>2</w:t>
      </w:r>
      <w:r>
        <w:t xml:space="preserve">Besteht Gefahr im Verzug und kann die Entscheidung der Staatsanwaltschaft nicht rechtzeitig eingeholt werden, so ist sie unverzüglich herbeizuführen; die Maßnahme ist zu beenden, wenn nicht die Staatsanwaltschaft binnen drei Werktagen zustimmt. </w:t>
      </w:r>
      <w:r>
        <w:rPr>
          <w:rStyle w:val="Satznummer"/>
        </w:rPr>
        <w:t>3</w:t>
      </w:r>
      <w:r>
        <w:t xml:space="preserve">Die Zustimmung ist schriftlich zu erteilen und zu befristen. </w:t>
      </w:r>
      <w:r>
        <w:rPr>
          <w:rStyle w:val="Satznummer"/>
        </w:rPr>
        <w:t>4</w:t>
      </w:r>
      <w:r>
        <w:t>Eine Verlängerung ist zulässig, solange die Voraussetzungen für den Einsatz fortbestehen.</w:t>
      </w:r>
    </w:p>
    <w:p>
      <w:r>
        <w:t xml:space="preserve">(2) </w:t>
      </w:r>
      <w:r>
        <w:rPr>
          <w:rStyle w:val="Satznummer"/>
        </w:rPr>
        <w:t>1</w:t>
      </w:r>
      <w:r>
        <w:t>Einsätze,</w:t>
      </w:r>
    </w:p>
    <w:p>
      <w:pPr>
        <w:tabs>
          <w:tab w:pos="567" w:val="left"/>
        </w:tabs>
        <w:ind w:left="567" w:hanging="567"/>
      </w:pPr>
      <w:r>
        <w:t>1.</w:t>
      </w:r>
      <w:r>
        <w:tab/>
      </w:r>
      <w:r>
        <w:t>die sich gegen einen bestimmten Beschuldigten richten oder</w:t>
      </w:r>
    </w:p>
    <w:p>
      <w:pPr>
        <w:tabs>
          <w:tab w:pos="567" w:val="left"/>
        </w:tabs>
        <w:ind w:left="567" w:hanging="567"/>
      </w:pPr>
      <w:r>
        <w:t>2.</w:t>
      </w:r>
      <w:r>
        <w:tab/>
      </w:r>
      <w:r>
        <w:t>bei denen der Verdeckte Ermittler eine Wohnung betritt, die nicht allgemein zugänglich ist,</w:t>
      </w:r>
    </w:p>
    <w:p>
      <w:r>
        <w:t xml:space="preserve">bedürfen der Zustimmung des Gerichts. </w:t>
      </w:r>
      <w:r>
        <w:rPr>
          <w:rStyle w:val="Satznummer"/>
        </w:rPr>
        <w:t>2</w:t>
      </w:r>
      <w:r>
        <w:t xml:space="preserve">Bei Gefahr im Verzug genügt die Zustimmung der Staatsanwaltschaft. </w:t>
      </w:r>
      <w:r>
        <w:rPr>
          <w:rStyle w:val="Satznummer"/>
        </w:rPr>
        <w:t>3</w:t>
      </w:r>
      <w:r>
        <w:t xml:space="preserve">Kann die Entscheidung der Staatsanwaltschaft nicht rechtzeitig eingeholt werden, so ist sie unverzüglich herbeizuführen. </w:t>
      </w:r>
      <w:r>
        <w:rPr>
          <w:rStyle w:val="Satznummer"/>
        </w:rPr>
        <w:t>4</w:t>
      </w:r>
      <w:r>
        <w:t xml:space="preserve">Die Maßnahme ist zu beenden, wenn nicht das Gericht binnen drei Werktagen zustimmt. </w:t>
      </w:r>
      <w:r>
        <w:rPr>
          <w:rStyle w:val="Satznummer"/>
        </w:rPr>
        <w:t>5</w:t>
      </w:r>
      <w:r>
        <w:t>Absatz 1 Satz 3 und 4 gilt entsprechend.</w:t>
      </w:r>
    </w:p>
    <w:p>
      <w:r>
        <w:t xml:space="preserve">(3) </w:t>
      </w:r>
      <w:r>
        <w:rPr>
          <w:rStyle w:val="Satznummer"/>
        </w:rPr>
        <w:t>1</w:t>
      </w:r>
      <w:r>
        <w:t xml:space="preserve">Die Identität des Verdeckten Ermittlers kann auch nach Beendigung des Einsatzes geheimgehalten werden. </w:t>
      </w:r>
      <w:r>
        <w:rPr>
          <w:rStyle w:val="Satznummer"/>
        </w:rPr>
        <w:t>2</w:t>
      </w:r>
      <w:r>
        <w:t xml:space="preserve">Die Staatsanwaltschaft und das Gericht, die für die Entscheidung über die Zustimmung zu dem Einsatz zuständig sind, können verlangen, daß die Identität ihnen gegenüber offenbart wird. </w:t>
      </w:r>
      <w:r>
        <w:rPr>
          <w:rStyle w:val="Satznummer"/>
        </w:rPr>
        <w:t>3</w:t>
      </w:r>
      <w:r>
        <w:t xml:space="preserve">Im übrigen ist in einem Strafverfahren die Geheimhaltung der Identität nach Maßgabe des </w:t>
      </w:r>
      <w:hyperlink w:anchor="b135" w:history="1">
        <w:r>
          <w:rPr>
            <w:color w:val="0A3A8C"/>
            <w:u w:val="single"/>
          </w:rPr>
          <w:t xml:space="preserve">§ 96</w:t>
        </w:r>
      </w:hyperlink>
      <w:r>
        <w:t xml:space="preserve"> zulässig, insbesondere dann, wenn Anlaß zu der Besorgnis besteht, daß die Offenbarung Leben, Leib oder Freiheit des Verdeckten Ermittlers oder einer anderen Person oder die Möglichkeit der weiteren Verwendung des Verdeckten Ermittlers gefährden würde.</w:t>
      </w:r>
    </w:p>
    <w:p>
      <w:pPr>
        <w:pStyle w:val="Heading3"/>
      </w:pPr>
      <w:bookmarkStart w:id="169" w:name="b168"/>
      <w:r>
        <w:t>§ 110c Befugnisse des Verdeckten Ermittlers</w:t>
      </w:r>
      <w:r>
        <w:t xml:space="preserve"> </w:t>
      </w:r>
      <w:r>
        <w:rPr>
          <w:rStyle w:val="Suchmarke"/>
        </w:rPr>
        <w:t>#110c#</w:t>
      </w:r>
      <w:bookmarkEnd w:id="169"/>
    </w:p>
    <w:p>
      <w:r>
        <w:rPr>
          <w:rStyle w:val="Satznummer"/>
        </w:rPr>
        <w:t>1</w:t>
      </w:r>
      <w:r>
        <w:t xml:space="preserve">Verdeckte Ermittler dürfen unter Verwendung ihrer Legende eine Wohnung mit dem Einverständnis des Berechtigten betreten. </w:t>
      </w:r>
      <w:r>
        <w:rPr>
          <w:rStyle w:val="Satznummer"/>
        </w:rPr>
        <w:t>2</w:t>
      </w:r>
      <w:r>
        <w:t xml:space="preserve">Das Einverständnis darf nicht durch ein über die Nutzung der Legende hinausgehendes Vortäuschen eines Zutrittsrechts herbeigeführt werden. </w:t>
      </w:r>
      <w:r>
        <w:rPr>
          <w:rStyle w:val="Satznummer"/>
        </w:rPr>
        <w:t>3</w:t>
      </w:r>
      <w:r>
        <w:t>Im übrigen richten sich die Befugnisse des Verdeckten Ermittlers nach diesem Gesetz und anderen Rechtsvorschriften.</w:t>
      </w:r>
    </w:p>
    <w:p>
      <w:pPr>
        <w:pStyle w:val="Heading3"/>
      </w:pPr>
      <w:bookmarkStart w:id="170" w:name="b169"/>
      <w:r>
        <w:t>§ 110d Besonderes Verfahren bei Einsätzen zur Ermittlung von Straftaten nach den §§ 176e und 184b des Strafgesetzbuches</w:t>
      </w:r>
      <w:r>
        <w:t xml:space="preserve"> </w:t>
      </w:r>
      <w:r>
        <w:rPr>
          <w:rStyle w:val="Suchmarke"/>
        </w:rPr>
        <w:t>#110d#</w:t>
      </w:r>
      <w:bookmarkEnd w:id="170"/>
    </w:p>
    <w:p>
      <w:r>
        <w:rPr>
          <w:rStyle w:val="Satznummer"/>
        </w:rPr>
        <w:t>1</w:t>
      </w:r>
      <w:r>
        <w:t xml:space="preserve">Einsätze, bei denen entsprechend § 176e Absatz 5 oder § 184b Absatz 6 des Strafgesetzbuches Handlungen im Sinne des § 176e Absatz 1 und 3 oder § 184b Absatz 1 Satz 1 Nummer 1, 2 und 4 sowie Satz 2 des Strafgesetzbuches vorgenommen werden, bedürfen der Zustimmung des Gerichts. </w:t>
      </w:r>
      <w:r>
        <w:rPr>
          <w:rStyle w:val="Satznummer"/>
        </w:rPr>
        <w:t>2</w:t>
      </w:r>
      <w:r>
        <w:t xml:space="preserve">In dem Antrag ist darzulegen, dass die handelnden Polizeibeamten auf den Einsatz umfassend vorbereitet wurden. </w:t>
      </w:r>
      <w:r>
        <w:rPr>
          <w:rStyle w:val="Satznummer"/>
        </w:rPr>
        <w:t>3</w:t>
      </w:r>
      <w:r>
        <w:t xml:space="preserve">Bei Gefahr im Verzug genügt die Zustimmung der Staatsanwaltschaft. </w:t>
      </w:r>
      <w:r>
        <w:rPr>
          <w:rStyle w:val="Satznummer"/>
        </w:rPr>
        <w:t>4</w:t>
      </w:r>
      <w:r>
        <w:t xml:space="preserve">Die Maßnahme ist zu beenden, wenn nicht das Gericht binnen drei Werktagen zustimmt. </w:t>
      </w:r>
      <w:r>
        <w:rPr>
          <w:rStyle w:val="Satznummer"/>
        </w:rPr>
        <w:t>5</w:t>
      </w:r>
      <w:r>
        <w:t xml:space="preserve">Die Zustimmung ist schriftlich zu erteilen und zu befristen. </w:t>
      </w:r>
      <w:r>
        <w:rPr>
          <w:rStyle w:val="Satznummer"/>
        </w:rPr>
        <w:t>6</w:t>
      </w:r>
      <w:r>
        <w:t>Eine Verlängerung ist zulässig, solange die Voraussetzungen für den Einsatz fortbestehen.</w:t>
      </w:r>
    </w:p>
    <w:p>
      <w:pPr>
        <w:pStyle w:val="Heading3"/>
      </w:pPr>
      <w:bookmarkStart w:id="171" w:name="b170"/>
      <w:r>
        <w:t>§ 111 Errichtung von Kontrollstellen an öffentlich zugänglichen Orten</w:t>
      </w:r>
      <w:r>
        <w:t xml:space="preserve"> </w:t>
      </w:r>
      <w:r>
        <w:rPr>
          <w:rStyle w:val="Suchmarke"/>
        </w:rPr>
        <w:t>#111#</w:t>
      </w:r>
      <w:bookmarkEnd w:id="171"/>
    </w:p>
    <w:p>
      <w:r>
        <w:t xml:space="preserve">(1) </w:t>
      </w:r>
      <w:r>
        <w:rPr>
          <w:rStyle w:val="Satznummer"/>
        </w:rPr>
        <w:t>1</w:t>
      </w:r>
      <w:r>
        <w:t xml:space="preserve">Begründen bestimmte Tatsachen den Verdacht, daß eine Straftat nach § 89a oder § 89c Absatz 1 bis 4 und 8 des Strafgesetzbuchs oder nach § 129a, auch in Verbindung mit § 129b Abs. 1, des Strafgesetzbuches, eine der in dieser Vorschrift bezeichneten Straftaten oder eine Straftat nach § 250 Abs. 1 Nr. 1 des Strafgesetzbuches begangen worden ist, so können auf öffentlichen Straßen und Plätzen und an anderen öffentlich zugänglichen Orten Kontrollstellen eingerichtet werden, wenn Tatsachen die Annahme rechtfertigen, daß diese Maßnahme zur Ergreifung des Täters oder zur Sicherstellung von Beweismitteln führen kann, die der Aufklärung der Straftat dienen können. </w:t>
      </w:r>
      <w:r>
        <w:rPr>
          <w:rStyle w:val="Satznummer"/>
        </w:rPr>
        <w:t>2</w:t>
      </w:r>
      <w:r>
        <w:t>An einer Kontrollstelle ist jedermann verpflichtet, seine Identität feststellen und sich sowie mitgeführte Sachen durchsuchen zu lassen.</w:t>
      </w:r>
    </w:p>
    <w:p>
      <w:r>
        <w:t>(2) Die Anordnung, eine Kontrollstelle einzurichten, trifft der Richter; die Staatsanwaltschaft und ihre Ermittlungspersonen (§ 152 des Gerichtsverfassungsgesetzes) sind hierzu befugt, wenn Gefahr im Verzug ist.</w:t>
      </w:r>
    </w:p>
    <w:p>
      <w:r>
        <w:t xml:space="preserve">(3) Für die Durchsuchung und die Feststellung der Identität nach Absatz 1 gelten </w:t>
      </w:r>
      <w:hyperlink w:anchor="b161" w:history="1">
        <w:r>
          <w:rPr>
            <w:color w:val="0A3A8C"/>
            <w:u w:val="single"/>
          </w:rPr>
          <w:t xml:space="preserve">§ 106</w:t>
        </w:r>
      </w:hyperlink>
      <w:r>
        <w:t xml:space="preserve"> Abs. 2 Satz 1, </w:t>
      </w:r>
      <w:hyperlink w:anchor="b162" w:history="1">
        <w:r>
          <w:rPr>
            <w:color w:val="0A3A8C"/>
            <w:u w:val="single"/>
          </w:rPr>
          <w:t xml:space="preserve">§ 107</w:t>
        </w:r>
      </w:hyperlink>
      <w:r>
        <w:t xml:space="preserve"> Satz 2 erster Halbsatz, die </w:t>
      </w:r>
      <w:hyperlink w:anchor="b163" w:history="1">
        <w:r>
          <w:rPr>
            <w:color w:val="0A3A8C"/>
            <w:u w:val="single"/>
          </w:rPr>
          <w:t xml:space="preserve">§§ 108</w:t>
        </w:r>
      </w:hyperlink>
      <w:r>
        <w:t xml:space="preserve">, </w:t>
      </w:r>
      <w:hyperlink w:anchor="b164" w:history="1">
        <w:r>
          <w:rPr>
            <w:color w:val="0A3A8C"/>
            <w:u w:val="single"/>
          </w:rPr>
          <w:t xml:space="preserve">109</w:t>
        </w:r>
      </w:hyperlink>
      <w:r>
        <w:t xml:space="preserve">, </w:t>
      </w:r>
      <w:hyperlink w:anchor="b165" w:history="1">
        <w:r>
          <w:rPr>
            <w:color w:val="0A3A8C"/>
            <w:u w:val="single"/>
          </w:rPr>
          <w:t xml:space="preserve">110</w:t>
        </w:r>
      </w:hyperlink>
      <w:r>
        <w:t xml:space="preserve"> Abs. 1 und 2 sowie die </w:t>
      </w:r>
      <w:hyperlink w:anchor="b297" w:history="1">
        <w:r>
          <w:rPr>
            <w:color w:val="0A3A8C"/>
            <w:u w:val="single"/>
          </w:rPr>
          <w:t xml:space="preserve">§§ 163b</w:t>
        </w:r>
      </w:hyperlink>
      <w:r>
        <w:t xml:space="preserve"> und </w:t>
      </w:r>
      <w:hyperlink w:anchor="b298" w:history="1">
        <w:r>
          <w:rPr>
            <w:color w:val="0A3A8C"/>
            <w:u w:val="single"/>
          </w:rPr>
          <w:t xml:space="preserve">163c</w:t>
        </w:r>
      </w:hyperlink>
      <w:r>
        <w:t xml:space="preserve"> entsprechend.</w:t>
      </w:r>
    </w:p>
    <w:p>
      <w:pPr>
        <w:pStyle w:val="Heading3"/>
      </w:pPr>
      <w:bookmarkStart w:id="172" w:name="b171"/>
      <w:r>
        <w:t>§ 111a Vorläufige Entziehung der Fahrerlaubnis</w:t>
      </w:r>
      <w:r>
        <w:t xml:space="preserve"> </w:t>
      </w:r>
      <w:r>
        <w:rPr>
          <w:rStyle w:val="Suchmarke"/>
        </w:rPr>
        <w:t>#111a#</w:t>
      </w:r>
      <w:bookmarkEnd w:id="172"/>
    </w:p>
    <w:p>
      <w:r>
        <w:t xml:space="preserve">(1) </w:t>
      </w:r>
      <w:r>
        <w:rPr>
          <w:rStyle w:val="Satznummer"/>
        </w:rPr>
        <w:t>1</w:t>
      </w:r>
      <w:r>
        <w:t xml:space="preserve">Sind dringende Gründe für die Annahme vorhanden, daß die Fahrerlaubnis entzogen werden wird (§ 69 des Strafgesetzbuches), so kann der Richter dem Beschuldigten durch Beschluß die Fahrerlaubnis vorläufig entziehen. </w:t>
      </w:r>
      <w:r>
        <w:rPr>
          <w:rStyle w:val="Satznummer"/>
        </w:rPr>
        <w:t>2</w:t>
      </w:r>
      <w:r>
        <w:t>Von der vorläufigen Entziehung können bestimmte Arten von Kraftfahrzeugen ausgenommen werden, wenn besondere Umstände die Annahme rechtfertigen, daß der Zweck der Maßnahme dadurch nicht gefährdet wird.</w:t>
      </w:r>
    </w:p>
    <w:p>
      <w:r>
        <w:t>(2) Die vorläufige Entziehung der Fahrerlaubnis ist aufzuheben, wenn ihr Grund weggefallen ist oder wenn das Gericht im Urteil die Fahrerlaubnis nicht entzieht.</w:t>
      </w:r>
    </w:p>
    <w:p>
      <w:r>
        <w:t xml:space="preserve">(3) </w:t>
      </w:r>
      <w:r>
        <w:rPr>
          <w:rStyle w:val="Satznummer"/>
        </w:rPr>
        <w:t>1</w:t>
      </w:r>
      <w:r>
        <w:t xml:space="preserve">Die vorläufige Entziehung der Fahrerlaubnis wirkt zugleich als Anordnung oder Bestätigung der Beschlagnahme des von einer deutschen Behörde ausgestellten Führerscheins. </w:t>
      </w:r>
      <w:r>
        <w:rPr>
          <w:rStyle w:val="Satznummer"/>
        </w:rPr>
        <w:t>2</w:t>
      </w:r>
      <w:r>
        <w:t>Dies gilt auch, wenn der Führerschein von einer Behörde eines Mitgliedstaates der Europäischen Union oder eines anderen Vertragsstaates des Abkommens über den Europäischen Wirtschaftsraum ausgestellt worden ist, sofern der Inhaber seinen ordentlichen Wohnsitz im Inland hat.</w:t>
      </w:r>
    </w:p>
    <w:p>
      <w:r>
        <w:t xml:space="preserve">(4) Ist ein Führerschein beschlagnahmt, weil er nach </w:t>
      </w:r>
      <w:hyperlink w:anchor="b96" w:history="1">
        <w:r>
          <w:rPr>
            <w:color w:val="0A3A8C"/>
            <w:u w:val="single"/>
          </w:rPr>
          <w:t xml:space="preserve">§ 69</w:t>
        </w:r>
      </w:hyperlink>
      <w:r>
        <w:t xml:space="preserve"> Absatz 3 Satz 2 oder nach § 69b Absatz 2 Satz 1 des Strafgesetzbuches eingezogen werden kann, und bedarf es einer richterlichen Entscheidung über die Beschlagnahme, so tritt an deren Stelle die Entscheidung über die vorläufige Entziehung der Fahrerlaubnis.</w:t>
      </w:r>
    </w:p>
    <w:p>
      <w:r>
        <w:t xml:space="preserve">(5) </w:t>
      </w:r>
      <w:r>
        <w:rPr>
          <w:rStyle w:val="Satznummer"/>
        </w:rPr>
        <w:t>1</w:t>
      </w:r>
      <w:r>
        <w:t xml:space="preserve">Ein Führerschein, der in Verwahrung genommen, sichergestellt oder beschlagnahmt ist, weil er nach </w:t>
      </w:r>
      <w:hyperlink w:anchor="b96" w:history="1">
        <w:r>
          <w:rPr>
            <w:color w:val="0A3A8C"/>
            <w:u w:val="single"/>
          </w:rPr>
          <w:t xml:space="preserve">§ 69</w:t>
        </w:r>
      </w:hyperlink>
      <w:r>
        <w:t xml:space="preserve"> Absatz 3 Satz 2 oder nach § 69b Absatz 2 Satz 1 des Strafgesetzbuches eingezogen werden kann, ist dem Beschuldigten zurückzugeben, wenn der Richter die vorläufige Entziehung der Fahrerlaubnis wegen Fehlens der in Absatz 1 bezeichneten Voraussetzungen ablehnt, wenn er sie aufhebt oder wenn das Gericht im Urteil die Fahrerlaubnis nicht entzieht. </w:t>
      </w:r>
      <w:r>
        <w:rPr>
          <w:rStyle w:val="Satznummer"/>
        </w:rPr>
        <w:t>2</w:t>
      </w:r>
      <w:r>
        <w:t>Wird jedoch im Urteil ein Fahrverbot nach § 44 des Strafgesetzbuches verhängt, so kann die Rückgabe des Führerscheins aufgeschoben werden, wenn der Beschuldigte nicht widerspricht.</w:t>
      </w:r>
    </w:p>
    <w:p>
      <w:r>
        <w:t xml:space="preserve">(6) </w:t>
      </w:r>
      <w:r>
        <w:rPr>
          <w:rStyle w:val="Satznummer"/>
        </w:rPr>
        <w:t>1</w:t>
      </w:r>
      <w:r>
        <w:t xml:space="preserve">In ausländischen Führerscheinen, die weder von einem Mitgliedstaat der Europäischen Union noch von einem anderen Vertragsstaat des Abkommens über den Europäischen Wirtschaftsraum ausgestellt wurden, ist die vorläufige Entziehung der Fahrerlaubnis zu vermerken. </w:t>
      </w:r>
      <w:r>
        <w:rPr>
          <w:rStyle w:val="Satznummer"/>
        </w:rPr>
        <w:t>2</w:t>
      </w:r>
      <w:r>
        <w:t>Bis zur Eintragung dieses Vermerkes kann der Führerschein beschlagnahmt werden (</w:t>
      </w:r>
      <w:hyperlink w:anchor="b132" w:history="1">
        <w:r>
          <w:rPr>
            <w:color w:val="0A3A8C"/>
            <w:u w:val="single"/>
          </w:rPr>
          <w:t xml:space="preserve">§ 94</w:t>
        </w:r>
      </w:hyperlink>
      <w:r>
        <w:t xml:space="preserve"> Abs. 3, </w:t>
      </w:r>
      <w:hyperlink w:anchor="b137" w:history="1">
        <w:r>
          <w:rPr>
            <w:color w:val="0A3A8C"/>
            <w:u w:val="single"/>
          </w:rPr>
          <w:t xml:space="preserve">§ 98</w:t>
        </w:r>
      </w:hyperlink>
      <w:r>
        <w:t>).</w:t>
      </w:r>
    </w:p>
    <w:p>
      <w:pPr>
        <w:pStyle w:val="Heading3"/>
      </w:pPr>
      <w:bookmarkStart w:id="173" w:name="b172"/>
      <w:r>
        <w:t>§ 111b Beschlagnahme zur Sicherung der Einziehung oder Unbrauchbarmachung</w:t>
      </w:r>
      <w:r>
        <w:t xml:space="preserve"> </w:t>
      </w:r>
      <w:r>
        <w:rPr>
          <w:rStyle w:val="Suchmarke"/>
        </w:rPr>
        <w:t>#111b#</w:t>
      </w:r>
      <w:bookmarkEnd w:id="173"/>
    </w:p>
    <w:p>
      <w:r>
        <w:t xml:space="preserve">(1) </w:t>
      </w:r>
      <w:r>
        <w:rPr>
          <w:rStyle w:val="Satznummer"/>
        </w:rPr>
        <w:t>1</w:t>
      </w:r>
      <w:r>
        <w:t xml:space="preserve">Ist die Annahme begründet, dass die Voraussetzungen der Einziehung oder Unbrauchbarmachung eines Gegenstandes vorliegen, so kann er zur Sicherung der Vollstreckung beschlagnahmt werden. </w:t>
      </w:r>
      <w:r>
        <w:rPr>
          <w:rStyle w:val="Satznummer"/>
        </w:rPr>
        <w:t>2</w:t>
      </w:r>
      <w:r>
        <w:t xml:space="preserve">Liegen dringende Gründe für diese Annahme vor, so soll die Beschlagnahme angeordnet werden. </w:t>
      </w:r>
      <w:r>
        <w:rPr>
          <w:rStyle w:val="Satznummer"/>
        </w:rPr>
        <w:t>3</w:t>
      </w:r>
      <w:hyperlink w:anchor="b132" w:history="1">
        <w:r>
          <w:rPr>
            <w:color w:val="0A3A8C"/>
            <w:u w:val="single"/>
          </w:rPr>
          <w:t xml:space="preserve">§ 94</w:t>
        </w:r>
      </w:hyperlink>
      <w:r>
        <w:t xml:space="preserve"> Absatz 3 bleibt unberührt.</w:t>
      </w:r>
    </w:p>
    <w:p>
      <w:r>
        <w:t xml:space="preserve">(2) Die </w:t>
      </w:r>
      <w:hyperlink w:anchor="b157" w:history="1">
        <w:r>
          <w:rPr>
            <w:color w:val="0A3A8C"/>
            <w:u w:val="single"/>
          </w:rPr>
          <w:t xml:space="preserve">§§ 102</w:t>
        </w:r>
      </w:hyperlink>
      <w:r>
        <w:t xml:space="preserve"> bis </w:t>
      </w:r>
      <w:hyperlink w:anchor="b165" w:history="1">
        <w:r>
          <w:rPr>
            <w:color w:val="0A3A8C"/>
            <w:u w:val="single"/>
          </w:rPr>
          <w:t xml:space="preserve">110</w:t>
        </w:r>
      </w:hyperlink>
      <w:r>
        <w:t xml:space="preserve"> gelten entsprechend.</w:t>
      </w:r>
    </w:p>
    <w:p>
      <w:pPr>
        <w:pStyle w:val="Heading3"/>
      </w:pPr>
      <w:bookmarkStart w:id="174" w:name="b173"/>
      <w:r>
        <w:t>§ 111c Vollziehung der Beschlagnahme</w:t>
      </w:r>
      <w:r>
        <w:t xml:space="preserve"> </w:t>
      </w:r>
      <w:r>
        <w:rPr>
          <w:rStyle w:val="Suchmarke"/>
        </w:rPr>
        <w:t>#111c#</w:t>
      </w:r>
      <w:bookmarkEnd w:id="174"/>
    </w:p>
    <w:p>
      <w:r>
        <w:t xml:space="preserve">(1) </w:t>
      </w:r>
      <w:r>
        <w:rPr>
          <w:rStyle w:val="Satznummer"/>
        </w:rPr>
        <w:t>1</w:t>
      </w:r>
      <w:r>
        <w:t xml:space="preserve">Die Beschlagnahme einer beweglichen Sache wird dadurch vollzogen, dass die Sache in Gewahrsam genommen wird. </w:t>
      </w:r>
      <w:r>
        <w:rPr>
          <w:rStyle w:val="Satznummer"/>
        </w:rPr>
        <w:t>2</w:t>
      </w:r>
      <w:r>
        <w:t>Die Beschlagnahme kann auch dadurch vollzogen werden, dass sie durch Siegel oder in anderer Weise kenntlich gemacht wird.</w:t>
      </w:r>
    </w:p>
    <w:p>
      <w:r>
        <w:t xml:space="preserve">(2) </w:t>
      </w:r>
      <w:r>
        <w:rPr>
          <w:rStyle w:val="Satznummer"/>
        </w:rPr>
        <w:t>1</w:t>
      </w:r>
      <w:r>
        <w:t xml:space="preserve">Die Beschlagnahme einer Forderung oder eines anderen Vermögensrechtes, das nicht den Vorschriften über die Zwangsvollstreckung in das unbewegliche Vermögen unterliegt, wird durch Pfändung vollzogen. </w:t>
      </w:r>
      <w:r>
        <w:rPr>
          <w:rStyle w:val="Satznummer"/>
        </w:rPr>
        <w:t>2</w:t>
      </w:r>
      <w:r>
        <w:t xml:space="preserve">Die Vorschriften der Zivilprozessordnung über die Zwangsvollstreckung in Forderungen und andere Vermögensrechte sind insoweit sinngemäß anzuwenden. </w:t>
      </w:r>
      <w:r>
        <w:rPr>
          <w:rStyle w:val="Satznummer"/>
        </w:rPr>
        <w:t>3</w:t>
      </w:r>
      <w:r>
        <w:t>Die Aufforderung zur Abgabe der in § 840 Absatz 1 der Zivilprozessordnung bezeichneten Erklärungen ist in den Pfändungsbeschluss aufzunehmen.</w:t>
      </w:r>
    </w:p>
    <w:p>
      <w:r>
        <w:t xml:space="preserve">(3) </w:t>
      </w:r>
      <w:r>
        <w:rPr>
          <w:rStyle w:val="Satznummer"/>
        </w:rPr>
        <w:t>1</w:t>
      </w:r>
      <w:r>
        <w:t xml:space="preserve">Die Beschlagnahme eines Grundstücks oder eines Rechts, das den Vorschriften über die Zwangsvollstreckung in das unbewegliche Vermögen unterliegt, wird durch ihre Eintragung im Grundbuch vollzogen. </w:t>
      </w:r>
      <w:r>
        <w:rPr>
          <w:rStyle w:val="Satznummer"/>
        </w:rPr>
        <w:t>2</w:t>
      </w:r>
      <w:r>
        <w:t>Die Vorschriften des Gesetzes über die Zwangsversteigerung und Zwangsverwaltung über den Umfang der Beschlagnahme bei der Zwangsversteigerung gelten entsprechend.</w:t>
      </w:r>
    </w:p>
    <w:p>
      <w:r>
        <w:t xml:space="preserve">(4) </w:t>
      </w:r>
      <w:r>
        <w:rPr>
          <w:rStyle w:val="Satznummer"/>
        </w:rPr>
        <w:t>1</w:t>
      </w:r>
      <w:r>
        <w:t xml:space="preserve">Die Beschlagnahme eines Schiffes, eines Schiffsbauwerks oder eines Luftfahrzeugs wird nach Absatz 1 vollzogen. </w:t>
      </w:r>
      <w:r>
        <w:rPr>
          <w:rStyle w:val="Satznummer"/>
        </w:rPr>
        <w:t>2</w:t>
      </w:r>
      <w:r>
        <w:t xml:space="preserve">Ist der Gegenstand im Schiffs- oder Schiffsbauregister oder im Register für Pfandrechte an Luftfahrzeugen eingetragen, ist die Beschlagnahme in diesem Register einzutragen. </w:t>
      </w:r>
      <w:r>
        <w:rPr>
          <w:rStyle w:val="Satznummer"/>
        </w:rPr>
        <w:t>3</w:t>
      </w:r>
      <w:r>
        <w:t>Zu diesem Zweck können eintragungsfähige Schiffsbauwerke oder Luftfahrzeuge zur Eintragung angemeldet werden; die Vorschriften, die bei der Anmeldung durch eine Person, die auf Grund eines vollstreckbaren Titels eine Eintragung im Register verlangen kann, anzuwenden sind, gelten hierbei entsprechend.</w:t>
      </w:r>
    </w:p>
    <w:p>
      <w:pPr>
        <w:pStyle w:val="Heading3"/>
      </w:pPr>
      <w:bookmarkStart w:id="175" w:name="b174"/>
      <w:r>
        <w:t>§ 111d Wirkung der Vollziehung der Beschlagnahme; Rückgabe beweglicher Sachen</w:t>
      </w:r>
      <w:r>
        <w:t xml:space="preserve"> </w:t>
      </w:r>
      <w:r>
        <w:rPr>
          <w:rStyle w:val="Suchmarke"/>
        </w:rPr>
        <w:t>#111d#</w:t>
      </w:r>
      <w:bookmarkEnd w:id="175"/>
    </w:p>
    <w:p>
      <w:r>
        <w:t xml:space="preserve">(1) </w:t>
      </w:r>
      <w:r>
        <w:rPr>
          <w:rStyle w:val="Satznummer"/>
        </w:rPr>
        <w:t>1</w:t>
      </w:r>
      <w:r>
        <w:t xml:space="preserve">Die Vollziehung der Beschlagnahme eines Gegenstandes hat die Wirkung eines Veräußerungsverbotes im Sinne des § 136 des Bürgerlichen Gesetzbuchs. </w:t>
      </w:r>
      <w:r>
        <w:rPr>
          <w:rStyle w:val="Satznummer"/>
        </w:rPr>
        <w:t>2</w:t>
      </w:r>
      <w:r>
        <w:t xml:space="preserve">Die Wirkung der Beschlagnahme wird von der Eröffnung des Insolvenzverfahrens über das Vermögen des Betroffenen nicht berührt; Maßnahmen nach </w:t>
      </w:r>
      <w:hyperlink w:anchor="b173" w:history="1">
        <w:r>
          <w:rPr>
            <w:color w:val="0A3A8C"/>
            <w:u w:val="single"/>
          </w:rPr>
          <w:t xml:space="preserve">§ 111c</w:t>
        </w:r>
      </w:hyperlink>
      <w:r>
        <w:t xml:space="preserve"> können in einem solchen Verfahren nicht angefochten werden.</w:t>
      </w:r>
    </w:p>
    <w:p>
      <w:r>
        <w:t xml:space="preserve">(2) </w:t>
      </w:r>
      <w:r>
        <w:rPr>
          <w:rStyle w:val="Satznummer"/>
        </w:rPr>
        <w:t>1</w:t>
      </w:r>
      <w:r>
        <w:t xml:space="preserve">Eine beschlagnahmte bewegliche Sache kann dem Betroffenen zurückgegeben werden, wenn er einen den Wert der Sache entsprechenden Geldbetrag beibringt. </w:t>
      </w:r>
      <w:r>
        <w:rPr>
          <w:rStyle w:val="Satznummer"/>
        </w:rPr>
        <w:t>2</w:t>
      </w:r>
      <w:r>
        <w:t xml:space="preserve">Der beigebrachte Betrag tritt an die Stelle der Sache. </w:t>
      </w:r>
      <w:r>
        <w:rPr>
          <w:rStyle w:val="Satznummer"/>
        </w:rPr>
        <w:t>3</w:t>
      </w:r>
      <w:r>
        <w:t>Sie kann dem Betroffenen auch unter dem Vorbehalt jederzeitigen Widerrufs zur vorläufigen weiteren Benutzung bis zum Abschluss des Verfahrens überlassen werden; die Maßnahme kann davon abhängig gemacht werden, dass der Betroffene Sicherheit leistet oder bestimmte Auflagen erfüllt.</w:t>
      </w:r>
    </w:p>
    <w:p>
      <w:r>
        <w:t xml:space="preserve">(3) </w:t>
      </w:r>
      <w:r>
        <w:rPr>
          <w:rStyle w:val="Satznummer"/>
        </w:rPr>
        <w:t>1</w:t>
      </w:r>
      <w:r>
        <w:t xml:space="preserve">Beschlagnahmtes Bargeld kann hinterlegt oder auf ein Konto der Justiz eingezahlt werden. </w:t>
      </w:r>
      <w:r>
        <w:rPr>
          <w:rStyle w:val="Satznummer"/>
        </w:rPr>
        <w:t>2</w:t>
      </w:r>
      <w:r>
        <w:t>Der mit der Einzahlung entstandene Auszahlungsanspruch tritt an die Stelle des Bargeldes.</w:t>
      </w:r>
    </w:p>
    <w:p>
      <w:pPr>
        <w:pStyle w:val="Heading3"/>
      </w:pPr>
      <w:bookmarkStart w:id="176" w:name="b175"/>
      <w:r>
        <w:t>§ 111e Vermögensarrest zur Sicherung der Wertersatzeinziehung</w:t>
      </w:r>
      <w:r>
        <w:t xml:space="preserve"> </w:t>
      </w:r>
      <w:r>
        <w:rPr>
          <w:rStyle w:val="Suchmarke"/>
        </w:rPr>
        <w:t>#111e#</w:t>
      </w:r>
      <w:bookmarkEnd w:id="176"/>
    </w:p>
    <w:p>
      <w:r>
        <w:t xml:space="preserve">(1) </w:t>
      </w:r>
      <w:r>
        <w:rPr>
          <w:rStyle w:val="Satznummer"/>
        </w:rPr>
        <w:t>1</w:t>
      </w:r>
      <w:r>
        <w:t xml:space="preserve">Ist die Annahme begründet, dass die Voraussetzungen der Einziehung von Wertersatz vorliegen, so kann zur Sicherung der Vollstreckung der Vermögensarrest in das bewegliche und unbewegliche Vermögen des Betroffenen angeordnet werden. </w:t>
      </w:r>
      <w:r>
        <w:rPr>
          <w:rStyle w:val="Satznummer"/>
        </w:rPr>
        <w:t>2</w:t>
      </w:r>
      <w:r>
        <w:t>Liegen dringende Gründe für diese Annahme vor, so soll der Vermögensarrest angeordnet werden.</w:t>
      </w:r>
    </w:p>
    <w:p>
      <w:r>
        <w:t>(2) Der Vermögensarrest kann auch zur Sicherung der Vollstreckung einer Geldstrafe und der voraussichtlichen Kosten des Strafverfahrens angeordnet werden, wenn gegen den Beschuldigten ein Urteil ergangen oder ein Strafbefehl erlassen worden ist.</w:t>
      </w:r>
    </w:p>
    <w:p>
      <w:r>
        <w:t>(3) Zur Sicherung der Vollstreckungskosten ergeht kein Arrest.</w:t>
      </w:r>
    </w:p>
    <w:p>
      <w:r>
        <w:t xml:space="preserve">(4) </w:t>
      </w:r>
      <w:r>
        <w:rPr>
          <w:rStyle w:val="Satznummer"/>
        </w:rPr>
        <w:t>1</w:t>
      </w:r>
      <w:r>
        <w:t xml:space="preserve">In der Anordnung ist der zu sichernde Anspruch unter Angabe des Geldbetrages zu bezeichnen. </w:t>
      </w:r>
      <w:r>
        <w:rPr>
          <w:rStyle w:val="Satznummer"/>
        </w:rPr>
        <w:t>2</w:t>
      </w:r>
      <w:r>
        <w:t>Zudem ist in der Anordnung ein Geldbetrag festzusetzen, durch dessen Hinterlegung der Betroffene die Vollziehung des Arrestes abwenden und die Aufhebung der Vollziehung des Arrestes verlangen kann; § 108 Absatz 1 der Zivilprozessordnung gilt entsprechend.</w:t>
      </w:r>
    </w:p>
    <w:p>
      <w:r>
        <w:t xml:space="preserve">(5) Die </w:t>
      </w:r>
      <w:hyperlink w:anchor="b157" w:history="1">
        <w:r>
          <w:rPr>
            <w:color w:val="0A3A8C"/>
            <w:u w:val="single"/>
          </w:rPr>
          <w:t xml:space="preserve">§§ 102</w:t>
        </w:r>
      </w:hyperlink>
      <w:r>
        <w:t xml:space="preserve"> bis </w:t>
      </w:r>
      <w:hyperlink w:anchor="b165" w:history="1">
        <w:r>
          <w:rPr>
            <w:color w:val="0A3A8C"/>
            <w:u w:val="single"/>
          </w:rPr>
          <w:t xml:space="preserve">110</w:t>
        </w:r>
      </w:hyperlink>
      <w:r>
        <w:t xml:space="preserve"> gelten entsprechend.</w:t>
      </w:r>
    </w:p>
    <w:p>
      <w:r>
        <w:t>(6) Die Möglichkeit einer Anordnung nach § 324 der Abgabenordnung steht einer Anordnung nach Absatz 1 nicht entgegen.</w:t>
      </w:r>
    </w:p>
    <w:p>
      <w:pPr>
        <w:pStyle w:val="Heading3"/>
      </w:pPr>
      <w:bookmarkStart w:id="177" w:name="b176"/>
      <w:r>
        <w:t>§ 111f Vollziehung des Vermögensarrestes</w:t>
      </w:r>
      <w:r>
        <w:t xml:space="preserve"> </w:t>
      </w:r>
      <w:r>
        <w:rPr>
          <w:rStyle w:val="Suchmarke"/>
        </w:rPr>
        <w:t>#111f#</w:t>
      </w:r>
      <w:bookmarkEnd w:id="177"/>
    </w:p>
    <w:p>
      <w:r>
        <w:t xml:space="preserve">(1) </w:t>
      </w:r>
      <w:r>
        <w:rPr>
          <w:rStyle w:val="Satznummer"/>
        </w:rPr>
        <w:t>1</w:t>
      </w:r>
      <w:r>
        <w:t xml:space="preserve">Der Vermögensarrest in eine bewegliche Sache, in eine Forderung oder ein anderes Vermögensrecht, das nicht der Zwangsvollstreckung in das unbewegliche Vermögen unterliegt, wird durch Pfändung vollzogen. </w:t>
      </w:r>
      <w:r>
        <w:rPr>
          <w:rStyle w:val="Satznummer"/>
        </w:rPr>
        <w:t>2</w:t>
      </w:r>
      <w:r>
        <w:t xml:space="preserve">Die §§ 928 und 930 der Zivilprozessordnung gelten sinngemäß. </w:t>
      </w:r>
      <w:r>
        <w:rPr>
          <w:rStyle w:val="Satznummer"/>
        </w:rPr>
        <w:t>3</w:t>
      </w:r>
      <w:hyperlink w:anchor="b173" w:history="1">
        <w:r>
          <w:rPr>
            <w:color w:val="0A3A8C"/>
            <w:u w:val="single"/>
          </w:rPr>
          <w:t xml:space="preserve">§ 111c</w:t>
        </w:r>
      </w:hyperlink>
      <w:r>
        <w:t xml:space="preserve"> Absatz 2 Satz 3 gilt entsprechend.</w:t>
      </w:r>
    </w:p>
    <w:p>
      <w:r>
        <w:t xml:space="preserve">(2) </w:t>
      </w:r>
      <w:r>
        <w:rPr>
          <w:rStyle w:val="Satznummer"/>
        </w:rPr>
        <w:t>1</w:t>
      </w:r>
      <w:r>
        <w:t xml:space="preserve">Der Vermögensarrest in ein Grundstück oder ein Recht, das den Vorschriften über die Zwangsvollstreckung in das unbewegliche Vermögen unterliegt, wird durch Eintragung einer Sicherungshypothek bewirkt. </w:t>
      </w:r>
      <w:r>
        <w:rPr>
          <w:rStyle w:val="Satznummer"/>
        </w:rPr>
        <w:t>2</w:t>
      </w:r>
      <w:r>
        <w:t>Die §§ 928 und 932 der Zivilprozessordung gelten sinngemäß.</w:t>
      </w:r>
    </w:p>
    <w:p>
      <w:r>
        <w:t xml:space="preserve">(3) </w:t>
      </w:r>
      <w:r>
        <w:rPr>
          <w:rStyle w:val="Satznummer"/>
        </w:rPr>
        <w:t>1</w:t>
      </w:r>
      <w:r>
        <w:t xml:space="preserve">Der Vermögensarrest in ein Schiff, ein Schiffsbauwerk oder ein Luftfahrzeug wird nach Absatz 1 bewirkt. </w:t>
      </w:r>
      <w:r>
        <w:rPr>
          <w:rStyle w:val="Satznummer"/>
        </w:rPr>
        <w:t>2</w:t>
      </w:r>
      <w:r>
        <w:t>Ist der Gegenstand im Schiffs- oder Schiffsbauregister oder im Register für Pfandrechte an Luftfahrzeugen eingetragen, gelten die §§ 928 und 931 der Zivilprozessordung sinngemäß.</w:t>
      </w:r>
    </w:p>
    <w:p>
      <w:r>
        <w:t xml:space="preserve">(4) In den Fällen der Absätze 2 und 3 Satz 2 wird auch das Veräußerungsverbot nach </w:t>
      </w:r>
      <w:hyperlink w:anchor="b178" w:history="1">
        <w:r>
          <w:rPr>
            <w:color w:val="0A3A8C"/>
            <w:u w:val="single"/>
          </w:rPr>
          <w:t xml:space="preserve">§ 111h</w:t>
        </w:r>
      </w:hyperlink>
      <w:r>
        <w:t xml:space="preserve"> Absatz 1 Satz 1 in Verbindung mit § 136 des Bürgerlichen Gesetzbuchs eingetragen.</w:t>
      </w:r>
    </w:p>
    <w:p>
      <w:pPr>
        <w:pStyle w:val="Heading3"/>
      </w:pPr>
      <w:bookmarkStart w:id="178" w:name="b177"/>
      <w:r>
        <w:t>§ 111g Aufhebung der Vollziehung des Vermögensarrestes</w:t>
      </w:r>
      <w:r>
        <w:t xml:space="preserve"> </w:t>
      </w:r>
      <w:r>
        <w:rPr>
          <w:rStyle w:val="Suchmarke"/>
        </w:rPr>
        <w:t>#111g#</w:t>
      </w:r>
      <w:bookmarkEnd w:id="178"/>
    </w:p>
    <w:p>
      <w:r>
        <w:t xml:space="preserve">(1) Hinterlegt der Betroffene den nach </w:t>
      </w:r>
      <w:hyperlink w:anchor="b175" w:history="1">
        <w:r>
          <w:rPr>
            <w:color w:val="0A3A8C"/>
            <w:u w:val="single"/>
          </w:rPr>
          <w:t xml:space="preserve">§ 111e</w:t>
        </w:r>
      </w:hyperlink>
      <w:r>
        <w:t xml:space="preserve"> Absatz 4 festgesetzten Geldbetrag, wird die Vollziehungsmaßnahme aufgehoben.</w:t>
      </w:r>
    </w:p>
    <w:p>
      <w:r>
        <w:t>(2) Ist der Arrest wegen einer Geldstrafe oder der voraussichtlich entstehenden Kosten des Strafverfahrens angeordnet worden, so ist eine Vollziehungsmaßnahme auf Antrag des Beschuldigten aufzuheben, soweit der Beschuldigte den Pfandgegenstand zur Aufbringung der Kosten seiner Verteidigung, seines Unterhalts oder des Unterhalts seiner Familie benötigt.</w:t>
      </w:r>
    </w:p>
    <w:p>
      <w:pPr>
        <w:pStyle w:val="Heading3"/>
      </w:pPr>
      <w:bookmarkStart w:id="179" w:name="b178"/>
      <w:r>
        <w:t>§ 111h Wirkung der Vollziehung des Vermögensarrestes</w:t>
      </w:r>
      <w:r>
        <w:t xml:space="preserve"> </w:t>
      </w:r>
      <w:r>
        <w:rPr>
          <w:rStyle w:val="Suchmarke"/>
        </w:rPr>
        <w:t>#111h#</w:t>
      </w:r>
      <w:bookmarkEnd w:id="179"/>
    </w:p>
    <w:p>
      <w:r>
        <w:t xml:space="preserve">(1) </w:t>
      </w:r>
      <w:r>
        <w:rPr>
          <w:rStyle w:val="Satznummer"/>
        </w:rPr>
        <w:t>1</w:t>
      </w:r>
      <w:r>
        <w:t xml:space="preserve">Die Vollziehung des Vermögensarrestes in einen Gegenstand hat die Wirkung eines Veräußerungsverbots im Sinne des § 136 des Bürgerlichen Gesetzbuchs. </w:t>
      </w:r>
      <w:r>
        <w:rPr>
          <w:rStyle w:val="Satznummer"/>
        </w:rPr>
        <w:t>2</w:t>
      </w:r>
      <w:r>
        <w:t>Für das Sicherungsrecht, das in Vollziehung des Vermögensarrestes entsteht, gilt § 80 Absatz 2 Satz 2 der Insolvenzordnung.</w:t>
      </w:r>
    </w:p>
    <w:p>
      <w:r>
        <w:t xml:space="preserve">(2) </w:t>
      </w:r>
      <w:r>
        <w:rPr>
          <w:rStyle w:val="Satznummer"/>
        </w:rPr>
        <w:t>1</w:t>
      </w:r>
      <w:r>
        <w:t xml:space="preserve">Zwangsvollstreckungen in Gegenstände, die im Wege der Arrestvollziehung nach </w:t>
      </w:r>
      <w:hyperlink w:anchor="b176" w:history="1">
        <w:r>
          <w:rPr>
            <w:color w:val="0A3A8C"/>
            <w:u w:val="single"/>
          </w:rPr>
          <w:t xml:space="preserve">§ 111f</w:t>
        </w:r>
      </w:hyperlink>
      <w:r>
        <w:t xml:space="preserve"> gesichert worden sind, sind während der Dauer der Arrestvollziehung nicht zulässig. </w:t>
      </w:r>
      <w:r>
        <w:rPr>
          <w:rStyle w:val="Satznummer"/>
        </w:rPr>
        <w:t>2</w:t>
      </w:r>
      <w:r>
        <w:t>Die Vollziehung einer Arrestanordnung nach § 324 der Abgabenordnung bleibt unberührt, soweit der Arrestanspruch aus der Straftat erwachsen ist.</w:t>
      </w:r>
    </w:p>
    <w:p>
      <w:pPr>
        <w:pStyle w:val="Heading3"/>
      </w:pPr>
      <w:bookmarkStart w:id="180" w:name="b179"/>
      <w:r>
        <w:t>§ 111i Insolvenzverfahren</w:t>
      </w:r>
      <w:r>
        <w:t xml:space="preserve"> </w:t>
      </w:r>
      <w:r>
        <w:rPr>
          <w:rStyle w:val="Suchmarke"/>
        </w:rPr>
        <w:t>#111i#</w:t>
      </w:r>
      <w:bookmarkEnd w:id="180"/>
    </w:p>
    <w:p>
      <w:r>
        <w:t xml:space="preserve">(1) </w:t>
      </w:r>
      <w:r>
        <w:rPr>
          <w:rStyle w:val="Satznummer"/>
        </w:rPr>
        <w:t>1</w:t>
      </w:r>
      <w:r>
        <w:t xml:space="preserve">Ist jemandem aus der Tat ein Anspruch auf Ersatz des Wertes des Erlangten erwachsen und wird das Insolvenzverfahren über das Vermögen des Arrestschuldners eröffnet, so erlischt das Sicherungsrecht nach </w:t>
      </w:r>
      <w:hyperlink w:anchor="b178" w:history="1">
        <w:r>
          <w:rPr>
            <w:color w:val="0A3A8C"/>
            <w:u w:val="single"/>
          </w:rPr>
          <w:t xml:space="preserve">§ 111h</w:t>
        </w:r>
      </w:hyperlink>
      <w:r>
        <w:t xml:space="preserve"> Absatz 1 an dem Gegenstand oder an dem durch dessen Verwertung erzielten Erlös, sobald dieser vom Insolvenzbeschlag erfasst wird. </w:t>
      </w:r>
      <w:r>
        <w:rPr>
          <w:rStyle w:val="Satznummer"/>
        </w:rPr>
        <w:t>2</w:t>
      </w:r>
      <w:r>
        <w:t xml:space="preserve">Das Sicherungsrecht erlischt nicht an Gegenständen, die in einem Staat belegen sind, in dem die Eröffnung des Insolvenzverfahrens nicht anerkannt wird. </w:t>
      </w:r>
      <w:r>
        <w:rPr>
          <w:rStyle w:val="Satznummer"/>
        </w:rPr>
        <w:t>3</w:t>
      </w:r>
      <w:r>
        <w:t xml:space="preserve">Die Sätze 1 und 2 gelten entsprechend für das Pfandrecht an der nach </w:t>
      </w:r>
      <w:hyperlink w:anchor="b177" w:history="1">
        <w:r>
          <w:rPr>
            <w:color w:val="0A3A8C"/>
            <w:u w:val="single"/>
          </w:rPr>
          <w:t xml:space="preserve">§ 111g</w:t>
        </w:r>
      </w:hyperlink>
      <w:r>
        <w:t xml:space="preserve"> Absatz 1 hinterlegten Sicherheit.</w:t>
      </w:r>
    </w:p>
    <w:p>
      <w:r>
        <w:t xml:space="preserve">(2) </w:t>
      </w:r>
      <w:r>
        <w:rPr>
          <w:rStyle w:val="Satznummer"/>
        </w:rPr>
        <w:t>1</w:t>
      </w:r>
      <w:r>
        <w:t xml:space="preserve">Sind mehrere Anspruchsberechtigte im Sinne des Absatzes 1 Satz 1 vorhanden und reicht der Wert des in Vollziehung des Vermögensarrestes gesicherten Gegenstandes oder des durch seine Verwertung erzielten Erlöses zur Befriedigung der von ihnen geltend gemachten Ansprüche nicht aus, so stellt die Staatsanwaltschaft einen Antrag auf Eröffnung des Insolvenzverfahrens über das Vermögen des Arrestschuldners. </w:t>
      </w:r>
      <w:r>
        <w:rPr>
          <w:rStyle w:val="Satznummer"/>
        </w:rPr>
        <w:t>2</w:t>
      </w:r>
      <w:r>
        <w:t>Die Staatsanwaltschaft sieht von der Stellung eines Eröffnungsantrags ab, wenn begründete Zweifel daran bestehen, dass das Insolvenzverfahren auf Grund des Antrags eröffnet wird.</w:t>
      </w:r>
    </w:p>
    <w:p>
      <w:r>
        <w:t xml:space="preserve">(3) </w:t>
      </w:r>
      <w:r>
        <w:rPr>
          <w:rStyle w:val="Satznummer"/>
        </w:rPr>
        <w:t>1</w:t>
      </w:r>
      <w:r>
        <w:t xml:space="preserve">Verbleibt bei der Schlussverteilung ein Überschuss, so erwirbt der Staat bis zur Höhe des Vermögensarrestes ein Pfandrecht am Anspruch des Schuldners auf Herausgabe des Überschusses. </w:t>
      </w:r>
      <w:r>
        <w:rPr>
          <w:rStyle w:val="Satznummer"/>
        </w:rPr>
        <w:t>2</w:t>
      </w:r>
      <w:r>
        <w:t>In diesem Umfang hat der Insolvenzverwalter den Überschuss an die Staatsanwaltschaft herauszugeben.</w:t>
      </w:r>
    </w:p>
    <w:p>
      <w:pPr>
        <w:pStyle w:val="Heading3"/>
      </w:pPr>
      <w:bookmarkStart w:id="181" w:name="b180"/>
      <w:r>
        <w:t>§ 111j Verfahren bei der Anordnung der Beschlagnahme und des Vermögensarrestes</w:t>
      </w:r>
      <w:r>
        <w:t xml:space="preserve"> </w:t>
      </w:r>
      <w:r>
        <w:rPr>
          <w:rStyle w:val="Suchmarke"/>
        </w:rPr>
        <w:t>#111j#</w:t>
      </w:r>
      <w:bookmarkEnd w:id="181"/>
    </w:p>
    <w:p>
      <w:r>
        <w:t xml:space="preserve">(1) </w:t>
      </w:r>
      <w:r>
        <w:rPr>
          <w:rStyle w:val="Satznummer"/>
        </w:rPr>
        <w:t>1</w:t>
      </w:r>
      <w:r>
        <w:t xml:space="preserve">Beschlagnahme und Vermögensarrest werden durch das Gericht angeordnet. </w:t>
      </w:r>
      <w:r>
        <w:rPr>
          <w:rStyle w:val="Satznummer"/>
        </w:rPr>
        <w:t>2</w:t>
      </w:r>
      <w:r>
        <w:t xml:space="preserve">Bei Gefahr im Verzug kann die Anordnung auch durch die Staatsanwaltschaft erfolgen. </w:t>
      </w:r>
      <w:r>
        <w:rPr>
          <w:rStyle w:val="Satznummer"/>
        </w:rPr>
        <w:t>3</w:t>
      </w:r>
      <w:r>
        <w:t>Unter der Voraussetzung des Satzes 2 sind zur Beschlagnahme einer beweglichen Sache auch die Ermittlungspersonen der Staatsanwaltschaft (§ 152 des Gerichtsverfassungsgesetzes) befugt.</w:t>
      </w:r>
    </w:p>
    <w:p>
      <w:r>
        <w:t xml:space="preserve">(2) </w:t>
      </w:r>
      <w:r>
        <w:rPr>
          <w:rStyle w:val="Satznummer"/>
        </w:rPr>
        <w:t>1</w:t>
      </w:r>
      <w:r>
        <w:t xml:space="preserve">Hat die Staatsanwaltschaft die Beschlagnahme oder den Arrest angeordnet, so beantragt sie innerhalb einer Woche die gerichtliche Bestätigung der Anordnung. </w:t>
      </w:r>
      <w:r>
        <w:rPr>
          <w:rStyle w:val="Satznummer"/>
        </w:rPr>
        <w:t>2</w:t>
      </w:r>
      <w:r>
        <w:t xml:space="preserve">Dies gilt nicht, wenn die Beschlagnahme einer beweglichen Sache angeordnet ist. </w:t>
      </w:r>
      <w:r>
        <w:rPr>
          <w:rStyle w:val="Satznummer"/>
        </w:rPr>
        <w:t>3</w:t>
      </w:r>
      <w:r>
        <w:t xml:space="preserve">Der Betroffene kann in allen Fällen die Entscheidung des Gerichts beantragen. </w:t>
      </w:r>
      <w:r>
        <w:rPr>
          <w:rStyle w:val="Satznummer"/>
        </w:rPr>
        <w:t>4</w:t>
      </w:r>
      <w:r>
        <w:t xml:space="preserve">Die Zuständigkeit des Gerichts bestimmt sich nach </w:t>
      </w:r>
      <w:hyperlink w:anchor="b294" w:history="1">
        <w:r>
          <w:rPr>
            <w:color w:val="0A3A8C"/>
            <w:u w:val="single"/>
          </w:rPr>
          <w:t xml:space="preserve">§ 162</w:t>
        </w:r>
      </w:hyperlink>
      <w:r>
        <w:t>.</w:t>
      </w:r>
    </w:p>
    <w:p>
      <w:pPr>
        <w:pStyle w:val="Heading3"/>
      </w:pPr>
      <w:bookmarkStart w:id="182" w:name="b181"/>
      <w:r>
        <w:t>§ 111k Verfahren bei der Vollziehung der Beschlagnahme und des Vermögensarrestes</w:t>
      </w:r>
      <w:r>
        <w:t xml:space="preserve"> </w:t>
      </w:r>
      <w:r>
        <w:rPr>
          <w:rStyle w:val="Suchmarke"/>
        </w:rPr>
        <w:t>#111k#</w:t>
      </w:r>
      <w:bookmarkEnd w:id="182"/>
    </w:p>
    <w:p>
      <w:r>
        <w:t xml:space="preserve">(1) </w:t>
      </w:r>
      <w:r>
        <w:rPr>
          <w:rStyle w:val="Satznummer"/>
        </w:rPr>
        <w:t>1</w:t>
      </w:r>
      <w:r>
        <w:t xml:space="preserve">Beschlagnahme und Vermögensarrest werden durch die Staatsanwaltschaft vollzogen. </w:t>
      </w:r>
      <w:r>
        <w:rPr>
          <w:rStyle w:val="Satznummer"/>
        </w:rPr>
        <w:t>2</w:t>
      </w:r>
      <w:r>
        <w:t xml:space="preserve">Die erforderlichen Eintragungen in das Grundbuch und in die in </w:t>
      </w:r>
      <w:hyperlink w:anchor="b173" w:history="1">
        <w:r>
          <w:rPr>
            <w:color w:val="0A3A8C"/>
            <w:u w:val="single"/>
          </w:rPr>
          <w:t xml:space="preserve">§ 111c</w:t>
        </w:r>
      </w:hyperlink>
      <w:r>
        <w:t xml:space="preserve"> Absatz 4 genannten Register sowie die in </w:t>
      </w:r>
      <w:hyperlink w:anchor="b173" w:history="1">
        <w:r>
          <w:rPr>
            <w:color w:val="0A3A8C"/>
            <w:u w:val="single"/>
          </w:rPr>
          <w:t xml:space="preserve">§ 111c</w:t>
        </w:r>
      </w:hyperlink>
      <w:r>
        <w:t xml:space="preserve"> Absatz 4 genannten Anmeldungen werden auf Ersuchen der Staatsanwaltschaft bewirkt. </w:t>
      </w:r>
      <w:r>
        <w:rPr>
          <w:rStyle w:val="Satznummer"/>
        </w:rPr>
        <w:t>3</w:t>
      </w:r>
      <w:r>
        <w:t xml:space="preserve">Soweit ein Arrest nach den Vorschriften über die Pfändung in bewegliche Sachen zu vollziehen ist, kann dies durch die in § 2 des Justizbeitreibungsgesetzes bezeichnete Behörde, den Gerichtsvollzieher, die Staatsanwaltschaft oder durch deren Ermittlungspersonen (§ 152 des Gerichtsverfassungsgesetzes) vollzogen werden. </w:t>
      </w:r>
      <w:r>
        <w:rPr>
          <w:rStyle w:val="Satznummer"/>
        </w:rPr>
        <w:t>4</w:t>
      </w:r>
      <w:r>
        <w:t xml:space="preserve">Die Beschlagnahme beweglicher Sachen kann auch durch die Ermittlungspersonen der Staatsanwaltschaft (§ 152 des Gerichtsverfassungsgesetzes) vollzogen werden. </w:t>
      </w:r>
      <w:r>
        <w:rPr>
          <w:rStyle w:val="Satznummer"/>
        </w:rPr>
        <w:t>5</w:t>
      </w:r>
      <w:hyperlink w:anchor="b137" w:history="1">
        <w:r>
          <w:rPr>
            <w:color w:val="0A3A8C"/>
            <w:u w:val="single"/>
          </w:rPr>
          <w:t xml:space="preserve">§ 98</w:t>
        </w:r>
      </w:hyperlink>
      <w:r>
        <w:t xml:space="preserve"> Absatz 4 gilt entsprechend.</w:t>
      </w:r>
    </w:p>
    <w:p>
      <w:r>
        <w:t xml:space="preserve">(2) </w:t>
      </w:r>
      <w:r>
        <w:rPr>
          <w:rStyle w:val="Satznummer"/>
        </w:rPr>
        <w:t>1</w:t>
      </w:r>
      <w:r>
        <w:t xml:space="preserve">Für die Zustellung gilt </w:t>
      </w:r>
      <w:hyperlink w:anchor="b56" w:history="1">
        <w:r>
          <w:rPr>
            <w:color w:val="0A3A8C"/>
            <w:u w:val="single"/>
          </w:rPr>
          <w:t xml:space="preserve">§ 37</w:t>
        </w:r>
      </w:hyperlink>
      <w:r>
        <w:t xml:space="preserve"> Absatz 1 mit der Maßgabe, dass auch die Ermittlungspersonen der Staatsanwaltschaft (§ 152 des Gerichtsverfassungsgesetzes) mit der Ausführung beauftragt werden können. </w:t>
      </w:r>
      <w:r>
        <w:rPr>
          <w:rStyle w:val="Satznummer"/>
        </w:rPr>
        <w:t>2</w:t>
      </w:r>
      <w:r>
        <w:t>Für Zustellungen an ein im Inland zum Geschäftsbetrieb befugtes Kreditinstitut gelten die §§ 173 und 175 der Zivilprozessordnung entsprechend.</w:t>
      </w:r>
    </w:p>
    <w:p>
      <w:r>
        <w:t xml:space="preserve">(3) Gegen Maßnahmen, die in Vollziehung der Beschlagnahme oder des Vermögensarrestes getroffen werden, kann der Betroffene die Entscheidung des nach </w:t>
      </w:r>
      <w:hyperlink w:anchor="b294" w:history="1">
        <w:r>
          <w:rPr>
            <w:color w:val="0A3A8C"/>
            <w:u w:val="single"/>
          </w:rPr>
          <w:t xml:space="preserve">§ 162</w:t>
        </w:r>
      </w:hyperlink>
      <w:r>
        <w:t xml:space="preserve"> zuständigen Gerichts beantragen.</w:t>
      </w:r>
    </w:p>
    <w:p>
      <w:pPr>
        <w:pStyle w:val="Heading3"/>
      </w:pPr>
      <w:bookmarkStart w:id="183" w:name="b182"/>
      <w:r>
        <w:t>§ 111l Mitteilungen</w:t>
      </w:r>
      <w:r>
        <w:t xml:space="preserve"> </w:t>
      </w:r>
      <w:r>
        <w:rPr>
          <w:rStyle w:val="Suchmarke"/>
        </w:rPr>
        <w:t>#111l#</w:t>
      </w:r>
      <w:bookmarkEnd w:id="183"/>
    </w:p>
    <w:p>
      <w:r>
        <w:t>(1) Die Staatsanwaltschaft teilt die Vollziehung der Beschlagnahme oder des Vermögensarrests demjenigen mit, dem ein Anspruch auf Rückgewähr des Erlangten oder auf Ersatz des Wertes des Erlangten aus der Tat erwachsen ist.</w:t>
      </w:r>
    </w:p>
    <w:p>
      <w:r>
        <w:t xml:space="preserve">(2) In den Fällen der Beschlagnahme einer beweglichen Sache ist die Mitteilung mit dem Hinweis auf den Regelungsgehalt des Verfahrens über die Herausgabe nach den </w:t>
      </w:r>
      <w:hyperlink w:anchor="b184" w:history="1">
        <w:r>
          <w:rPr>
            <w:color w:val="0A3A8C"/>
            <w:u w:val="single"/>
          </w:rPr>
          <w:t xml:space="preserve">§§ 111n</w:t>
        </w:r>
      </w:hyperlink>
      <w:r>
        <w:t xml:space="preserve"> und </w:t>
      </w:r>
      <w:hyperlink w:anchor="b185" w:history="1">
        <w:r>
          <w:rPr>
            <w:color w:val="0A3A8C"/>
            <w:u w:val="single"/>
          </w:rPr>
          <w:t xml:space="preserve">111o</w:t>
        </w:r>
      </w:hyperlink>
      <w:r>
        <w:t xml:space="preserve"> zu verbinden.</w:t>
      </w:r>
    </w:p>
    <w:p>
      <w:r>
        <w:t xml:space="preserve">(3) </w:t>
      </w:r>
      <w:r>
        <w:rPr>
          <w:rStyle w:val="Satznummer"/>
        </w:rPr>
        <w:t>1</w:t>
      </w:r>
      <w:r>
        <w:t xml:space="preserve">Wird ein Vermögensarrest vollzogen, so fordert die Staatsanwaltschaft den Anspruchsinhaber zugleich mit der Mitteilung auf zu erklären, ob und in welcher Höhe er den Anspruch auf Ersatz des Wertes des Erlangten, der ihm aus der Tat erwachsen ist, geltend machen wolle. </w:t>
      </w:r>
      <w:r>
        <w:rPr>
          <w:rStyle w:val="Satznummer"/>
        </w:rPr>
        <w:t>2</w:t>
      </w:r>
      <w:r>
        <w:t xml:space="preserve">Die Mitteilung ist mit dem Hinweis auf den Regelungsgehalt des </w:t>
      </w:r>
      <w:hyperlink w:anchor="b178" w:history="1">
        <w:r>
          <w:rPr>
            <w:color w:val="0A3A8C"/>
            <w:u w:val="single"/>
          </w:rPr>
          <w:t xml:space="preserve">§ 111h</w:t>
        </w:r>
      </w:hyperlink>
      <w:r>
        <w:t xml:space="preserve"> Absatz 2 und der Verfahren nach </w:t>
      </w:r>
      <w:hyperlink w:anchor="b179" w:history="1">
        <w:r>
          <w:rPr>
            <w:color w:val="0A3A8C"/>
            <w:u w:val="single"/>
          </w:rPr>
          <w:t xml:space="preserve">§ 111i</w:t>
        </w:r>
      </w:hyperlink>
      <w:r>
        <w:t xml:space="preserve"> Absatz 2, </w:t>
      </w:r>
      <w:hyperlink w:anchor="b666" w:history="1">
        <w:r>
          <w:rPr>
            <w:color w:val="0A3A8C"/>
            <w:u w:val="single"/>
          </w:rPr>
          <w:t xml:space="preserve">§ 459h</w:t>
        </w:r>
      </w:hyperlink>
      <w:r>
        <w:t xml:space="preserve"> Absatz 2 sowie </w:t>
      </w:r>
      <w:hyperlink w:anchor="b669" w:history="1">
        <w:r>
          <w:rPr>
            <w:color w:val="0A3A8C"/>
            <w:u w:val="single"/>
          </w:rPr>
          <w:t xml:space="preserve">§ 459k</w:t>
        </w:r>
      </w:hyperlink>
      <w:r>
        <w:t xml:space="preserve"> zu verbinden.</w:t>
      </w:r>
    </w:p>
    <w:p>
      <w:r>
        <w:t xml:space="preserve">(4) </w:t>
      </w:r>
      <w:r>
        <w:rPr>
          <w:rStyle w:val="Satznummer"/>
        </w:rPr>
        <w:t>1</w:t>
      </w:r>
      <w:r>
        <w:t xml:space="preserve">Die Mitteilung kann durch einmalige Bekanntmachung im Bundesanzeiger erfolgen, wenn eine Mitteilung gegenüber jedem einzelnen mit unverhältnismäßigem Aufwand verbunden wäre. </w:t>
      </w:r>
      <w:r>
        <w:rPr>
          <w:rStyle w:val="Satznummer"/>
        </w:rPr>
        <w:t>2</w:t>
      </w:r>
      <w:r>
        <w:t xml:space="preserve">Zusätzlich kann die Mitteilung auch in anderer geeigneter Weise veröffentlicht werden. </w:t>
      </w:r>
      <w:r>
        <w:rPr>
          <w:rStyle w:val="Satznummer"/>
        </w:rPr>
        <w:t>3</w:t>
      </w:r>
      <w:r>
        <w:t xml:space="preserve">Gleiches gilt, wenn unbekannt ist, wem ein Anspruch auf Rückgewähr des Erlangten oder auf Ersatz des Wertes des Erlangten aus der Tat erwachsen ist, oder wenn der Anspruchsinhaber unbekannten Aufenthalts ist. </w:t>
      </w:r>
      <w:r>
        <w:rPr>
          <w:rStyle w:val="Satznummer"/>
        </w:rPr>
        <w:t>4</w:t>
      </w:r>
      <w:r>
        <w:t xml:space="preserve">Personendaten dürfen nur veröffentlicht werden, soweit ihre Angabe zur Wahrung der Rechte der Anspruchsinhaber unerlässlich ist. </w:t>
      </w:r>
      <w:r>
        <w:rPr>
          <w:rStyle w:val="Satznummer"/>
        </w:rPr>
        <w:t>5</w:t>
      </w:r>
      <w:r>
        <w:t>Nach Beendigung der Sicherungsmaßnahmen veranlasst die Staatsanwaltschaft die Löschung der Bekanntmachung.</w:t>
      </w:r>
    </w:p>
    <w:p>
      <w:pPr>
        <w:pStyle w:val="Heading3"/>
      </w:pPr>
      <w:bookmarkStart w:id="184" w:name="b183"/>
      <w:r>
        <w:t>§ 111m Verwaltung beschlagnahmter oder gepfändeter Gegenstände</w:t>
      </w:r>
      <w:r>
        <w:t xml:space="preserve"> </w:t>
      </w:r>
      <w:r>
        <w:rPr>
          <w:rStyle w:val="Suchmarke"/>
        </w:rPr>
        <w:t>#111m#</w:t>
      </w:r>
      <w:bookmarkEnd w:id="184"/>
    </w:p>
    <w:p>
      <w:r>
        <w:t xml:space="preserve">(1) </w:t>
      </w:r>
      <w:r>
        <w:rPr>
          <w:rStyle w:val="Satznummer"/>
        </w:rPr>
        <w:t>1</w:t>
      </w:r>
      <w:r>
        <w:t xml:space="preserve">Die Verwaltung von Gegenständen, die nach </w:t>
      </w:r>
      <w:hyperlink w:anchor="b173" w:history="1">
        <w:r>
          <w:rPr>
            <w:color w:val="0A3A8C"/>
            <w:u w:val="single"/>
          </w:rPr>
          <w:t xml:space="preserve">§ 111c</w:t>
        </w:r>
      </w:hyperlink>
      <w:r>
        <w:t xml:space="preserve"> beschlagnahmt oder auf Grund eines Vermögensarrestes nach </w:t>
      </w:r>
      <w:hyperlink w:anchor="b176" w:history="1">
        <w:r>
          <w:rPr>
            <w:color w:val="0A3A8C"/>
            <w:u w:val="single"/>
          </w:rPr>
          <w:t xml:space="preserve">§ 111f</w:t>
        </w:r>
      </w:hyperlink>
      <w:r>
        <w:t xml:space="preserve"> gepfändet worden sind, obliegt der Staatsanwaltschaft. </w:t>
      </w:r>
      <w:r>
        <w:rPr>
          <w:rStyle w:val="Satznummer"/>
        </w:rPr>
        <w:t>2</w:t>
      </w:r>
      <w:r>
        <w:t xml:space="preserve">Sie kann ihre Ermittlungspersonen (§ 152 des Gerichtsverfassungsgesetzes) oder den Gerichtsvollzieher mit der Verwaltung beauftragen. </w:t>
      </w:r>
      <w:r>
        <w:rPr>
          <w:rStyle w:val="Satznummer"/>
        </w:rPr>
        <w:t>3</w:t>
      </w:r>
      <w:r>
        <w:t>In geeigneten Fällen kann auch eine andere Person mit der Verwaltung beauftragt werden.</w:t>
      </w:r>
    </w:p>
    <w:p>
      <w:r>
        <w:t xml:space="preserve">(2) Gegen Maßnahmen, die im Rahmen der Verwaltung nach Absatz 1 getroffen werden, kann der Betroffene die Entscheidung des nach </w:t>
      </w:r>
      <w:hyperlink w:anchor="b294" w:history="1">
        <w:r>
          <w:rPr>
            <w:color w:val="0A3A8C"/>
            <w:u w:val="single"/>
          </w:rPr>
          <w:t xml:space="preserve">§ 162</w:t>
        </w:r>
      </w:hyperlink>
      <w:r>
        <w:t xml:space="preserve"> zuständigen Gerichts beantragen.</w:t>
      </w:r>
    </w:p>
    <w:p>
      <w:pPr>
        <w:pStyle w:val="Heading3"/>
      </w:pPr>
      <w:bookmarkStart w:id="185" w:name="b184"/>
      <w:r>
        <w:t>§ 111n Herausgabe beweglicher Sachen</w:t>
      </w:r>
      <w:r>
        <w:t xml:space="preserve"> </w:t>
      </w:r>
      <w:r>
        <w:rPr>
          <w:rStyle w:val="Suchmarke"/>
        </w:rPr>
        <w:t>#111n#</w:t>
      </w:r>
      <w:bookmarkEnd w:id="185"/>
    </w:p>
    <w:p>
      <w:r>
        <w:t xml:space="preserve">(1) Wird eine bewegliche Sache, die nach </w:t>
      </w:r>
      <w:hyperlink w:anchor="b132" w:history="1">
        <w:r>
          <w:rPr>
            <w:color w:val="0A3A8C"/>
            <w:u w:val="single"/>
          </w:rPr>
          <w:t xml:space="preserve">§ 94</w:t>
        </w:r>
      </w:hyperlink>
      <w:r>
        <w:t xml:space="preserve"> beschlagnahmt oder auf andere Weise sichergestellt oder nach </w:t>
      </w:r>
      <w:hyperlink w:anchor="b173" w:history="1">
        <w:r>
          <w:rPr>
            <w:color w:val="0A3A8C"/>
            <w:u w:val="single"/>
          </w:rPr>
          <w:t xml:space="preserve">§ 111c</w:t>
        </w:r>
      </w:hyperlink>
      <w:r>
        <w:t xml:space="preserve"> Absatz 1 beschlagnahmt worden ist, für Zwecke des Strafverfahrens nicht mehr benötigt, so wird sie an den letzten Gewahrsamsinhaber herausgegeben.</w:t>
      </w:r>
    </w:p>
    <w:p>
      <w:r>
        <w:t>(2) Abweichend von Absatz 1 wird die Sache an denjenigen herausgegeben, dem sie durch die Straftat unmittelbar entzogen worden ist, wenn dieser bekannt ist.</w:t>
      </w:r>
    </w:p>
    <w:p>
      <w:r>
        <w:t>(3) Steht der Herausgabe nach Absatz 1 oder Absatz 2 der Anspruch eines Dritten entgegen, wird die Sache an den Dritten herausgegeben, wenn dieser bekannt ist.</w:t>
      </w:r>
    </w:p>
    <w:p>
      <w:r>
        <w:t>(4) Die Herausgabe erfolgt nur, wenn ihre Voraussetzungen offenkundig sind.</w:t>
      </w:r>
    </w:p>
    <w:p>
      <w:pPr>
        <w:pStyle w:val="Heading3"/>
      </w:pPr>
      <w:bookmarkStart w:id="186" w:name="b185"/>
      <w:r>
        <w:t>§ 111o Verfahren bei der Herausgabe</w:t>
      </w:r>
      <w:r>
        <w:t xml:space="preserve"> </w:t>
      </w:r>
      <w:r>
        <w:rPr>
          <w:rStyle w:val="Suchmarke"/>
        </w:rPr>
        <w:t>#111o#</w:t>
      </w:r>
      <w:bookmarkEnd w:id="186"/>
    </w:p>
    <w:p>
      <w:r>
        <w:t>(1) Über die Herausgabe entscheidet im vorbereitenden Verfahren und nach rechtskräftigem Abschluss des Verfahrens die Staatsanwaltschaft, im Übrigen das mit der Sache befasste Gericht.</w:t>
      </w:r>
    </w:p>
    <w:p>
      <w:r>
        <w:t xml:space="preserve">(2) Gegen die Verfügung der Staatsanwaltschaft können die Betroffenen die Entscheidung des nach </w:t>
      </w:r>
      <w:hyperlink w:anchor="b294" w:history="1">
        <w:r>
          <w:rPr>
            <w:color w:val="0A3A8C"/>
            <w:u w:val="single"/>
          </w:rPr>
          <w:t xml:space="preserve">§ 162</w:t>
        </w:r>
      </w:hyperlink>
      <w:r>
        <w:t xml:space="preserve"> zuständigen Gerichts beantragen.</w:t>
      </w:r>
    </w:p>
    <w:p>
      <w:pPr>
        <w:pStyle w:val="Heading3"/>
      </w:pPr>
      <w:bookmarkStart w:id="187" w:name="b186"/>
      <w:r>
        <w:t>§ 111p Notveräußerung</w:t>
      </w:r>
      <w:r>
        <w:t xml:space="preserve"> </w:t>
      </w:r>
      <w:r>
        <w:rPr>
          <w:rStyle w:val="Suchmarke"/>
        </w:rPr>
        <w:t>#111p#</w:t>
      </w:r>
      <w:bookmarkEnd w:id="187"/>
    </w:p>
    <w:p>
      <w:r>
        <w:t xml:space="preserve">(1) </w:t>
      </w:r>
      <w:r>
        <w:rPr>
          <w:rStyle w:val="Satznummer"/>
        </w:rPr>
        <w:t>1</w:t>
      </w:r>
      <w:r>
        <w:t xml:space="preserve">Ein Gegenstand, der nach </w:t>
      </w:r>
      <w:hyperlink w:anchor="b173" w:history="1">
        <w:r>
          <w:rPr>
            <w:color w:val="0A3A8C"/>
            <w:u w:val="single"/>
          </w:rPr>
          <w:t xml:space="preserve">§ 111c</w:t>
        </w:r>
      </w:hyperlink>
      <w:r>
        <w:t xml:space="preserve"> beschlagnahmt oder nach </w:t>
      </w:r>
      <w:hyperlink w:anchor="b176" w:history="1">
        <w:r>
          <w:rPr>
            <w:color w:val="0A3A8C"/>
            <w:u w:val="single"/>
          </w:rPr>
          <w:t xml:space="preserve">§ 111f</w:t>
        </w:r>
      </w:hyperlink>
      <w:r>
        <w:t xml:space="preserve"> gepfändet worden ist, kann veräußert werden, wenn sein Verderb oder ein erheblicher Wertverlust droht oder seine Aufbewahrung, Pflege oder Erhaltung mit erheblichen Kosten oder Schwierigkeiten verbunden ist (Notveräußerung). </w:t>
      </w:r>
      <w:r>
        <w:rPr>
          <w:rStyle w:val="Satznummer"/>
        </w:rPr>
        <w:t>2</w:t>
      </w:r>
      <w:r>
        <w:t>Der Erlös tritt an die Stelle des veräußerten Gegenstandes.</w:t>
      </w:r>
    </w:p>
    <w:p>
      <w:r>
        <w:t xml:space="preserve">(2) </w:t>
      </w:r>
      <w:r>
        <w:rPr>
          <w:rStyle w:val="Satznummer"/>
        </w:rPr>
        <w:t>1</w:t>
      </w:r>
      <w:r>
        <w:t xml:space="preserve">Die Notveräußerung wird durch die Staatsanwaltschaft angeordnet. </w:t>
      </w:r>
      <w:r>
        <w:rPr>
          <w:rStyle w:val="Satznummer"/>
        </w:rPr>
        <w:t>2</w:t>
      </w:r>
      <w:r>
        <w:t>Ihren Ermittlungspersonen (§ 152 des Gerichtsverfassungsgesetzes) steht diese Befugnis zu, wenn der Gegenstand zu verderben droht, bevor die Entscheidung der Staatsanwaltschaft herbeigeführt werden kann.</w:t>
      </w:r>
    </w:p>
    <w:p>
      <w:r>
        <w:t xml:space="preserve">(3) </w:t>
      </w:r>
      <w:r>
        <w:rPr>
          <w:rStyle w:val="Satznummer"/>
        </w:rPr>
        <w:t>1</w:t>
      </w:r>
      <w:r>
        <w:t xml:space="preserve">Die von der Beschlagnahme oder Pfändung Betroffenen sollen vor der Anordnung gehört werden. </w:t>
      </w:r>
      <w:r>
        <w:rPr>
          <w:rStyle w:val="Satznummer"/>
        </w:rPr>
        <w:t>2</w:t>
      </w:r>
      <w:r>
        <w:t>Die Anordnung sowie Zeit und Ort der Veräußerung sind ihnen, soweit dies ausführbar erscheint, mitzuteilen.</w:t>
      </w:r>
    </w:p>
    <w:p>
      <w:r>
        <w:t xml:space="preserve">(4) </w:t>
      </w:r>
      <w:r>
        <w:rPr>
          <w:rStyle w:val="Satznummer"/>
        </w:rPr>
        <w:t>1</w:t>
      </w:r>
      <w:r>
        <w:t xml:space="preserve">Die Durchführung der Notveräußerung obliegt der Staatsanwaltschaft. </w:t>
      </w:r>
      <w:r>
        <w:rPr>
          <w:rStyle w:val="Satznummer"/>
        </w:rPr>
        <w:t>2</w:t>
      </w:r>
      <w:r>
        <w:t xml:space="preserve">Die Staatsanwaltschaft kann damit auch ihre Ermittlungspersonen (§ 152 des Gerichtsverfassungsgesetzes) beauftragen. </w:t>
      </w:r>
      <w:r>
        <w:rPr>
          <w:rStyle w:val="Satznummer"/>
        </w:rPr>
        <w:t>3</w:t>
      </w:r>
      <w:r>
        <w:t>Für die Notveräußerung gelten im Übrigen die Vorschriften der Zivilprozessordnung über die Verwertung von Gegenständen sinngemäß.</w:t>
      </w:r>
    </w:p>
    <w:p>
      <w:r>
        <w:t xml:space="preserve">(5) </w:t>
      </w:r>
      <w:r>
        <w:rPr>
          <w:rStyle w:val="Satznummer"/>
        </w:rPr>
        <w:t>1</w:t>
      </w:r>
      <w:r>
        <w:t xml:space="preserve">Gegen die Notveräußerung und ihre Durchführung kann der Betroffene die Entscheidung des nach </w:t>
      </w:r>
      <w:hyperlink w:anchor="b294" w:history="1">
        <w:r>
          <w:rPr>
            <w:color w:val="0A3A8C"/>
            <w:u w:val="single"/>
          </w:rPr>
          <w:t xml:space="preserve">§ 162</w:t>
        </w:r>
      </w:hyperlink>
      <w:r>
        <w:t xml:space="preserve"> zuständigen Gerichts beantragen. </w:t>
      </w:r>
      <w:r>
        <w:rPr>
          <w:rStyle w:val="Satznummer"/>
        </w:rPr>
        <w:t>2</w:t>
      </w:r>
      <w:r>
        <w:t>Das Gericht, in dringenden Fällen der Vorsitzende, kann die Aussetzung der Veräußerung anordnen.</w:t>
      </w:r>
    </w:p>
    <w:p>
      <w:pPr>
        <w:pStyle w:val="Heading3"/>
      </w:pPr>
      <w:bookmarkStart w:id="188" w:name="b187"/>
      <w:r>
        <w:t>§ 111q Beschlagnahme von Verkörperungen eines Inhalts und Vorrichtungen</w:t>
      </w:r>
      <w:r>
        <w:t xml:space="preserve"> </w:t>
      </w:r>
      <w:r>
        <w:rPr>
          <w:rStyle w:val="Suchmarke"/>
        </w:rPr>
        <w:t>#111q#</w:t>
      </w:r>
      <w:bookmarkEnd w:id="188"/>
    </w:p>
    <w:p>
      <w:r>
        <w:t xml:space="preserve">(1) Die Beschlagnahme einer Verkörperung eines Inhalts (§ 11 Absatz 3 des Strafgesetzbuches) oder einer Vorrichtung im Sinne des § 74d des Strafgesetzbuches darf nach </w:t>
      </w:r>
      <w:hyperlink w:anchor="b172" w:history="1">
        <w:r>
          <w:rPr>
            <w:color w:val="0A3A8C"/>
            <w:u w:val="single"/>
          </w:rPr>
          <w:t xml:space="preserve">§ 111b</w:t>
        </w:r>
      </w:hyperlink>
      <w:r>
        <w:t xml:space="preserve"> Absatz 1 nicht angeordnet werden, wenn ihre nachteiligen Folgen, insbesondere die Gefährdung des öffentlichen Interesses an unverzögerter Verbreitung, offenbar außer Verhältnis zu der Bedeutung der Sache stehen.</w:t>
      </w:r>
    </w:p>
    <w:p>
      <w:r>
        <w:t xml:space="preserve">(2) </w:t>
      </w:r>
      <w:r>
        <w:rPr>
          <w:rStyle w:val="Satznummer"/>
        </w:rPr>
        <w:t>1</w:t>
      </w:r>
      <w:r>
        <w:t xml:space="preserve">Ausscheidbare Teile der Verkörperung, die nichts Strafbares enthalten, sind von der Beschlagnahme auszuschließen. </w:t>
      </w:r>
      <w:r>
        <w:rPr>
          <w:rStyle w:val="Satznummer"/>
        </w:rPr>
        <w:t>2</w:t>
      </w:r>
      <w:r>
        <w:t>Die Beschlagnahme kann in der Anordnung weiter beschränkt werden.</w:t>
      </w:r>
    </w:p>
    <w:p>
      <w:r>
        <w:t>(3) Die Beschlagnahme kann dadurch abgewendet werden, dass der Betroffene den Teil eines Inhalts, der zur Beschlagnahme Anlass gibt, von der Vervielfältigung oder der Verbreitung ausschließt.</w:t>
      </w:r>
    </w:p>
    <w:p>
      <w:r>
        <w:t xml:space="preserve">(4) </w:t>
      </w:r>
      <w:r>
        <w:rPr>
          <w:rStyle w:val="Satznummer"/>
        </w:rPr>
        <w:t>1</w:t>
      </w:r>
      <w:r>
        <w:t xml:space="preserve">Die Beschlagnahme einer periodisch erscheinenden Verkörperung eines Inhalts (§ 11 Absatz 3 des Strafgesetzbuches) oder einer zu deren Herstellung gebrauchten oder bestimmten Vorrichtung im Sinne des § 74d des Strafgesetzbuches ordnet das Gericht an. </w:t>
      </w:r>
      <w:r>
        <w:rPr>
          <w:rStyle w:val="Satznummer"/>
        </w:rPr>
        <w:t>2</w:t>
      </w:r>
      <w:r>
        <w:t xml:space="preserve">Die Beschlagnahme einer Verkörperung eines anderen Inhalts (§ 11 Absatz 3 des Strafgesetzbuches) oder einer zu deren Herstellung gebrauchten oder bestimmten Vorrichtung im Sinne des § 74d des Strafgesetzbuches kann bei Gefahr in Verzug auch die Staatsanwaltschaft anordnen. </w:t>
      </w:r>
      <w:r>
        <w:rPr>
          <w:rStyle w:val="Satznummer"/>
        </w:rPr>
        <w:t>3</w:t>
      </w:r>
      <w:r>
        <w:t xml:space="preserve">Die Anordnung der Staatsanwaltschaft tritt außer Kraft, wenn sie nicht binnen drei Tagen von dem Gericht bestätigt wird. </w:t>
      </w:r>
      <w:r>
        <w:rPr>
          <w:rStyle w:val="Satznummer"/>
        </w:rPr>
        <w:t>4</w:t>
      </w:r>
      <w:r>
        <w:t>In der Anordnung der Beschlagnahme ist der genaue Inhalt, der zur Beschlagnahme Anlass gibt, zu bezeichnen.</w:t>
      </w:r>
    </w:p>
    <w:p>
      <w:r>
        <w:t xml:space="preserve">(5) </w:t>
      </w:r>
      <w:r>
        <w:rPr>
          <w:rStyle w:val="Satznummer"/>
        </w:rPr>
        <w:t>1</w:t>
      </w:r>
      <w:r>
        <w:t xml:space="preserve">Eine Beschlagnahme nach Absatz 4 ist aufzuheben, wenn nicht binnen zwei Monaten die öffentliche Klage erhoben oder die selbständige Einziehung beantragt ist. </w:t>
      </w:r>
      <w:r>
        <w:rPr>
          <w:rStyle w:val="Satznummer"/>
        </w:rPr>
        <w:t>2</w:t>
      </w:r>
      <w:r>
        <w:t xml:space="preserve">Reicht die in Satz 1 bezeichnete Frist wegen des besonderen Umfanges der Ermittlungen nicht aus, kann das Gericht auf Antrag der Staatsanwaltschaft die Frist um weitere zwei Monate verlängern. </w:t>
      </w:r>
      <w:r>
        <w:rPr>
          <w:rStyle w:val="Satznummer"/>
        </w:rPr>
        <w:t>3</w:t>
      </w:r>
      <w:r>
        <w:t xml:space="preserve">Der Antrag kann einmal wiederholt werden. </w:t>
      </w:r>
      <w:r>
        <w:rPr>
          <w:rStyle w:val="Satznummer"/>
        </w:rPr>
        <w:t>4</w:t>
      </w:r>
      <w:r>
        <w:t>Vor Erhebung der öffentlichen Klage oder vor Beantragung der selbständigen Einziehung ist die Beschlagnahme aufzuheben, wenn die Staatsanwaltschaft dies beantragt.</w:t>
      </w:r>
    </w:p>
    <w:p>
      <w:pPr>
        <w:pStyle w:val="Heading2"/>
      </w:pPr>
      <w:bookmarkStart w:id="189" w:name="b188"/>
      <w:r>
        <w:t>Neunter Abschnitt Verhaftung und vorläufige Festnahme</w:t>
      </w:r>
      <w:bookmarkEnd w:id="189"/>
    </w:p>
    <w:p>
      <w:pPr>
        <w:pStyle w:val="Heading3"/>
      </w:pPr>
      <w:bookmarkStart w:id="190" w:name="b189"/>
      <w:r>
        <w:t>§ 112 Voraussetzungen der Untersuchungshaft; Haftgründe</w:t>
      </w:r>
      <w:r>
        <w:t xml:space="preserve"> </w:t>
      </w:r>
      <w:r>
        <w:rPr>
          <w:rStyle w:val="Suchmarke"/>
        </w:rPr>
        <w:t>#112#</w:t>
      </w:r>
      <w:bookmarkEnd w:id="190"/>
    </w:p>
    <w:p>
      <w:r>
        <w:t xml:space="preserve">(1) </w:t>
      </w:r>
      <w:r>
        <w:rPr>
          <w:rStyle w:val="Satznummer"/>
        </w:rPr>
        <w:t>1</w:t>
      </w:r>
      <w:r>
        <w:t xml:space="preserve">Die Untersuchungshaft darf gegen den Beschuldigten angeordnet werden, wenn er der Tat dringend verdächtig ist und ein Haftgrund besteht. </w:t>
      </w:r>
      <w:r>
        <w:rPr>
          <w:rStyle w:val="Satznummer"/>
        </w:rPr>
        <w:t>2</w:t>
      </w:r>
      <w:r>
        <w:t>Sie darf nicht angeordnet werden, wenn sie zu der Bedeutung der Sache und der zu erwartenden Strafe oder Maßregel der Besserung und Sicherung außer Verhältnis steht.</w:t>
      </w:r>
    </w:p>
    <w:p>
      <w:r>
        <w:t>(2) Ein Haftgrund besteht, wenn auf Grund bestimmter Tatsachen</w:t>
      </w:r>
    </w:p>
    <w:p>
      <w:pPr>
        <w:tabs>
          <w:tab w:pos="567" w:val="left"/>
        </w:tabs>
        <w:ind w:left="567" w:hanging="567"/>
      </w:pPr>
      <w:r>
        <w:t>1.</w:t>
      </w:r>
      <w:r>
        <w:tab/>
      </w:r>
      <w:r>
        <w:t>festgestellt wird, daß der Beschuldigte flüchtig ist oder sich verborgen hält,</w:t>
      </w:r>
    </w:p>
    <w:p>
      <w:pPr>
        <w:tabs>
          <w:tab w:pos="567" w:val="left"/>
        </w:tabs>
        <w:ind w:left="567" w:hanging="567"/>
      </w:pPr>
      <w:r>
        <w:t>2.</w:t>
      </w:r>
      <w:r>
        <w:tab/>
      </w:r>
      <w:r>
        <w:t>bei Würdigung der Umstände des Einzelfalles die Gefahr besteht, daß der Beschuldigte sich dem Strafverfahren entziehen werde (Fluchtgefahr), oder</w:t>
      </w:r>
    </w:p>
    <w:p>
      <w:pPr>
        <w:tabs>
          <w:tab w:pos="567" w:val="left"/>
        </w:tabs>
        <w:ind w:left="567" w:hanging="567"/>
      </w:pPr>
      <w:r>
        <w:t>3.</w:t>
      </w:r>
      <w:r>
        <w:tab/>
      </w:r>
      <w:r>
        <w:t>das Verhalten des Beschuldigten den dringenden Verdacht begründet, er werde</w:t>
      </w:r>
    </w:p>
    <w:p>
      <w:pPr>
        <w:tabs>
          <w:tab w:pos="1134" w:val="left"/>
        </w:tabs>
        <w:ind w:left="1134" w:hanging="567"/>
      </w:pPr>
      <w:r>
        <w:t>a)</w:t>
      </w:r>
      <w:r>
        <w:tab/>
      </w:r>
      <w:r>
        <w:t>Beweismittel vernichten, verändern, beiseite schaffen, unterdrücken oder fälschen oder</w:t>
      </w:r>
    </w:p>
    <w:p>
      <w:pPr>
        <w:tabs>
          <w:tab w:pos="1134" w:val="left"/>
        </w:tabs>
        <w:ind w:left="1134" w:hanging="567"/>
      </w:pPr>
      <w:r>
        <w:t>b)</w:t>
      </w:r>
      <w:r>
        <w:tab/>
      </w:r>
      <w:r>
        <w:t>auf Mitbeschuldigte, Zeugen oder Sachverständige in unlauterer Weise einwirken oder</w:t>
      </w:r>
    </w:p>
    <w:p>
      <w:pPr>
        <w:tabs>
          <w:tab w:pos="1134" w:val="left"/>
        </w:tabs>
        <w:ind w:left="1134" w:hanging="567"/>
      </w:pPr>
      <w:r>
        <w:t>c)</w:t>
      </w:r>
      <w:r>
        <w:tab/>
      </w:r>
      <w:r>
        <w:t>andere zu solchem Verhalten veranlassen,</w:t>
      </w:r>
    </w:p>
    <w:p>
      <w:pPr>
        <w:ind w:left="567"/>
      </w:pPr>
      <w:r>
        <w:t>und wenn deshalb die Gefahr droht, daß die Ermittlung der Wahrheit erschwert werde (Verdunkelungsgefahr).</w:t>
      </w:r>
    </w:p>
    <w:p>
      <w:r>
        <w:t>(3) Gegen den Beschuldigten, der einer Straftat nach § 6 Absatz 1 Nummer 1 oder § 13 Absatz 1 des Völkerstrafgesetzbuches oder § 129a Abs. 1 oder Abs. 2, auch in Verbindung mit § 129b Abs. 1, oder nach den §§ 176c, 176d, 211, 212, 226, 306b oder 306c des Strafgesetzbuches oder, soweit durch die Tat Leib oder Leben eines anderen gefährdet worden ist, nach § 308 Absatz 1 bis 4 des Strafgesetzbuches dringend verdächtig ist, darf die Untersuchungshaft auch angeordnet werden, wenn ein Haftgrund nach Absatz 2 nicht besteht.</w:t>
      </w:r>
    </w:p>
    <w:p>
      <w:pPr>
        <w:pStyle w:val="Heading3"/>
      </w:pPr>
      <w:bookmarkStart w:id="191" w:name="b190"/>
      <w:r>
        <w:t>§ 112a Haftgrund der Wiederholungsgefahr</w:t>
      </w:r>
      <w:r>
        <w:t xml:space="preserve"> </w:t>
      </w:r>
      <w:r>
        <w:rPr>
          <w:rStyle w:val="Suchmarke"/>
        </w:rPr>
        <w:t>#112a#</w:t>
      </w:r>
      <w:bookmarkEnd w:id="191"/>
    </w:p>
    <w:p>
      <w:r>
        <w:t xml:space="preserve">(1) </w:t>
      </w:r>
      <w:r>
        <w:rPr>
          <w:rStyle w:val="Satznummer"/>
        </w:rPr>
        <w:t>1</w:t>
      </w:r>
      <w:r>
        <w:t>Ein Haftgrund besteht auch, wenn der Beschuldigte dringend verdächtig ist,</w:t>
      </w:r>
    </w:p>
    <w:p>
      <w:pPr>
        <w:tabs>
          <w:tab w:pos="567" w:val="left"/>
        </w:tabs>
        <w:ind w:left="567" w:hanging="567"/>
      </w:pPr>
      <w:r>
        <w:t>1.</w:t>
      </w:r>
      <w:r>
        <w:tab/>
      </w:r>
      <w:r>
        <w:t xml:space="preserve">eine Straftat nach den </w:t>
      </w:r>
      <w:hyperlink w:anchor="b319" w:history="1">
        <w:r>
          <w:rPr>
            <w:color w:val="0A3A8C"/>
            <w:u w:val="single"/>
          </w:rPr>
          <w:t xml:space="preserve">§§ 174</w:t>
        </w:r>
      </w:hyperlink>
      <w:r>
        <w:t xml:space="preserve">, 174a, </w:t>
      </w:r>
      <w:hyperlink w:anchor="b321" w:history="1">
        <w:r>
          <w:rPr>
            <w:color w:val="0A3A8C"/>
            <w:u w:val="single"/>
          </w:rPr>
          <w:t xml:space="preserve">176</w:t>
        </w:r>
      </w:hyperlink>
      <w:r>
        <w:t xml:space="preserve"> bis 176d, </w:t>
      </w:r>
      <w:hyperlink w:anchor="b322" w:history="1">
        <w:r>
          <w:rPr>
            <w:color w:val="0A3A8C"/>
            <w:u w:val="single"/>
          </w:rPr>
          <w:t xml:space="preserve">177</w:t>
        </w:r>
      </w:hyperlink>
      <w:r>
        <w:t>, 178, 184b Absatz 2 oder nach § 238 Abs. 2 und 3 des Strafgesetzbuches oder</w:t>
      </w:r>
    </w:p>
    <w:p>
      <w:pPr>
        <w:tabs>
          <w:tab w:pos="567" w:val="left"/>
        </w:tabs>
        <w:ind w:left="567" w:hanging="567"/>
      </w:pPr>
      <w:r>
        <w:t>2.</w:t>
      </w:r>
      <w:r>
        <w:tab/>
      </w:r>
      <w:r>
        <w:t xml:space="preserve">wiederholt oder fortgesetzt eine die Rechtsordnung schwerwiegend beeinträchtigende Straftat nach § 89a Absatz 1 bis 7, § 89c Absatz 1 sowie Absatz 3 und 4, wenn es sich um eine Tat nach Absatz 1 handelt, nach § 125a, nach den </w:t>
      </w:r>
      <w:hyperlink w:anchor="b358" w:history="1">
        <w:r>
          <w:rPr>
            <w:color w:val="0A3A8C"/>
            <w:u w:val="single"/>
          </w:rPr>
          <w:t xml:space="preserve">§§ 224</w:t>
        </w:r>
      </w:hyperlink>
      <w:r>
        <w:t xml:space="preserve"> bis </w:t>
      </w:r>
      <w:hyperlink w:anchor="b363" w:history="1">
        <w:r>
          <w:rPr>
            <w:color w:val="0A3A8C"/>
            <w:u w:val="single"/>
          </w:rPr>
          <w:t xml:space="preserve">227</w:t>
        </w:r>
      </w:hyperlink>
      <w:r>
        <w:t xml:space="preserve">, nach den </w:t>
      </w:r>
      <w:hyperlink w:anchor="b384" w:history="1">
        <w:r>
          <w:rPr>
            <w:color w:val="0A3A8C"/>
            <w:u w:val="single"/>
          </w:rPr>
          <w:t xml:space="preserve">§§ 243</w:t>
        </w:r>
      </w:hyperlink>
      <w:r>
        <w:t xml:space="preserve">, </w:t>
      </w:r>
      <w:hyperlink w:anchor="b385" w:history="1">
        <w:r>
          <w:rPr>
            <w:color w:val="0A3A8C"/>
            <w:u w:val="single"/>
          </w:rPr>
          <w:t xml:space="preserve">244</w:t>
        </w:r>
      </w:hyperlink>
      <w:r>
        <w:t xml:space="preserve">, </w:t>
      </w:r>
      <w:hyperlink w:anchor="b392" w:history="1">
        <w:r>
          <w:rPr>
            <w:color w:val="0A3A8C"/>
            <w:u w:val="single"/>
          </w:rPr>
          <w:t xml:space="preserve">249</w:t>
        </w:r>
      </w:hyperlink>
      <w:r>
        <w:t xml:space="preserve"> bis </w:t>
      </w:r>
      <w:hyperlink w:anchor="b398" w:history="1">
        <w:r>
          <w:rPr>
            <w:color w:val="0A3A8C"/>
            <w:u w:val="single"/>
          </w:rPr>
          <w:t xml:space="preserve">255</w:t>
        </w:r>
      </w:hyperlink>
      <w:r>
        <w:t xml:space="preserve">, </w:t>
      </w:r>
      <w:hyperlink w:anchor="b407" w:history="1">
        <w:r>
          <w:rPr>
            <w:color w:val="0A3A8C"/>
            <w:u w:val="single"/>
          </w:rPr>
          <w:t xml:space="preserve">260</w:t>
        </w:r>
      </w:hyperlink>
      <w:r>
        <w:t xml:space="preserve">, nach </w:t>
      </w:r>
      <w:hyperlink w:anchor="b410" w:history="1">
        <w:r>
          <w:rPr>
            <w:color w:val="0A3A8C"/>
            <w:u w:val="single"/>
          </w:rPr>
          <w:t xml:space="preserve">§ 263</w:t>
        </w:r>
      </w:hyperlink>
      <w:r>
        <w:t>, nach den §§ 306 bis 306c oder § 316a des Strafgesetzbuches oder nach § 29 Absatz 1 Satz 1 Nummer 1, 10 oder Abs. 3, § 29a Abs. 1, § 30 Abs. 1, § 30a Abs. 1 des Betäubungsmittelgesetzes oder nach einer in § 34 Absatz 3 Satz 2 Nummer 1, 3 oder Nummer 4 des Konsumcannabisgesetzes in Bezug genommenen Vorschrift unter den dort genannten Voraussetzungen oder nach § 34 Absatz 4 des Konsumcannabisgesetzes oder nach einer in § 25 Absatz 4 Satz 2 Nummer 1, 3 oder Nummer 4 des Medizinal-Cannabisgesetzes in Bezug genommenen Vorschrift unter den dort genannten Voraussetzungen oder nach § 25 Absatz 5 des Medizinal-Cannabisgesetzes oder nach § 4 Absatz 3 Nummer 1 Buchstabe a des Neue-psychoaktive-Stoffe-Gesetzes</w:t>
      </w:r>
    </w:p>
    <w:p>
      <w:r>
        <w:t xml:space="preserve">begangen zu haben, und bestimmte Tatsachen die Gefahr begründen, daß er vor rechtskräftiger Aburteilung weitere erhebliche Straftaten gleicher Art begehen oder die Straftat fortsetzen werde, die Haft zur Abwendung der drohenden Gefahr erforderlich und in den Fällen der Nummer 2 eine Freiheitsstrafe von mehr als einem Jahr zu erwarten ist. </w:t>
      </w:r>
      <w:r>
        <w:rPr>
          <w:rStyle w:val="Satznummer"/>
        </w:rPr>
        <w:t>2</w:t>
      </w:r>
      <w:r>
        <w:t>In die Beurteilung des dringenden Verdachts einer Tatbegehung im Sinne des Satzes 1 Nummer 2 sind auch solche Taten einzubeziehen, die Gegenstand anderer, auch rechtskräftig abgeschlossener, Verfahren sind oder waren.</w:t>
      </w:r>
    </w:p>
    <w:p>
      <w:r>
        <w:t xml:space="preserve">(2) Absatz 1 findet keine Anwendung, wenn die Voraussetzungen für den Erlaß eines Haftbefehls nach </w:t>
      </w:r>
      <w:hyperlink w:anchor="b189" w:history="1">
        <w:r>
          <w:rPr>
            <w:color w:val="0A3A8C"/>
            <w:u w:val="single"/>
          </w:rPr>
          <w:t xml:space="preserve">§ 112</w:t>
        </w:r>
      </w:hyperlink>
      <w:r>
        <w:t xml:space="preserve"> vorliegen und die Voraussetzungen für die Aussetzung des Vollzugs des Haftbefehls nach </w:t>
      </w:r>
      <w:hyperlink w:anchor="b200" w:history="1">
        <w:r>
          <w:rPr>
            <w:color w:val="0A3A8C"/>
            <w:u w:val="single"/>
          </w:rPr>
          <w:t xml:space="preserve">§ 116</w:t>
        </w:r>
      </w:hyperlink>
      <w:r>
        <w:t xml:space="preserve"> Abs. 1, 2 nicht gegeben sind.</w:t>
      </w:r>
    </w:p>
    <w:p>
      <w:pPr>
        <w:pStyle w:val="Heading3"/>
      </w:pPr>
      <w:bookmarkStart w:id="192" w:name="b191"/>
      <w:r>
        <w:t>§ 113 Untersuchungshaft bei leichteren Taten</w:t>
      </w:r>
      <w:r>
        <w:t xml:space="preserve"> </w:t>
      </w:r>
      <w:r>
        <w:rPr>
          <w:rStyle w:val="Suchmarke"/>
        </w:rPr>
        <w:t>#113#</w:t>
      </w:r>
      <w:bookmarkEnd w:id="192"/>
    </w:p>
    <w:p>
      <w:r>
        <w:t>(1) Ist die Tat nur mit Freiheitsstrafe bis zu sechs Monaten oder mit Geldstrafe bis zu einhundertachtzig Tagessätzen bedroht, so darf die Untersuchungshaft wegen Verdunkelungsgefahr nicht angeordnet werden.</w:t>
      </w:r>
    </w:p>
    <w:p>
      <w:r>
        <w:t>(2) In diesen Fällen darf die Untersuchungshaft wegen Fluchtgefahr nur angeordnet werden, wenn der Beschuldigte</w:t>
      </w:r>
    </w:p>
    <w:p>
      <w:pPr>
        <w:tabs>
          <w:tab w:pos="567" w:val="left"/>
        </w:tabs>
        <w:ind w:left="567" w:hanging="567"/>
      </w:pPr>
      <w:r>
        <w:t>1.</w:t>
      </w:r>
      <w:r>
        <w:tab/>
      </w:r>
      <w:r>
        <w:t>sich dem Verfahren bereits einmal entzogen hatte oder Anstalten zur Flucht getroffen hat,</w:t>
      </w:r>
    </w:p>
    <w:p>
      <w:pPr>
        <w:tabs>
          <w:tab w:pos="567" w:val="left"/>
        </w:tabs>
        <w:ind w:left="567" w:hanging="567"/>
      </w:pPr>
      <w:r>
        <w:t>2.</w:t>
      </w:r>
      <w:r>
        <w:tab/>
      </w:r>
      <w:r>
        <w:t>im Geltungsbereich dieses Gesetzes keinen festen Wohnsitz oder Aufenthalt hat oder</w:t>
      </w:r>
    </w:p>
    <w:p>
      <w:pPr>
        <w:tabs>
          <w:tab w:pos="567" w:val="left"/>
        </w:tabs>
        <w:ind w:left="567" w:hanging="567"/>
      </w:pPr>
      <w:r>
        <w:t>3.</w:t>
      </w:r>
      <w:r>
        <w:tab/>
      </w:r>
      <w:r>
        <w:t>sich über seine Person nicht ausweisen kann.</w:t>
      </w:r>
    </w:p>
    <w:p>
      <w:pPr>
        <w:pStyle w:val="Heading3"/>
      </w:pPr>
      <w:bookmarkStart w:id="193" w:name="b192"/>
      <w:r>
        <w:t>§ 114 Haftbefehl</w:t>
      </w:r>
      <w:r>
        <w:t xml:space="preserve"> </w:t>
      </w:r>
      <w:r>
        <w:rPr>
          <w:rStyle w:val="Suchmarke"/>
        </w:rPr>
        <w:t>#114#</w:t>
      </w:r>
      <w:bookmarkEnd w:id="193"/>
    </w:p>
    <w:p>
      <w:r>
        <w:t>(1) Die Untersuchungshaft wird durch schriftlichen Haftbefehl des Richters angeordnet.</w:t>
      </w:r>
    </w:p>
    <w:p>
      <w:r>
        <w:t>(2) In dem Haftbefehl sind anzuführen</w:t>
      </w:r>
    </w:p>
    <w:p>
      <w:pPr>
        <w:tabs>
          <w:tab w:pos="567" w:val="left"/>
        </w:tabs>
        <w:ind w:left="567" w:hanging="567"/>
      </w:pPr>
      <w:r>
        <w:t>1.</w:t>
      </w:r>
      <w:r>
        <w:tab/>
      </w:r>
      <w:r>
        <w:t>der Beschuldigte,</w:t>
      </w:r>
    </w:p>
    <w:p>
      <w:pPr>
        <w:tabs>
          <w:tab w:pos="567" w:val="left"/>
        </w:tabs>
        <w:ind w:left="567" w:hanging="567"/>
      </w:pPr>
      <w:r>
        <w:t>2.</w:t>
      </w:r>
      <w:r>
        <w:tab/>
      </w:r>
      <w:r>
        <w:t>die Tat, deren er dringend verdächtig ist, Zeit und Ort ihrer Begehung, die gesetzlichen Merkmale der Straftat und die anzuwendenden Strafvorschriften,</w:t>
      </w:r>
    </w:p>
    <w:p>
      <w:pPr>
        <w:tabs>
          <w:tab w:pos="567" w:val="left"/>
        </w:tabs>
        <w:ind w:left="567" w:hanging="567"/>
      </w:pPr>
      <w:r>
        <w:t>3.</w:t>
      </w:r>
      <w:r>
        <w:tab/>
      </w:r>
      <w:r>
        <w:t>der Haftgrund sowie</w:t>
      </w:r>
    </w:p>
    <w:p>
      <w:pPr>
        <w:tabs>
          <w:tab w:pos="567" w:val="left"/>
        </w:tabs>
        <w:ind w:left="567" w:hanging="567"/>
      </w:pPr>
      <w:r>
        <w:t>4.</w:t>
      </w:r>
      <w:r>
        <w:tab/>
      </w:r>
      <w:r>
        <w:t>die Tatsachen, aus denen sich der dringende Tatverdacht und der Haftgrund ergibt, soweit nicht dadurch die Staatssicherheit gefährdet wird.</w:t>
      </w:r>
    </w:p>
    <w:p>
      <w:r>
        <w:t xml:space="preserve">(3) Wenn die Anwendung des </w:t>
      </w:r>
      <w:hyperlink w:anchor="b189" w:history="1">
        <w:r>
          <w:rPr>
            <w:color w:val="0A3A8C"/>
            <w:u w:val="single"/>
          </w:rPr>
          <w:t xml:space="preserve">§ 112</w:t>
        </w:r>
      </w:hyperlink>
      <w:r>
        <w:t xml:space="preserve"> Abs. 1 Satz 2 naheliegt oder der Beschuldigte sich auf diese Vorschrift beruft, sind die Gründe dafür anzugeben, daß sie nicht angewandt wurde.</w:t>
      </w:r>
    </w:p>
    <w:p>
      <w:pPr>
        <w:pStyle w:val="Heading3"/>
      </w:pPr>
      <w:bookmarkStart w:id="194" w:name="b193"/>
      <w:r>
        <w:t>§ 114a Aushändigung des Haftbefehls; Übersetzung</w:t>
      </w:r>
      <w:r>
        <w:t xml:space="preserve"> </w:t>
      </w:r>
      <w:r>
        <w:rPr>
          <w:rStyle w:val="Suchmarke"/>
        </w:rPr>
        <w:t>#114a#</w:t>
      </w:r>
      <w:bookmarkEnd w:id="194"/>
    </w:p>
    <w:p>
      <w:r>
        <w:rPr>
          <w:rStyle w:val="Satznummer"/>
        </w:rPr>
        <w:t>1</w:t>
      </w:r>
      <w:r>
        <w:t xml:space="preserve">Dem Beschuldigten ist bei der Verhaftung eine Abschrift des Haftbefehls auszuhändigen; beherrscht er die deutsche Sprache nicht hinreichend, erhält er zudem eine Übersetzung in einer für ihn verständlichen Sprache. </w:t>
      </w:r>
      <w:r>
        <w:rPr>
          <w:rStyle w:val="Satznummer"/>
        </w:rPr>
        <w:t>2</w:t>
      </w:r>
      <w:r>
        <w:t xml:space="preserve">Ist die Aushändigung einer Abschrift und einer etwaigen Übersetzung nicht möglich, ist ihm unverzüglich in einer für ihn verständlichen Sprache mitzuteilen, welches die Gründe für die Verhaftung sind und welche Beschuldigungen gegen ihn erhoben werden. </w:t>
      </w:r>
      <w:r>
        <w:rPr>
          <w:rStyle w:val="Satznummer"/>
        </w:rPr>
        <w:t>3</w:t>
      </w:r>
      <w:r>
        <w:t>In diesem Fall ist die Aushändigung der Abschrift des Haftbefehls sowie einer etwaigen Übersetzung unverzüglich nachzuholen.</w:t>
      </w:r>
    </w:p>
    <w:p>
      <w:pPr>
        <w:pStyle w:val="Heading3"/>
      </w:pPr>
      <w:bookmarkStart w:id="195" w:name="b194"/>
      <w:r>
        <w:t>§ 114b Belehrung des verhafteten Beschuldigten</w:t>
      </w:r>
      <w:r>
        <w:t xml:space="preserve"> </w:t>
      </w:r>
      <w:r>
        <w:rPr>
          <w:rStyle w:val="Suchmarke"/>
        </w:rPr>
        <w:t>#114b#</w:t>
      </w:r>
      <w:bookmarkEnd w:id="195"/>
    </w:p>
    <w:p>
      <w:r>
        <w:t xml:space="preserve">(1) </w:t>
      </w:r>
      <w:r>
        <w:rPr>
          <w:rStyle w:val="Satznummer"/>
        </w:rPr>
        <w:t>1</w:t>
      </w:r>
      <w:r>
        <w:t xml:space="preserve">Der verhaftete Beschuldigte ist unverzüglich und schriftlich in einer für ihn verständlichen Sprache über seine Rechte zu belehren. </w:t>
      </w:r>
      <w:r>
        <w:rPr>
          <w:rStyle w:val="Satznummer"/>
        </w:rPr>
        <w:t>2</w:t>
      </w:r>
      <w:r>
        <w:t xml:space="preserve">Ist eine schriftliche Belehrung erkennbar nicht ausreichend, hat zudem eine mündliche Belehrung zu erfolgen. </w:t>
      </w:r>
      <w:r>
        <w:rPr>
          <w:rStyle w:val="Satznummer"/>
        </w:rPr>
        <w:t>3</w:t>
      </w:r>
      <w:r>
        <w:t xml:space="preserve">Entsprechend ist zu verfahren, wenn eine schriftliche Belehrung nicht möglich ist; sie soll jedoch nachgeholt werden, sofern dies in zumutbarer Weise möglich ist. </w:t>
      </w:r>
      <w:r>
        <w:rPr>
          <w:rStyle w:val="Satznummer"/>
        </w:rPr>
        <w:t>4</w:t>
      </w:r>
      <w:r>
        <w:t>Der Erhalt der Belehrung ist durch den Beschuldigten schriftlich zu bestätigen oder von der Staatsanwaltschaft oder ihren Ermittlungspersonen in Gegenwart des Beschuldigten zu protokollieren oder auf sonstige Weise zu dokumentieren.</w:t>
      </w:r>
    </w:p>
    <w:p>
      <w:r>
        <w:t xml:space="preserve">(2) </w:t>
      </w:r>
      <w:r>
        <w:rPr>
          <w:rStyle w:val="Satznummer"/>
        </w:rPr>
        <w:t>1</w:t>
      </w:r>
      <w:r>
        <w:t>In der Belehrung nach Absatz 1 ist der Beschuldigte darauf hinzuweisen, dass er</w:t>
      </w:r>
    </w:p>
    <w:p>
      <w:pPr>
        <w:tabs>
          <w:tab w:pos="567" w:val="left"/>
        </w:tabs>
        <w:ind w:left="567" w:hanging="567"/>
      </w:pPr>
      <w:r>
        <w:t>1.</w:t>
      </w:r>
      <w:r>
        <w:tab/>
      </w:r>
      <w:r>
        <w:t>unverzüglich, spätestens am Tag nach der Ergreifung, dem Gericht vorzuführen ist, das ihn zu vernehmen und über seine weitere Inhaftierung zu entscheiden hat,</w:t>
      </w:r>
    </w:p>
    <w:p>
      <w:pPr>
        <w:tabs>
          <w:tab w:pos="567" w:val="left"/>
        </w:tabs>
        <w:ind w:left="567" w:hanging="567"/>
      </w:pPr>
      <w:r>
        <w:t>2.</w:t>
      </w:r>
      <w:r>
        <w:tab/>
      </w:r>
      <w:r>
        <w:t>das Recht hat, sich zur Beschuldigung zu äußern oder nicht zur Sache auszusagen,</w:t>
      </w:r>
    </w:p>
    <w:p>
      <w:pPr>
        <w:tabs>
          <w:tab w:pos="567" w:val="left"/>
        </w:tabs>
        <w:ind w:left="567" w:hanging="567"/>
      </w:pPr>
      <w:r>
        <w:t>3.</w:t>
      </w:r>
      <w:r>
        <w:tab/>
      </w:r>
      <w:r>
        <w:t>zu seiner Entlastung einzelne Beweiserhebungen beantragen kann,</w:t>
      </w:r>
    </w:p>
    <w:p>
      <w:pPr>
        <w:tabs>
          <w:tab w:pos="567" w:val="left"/>
        </w:tabs>
        <w:ind w:left="567" w:hanging="567"/>
      </w:pPr>
      <w:r>
        <w:t>4.</w:t>
      </w:r>
      <w:r>
        <w:tab/>
      </w:r>
      <w:r>
        <w:t>jederzeit, auch schon vor seiner Vernehmung, einen von ihm zu wählenden Verteidiger befragen kann; dabei sind ihm Informationen zur Verfügung zu stellen, die es ihm erleichtern, einen Verteidiger zu kontaktieren; auf bestehende anwaltliche Notdienste ist dabei hinzuweisen,</w:t>
      </w:r>
    </w:p>
    <w:p>
      <w:pPr>
        <w:tabs>
          <w:tab w:pos="567" w:val="left"/>
        </w:tabs>
        <w:ind w:left="567" w:hanging="567"/>
      </w:pPr>
      <w:r>
        <w:t>4a.</w:t>
      </w:r>
      <w:r>
        <w:tab/>
      </w:r>
      <w:r>
        <w:t xml:space="preserve">in den Fällen des </w:t>
      </w:r>
      <w:hyperlink w:anchor="b246" w:history="1">
        <w:r>
          <w:rPr>
            <w:color w:val="0A3A8C"/>
            <w:u w:val="single"/>
          </w:rPr>
          <w:t xml:space="preserve">§ 140</w:t>
        </w:r>
      </w:hyperlink>
      <w:r>
        <w:t xml:space="preserve"> die Bestellung eines Pflichtverteidigers nach Maßgabe des </w:t>
      </w:r>
      <w:hyperlink w:anchor="b247" w:history="1">
        <w:r>
          <w:rPr>
            <w:color w:val="0A3A8C"/>
            <w:u w:val="single"/>
          </w:rPr>
          <w:t xml:space="preserve">§ 141</w:t>
        </w:r>
      </w:hyperlink>
      <w:r>
        <w:t xml:space="preserve"> Absatz 1 und des </w:t>
      </w:r>
      <w:hyperlink w:anchor="b249" w:history="1">
        <w:r>
          <w:rPr>
            <w:color w:val="0A3A8C"/>
            <w:u w:val="single"/>
          </w:rPr>
          <w:t xml:space="preserve">§ 142</w:t>
        </w:r>
      </w:hyperlink>
      <w:r>
        <w:t xml:space="preserve"> Absatz 1 beantragen kann; dabei ist auf die mögliche Kostenfolge des </w:t>
      </w:r>
      <w:hyperlink w:anchor="b690" w:history="1">
        <w:r>
          <w:rPr>
            <w:color w:val="0A3A8C"/>
            <w:u w:val="single"/>
          </w:rPr>
          <w:t xml:space="preserve">§ 465</w:t>
        </w:r>
      </w:hyperlink>
      <w:r>
        <w:t xml:space="preserve"> hinzuweisen,</w:t>
      </w:r>
    </w:p>
    <w:p>
      <w:pPr>
        <w:tabs>
          <w:tab w:pos="567" w:val="left"/>
        </w:tabs>
        <w:ind w:left="567" w:hanging="567"/>
      </w:pPr>
      <w:r>
        <w:t>5.</w:t>
      </w:r>
      <w:r>
        <w:tab/>
      </w:r>
      <w:r>
        <w:t>das Recht hat, die Untersuchung durch einen Arzt oder eine Ärztin seiner Wahl zu verlangen,</w:t>
      </w:r>
    </w:p>
    <w:p>
      <w:pPr>
        <w:tabs>
          <w:tab w:pos="567" w:val="left"/>
        </w:tabs>
        <w:ind w:left="567" w:hanging="567"/>
      </w:pPr>
      <w:r>
        <w:t>6.</w:t>
      </w:r>
      <w:r>
        <w:tab/>
      </w:r>
      <w:r>
        <w:t>einen Angehörigen oder eine Person seines Vertrauens benachrichtigen kann, soweit der Zweck der Untersuchung dadurch nicht erheblich gefährdet wird,</w:t>
      </w:r>
    </w:p>
    <w:p>
      <w:pPr>
        <w:tabs>
          <w:tab w:pos="567" w:val="left"/>
        </w:tabs>
        <w:ind w:left="567" w:hanging="567"/>
      </w:pPr>
      <w:r>
        <w:t>7.</w:t>
      </w:r>
      <w:r>
        <w:tab/>
      </w:r>
      <w:r>
        <w:t xml:space="preserve">nach Maßgabe des </w:t>
      </w:r>
      <w:hyperlink w:anchor="b257" w:history="1">
        <w:r>
          <w:rPr>
            <w:color w:val="0A3A8C"/>
            <w:u w:val="single"/>
          </w:rPr>
          <w:t xml:space="preserve">§ 147</w:t>
        </w:r>
      </w:hyperlink>
      <w:r>
        <w:t xml:space="preserve"> Absatz 4 beantragen kann, die Akten einzusehen und unter Aufsicht amtlich verwahrte Beweisstücke zu besichtigen, soweit er keinen Verteidiger hat, und</w:t>
      </w:r>
    </w:p>
    <w:p>
      <w:pPr>
        <w:tabs>
          <w:tab w:pos="567" w:val="left"/>
        </w:tabs>
        <w:ind w:left="567" w:hanging="567"/>
      </w:pPr>
      <w:r>
        <w:t>8.</w:t>
      </w:r>
      <w:r>
        <w:tab/>
      </w:r>
      <w:r>
        <w:t>bei Aufrechterhaltung der Untersuchungshaft nach Vorführung vor den zuständigen Richter</w:t>
      </w:r>
    </w:p>
    <w:p>
      <w:pPr>
        <w:tabs>
          <w:tab w:pos="1134" w:val="left"/>
        </w:tabs>
        <w:ind w:left="1134" w:hanging="567"/>
      </w:pPr>
      <w:r>
        <w:t>a)</w:t>
      </w:r>
      <w:r>
        <w:tab/>
      </w:r>
      <w:r>
        <w:t>eine Beschwerde gegen den Haftbefehl einlegen oder eine Haftprüfung (</w:t>
      </w:r>
      <w:hyperlink w:anchor="b203" w:history="1">
        <w:r>
          <w:rPr>
            <w:color w:val="0A3A8C"/>
            <w:u w:val="single"/>
          </w:rPr>
          <w:t xml:space="preserve">§ 117</w:t>
        </w:r>
      </w:hyperlink>
      <w:r>
        <w:t xml:space="preserve"> Absatz 1 und 2) und eine mündliche Verhandlung (</w:t>
      </w:r>
      <w:hyperlink w:anchor="b204" w:history="1">
        <w:r>
          <w:rPr>
            <w:color w:val="0A3A8C"/>
            <w:u w:val="single"/>
          </w:rPr>
          <w:t xml:space="preserve">§ 118</w:t>
        </w:r>
      </w:hyperlink>
      <w:r>
        <w:t xml:space="preserve"> Absatz 1 und 2) beantragen kann,</w:t>
      </w:r>
    </w:p>
    <w:p>
      <w:pPr>
        <w:tabs>
          <w:tab w:pos="1134" w:val="left"/>
        </w:tabs>
        <w:ind w:left="1134" w:hanging="567"/>
      </w:pPr>
      <w:r>
        <w:t>b)</w:t>
      </w:r>
      <w:r>
        <w:tab/>
      </w:r>
      <w:r>
        <w:t xml:space="preserve">bei Unstatthaftigkeit der Beschwerde eine gerichtliche Entscheidung nach </w:t>
      </w:r>
      <w:hyperlink w:anchor="b207" w:history="1">
        <w:r>
          <w:rPr>
            <w:color w:val="0A3A8C"/>
            <w:u w:val="single"/>
          </w:rPr>
          <w:t xml:space="preserve">§ 119</w:t>
        </w:r>
      </w:hyperlink>
      <w:r>
        <w:t xml:space="preserve"> Absatz 5 beantragen kann und</w:t>
      </w:r>
    </w:p>
    <w:p>
      <w:pPr>
        <w:tabs>
          <w:tab w:pos="1134" w:val="left"/>
        </w:tabs>
        <w:ind w:left="1134" w:hanging="567"/>
      </w:pPr>
      <w:r>
        <w:t>c)</w:t>
      </w:r>
      <w:r>
        <w:tab/>
      </w:r>
      <w:r>
        <w:t xml:space="preserve">gegen behördliche Entscheidungen und Maßnahmen im Untersuchungshaftvollzug eine gerichtliche Entscheidung nach </w:t>
      </w:r>
      <w:hyperlink w:anchor="b208" w:history="1">
        <w:r>
          <w:rPr>
            <w:color w:val="0A3A8C"/>
            <w:u w:val="single"/>
          </w:rPr>
          <w:t xml:space="preserve">§ 119a</w:t>
        </w:r>
      </w:hyperlink>
      <w:r>
        <w:t xml:space="preserve"> Absatz 1 beantragen kann.</w:t>
      </w:r>
    </w:p>
    <w:p>
      <w:r>
        <w:rPr>
          <w:rStyle w:val="Satznummer"/>
        </w:rPr>
        <w:t>2</w:t>
      </w:r>
      <w:r>
        <w:t xml:space="preserve">Der Beschuldigte ist auf das Akteneinsichtsrecht des Verteidigers nach </w:t>
      </w:r>
      <w:hyperlink w:anchor="b257" w:history="1">
        <w:r>
          <w:rPr>
            <w:color w:val="0A3A8C"/>
            <w:u w:val="single"/>
          </w:rPr>
          <w:t xml:space="preserve">§ 147</w:t>
        </w:r>
      </w:hyperlink>
      <w:r>
        <w:t xml:space="preserve"> hinzuweisen. </w:t>
      </w:r>
      <w:r>
        <w:rPr>
          <w:rStyle w:val="Satznummer"/>
        </w:rPr>
        <w:t>3</w:t>
      </w:r>
      <w:r>
        <w:t xml:space="preserve">Ein Beschuldigter, der der deutschen Sprache nicht hinreichend mächtig ist, ist in einer ihm verständlichen Sprache darauf hinzuweisen, dass er nach Maßgabe des § 187 Absatz 1 bis 3 des Gerichtsverfassungsgesetzes für das gesamte Strafverfahren die unentgeltliche Hinzuziehung eines Dolmetschers oder Übersetzers beanspruchen kann; ein hör- oder sprachbehinderter Beschuldigter ist auf sein Wahlrecht nach § 186 Absatz 1 und 2 des Gerichtsverfassungsgesetzes hinzuweisen. </w:t>
      </w:r>
      <w:r>
        <w:rPr>
          <w:rStyle w:val="Satznummer"/>
        </w:rPr>
        <w:t>4</w:t>
      </w:r>
      <w:r>
        <w:t>Ein ausländischer Staatsangehöriger ist darüber zu belehren, dass er die Unterrichtung der konsularischen Vertretung seines Heimatstaates verlangen und dieser Mitteilungen zukommen lassen kann.</w:t>
      </w:r>
    </w:p>
    <w:p>
      <w:pPr>
        <w:pStyle w:val="Heading3"/>
      </w:pPr>
      <w:bookmarkStart w:id="196" w:name="b195"/>
      <w:r>
        <w:t>§ 114c Benachrichtigung von Angehörigen</w:t>
      </w:r>
      <w:r>
        <w:t xml:space="preserve"> </w:t>
      </w:r>
      <w:r>
        <w:rPr>
          <w:rStyle w:val="Suchmarke"/>
        </w:rPr>
        <w:t>#114c#</w:t>
      </w:r>
      <w:bookmarkEnd w:id="196"/>
    </w:p>
    <w:p>
      <w:r>
        <w:t>(1) Einem verhafteten Beschuldigten ist unverzüglich Gelegenheit zu geben, einen Angehörigen oder eine Person seines Vertrauens zu benachrichtigen, sofern der Zweck der Untersuchung dadurch nicht erheblich gefährdet wird.</w:t>
      </w:r>
    </w:p>
    <w:p>
      <w:r>
        <w:t xml:space="preserve">(2) </w:t>
      </w:r>
      <w:r>
        <w:rPr>
          <w:rStyle w:val="Satznummer"/>
        </w:rPr>
        <w:t>1</w:t>
      </w:r>
      <w:r>
        <w:t xml:space="preserve">Wird gegen einen verhafteten Beschuldigten nach der Vorführung vor das Gericht Haft vollzogen, hat das Gericht die unverzügliche Benachrichtigung eines seiner Angehörigen oder einer Person seines Vertrauens anzuordnen. </w:t>
      </w:r>
      <w:r>
        <w:rPr>
          <w:rStyle w:val="Satznummer"/>
        </w:rPr>
        <w:t>2</w:t>
      </w:r>
      <w:r>
        <w:t>Die gleiche Pflicht besteht bei jeder weiteren Entscheidung über die Fortdauer der Haft.</w:t>
      </w:r>
    </w:p>
    <w:p>
      <w:pPr>
        <w:pStyle w:val="Heading3"/>
      </w:pPr>
      <w:bookmarkStart w:id="197" w:name="b196"/>
      <w:r>
        <w:t>§ 114d Mitteilungen an die Vollzugsanstalt</w:t>
      </w:r>
      <w:r>
        <w:t xml:space="preserve"> </w:t>
      </w:r>
      <w:r>
        <w:rPr>
          <w:rStyle w:val="Suchmarke"/>
        </w:rPr>
        <w:t>#114d#</w:t>
      </w:r>
      <w:bookmarkEnd w:id="197"/>
    </w:p>
    <w:p>
      <w:r>
        <w:t xml:space="preserve">(1) </w:t>
      </w:r>
      <w:r>
        <w:rPr>
          <w:rStyle w:val="Satznummer"/>
        </w:rPr>
        <w:t>1</w:t>
      </w:r>
      <w:r>
        <w:t xml:space="preserve">Das Gericht übermittelt der für den Beschuldigten zuständigen Vollzugsanstalt mit dem Aufnahmeersuchen eine Abschrift des Haftbefehls. </w:t>
      </w:r>
      <w:r>
        <w:rPr>
          <w:rStyle w:val="Satznummer"/>
        </w:rPr>
        <w:t>2</w:t>
      </w:r>
      <w:r>
        <w:t>Darüber hinaus teilt es ihr mit</w:t>
      </w:r>
    </w:p>
    <w:p>
      <w:pPr>
        <w:tabs>
          <w:tab w:pos="567" w:val="left"/>
        </w:tabs>
        <w:ind w:left="567" w:hanging="567"/>
      </w:pPr>
      <w:r>
        <w:t>1.</w:t>
      </w:r>
      <w:r>
        <w:tab/>
      </w:r>
      <w:r>
        <w:t xml:space="preserve">die das Verfahren führende Staatsanwaltschaft und das nach </w:t>
      </w:r>
      <w:hyperlink w:anchor="b216" w:history="1">
        <w:r>
          <w:rPr>
            <w:color w:val="0A3A8C"/>
            <w:u w:val="single"/>
          </w:rPr>
          <w:t xml:space="preserve">§ 126</w:t>
        </w:r>
      </w:hyperlink>
      <w:r>
        <w:t xml:space="preserve"> zuständige Gericht,</w:t>
      </w:r>
    </w:p>
    <w:p>
      <w:pPr>
        <w:tabs>
          <w:tab w:pos="567" w:val="left"/>
        </w:tabs>
        <w:ind w:left="567" w:hanging="567"/>
      </w:pPr>
      <w:r>
        <w:t>2.</w:t>
      </w:r>
      <w:r>
        <w:tab/>
      </w:r>
      <w:r>
        <w:t xml:space="preserve">die Personen, die nach </w:t>
      </w:r>
      <w:hyperlink w:anchor="b195" w:history="1">
        <w:r>
          <w:rPr>
            <w:color w:val="0A3A8C"/>
            <w:u w:val="single"/>
          </w:rPr>
          <w:t xml:space="preserve">§ 114c</w:t>
        </w:r>
      </w:hyperlink>
      <w:r>
        <w:t xml:space="preserve"> benachrichtigt worden sind,</w:t>
      </w:r>
    </w:p>
    <w:p>
      <w:pPr>
        <w:tabs>
          <w:tab w:pos="567" w:val="left"/>
        </w:tabs>
        <w:ind w:left="567" w:hanging="567"/>
      </w:pPr>
      <w:r>
        <w:t>3.</w:t>
      </w:r>
      <w:r>
        <w:tab/>
      </w:r>
      <w:r>
        <w:t xml:space="preserve">Entscheidungen und sonstige Maßnahmen nach </w:t>
      </w:r>
      <w:hyperlink w:anchor="b207" w:history="1">
        <w:r>
          <w:rPr>
            <w:color w:val="0A3A8C"/>
            <w:u w:val="single"/>
          </w:rPr>
          <w:t xml:space="preserve">§ 119</w:t>
        </w:r>
      </w:hyperlink>
      <w:r>
        <w:t xml:space="preserve"> Abs. 1 und 2,</w:t>
      </w:r>
    </w:p>
    <w:p>
      <w:pPr>
        <w:tabs>
          <w:tab w:pos="567" w:val="left"/>
        </w:tabs>
        <w:ind w:left="567" w:hanging="567"/>
      </w:pPr>
      <w:r>
        <w:t>4.</w:t>
      </w:r>
      <w:r>
        <w:tab/>
      </w:r>
      <w:r>
        <w:t>weitere im Verfahren ergehende Entscheidungen, soweit dies für die Erfüllung der Aufgaben der Vollzugsanstalt erforderlich ist,</w:t>
      </w:r>
    </w:p>
    <w:p>
      <w:pPr>
        <w:tabs>
          <w:tab w:pos="567" w:val="left"/>
        </w:tabs>
        <w:ind w:left="567" w:hanging="567"/>
      </w:pPr>
      <w:r>
        <w:t>5.</w:t>
      </w:r>
      <w:r>
        <w:tab/>
      </w:r>
      <w:r>
        <w:t>Hauptverhandlungstermine und sich aus ihnen ergebende Erkenntnisse, die für die Erfüllung der Aufgaben der Vollzugsanstalt erforderlich sind,</w:t>
      </w:r>
    </w:p>
    <w:p>
      <w:pPr>
        <w:tabs>
          <w:tab w:pos="567" w:val="left"/>
        </w:tabs>
        <w:ind w:left="567" w:hanging="567"/>
      </w:pPr>
      <w:r>
        <w:t>6.</w:t>
      </w:r>
      <w:r>
        <w:tab/>
      </w:r>
      <w:r>
        <w:t>den Zeitpunkt der Rechtskraft des Urteils sowie</w:t>
      </w:r>
    </w:p>
    <w:p>
      <w:pPr>
        <w:tabs>
          <w:tab w:pos="567" w:val="left"/>
        </w:tabs>
        <w:ind w:left="567" w:hanging="567"/>
      </w:pPr>
      <w:r>
        <w:t>7.</w:t>
      </w:r>
      <w:r>
        <w:tab/>
      </w:r>
      <w:r>
        <w:t>andere Daten zur Person des Beschuldigten, die für die Erfüllung der Aufgaben der Vollzugsanstalt erforderlich sind, insbesondere solche über seine Persönlichkeit und weitere relevante Strafverfahren.</w:t>
      </w:r>
    </w:p>
    <w:p>
      <w:r>
        <w:rPr>
          <w:rStyle w:val="Satznummer"/>
        </w:rPr>
        <w:t>3</w:t>
      </w:r>
      <w:r>
        <w:t xml:space="preserve">Die Sätze 1 und 2 gelten bei Änderungen der mitgeteilten Tatsachen entsprechend. </w:t>
      </w:r>
      <w:r>
        <w:rPr>
          <w:rStyle w:val="Satznummer"/>
        </w:rPr>
        <w:t>4</w:t>
      </w:r>
      <w:r>
        <w:t>Mitteilungen unterbleiben, soweit die Tatsachen der Vollzugsanstalt bereits anderweitig bekannt geworden sind.</w:t>
      </w:r>
    </w:p>
    <w:p>
      <w:r>
        <w:t xml:space="preserve">(2) </w:t>
      </w:r>
      <w:r>
        <w:rPr>
          <w:rStyle w:val="Satznummer"/>
        </w:rPr>
        <w:t>1</w:t>
      </w:r>
      <w:r>
        <w:t xml:space="preserve">Die Staatsanwaltschaft unterstützt das Gericht bei der Erfüllung seiner Aufgaben nach Absatz 1 und teilt der Vollzugsanstalt von Amts wegen insbesondere Daten nach Absatz 1 Satz 2 Nr. 7 sowie von ihr getroffene Entscheidungen und sonstige Maßnahmen nach </w:t>
      </w:r>
      <w:hyperlink w:anchor="b207" w:history="1">
        <w:r>
          <w:rPr>
            <w:color w:val="0A3A8C"/>
            <w:u w:val="single"/>
          </w:rPr>
          <w:t xml:space="preserve">§ 119</w:t>
        </w:r>
      </w:hyperlink>
      <w:r>
        <w:t xml:space="preserve"> Abs. 1 und 2 mit. </w:t>
      </w:r>
      <w:r>
        <w:rPr>
          <w:rStyle w:val="Satznummer"/>
        </w:rPr>
        <w:t>2</w:t>
      </w:r>
      <w:r>
        <w:t xml:space="preserve">Zudem übermittelt die Staatsanwaltschaft der Vollzugsanstalt eine Abschrift der Anklageschrift und teilt dem nach </w:t>
      </w:r>
      <w:hyperlink w:anchor="b216" w:history="1">
        <w:r>
          <w:rPr>
            <w:color w:val="0A3A8C"/>
            <w:u w:val="single"/>
          </w:rPr>
          <w:t xml:space="preserve">§ 126</w:t>
        </w:r>
      </w:hyperlink>
      <w:r>
        <w:t xml:space="preserve"> Abs. 1 zuständigen Gericht die Anklageerhebung mit.</w:t>
      </w:r>
    </w:p>
    <w:p>
      <w:pPr>
        <w:pStyle w:val="Heading3"/>
      </w:pPr>
      <w:bookmarkStart w:id="198" w:name="b197"/>
      <w:r>
        <w:t>§ 114e Übermittlung von Erkenntnissen durch die Vollzugsanstalt</w:t>
      </w:r>
      <w:r>
        <w:t xml:space="preserve"> </w:t>
      </w:r>
      <w:r>
        <w:rPr>
          <w:rStyle w:val="Suchmarke"/>
        </w:rPr>
        <w:t>#114e#</w:t>
      </w:r>
      <w:bookmarkEnd w:id="198"/>
    </w:p>
    <w:p>
      <w:r>
        <w:rPr>
          <w:rStyle w:val="Satznummer"/>
        </w:rPr>
        <w:t>1</w:t>
      </w:r>
      <w:r>
        <w:t xml:space="preserve">Die Vollzugsanstalt übermittelt dem Gericht und der Staatsanwaltschaft von Amts wegen beim Vollzug der Untersuchungshaft erlangte Erkenntnisse, soweit diese aus Sicht der Vollzugsanstalt für die Erfüllung der Aufgaben der Empfänger von Bedeutung sind und diesen nicht bereits anderweitig bekannt geworden sind. </w:t>
      </w:r>
      <w:r>
        <w:rPr>
          <w:rStyle w:val="Satznummer"/>
        </w:rPr>
        <w:t>2</w:t>
      </w:r>
      <w:r>
        <w:t>Sonstige Befugnisse der Vollzugsanstalt, dem Gericht und der Staatsanwaltschaft Erkenntnisse mitzuteilen, bleiben unberührt.</w:t>
      </w:r>
    </w:p>
    <w:p>
      <w:pPr>
        <w:pStyle w:val="Heading3"/>
      </w:pPr>
      <w:bookmarkStart w:id="199" w:name="b198"/>
      <w:r>
        <w:t>§ 115 Vorführung vor den zuständigen Richter</w:t>
      </w:r>
      <w:r>
        <w:t xml:space="preserve"> </w:t>
      </w:r>
      <w:r>
        <w:rPr>
          <w:rStyle w:val="Suchmarke"/>
        </w:rPr>
        <w:t>#115#</w:t>
      </w:r>
      <w:bookmarkEnd w:id="199"/>
    </w:p>
    <w:p>
      <w:r>
        <w:t>(1) Wird der Beschuldigte auf Grund des Haftbefehls ergriffen, so ist er unverzüglich dem zuständigen Gericht vorzuführen.</w:t>
      </w:r>
    </w:p>
    <w:p>
      <w:r>
        <w:t>(2) Das Gericht hat den Beschuldigten unverzüglich nach der Vorführung, spätestens am nächsten Tage, über den Gegenstand der Beschuldigung zu vernehmen.</w:t>
      </w:r>
    </w:p>
    <w:p>
      <w:r>
        <w:t xml:space="preserve">(3) </w:t>
      </w:r>
      <w:r>
        <w:rPr>
          <w:rStyle w:val="Satznummer"/>
        </w:rPr>
        <w:t>1</w:t>
      </w:r>
      <w:r>
        <w:t xml:space="preserve">Bei der Vernehmung ist der Beschuldigte auf die ihn belastenden Umstände und sein Recht hinzuweisen, sich zur Beschuldigung zu äußern oder nicht zur Sache auszusagen. </w:t>
      </w:r>
      <w:r>
        <w:rPr>
          <w:rStyle w:val="Satznummer"/>
        </w:rPr>
        <w:t>2</w:t>
      </w:r>
      <w:r>
        <w:t>Ihm ist Gelegenheit zu geben, die Verdachts- und Haftgründe zu entkräften und die Tatsachen geltend zu machen, die zu seinen Gunsten sprechen.</w:t>
      </w:r>
    </w:p>
    <w:p>
      <w:r>
        <w:t xml:space="preserve">(4) </w:t>
      </w:r>
      <w:r>
        <w:rPr>
          <w:rStyle w:val="Satznummer"/>
        </w:rPr>
        <w:t>1</w:t>
      </w:r>
      <w:r>
        <w:t>Wird die Haft aufrechterhalten, so ist der Beschuldigte über das Recht der Beschwerde und die anderen Rechtsbehelfe (</w:t>
      </w:r>
      <w:hyperlink w:anchor="b203" w:history="1">
        <w:r>
          <w:rPr>
            <w:color w:val="0A3A8C"/>
            <w:u w:val="single"/>
          </w:rPr>
          <w:t xml:space="preserve">§ 117</w:t>
        </w:r>
      </w:hyperlink>
      <w:r>
        <w:t xml:space="preserve"> Abs. 1, 2, </w:t>
      </w:r>
      <w:hyperlink w:anchor="b204" w:history="1">
        <w:r>
          <w:rPr>
            <w:color w:val="0A3A8C"/>
            <w:u w:val="single"/>
          </w:rPr>
          <w:t xml:space="preserve">§ 118</w:t>
        </w:r>
      </w:hyperlink>
      <w:r>
        <w:t xml:space="preserve"> Abs. 1, 2, </w:t>
      </w:r>
      <w:hyperlink w:anchor="b207" w:history="1">
        <w:r>
          <w:rPr>
            <w:color w:val="0A3A8C"/>
            <w:u w:val="single"/>
          </w:rPr>
          <w:t xml:space="preserve">§ 119</w:t>
        </w:r>
      </w:hyperlink>
      <w:r>
        <w:t xml:space="preserve"> Abs. 5, </w:t>
      </w:r>
      <w:hyperlink w:anchor="b208" w:history="1">
        <w:r>
          <w:rPr>
            <w:color w:val="0A3A8C"/>
            <w:u w:val="single"/>
          </w:rPr>
          <w:t xml:space="preserve">§ 119a</w:t>
        </w:r>
      </w:hyperlink>
      <w:r>
        <w:t xml:space="preserve"> Abs. 1) zu belehren. </w:t>
      </w:r>
      <w:r>
        <w:rPr>
          <w:rStyle w:val="Satznummer"/>
        </w:rPr>
        <w:t>2</w:t>
      </w:r>
      <w:hyperlink w:anchor="b455" w:history="1">
        <w:r>
          <w:rPr>
            <w:color w:val="0A3A8C"/>
            <w:u w:val="single"/>
          </w:rPr>
          <w:t xml:space="preserve">§ 304</w:t>
        </w:r>
      </w:hyperlink>
      <w:r>
        <w:t xml:space="preserve"> Abs. 4 und 5 bleibt unberührt.</w:t>
      </w:r>
    </w:p>
    <w:p>
      <w:pPr>
        <w:pStyle w:val="Heading3"/>
      </w:pPr>
      <w:bookmarkStart w:id="200" w:name="b199"/>
      <w:r>
        <w:t>§ 115a Vorführung vor den Richter des nächsten Amtsgerichts</w:t>
      </w:r>
      <w:r>
        <w:t xml:space="preserve"> </w:t>
      </w:r>
      <w:r>
        <w:rPr>
          <w:rStyle w:val="Suchmarke"/>
        </w:rPr>
        <w:t>#115a#</w:t>
      </w:r>
      <w:bookmarkEnd w:id="200"/>
    </w:p>
    <w:p>
      <w:r>
        <w:t>(1) Kann der Beschuldigte nicht spätestens am Tag nach der Ergreifung dem zuständigen Gericht vorgeführt werden, so ist er unverzüglich, spätestens am Tage nach der Ergreifung, dem nächsten Amtsgericht vorzuführen.</w:t>
      </w:r>
    </w:p>
    <w:p>
      <w:r>
        <w:t xml:space="preserve">(2) </w:t>
      </w:r>
      <w:r>
        <w:rPr>
          <w:rStyle w:val="Satznummer"/>
        </w:rPr>
        <w:t>1</w:t>
      </w:r>
      <w:r>
        <w:t xml:space="preserve">Das Gericht hat den Beschuldigten unverzüglich nach der Vorführung, spätestens am nächsten Tage, zu vernehmen. </w:t>
      </w:r>
      <w:r>
        <w:rPr>
          <w:rStyle w:val="Satznummer"/>
        </w:rPr>
        <w:t>2</w:t>
      </w:r>
      <w:r>
        <w:t xml:space="preserve">Bei der Vernehmung wird, soweit möglich, </w:t>
      </w:r>
      <w:hyperlink w:anchor="b198" w:history="1">
        <w:r>
          <w:rPr>
            <w:color w:val="0A3A8C"/>
            <w:u w:val="single"/>
          </w:rPr>
          <w:t xml:space="preserve">§ 115</w:t>
        </w:r>
      </w:hyperlink>
      <w:r>
        <w:t xml:space="preserve"> Abs. 3 angewandt. </w:t>
      </w:r>
      <w:r>
        <w:rPr>
          <w:rStyle w:val="Satznummer"/>
        </w:rPr>
        <w:t>3</w:t>
      </w:r>
      <w:r>
        <w:t>Ergibt sich bei der Vernehmung, dass der Haftbefehl aufgehoben, seine Aufhebung durch die Staatsanwaltschaft beantragt (</w:t>
      </w:r>
      <w:hyperlink w:anchor="b209" w:history="1">
        <w:r>
          <w:rPr>
            <w:color w:val="0A3A8C"/>
            <w:u w:val="single"/>
          </w:rPr>
          <w:t xml:space="preserve">§ 120</w:t>
        </w:r>
      </w:hyperlink>
      <w:r>
        <w:t xml:space="preserve"> Abs. 3) oder der Ergriffene nicht die in dem Haftbefehl bezeichnete Person ist, so ist der Ergriffene freizulassen. </w:t>
      </w:r>
      <w:r>
        <w:rPr>
          <w:rStyle w:val="Satznummer"/>
        </w:rPr>
        <w:t>4</w:t>
      </w:r>
      <w:r>
        <w:t>Erhebt dieser sonst gegen den Haftbefehl oder dessen Vollzug Einwendungen, die nicht offensichtlich unbegründet sind, oder hat das Gericht Bedenken gegen die Aufrechterhaltung der Haft, so teilt es diese dem zuständigen Gericht und der zuständigen Staatsanwaltschaft unverzüglich und auf dem nach den Umständen angezeigten schnellsten Wege mit; das zuständige Gericht prüft unverzüglich, ob der Haftbefehl aufzuheben oder außer Vollzug zu setzen ist.</w:t>
      </w:r>
    </w:p>
    <w:p>
      <w:r>
        <w:t xml:space="preserve">(3) </w:t>
      </w:r>
      <w:r>
        <w:rPr>
          <w:rStyle w:val="Satznummer"/>
        </w:rPr>
        <w:t>1</w:t>
      </w:r>
      <w:r>
        <w:t xml:space="preserve">Wird der Beschuldigte nicht freigelassen, so ist er auf sein Verlangen dem zuständigen Gericht zur Vernehmung nach </w:t>
      </w:r>
      <w:hyperlink w:anchor="b198" w:history="1">
        <w:r>
          <w:rPr>
            <w:color w:val="0A3A8C"/>
            <w:u w:val="single"/>
          </w:rPr>
          <w:t xml:space="preserve">§ 115</w:t>
        </w:r>
      </w:hyperlink>
      <w:r>
        <w:t xml:space="preserve"> vorzuführen. </w:t>
      </w:r>
      <w:r>
        <w:rPr>
          <w:rStyle w:val="Satznummer"/>
        </w:rPr>
        <w:t>2</w:t>
      </w:r>
      <w:r>
        <w:t xml:space="preserve">Der Beschuldigte ist auf dieses Recht hinzuweisen und gemäß </w:t>
      </w:r>
      <w:hyperlink w:anchor="b198" w:history="1">
        <w:r>
          <w:rPr>
            <w:color w:val="0A3A8C"/>
            <w:u w:val="single"/>
          </w:rPr>
          <w:t xml:space="preserve">§ 115</w:t>
        </w:r>
      </w:hyperlink>
      <w:r>
        <w:t xml:space="preserve"> Abs. 4 zu belehren.</w:t>
      </w:r>
    </w:p>
    <w:p>
      <w:pPr>
        <w:pStyle w:val="Heading3"/>
      </w:pPr>
      <w:bookmarkStart w:id="201" w:name="b200"/>
      <w:r>
        <w:t>§ 116 Aussetzung des Vollzugs des Haftbefehls</w:t>
      </w:r>
      <w:r>
        <w:t xml:space="preserve"> </w:t>
      </w:r>
      <w:r>
        <w:rPr>
          <w:rStyle w:val="Suchmarke"/>
        </w:rPr>
        <w:t>#116#</w:t>
      </w:r>
      <w:bookmarkEnd w:id="201"/>
    </w:p>
    <w:p>
      <w:r>
        <w:t xml:space="preserve">(1) </w:t>
      </w:r>
      <w:r>
        <w:rPr>
          <w:rStyle w:val="Satznummer"/>
        </w:rPr>
        <w:t>1</w:t>
      </w:r>
      <w:r>
        <w:t xml:space="preserve">Der Richter setzt den Vollzug eines Haftbefehls, der lediglich wegen Fluchtgefahr gerechtfertigt ist, aus, wenn weniger einschneidende Maßnahmen die Erwartung hinreichend begründen, daß der Zweck der Untersuchungshaft auch durch sie erreicht werden kann. </w:t>
      </w:r>
      <w:r>
        <w:rPr>
          <w:rStyle w:val="Satznummer"/>
        </w:rPr>
        <w:t>2</w:t>
      </w:r>
      <w:r>
        <w:t>In Betracht kommen namentlich</w:t>
      </w:r>
    </w:p>
    <w:p>
      <w:pPr>
        <w:tabs>
          <w:tab w:pos="567" w:val="left"/>
        </w:tabs>
        <w:ind w:left="567" w:hanging="567"/>
      </w:pPr>
      <w:r>
        <w:t>1.</w:t>
      </w:r>
      <w:r>
        <w:tab/>
      </w:r>
      <w:r>
        <w:t>die Anweisung, sich zu bestimmten Zeiten bei dem Richter, der Strafverfolgungsbehörde oder einer von ihnen bestimmten Dienststelle zu melden,</w:t>
      </w:r>
    </w:p>
    <w:p>
      <w:pPr>
        <w:tabs>
          <w:tab w:pos="567" w:val="left"/>
        </w:tabs>
        <w:ind w:left="567" w:hanging="567"/>
      </w:pPr>
      <w:r>
        <w:t>2.</w:t>
      </w:r>
      <w:r>
        <w:tab/>
      </w:r>
      <w:r>
        <w:t>die Anweisung, den Wohn- oder Aufenthaltsort oder einen bestimmten Bereich nicht ohne Erlaubnis des Richters oder der Strafverfolgungsbehörde zu verlassen,</w:t>
      </w:r>
    </w:p>
    <w:p>
      <w:pPr>
        <w:tabs>
          <w:tab w:pos="567" w:val="left"/>
        </w:tabs>
        <w:ind w:left="567" w:hanging="567"/>
      </w:pPr>
      <w:r>
        <w:t>3.</w:t>
      </w:r>
      <w:r>
        <w:tab/>
      </w:r>
      <w:r>
        <w:t>die Anweisung, die Wohnung nur unter Aufsicht einer bestimmten Person zu verlassen,</w:t>
      </w:r>
    </w:p>
    <w:p>
      <w:pPr>
        <w:tabs>
          <w:tab w:pos="567" w:val="left"/>
        </w:tabs>
        <w:ind w:left="567" w:hanging="567"/>
      </w:pPr>
      <w:r>
        <w:t>4.</w:t>
      </w:r>
      <w:r>
        <w:tab/>
      </w:r>
      <w:r>
        <w:t>die Leistung einer angemessenen Sicherheit durch den Beschuldigten oder einen anderen.</w:t>
      </w:r>
    </w:p>
    <w:p>
      <w:r>
        <w:t xml:space="preserve">(2) </w:t>
      </w:r>
      <w:r>
        <w:rPr>
          <w:rStyle w:val="Satznummer"/>
        </w:rPr>
        <w:t>1</w:t>
      </w:r>
      <w:r>
        <w:t xml:space="preserve">Der Richter kann auch den Vollzug eines Haftbefehls, der wegen Verdunkelungsgefahr gerechtfertigt ist, aussetzen, wenn weniger einschneidende Maßnahmen die Erwartung hinreichend begründen, daß sie die Verdunkelungsgefahr erheblich vermindern werden. </w:t>
      </w:r>
      <w:r>
        <w:rPr>
          <w:rStyle w:val="Satznummer"/>
        </w:rPr>
        <w:t>2</w:t>
      </w:r>
      <w:r>
        <w:t>In Betracht kommt namentlich die Anweisung, mit Mitbeschuldigten, Zeugen oder Sachverständigen keine Verbindung aufzunehmen.</w:t>
      </w:r>
    </w:p>
    <w:p>
      <w:r>
        <w:t xml:space="preserve">(3) Der Richter kann den Vollzug eines Haftbefehls, der nach </w:t>
      </w:r>
      <w:hyperlink w:anchor="b190" w:history="1">
        <w:r>
          <w:rPr>
            <w:color w:val="0A3A8C"/>
            <w:u w:val="single"/>
          </w:rPr>
          <w:t xml:space="preserve">§ 112a</w:t>
        </w:r>
      </w:hyperlink>
      <w:r>
        <w:t xml:space="preserve"> erlassen worden ist, aussetzen, wenn die Erwartung hinreichend begründet ist, daß der Beschuldigte bestimmte Anweisungen befolgen und daß dadurch der Zweck der Haft erreicht wird.</w:t>
      </w:r>
    </w:p>
    <w:p>
      <w:r>
        <w:t>(4) Der Richter ordnet in den Fällen der Absätze 1 bis 3 den Vollzug des Haftbefehls an, wenn</w:t>
      </w:r>
    </w:p>
    <w:p>
      <w:pPr>
        <w:tabs>
          <w:tab w:pos="567" w:val="left"/>
        </w:tabs>
        <w:ind w:left="567" w:hanging="567"/>
      </w:pPr>
      <w:r>
        <w:t>1.</w:t>
      </w:r>
      <w:r>
        <w:tab/>
      </w:r>
      <w:r>
        <w:t>der Beschuldigte den ihm auferlegten Pflichten oder Beschränkungen gröblich zuwiderhandelt,</w:t>
      </w:r>
    </w:p>
    <w:p>
      <w:pPr>
        <w:tabs>
          <w:tab w:pos="567" w:val="left"/>
        </w:tabs>
        <w:ind w:left="567" w:hanging="567"/>
      </w:pPr>
      <w:r>
        <w:t>2.</w:t>
      </w:r>
      <w:r>
        <w:tab/>
      </w:r>
      <w:r>
        <w:t>der Beschuldigte Anstalten zur Flucht trifft, auf ordnungsgemäße Ladung ohne genügende Entschuldigung ausbleibt oder sich auf andere Weise zeigt, daß das in ihn gesetzte Vertrauen nicht gerechtfertigt war, oder</w:t>
      </w:r>
    </w:p>
    <w:p>
      <w:pPr>
        <w:tabs>
          <w:tab w:pos="567" w:val="left"/>
        </w:tabs>
        <w:ind w:left="567" w:hanging="567"/>
      </w:pPr>
      <w:r>
        <w:t>3.</w:t>
      </w:r>
      <w:r>
        <w:tab/>
      </w:r>
      <w:r>
        <w:t>neu hervorgetretene Umstände die Verhaftung erforderlich machen.</w:t>
      </w:r>
    </w:p>
    <w:p>
      <w:pPr>
        <w:pStyle w:val="Heading3"/>
      </w:pPr>
      <w:bookmarkStart w:id="202" w:name="b201"/>
      <w:r>
        <w:t>§ 116a Aussetzung gegen Sicherheitsleistung</w:t>
      </w:r>
      <w:r>
        <w:t xml:space="preserve"> </w:t>
      </w:r>
      <w:r>
        <w:rPr>
          <w:rStyle w:val="Suchmarke"/>
        </w:rPr>
        <w:t>#116a#</w:t>
      </w:r>
      <w:bookmarkEnd w:id="202"/>
    </w:p>
    <w:p>
      <w:r>
        <w:t xml:space="preserve">(1) </w:t>
      </w:r>
      <w:r>
        <w:rPr>
          <w:rStyle w:val="Satznummer"/>
        </w:rPr>
        <w:t>1</w:t>
      </w:r>
      <w:r>
        <w:t xml:space="preserve">Die Sicherheit ist durch Hinterlegung in barem Geld, in Wertpapieren, durch Pfandbestellung oder durch Bürgschaft geeigneter Personen zu leisten. </w:t>
      </w:r>
      <w:r>
        <w:rPr>
          <w:rStyle w:val="Satznummer"/>
        </w:rPr>
        <w:t>2</w:t>
      </w:r>
      <w:r>
        <w:t>Davon abweichende Regelungen in einer auf Grund des Gesetzes über den Zahlungsverkehr mit Gerichten und Justizbehörden erlassenen Rechtsverordnung bleiben unberührt.</w:t>
      </w:r>
    </w:p>
    <w:p>
      <w:r>
        <w:t>(2) Der Richter setzt Höhe und Art der Sicherheit nach freiem Ermessen fest.</w:t>
      </w:r>
    </w:p>
    <w:p>
      <w:r>
        <w:t>(3) Der Beschuldigte, der die Aussetzung des Vollzugs des Haftbefehls gegen Sicherheitsleistung beantragt und nicht im Geltungsbereich dieses Gesetzes wohnt, ist verpflichtet, eine im Bezirk des zuständigen Gerichts wohnende Person zum Empfang von Zustellungen zu bevollmächtigen.</w:t>
      </w:r>
    </w:p>
    <w:p>
      <w:pPr>
        <w:pStyle w:val="Heading3"/>
      </w:pPr>
      <w:bookmarkStart w:id="203" w:name="b202"/>
      <w:r>
        <w:t>§ 116b Verhältnis von Untersuchungshaft zu anderen freiheitsentziehenden Maßnahmen</w:t>
      </w:r>
      <w:r>
        <w:t xml:space="preserve"> </w:t>
      </w:r>
      <w:r>
        <w:rPr>
          <w:rStyle w:val="Suchmarke"/>
        </w:rPr>
        <w:t>#116b#</w:t>
      </w:r>
      <w:bookmarkEnd w:id="203"/>
    </w:p>
    <w:p>
      <w:r>
        <w:rPr>
          <w:rStyle w:val="Satznummer"/>
        </w:rPr>
        <w:t>1</w:t>
      </w:r>
      <w:r>
        <w:t xml:space="preserve">Die Vollstreckung der Untersuchungshaft geht der Vollstreckung der Auslieferungshaft, der vorläufigen Auslieferungshaft, der Abschiebungshaft und der Zurückweisungshaft vor. </w:t>
      </w:r>
      <w:r>
        <w:rPr>
          <w:rStyle w:val="Satznummer"/>
        </w:rPr>
        <w:t>2</w:t>
      </w:r>
      <w:r>
        <w:t>Die Vollstreckung anderer freiheitsentziehender Maßnahmen geht der Vollstreckung von Untersuchungshaft vor, es sei denn, das Gericht trifft eine abweichende Entscheidung, weil der Zweck der Untersuchungshaft dies erfordert.</w:t>
      </w:r>
    </w:p>
    <w:p>
      <w:pPr>
        <w:pStyle w:val="Heading3"/>
      </w:pPr>
      <w:bookmarkStart w:id="204" w:name="b203"/>
      <w:r>
        <w:t>§ 117 Haftprüfung</w:t>
      </w:r>
      <w:r>
        <w:t xml:space="preserve"> </w:t>
      </w:r>
      <w:r>
        <w:rPr>
          <w:rStyle w:val="Suchmarke"/>
        </w:rPr>
        <w:t>#117#</w:t>
      </w:r>
      <w:bookmarkEnd w:id="204"/>
    </w:p>
    <w:p>
      <w:r>
        <w:t xml:space="preserve">(1) Solange der Beschuldigte in Untersuchungshaft ist, kann er jederzeit die gerichtliche Prüfung beantragen, ob der Haftbefehl aufzuheben oder dessen Vollzug nach </w:t>
      </w:r>
      <w:hyperlink w:anchor="b200" w:history="1">
        <w:r>
          <w:rPr>
            <w:color w:val="0A3A8C"/>
            <w:u w:val="single"/>
          </w:rPr>
          <w:t xml:space="preserve">§ 116</w:t>
        </w:r>
      </w:hyperlink>
      <w:r>
        <w:t xml:space="preserve"> auszusetzen ist (Haftprüfung).</w:t>
      </w:r>
    </w:p>
    <w:p>
      <w:r>
        <w:t xml:space="preserve">(2) </w:t>
      </w:r>
      <w:r>
        <w:rPr>
          <w:rStyle w:val="Satznummer"/>
        </w:rPr>
        <w:t>1</w:t>
      </w:r>
      <w:r>
        <w:t xml:space="preserve">Neben dem Antrag auf Haftprüfung ist die Beschwerde unzulässig. </w:t>
      </w:r>
      <w:r>
        <w:rPr>
          <w:rStyle w:val="Satznummer"/>
        </w:rPr>
        <w:t>2</w:t>
      </w:r>
      <w:r>
        <w:t>Das Recht der Beschwerde gegen die Entscheidung, die auf den Antrag ergeht, wird dadurch nicht berührt.</w:t>
      </w:r>
    </w:p>
    <w:p>
      <w:r>
        <w:t>(3) Der Richter kann einzelne Ermittlungen anordnen, die für die künftige Entscheidung über die Aufrechterhaltung der Untersuchungshaft von Bedeutung sind, und nach Durchführung dieser Ermittlungen eine neue Prüfung vornehmen.</w:t>
      </w:r>
    </w:p>
    <w:p>
      <w:r>
        <w:t>(4) (weggefallen)</w:t>
      </w:r>
    </w:p>
    <w:p>
      <w:r>
        <w:t>(5) (weggefallen)</w:t>
      </w:r>
    </w:p>
    <w:p>
      <w:pPr>
        <w:pStyle w:val="Heading3"/>
      </w:pPr>
      <w:bookmarkStart w:id="205" w:name="b204"/>
      <w:r>
        <w:t>§ 118 Verfahren bei der Haftprüfung</w:t>
      </w:r>
      <w:r>
        <w:t xml:space="preserve"> </w:t>
      </w:r>
      <w:r>
        <w:rPr>
          <w:rStyle w:val="Suchmarke"/>
        </w:rPr>
        <w:t>#118#</w:t>
      </w:r>
      <w:bookmarkEnd w:id="205"/>
    </w:p>
    <w:p>
      <w:r>
        <w:t>(1) Bei der Haftprüfung wird auf Antrag des Beschuldigten oder nach dem Ermessen des Gerichts von Amts wegen nach mündlicher Verhandlung entschieden.</w:t>
      </w:r>
    </w:p>
    <w:p>
      <w:r>
        <w:t>(2) Ist gegen den Haftbefehl Beschwerde eingelegt, so kann auch im Beschwerdeverfahren auf Antrag des Beschuldigten oder von Amts wegen nach mündlicher Verhandlung entschieden werden.</w:t>
      </w:r>
    </w:p>
    <w:p>
      <w:r>
        <w:t>(3) Ist die Untersuchungshaft nach mündlicher Verhandlung aufrechterhalten worden, so hat der Beschuldigte einen Anspruch auf eine weitere mündliche Verhandlung nur, wenn die Untersuchungshaft mindestens drei Monate und seit der letzten mündlichen Verhandlung mindestens zwei Monate gedauert hat.</w:t>
      </w:r>
    </w:p>
    <w:p>
      <w:r>
        <w:t>(4) Ein Anspruch auf mündliche Verhandlung besteht nicht, solange die Hauptverhandlung andauert oder wenn ein Urteil ergangen ist, das auf eine Freiheitsstrafe oder eine freiheitsentziehende Maßregel der Besserung und Sicherung erkennt.</w:t>
      </w:r>
    </w:p>
    <w:p>
      <w:r>
        <w:t>(5) Die mündliche Verhandlung ist unverzüglich durchzuführen; sie darf ohne Zustimmung des Beschuldigten nicht über zwei Wochen nach dem Eingang des Antrags anberaumt werden.</w:t>
      </w:r>
    </w:p>
    <w:p>
      <w:pPr>
        <w:pStyle w:val="Heading3"/>
      </w:pPr>
      <w:bookmarkStart w:id="206" w:name="b205"/>
      <w:r>
        <w:t>§ 118a Mündliche Verhandlung bei der Haftprüfung</w:t>
      </w:r>
      <w:r>
        <w:t xml:space="preserve"> </w:t>
      </w:r>
      <w:r>
        <w:rPr>
          <w:rStyle w:val="Suchmarke"/>
        </w:rPr>
        <w:t>#118a#</w:t>
      </w:r>
      <w:bookmarkEnd w:id="206"/>
    </w:p>
    <w:p>
      <w:r>
        <w:t>(1) Von Ort und Zeit der mündlichen Verhandlung sind die Staatsanwaltschaft sowie der Beschuldigte und der Verteidiger zu benachrichtigen.</w:t>
      </w:r>
    </w:p>
    <w:p>
      <w:r>
        <w:t xml:space="preserve">(2) </w:t>
      </w:r>
      <w:r>
        <w:rPr>
          <w:rStyle w:val="Satznummer"/>
        </w:rPr>
        <w:t>1</w:t>
      </w:r>
      <w:r>
        <w:t xml:space="preserve">Der Beschuldigte ist zu der Verhandlung vorzuführen, es sei denn, daß er auf die Anwesenheit in der Verhandlung verzichtet hat oder daß der Vorführung weite Entfernung oder Krankheit des Beschuldigten oder andere nicht zu beseitigende Hindernisse entgegenstehen. </w:t>
      </w:r>
      <w:r>
        <w:rPr>
          <w:rStyle w:val="Satznummer"/>
        </w:rPr>
        <w:t>2</w:t>
      </w:r>
      <w:r>
        <w:t xml:space="preserve">Das Gericht kann anordnen, dass unter den Voraussetzungen des Satzes 1 die mündliche Verhandlung in der Weise erfolgt, dass sich der Beschuldigte an einem anderen Ort als das Gericht aufhält und die Verhandlung zeitgleich in Bild und Ton an den Ort, an dem sich der Beschuldigte aufhält, und in das Sitzungszimmer übertragen wird. </w:t>
      </w:r>
      <w:r>
        <w:rPr>
          <w:rStyle w:val="Satznummer"/>
        </w:rPr>
        <w:t>3</w:t>
      </w:r>
      <w:r>
        <w:t>Wird der Beschuldigte zur mündlichen Verhandlung nicht vorgeführt und nicht nach Satz 2 verfahren, so muss ein Verteidiger seine Rechte in der Verhandlung wahrnehmen.</w:t>
      </w:r>
    </w:p>
    <w:p>
      <w:r>
        <w:t xml:space="preserve">(3) </w:t>
      </w:r>
      <w:r>
        <w:rPr>
          <w:rStyle w:val="Satznummer"/>
        </w:rPr>
        <w:t>1</w:t>
      </w:r>
      <w:r>
        <w:t xml:space="preserve">In der mündlichen Verhandlung sind die anwesenden Beteiligten zu hören. </w:t>
      </w:r>
      <w:r>
        <w:rPr>
          <w:rStyle w:val="Satznummer"/>
        </w:rPr>
        <w:t>2</w:t>
      </w:r>
      <w:r>
        <w:t xml:space="preserve">Art und Umfang der Beweisaufnahme bestimmt das Gericht. </w:t>
      </w:r>
      <w:r>
        <w:rPr>
          <w:rStyle w:val="Satznummer"/>
        </w:rPr>
        <w:t>3</w:t>
      </w:r>
      <w:r>
        <w:t xml:space="preserve">Über die Verhandlung ist ein Protokoll aufzunehmen; die </w:t>
      </w:r>
      <w:hyperlink w:anchor="b423" w:history="1">
        <w:r>
          <w:rPr>
            <w:color w:val="0A3A8C"/>
            <w:u w:val="single"/>
          </w:rPr>
          <w:t xml:space="preserve">§§ 271</w:t>
        </w:r>
      </w:hyperlink>
      <w:r>
        <w:t xml:space="preserve"> bis </w:t>
      </w:r>
      <w:hyperlink w:anchor="b425" w:history="1">
        <w:r>
          <w:rPr>
            <w:color w:val="0A3A8C"/>
            <w:u w:val="single"/>
          </w:rPr>
          <w:t xml:space="preserve">273</w:t>
        </w:r>
      </w:hyperlink>
      <w:r>
        <w:t xml:space="preserve"> gelten entsprechend.</w:t>
      </w:r>
    </w:p>
    <w:p>
      <w:r>
        <w:t xml:space="preserve">(4) </w:t>
      </w:r>
      <w:r>
        <w:rPr>
          <w:rStyle w:val="Satznummer"/>
        </w:rPr>
        <w:t>1</w:t>
      </w:r>
      <w:r>
        <w:t xml:space="preserve">Die Entscheidung ist am Schluß der mündlichen Verhandlung zu verkünden. </w:t>
      </w:r>
      <w:r>
        <w:rPr>
          <w:rStyle w:val="Satznummer"/>
        </w:rPr>
        <w:t>2</w:t>
      </w:r>
      <w:r>
        <w:t>Ist dies nicht möglich, so ist die Entscheidung spätestens binnen einer Woche zu erlassen.</w:t>
      </w:r>
    </w:p>
    <w:p>
      <w:pPr>
        <w:pStyle w:val="Heading3"/>
      </w:pPr>
      <w:bookmarkStart w:id="207" w:name="b206"/>
      <w:r>
        <w:t>§ 118b Anwendung von Rechtsmittelvorschriften</w:t>
      </w:r>
      <w:r>
        <w:t xml:space="preserve"> </w:t>
      </w:r>
      <w:r>
        <w:rPr>
          <w:rStyle w:val="Suchmarke"/>
        </w:rPr>
        <w:t>#118b#</w:t>
      </w:r>
      <w:bookmarkEnd w:id="207"/>
    </w:p>
    <w:p>
      <w:r>
        <w:t>Für den Antrag auf Haftprüfung (</w:t>
      </w:r>
      <w:hyperlink w:anchor="b203" w:history="1">
        <w:r>
          <w:rPr>
            <w:color w:val="0A3A8C"/>
            <w:u w:val="single"/>
          </w:rPr>
          <w:t xml:space="preserve">§ 117</w:t>
        </w:r>
      </w:hyperlink>
      <w:r>
        <w:t xml:space="preserve"> Abs. 1) und den Antrag auf mündliche Verhandlung gelten die </w:t>
      </w:r>
      <w:hyperlink w:anchor="b447" w:history="1">
        <w:r>
          <w:rPr>
            <w:color w:val="0A3A8C"/>
            <w:u w:val="single"/>
          </w:rPr>
          <w:t xml:space="preserve">§§ 297</w:t>
        </w:r>
      </w:hyperlink>
      <w:r>
        <w:t xml:space="preserve"> bis </w:t>
      </w:r>
      <w:hyperlink w:anchor="b450" w:history="1">
        <w:r>
          <w:rPr>
            <w:color w:val="0A3A8C"/>
            <w:u w:val="single"/>
          </w:rPr>
          <w:t xml:space="preserve">300</w:t>
        </w:r>
      </w:hyperlink>
      <w:r>
        <w:t xml:space="preserve"> und </w:t>
      </w:r>
      <w:hyperlink w:anchor="b452" w:history="1">
        <w:r>
          <w:rPr>
            <w:color w:val="0A3A8C"/>
            <w:u w:val="single"/>
          </w:rPr>
          <w:t xml:space="preserve">302</w:t>
        </w:r>
      </w:hyperlink>
      <w:r>
        <w:t xml:space="preserve"> Abs. 2 entsprechend.</w:t>
      </w:r>
    </w:p>
    <w:p>
      <w:pPr>
        <w:pStyle w:val="Heading3"/>
      </w:pPr>
      <w:bookmarkStart w:id="208" w:name="b207"/>
      <w:r>
        <w:t>§ 119 Haftgrundbezogene Beschränkungen während der Untersuchungshaft</w:t>
      </w:r>
      <w:r>
        <w:t xml:space="preserve"> </w:t>
      </w:r>
      <w:r>
        <w:rPr>
          <w:rStyle w:val="Suchmarke"/>
        </w:rPr>
        <w:t>#119#</w:t>
      </w:r>
      <w:bookmarkEnd w:id="208"/>
    </w:p>
    <w:p>
      <w:r>
        <w:t xml:space="preserve">(1) </w:t>
      </w:r>
      <w:r>
        <w:rPr>
          <w:rStyle w:val="Satznummer"/>
        </w:rPr>
        <w:t>1</w:t>
      </w:r>
      <w:r>
        <w:t>Soweit dies zur Abwehr einer Flucht-, Verdunkelungs- oder Wiederholungsgefahr (</w:t>
      </w:r>
      <w:hyperlink w:anchor="b189" w:history="1">
        <w:r>
          <w:rPr>
            <w:color w:val="0A3A8C"/>
            <w:u w:val="single"/>
          </w:rPr>
          <w:t xml:space="preserve">§§ 112</w:t>
        </w:r>
      </w:hyperlink>
      <w:r>
        <w:t xml:space="preserve">, </w:t>
      </w:r>
      <w:hyperlink w:anchor="b190" w:history="1">
        <w:r>
          <w:rPr>
            <w:color w:val="0A3A8C"/>
            <w:u w:val="single"/>
          </w:rPr>
          <w:t xml:space="preserve">112a</w:t>
        </w:r>
      </w:hyperlink>
      <w:r>
        <w:t xml:space="preserve">) erforderlich ist, können einem inhaftierten Beschuldigten Beschränkungen auferlegt werden. </w:t>
      </w:r>
      <w:r>
        <w:rPr>
          <w:rStyle w:val="Satznummer"/>
        </w:rPr>
        <w:t>2</w:t>
      </w:r>
      <w:r>
        <w:t>Insbesondere kann angeordnet werden, dass</w:t>
      </w:r>
    </w:p>
    <w:p>
      <w:pPr>
        <w:tabs>
          <w:tab w:pos="567" w:val="left"/>
        </w:tabs>
        <w:ind w:left="567" w:hanging="567"/>
      </w:pPr>
      <w:r>
        <w:t>1.</w:t>
      </w:r>
      <w:r>
        <w:tab/>
      </w:r>
      <w:r>
        <w:t>der Empfang von Besuchen und die Telekommunikation der Erlaubnis bedürfen,</w:t>
      </w:r>
    </w:p>
    <w:p>
      <w:pPr>
        <w:tabs>
          <w:tab w:pos="567" w:val="left"/>
        </w:tabs>
        <w:ind w:left="567" w:hanging="567"/>
      </w:pPr>
      <w:r>
        <w:t>2.</w:t>
      </w:r>
      <w:r>
        <w:tab/>
      </w:r>
      <w:r>
        <w:t>Besuche, Telekommunikation sowie der Schrift- und Paketverkehr zu überwachen sind,</w:t>
      </w:r>
    </w:p>
    <w:p>
      <w:pPr>
        <w:tabs>
          <w:tab w:pos="567" w:val="left"/>
        </w:tabs>
        <w:ind w:left="567" w:hanging="567"/>
      </w:pPr>
      <w:r>
        <w:t>3.</w:t>
      </w:r>
      <w:r>
        <w:tab/>
      </w:r>
      <w:r>
        <w:t>die Übergabe von Gegenständen bei Besuchen der Erlaubnis bedarf,</w:t>
      </w:r>
    </w:p>
    <w:p>
      <w:pPr>
        <w:tabs>
          <w:tab w:pos="567" w:val="left"/>
        </w:tabs>
        <w:ind w:left="567" w:hanging="567"/>
      </w:pPr>
      <w:r>
        <w:t>4.</w:t>
      </w:r>
      <w:r>
        <w:tab/>
      </w:r>
      <w:r>
        <w:t>der Beschuldigte von einzelnen oder allen anderen Inhaftierten getrennt wird,</w:t>
      </w:r>
    </w:p>
    <w:p>
      <w:pPr>
        <w:tabs>
          <w:tab w:pos="567" w:val="left"/>
        </w:tabs>
        <w:ind w:left="567" w:hanging="567"/>
      </w:pPr>
      <w:r>
        <w:t>5.</w:t>
      </w:r>
      <w:r>
        <w:tab/>
      </w:r>
      <w:r>
        <w:t>die gemeinsame Unterbringung und der gemeinsame Aufenthalt mit anderen Inhaftierten eingeschränkt oder ausgeschlossen werden.</w:t>
      </w:r>
    </w:p>
    <w:p>
      <w:r>
        <w:rPr>
          <w:rStyle w:val="Satznummer"/>
        </w:rPr>
        <w:t>3</w:t>
      </w:r>
      <w:r>
        <w:t xml:space="preserve">Die Anordnungen trifft das Gericht. </w:t>
      </w:r>
      <w:r>
        <w:rPr>
          <w:rStyle w:val="Satznummer"/>
        </w:rPr>
        <w:t>4</w:t>
      </w:r>
      <w:r>
        <w:t xml:space="preserve">Kann dessen Anordnung nicht rechtzeitig herbeigeführt werden, kann die Staatsanwaltschaft oder die Vollzugsanstalt eine vorläufige Anordnung treffen. </w:t>
      </w:r>
      <w:r>
        <w:rPr>
          <w:rStyle w:val="Satznummer"/>
        </w:rPr>
        <w:t>5</w:t>
      </w:r>
      <w:r>
        <w:t xml:space="preserve">Die Anordnung ist dem Gericht binnen drei Werktagen zur Genehmigung vorzulegen, es sei denn, sie hat sich zwischenzeitlich erledigt. </w:t>
      </w:r>
      <w:r>
        <w:rPr>
          <w:rStyle w:val="Satznummer"/>
        </w:rPr>
        <w:t>6</w:t>
      </w:r>
      <w:r>
        <w:t xml:space="preserve">Der Beschuldigte ist über Anordnungen in Kenntnis zu setzen. </w:t>
      </w:r>
      <w:r>
        <w:rPr>
          <w:rStyle w:val="Satznummer"/>
        </w:rPr>
        <w:t>7</w:t>
      </w:r>
      <w:r>
        <w:t>Die Anordnung nach Satz 2 Nr. 2 schließt die Ermächtigung ein, Besuche und Telekommunikation abzubrechen sowie Schreiben und Pakete anzuhalten.</w:t>
      </w:r>
    </w:p>
    <w:p>
      <w:r>
        <w:t xml:space="preserve">(2) </w:t>
      </w:r>
      <w:r>
        <w:rPr>
          <w:rStyle w:val="Satznummer"/>
        </w:rPr>
        <w:t>1</w:t>
      </w:r>
      <w:r>
        <w:t xml:space="preserve">Die Ausführung der Anordnungen obliegt der anordnenden Stelle. </w:t>
      </w:r>
      <w:r>
        <w:rPr>
          <w:rStyle w:val="Satznummer"/>
        </w:rPr>
        <w:t>2</w:t>
      </w:r>
      <w:r>
        <w:t xml:space="preserve">Das Gericht kann die Ausführung von Anordnungen widerruflich auf die Staatsanwaltschaft übertragen, die sich bei der Ausführung der Hilfe durch ihre Ermittlungspersonen und die Vollzugsanstalt bedienen kann. </w:t>
      </w:r>
      <w:r>
        <w:rPr>
          <w:rStyle w:val="Satznummer"/>
        </w:rPr>
        <w:t>3</w:t>
      </w:r>
      <w:r>
        <w:t>Die Übertragung ist unanfechtbar.</w:t>
      </w:r>
    </w:p>
    <w:p>
      <w:r>
        <w:t xml:space="preserve">(3) </w:t>
      </w:r>
      <w:r>
        <w:rPr>
          <w:rStyle w:val="Satznummer"/>
        </w:rPr>
        <w:t>1</w:t>
      </w:r>
      <w:r>
        <w:t xml:space="preserve">Ist die Überwachung der Telekommunikation nach Absatz 1 Satz 2 Nr. 2 angeordnet, ist die beabsichtigte Überwachung den Gesprächspartnern des Beschuldigten unmittelbar nach Herstellung der Verbindung mitzuteilen. </w:t>
      </w:r>
      <w:r>
        <w:rPr>
          <w:rStyle w:val="Satznummer"/>
        </w:rPr>
        <w:t>2</w:t>
      </w:r>
      <w:r>
        <w:t xml:space="preserve">Die Mitteilung kann durch den Beschuldigten selbst erfolgen. </w:t>
      </w:r>
      <w:r>
        <w:rPr>
          <w:rStyle w:val="Satznummer"/>
        </w:rPr>
        <w:t>3</w:t>
      </w:r>
      <w:r>
        <w:t>Der Beschuldigte ist rechtzeitig vor Beginn der Telekommunikation über die Mitteilungspflicht zu unterrichten.</w:t>
      </w:r>
    </w:p>
    <w:p>
      <w:r>
        <w:t xml:space="preserve">(4) </w:t>
      </w:r>
      <w:r>
        <w:rPr>
          <w:rStyle w:val="Satznummer"/>
        </w:rPr>
        <w:t>1</w:t>
      </w:r>
      <w:r>
        <w:t xml:space="preserve">Die </w:t>
      </w:r>
      <w:hyperlink w:anchor="b258" w:history="1">
        <w:r>
          <w:rPr>
            <w:color w:val="0A3A8C"/>
            <w:u w:val="single"/>
          </w:rPr>
          <w:t xml:space="preserve">§§ 148</w:t>
        </w:r>
      </w:hyperlink>
      <w:r>
        <w:t xml:space="preserve">, </w:t>
      </w:r>
      <w:hyperlink w:anchor="b259" w:history="1">
        <w:r>
          <w:rPr>
            <w:color w:val="0A3A8C"/>
            <w:u w:val="single"/>
          </w:rPr>
          <w:t xml:space="preserve">148a</w:t>
        </w:r>
      </w:hyperlink>
      <w:r>
        <w:t xml:space="preserve"> bleiben unberührt. </w:t>
      </w:r>
      <w:r>
        <w:rPr>
          <w:rStyle w:val="Satznummer"/>
        </w:rPr>
        <w:t>2</w:t>
      </w:r>
      <w:r>
        <w:t>Sie gelten entsprechend für den Verkehr des Beschuldigten mit</w:t>
      </w:r>
    </w:p>
    <w:p>
      <w:pPr>
        <w:tabs>
          <w:tab w:pos="567" w:val="left"/>
        </w:tabs>
        <w:ind w:left="567" w:hanging="567"/>
      </w:pPr>
      <w:r>
        <w:t>1.</w:t>
      </w:r>
      <w:r>
        <w:tab/>
      </w:r>
      <w:r>
        <w:t>der für ihn zuständigen Bewährungshilfe,</w:t>
      </w:r>
    </w:p>
    <w:p>
      <w:pPr>
        <w:tabs>
          <w:tab w:pos="567" w:val="left"/>
        </w:tabs>
        <w:ind w:left="567" w:hanging="567"/>
      </w:pPr>
      <w:r>
        <w:t>2.</w:t>
      </w:r>
      <w:r>
        <w:tab/>
      </w:r>
      <w:r>
        <w:t>der für ihn zuständigen Führungsaufsichtsstelle,</w:t>
      </w:r>
    </w:p>
    <w:p>
      <w:pPr>
        <w:tabs>
          <w:tab w:pos="567" w:val="left"/>
        </w:tabs>
        <w:ind w:left="567" w:hanging="567"/>
      </w:pPr>
      <w:r>
        <w:t>3.</w:t>
      </w:r>
      <w:r>
        <w:tab/>
      </w:r>
      <w:r>
        <w:t>der für ihn zuständigen Gerichtshilfe,</w:t>
      </w:r>
    </w:p>
    <w:p>
      <w:pPr>
        <w:tabs>
          <w:tab w:pos="567" w:val="left"/>
        </w:tabs>
        <w:ind w:left="567" w:hanging="567"/>
      </w:pPr>
      <w:r>
        <w:t>4.</w:t>
      </w:r>
      <w:r>
        <w:tab/>
      </w:r>
      <w:r>
        <w:t>den Volksvertretungen des Bundes und der Länder,</w:t>
      </w:r>
    </w:p>
    <w:p>
      <w:pPr>
        <w:tabs>
          <w:tab w:pos="567" w:val="left"/>
        </w:tabs>
        <w:ind w:left="567" w:hanging="567"/>
      </w:pPr>
      <w:r>
        <w:t>5.</w:t>
      </w:r>
      <w:r>
        <w:tab/>
      </w:r>
      <w:r>
        <w:t>dem Bundesverfassungsgericht und dem für ihn zuständigen Landesverfassungsgericht,</w:t>
      </w:r>
    </w:p>
    <w:p>
      <w:pPr>
        <w:tabs>
          <w:tab w:pos="567" w:val="left"/>
        </w:tabs>
        <w:ind w:left="567" w:hanging="567"/>
      </w:pPr>
      <w:r>
        <w:t>6.</w:t>
      </w:r>
      <w:r>
        <w:tab/>
      </w:r>
      <w:r>
        <w:t>dem für ihn zuständigen Bürgerbeauftragten eines Landes,</w:t>
      </w:r>
    </w:p>
    <w:p>
      <w:pPr>
        <w:tabs>
          <w:tab w:pos="567" w:val="left"/>
        </w:tabs>
        <w:ind w:left="567" w:hanging="567"/>
      </w:pPr>
      <w:r>
        <w:t>7.</w:t>
      </w:r>
      <w:r>
        <w:tab/>
      </w:r>
      <w:r>
        <w:t>dem oder der Bundesbeauftragten für den Datenschutz und die Informationsfreiheit, den für die Kontrolle der Einhaltung der Vorschriften über den Datenschutz in den Ländern zuständigen Stellen der Länder und den Aufsichtsbehörden nach § 40 des Bundesdatenschutzgesetzes,</w:t>
      </w:r>
    </w:p>
    <w:p>
      <w:pPr>
        <w:tabs>
          <w:tab w:pos="567" w:val="left"/>
        </w:tabs>
        <w:ind w:left="567" w:hanging="567"/>
      </w:pPr>
      <w:r>
        <w:t>8.</w:t>
      </w:r>
      <w:r>
        <w:tab/>
      </w:r>
      <w:r>
        <w:t>dem Europäischen Parlament,</w:t>
      </w:r>
    </w:p>
    <w:p>
      <w:pPr>
        <w:tabs>
          <w:tab w:pos="567" w:val="left"/>
        </w:tabs>
        <w:ind w:left="567" w:hanging="567"/>
      </w:pPr>
      <w:r>
        <w:t>9.</w:t>
      </w:r>
      <w:r>
        <w:tab/>
      </w:r>
      <w:r>
        <w:t>dem Europäischen Gerichtshof für Menschenrechte,</w:t>
      </w:r>
    </w:p>
    <w:p>
      <w:pPr>
        <w:tabs>
          <w:tab w:pos="567" w:val="left"/>
        </w:tabs>
        <w:ind w:left="567" w:hanging="567"/>
      </w:pPr>
      <w:r>
        <w:t>10.</w:t>
      </w:r>
      <w:r>
        <w:tab/>
      </w:r>
      <w:r>
        <w:t>dem Europäischen Gerichtshof,</w:t>
      </w:r>
    </w:p>
    <w:p>
      <w:pPr>
        <w:tabs>
          <w:tab w:pos="567" w:val="left"/>
        </w:tabs>
        <w:ind w:left="567" w:hanging="567"/>
      </w:pPr>
      <w:r>
        <w:t>11.</w:t>
      </w:r>
      <w:r>
        <w:tab/>
      </w:r>
      <w:r>
        <w:t>dem Europäischen Datenschutzbeauftragten,</w:t>
      </w:r>
    </w:p>
    <w:p>
      <w:pPr>
        <w:tabs>
          <w:tab w:pos="567" w:val="left"/>
        </w:tabs>
        <w:ind w:left="567" w:hanging="567"/>
      </w:pPr>
      <w:r>
        <w:t>12.</w:t>
      </w:r>
      <w:r>
        <w:tab/>
      </w:r>
      <w:r>
        <w:t>dem Europäischen Bürgerbeauftragten,</w:t>
      </w:r>
    </w:p>
    <w:p>
      <w:pPr>
        <w:tabs>
          <w:tab w:pos="567" w:val="left"/>
        </w:tabs>
        <w:ind w:left="567" w:hanging="567"/>
      </w:pPr>
      <w:r>
        <w:t>13.</w:t>
      </w:r>
      <w:r>
        <w:tab/>
      </w:r>
      <w:r>
        <w:t>dem Europäischen Ausschuss zur Verhütung von Folter und unmenschlicher oder erniedrigender Behandlung oder Strafe,</w:t>
      </w:r>
    </w:p>
    <w:p>
      <w:pPr>
        <w:tabs>
          <w:tab w:pos="567" w:val="left"/>
        </w:tabs>
        <w:ind w:left="567" w:hanging="567"/>
      </w:pPr>
      <w:r>
        <w:t>14.</w:t>
      </w:r>
      <w:r>
        <w:tab/>
      </w:r>
      <w:r>
        <w:t>der Europäischen Kommission gegen Rassismus und Intoleranz,</w:t>
      </w:r>
    </w:p>
    <w:p>
      <w:pPr>
        <w:tabs>
          <w:tab w:pos="567" w:val="left"/>
        </w:tabs>
        <w:ind w:left="567" w:hanging="567"/>
      </w:pPr>
      <w:r>
        <w:t>15.</w:t>
      </w:r>
      <w:r>
        <w:tab/>
      </w:r>
      <w:r>
        <w:t>dem Menschenrechtsausschuss der Vereinten Nationen,</w:t>
      </w:r>
    </w:p>
    <w:p>
      <w:pPr>
        <w:tabs>
          <w:tab w:pos="567" w:val="left"/>
        </w:tabs>
        <w:ind w:left="567" w:hanging="567"/>
      </w:pPr>
      <w:r>
        <w:t>16.</w:t>
      </w:r>
      <w:r>
        <w:tab/>
      </w:r>
      <w:r>
        <w:t>den Ausschüssen der Vereinten Nationen für die Beseitigung der Rassendiskriminierung und für die Beseitigung der Diskriminierung der Frau,</w:t>
      </w:r>
    </w:p>
    <w:p>
      <w:pPr>
        <w:tabs>
          <w:tab w:pos="567" w:val="left"/>
        </w:tabs>
        <w:ind w:left="567" w:hanging="567"/>
      </w:pPr>
      <w:r>
        <w:t>17.</w:t>
      </w:r>
      <w:r>
        <w:tab/>
      </w:r>
      <w:r>
        <w:t>dem Ausschuss der Vereinten Nationen gegen Folter, dem zugehörigen Unterausschuss zur Verhütung von Folter und den entsprechenden Nationalen Präventionsmechanismen,</w:t>
      </w:r>
    </w:p>
    <w:p>
      <w:pPr>
        <w:tabs>
          <w:tab w:pos="567" w:val="left"/>
        </w:tabs>
        <w:ind w:left="567" w:hanging="567"/>
      </w:pPr>
      <w:r>
        <w:t>18.</w:t>
      </w:r>
      <w:r>
        <w:tab/>
      </w:r>
      <w:r>
        <w:t xml:space="preserve">den in </w:t>
      </w:r>
      <w:hyperlink w:anchor="b75" w:history="1">
        <w:r>
          <w:rPr>
            <w:color w:val="0A3A8C"/>
            <w:u w:val="single"/>
          </w:rPr>
          <w:t xml:space="preserve">§ 53</w:t>
        </w:r>
      </w:hyperlink>
      <w:r>
        <w:t xml:space="preserve"> Abs. 1 Satz 1 Nr. 1 und 4 genannten Personen in Bezug auf die dort bezeichneten Inhalte,</w:t>
      </w:r>
    </w:p>
    <w:p>
      <w:pPr>
        <w:tabs>
          <w:tab w:pos="567" w:val="left"/>
        </w:tabs>
        <w:ind w:left="567" w:hanging="567"/>
      </w:pPr>
      <w:r>
        <w:t>19.</w:t>
      </w:r>
      <w:r>
        <w:tab/>
      </w:r>
      <w:r>
        <w:t>soweit das Gericht nichts anderes anordnet,</w:t>
      </w:r>
    </w:p>
    <w:p>
      <w:pPr>
        <w:tabs>
          <w:tab w:pos="1134" w:val="left"/>
        </w:tabs>
        <w:ind w:left="1134" w:hanging="567"/>
      </w:pPr>
      <w:r>
        <w:t>a)</w:t>
      </w:r>
      <w:r>
        <w:tab/>
      </w:r>
      <w:r>
        <w:t>den Beiräten bei den Justizvollzugsanstalten und</w:t>
      </w:r>
    </w:p>
    <w:p>
      <w:pPr>
        <w:tabs>
          <w:tab w:pos="1134" w:val="left"/>
        </w:tabs>
        <w:ind w:left="1134" w:hanging="567"/>
      </w:pPr>
      <w:r>
        <w:t>b)</w:t>
      </w:r>
      <w:r>
        <w:tab/>
      </w:r>
      <w:r>
        <w:t>der konsularischen Vertretung seines Heimatstaates.</w:t>
      </w:r>
    </w:p>
    <w:p>
      <w:r>
        <w:rPr>
          <w:rStyle w:val="Satznummer"/>
        </w:rPr>
        <w:t>3</w:t>
      </w:r>
      <w:r>
        <w:t>Die Maßnahmen, die erforderlich sind, um das Vorliegen der Voraussetzungen nach den Sätzen 1 und 2 festzustellen, trifft die nach Absatz 2 zuständige Stelle.</w:t>
      </w:r>
    </w:p>
    <w:p>
      <w:r>
        <w:t xml:space="preserve">(5) </w:t>
      </w:r>
      <w:r>
        <w:rPr>
          <w:rStyle w:val="Satznummer"/>
        </w:rPr>
        <w:t>1</w:t>
      </w:r>
      <w:r>
        <w:t xml:space="preserve">Gegen nach dieser Vorschrift ergangene Entscheidungen oder sonstige Maßnahmen kann gerichtliche Entscheidung beantragt werden, soweit nicht das Rechtsmittel der Beschwerde statthaft ist. </w:t>
      </w:r>
      <w:r>
        <w:rPr>
          <w:rStyle w:val="Satznummer"/>
        </w:rPr>
        <w:t>2</w:t>
      </w:r>
      <w:r>
        <w:t xml:space="preserve">Der Antrag hat keine aufschiebende Wirkung. </w:t>
      </w:r>
      <w:r>
        <w:rPr>
          <w:rStyle w:val="Satznummer"/>
        </w:rPr>
        <w:t>3</w:t>
      </w:r>
      <w:r>
        <w:t>Das Gericht kann jedoch vorläufige Anordnungen treffen.</w:t>
      </w:r>
    </w:p>
    <w:p>
      <w:r>
        <w:t xml:space="preserve">(6) </w:t>
      </w:r>
      <w:r>
        <w:rPr>
          <w:rStyle w:val="Satznummer"/>
        </w:rPr>
        <w:t>1</w:t>
      </w:r>
      <w:r>
        <w:t>Die Absätze 1 bis 5 gelten auch, wenn gegen einen Beschuldigten, gegen den Untersuchungshaft angeordnet ist, eine andere freiheitsentziehende Maßnahme vollstreckt wird (</w:t>
      </w:r>
      <w:hyperlink w:anchor="b202" w:history="1">
        <w:r>
          <w:rPr>
            <w:color w:val="0A3A8C"/>
            <w:u w:val="single"/>
          </w:rPr>
          <w:t xml:space="preserve">§ 116b</w:t>
        </w:r>
      </w:hyperlink>
      <w:r>
        <w:t xml:space="preserve">). </w:t>
      </w:r>
      <w:r>
        <w:rPr>
          <w:rStyle w:val="Satznummer"/>
        </w:rPr>
        <w:t>2</w:t>
      </w:r>
      <w:r>
        <w:t xml:space="preserve">Die Zuständigkeit des Gerichts bestimmt sich auch in diesem Fall nach </w:t>
      </w:r>
      <w:hyperlink w:anchor="b216" w:history="1">
        <w:r>
          <w:rPr>
            <w:color w:val="0A3A8C"/>
            <w:u w:val="single"/>
          </w:rPr>
          <w:t xml:space="preserve">§ 126</w:t>
        </w:r>
      </w:hyperlink>
      <w:r>
        <w:t>.</w:t>
      </w:r>
    </w:p>
    <w:p>
      <w:pPr>
        <w:pStyle w:val="Heading3"/>
      </w:pPr>
      <w:bookmarkStart w:id="209" w:name="b208"/>
      <w:r>
        <w:t>§ 119a Gerichtliche Entscheidung über eine Maßnahme der Vollzugsbehörde</w:t>
      </w:r>
      <w:r>
        <w:t xml:space="preserve"> </w:t>
      </w:r>
      <w:r>
        <w:rPr>
          <w:rStyle w:val="Suchmarke"/>
        </w:rPr>
        <w:t>#119a#</w:t>
      </w:r>
      <w:bookmarkEnd w:id="209"/>
    </w:p>
    <w:p>
      <w:r>
        <w:t xml:space="preserve">(1) </w:t>
      </w:r>
      <w:r>
        <w:rPr>
          <w:rStyle w:val="Satznummer"/>
        </w:rPr>
        <w:t>1</w:t>
      </w:r>
      <w:r>
        <w:t xml:space="preserve">Gegen eine behördliche Entscheidung oder Maßnahme im Untersuchungshaftvollzug kann gerichtliche Entscheidung beantragt werden. </w:t>
      </w:r>
      <w:r>
        <w:rPr>
          <w:rStyle w:val="Satznummer"/>
        </w:rPr>
        <w:t>2</w:t>
      </w:r>
      <w:r>
        <w:t>Eine gerichtliche Entscheidung kann zudem beantragt werden, wenn eine im Untersuchungshaftvollzug beantragte behördliche Entscheidung nicht innerhalb von drei Wochen ergangen ist.</w:t>
      </w:r>
    </w:p>
    <w:p>
      <w:r>
        <w:t xml:space="preserve">(2) </w:t>
      </w:r>
      <w:r>
        <w:rPr>
          <w:rStyle w:val="Satznummer"/>
        </w:rPr>
        <w:t>1</w:t>
      </w:r>
      <w:r>
        <w:t xml:space="preserve">Der Antrag auf gerichtliche Entscheidung hat keine aufschiebende Wirkung. </w:t>
      </w:r>
      <w:r>
        <w:rPr>
          <w:rStyle w:val="Satznummer"/>
        </w:rPr>
        <w:t>2</w:t>
      </w:r>
      <w:r>
        <w:t>Das Gericht kann jedoch vorläufige Anordnungen treffen.</w:t>
      </w:r>
    </w:p>
    <w:p>
      <w:r>
        <w:t>(3) Gegen die Entscheidung des Gerichts kann auch die für die vollzugliche Entscheidung oder Maßnahme zuständige Stelle Beschwerde erheben.</w:t>
      </w:r>
    </w:p>
    <w:p>
      <w:pPr>
        <w:pStyle w:val="Heading3"/>
      </w:pPr>
      <w:bookmarkStart w:id="210" w:name="b209"/>
      <w:r>
        <w:t>§ 120 Aufhebung des Haftbefehls</w:t>
      </w:r>
      <w:r>
        <w:t xml:space="preserve"> </w:t>
      </w:r>
      <w:r>
        <w:rPr>
          <w:rStyle w:val="Suchmarke"/>
        </w:rPr>
        <w:t>#120#</w:t>
      </w:r>
      <w:bookmarkEnd w:id="210"/>
    </w:p>
    <w:p>
      <w:r>
        <w:t xml:space="preserve">(1) </w:t>
      </w:r>
      <w:r>
        <w:rPr>
          <w:rStyle w:val="Satznummer"/>
        </w:rPr>
        <w:t>1</w:t>
      </w:r>
      <w:r>
        <w:t xml:space="preserve">Der Haftbefehl ist aufzuheben, sobald die Voraussetzungen der Untersuchungshaft nicht mehr vorliegen oder sich ergibt, daß die weitere Untersuchungshaft zu der Bedeutung der Sache und der zu erwartenden Strafe oder Maßregel der Besserung und Sicherung außer Verhältnis stehen würde. </w:t>
      </w:r>
      <w:r>
        <w:rPr>
          <w:rStyle w:val="Satznummer"/>
        </w:rPr>
        <w:t>2</w:t>
      </w:r>
      <w:r>
        <w:t>Er ist namentlich aufzuheben, wenn der Beschuldigte freigesprochen oder die Eröffnung des Hauptverfahrens abgelehnt oder das Verfahren nicht bloß vorläufig eingestellt wird.</w:t>
      </w:r>
    </w:p>
    <w:p>
      <w:r>
        <w:t>(2) Durch die Einlegung eines Rechtsmittels darf die Freilassung des Beschuldigten nicht aufgehalten werden.</w:t>
      </w:r>
    </w:p>
    <w:p>
      <w:r>
        <w:t xml:space="preserve">(3) </w:t>
      </w:r>
      <w:r>
        <w:rPr>
          <w:rStyle w:val="Satznummer"/>
        </w:rPr>
        <w:t>1</w:t>
      </w:r>
      <w:r>
        <w:t xml:space="preserve">Der Haftbefehl ist auch aufzuheben, wenn die Staatsanwaltschaft es vor Erhebung der öffentlichen Klage beantragt. </w:t>
      </w:r>
      <w:r>
        <w:rPr>
          <w:rStyle w:val="Satznummer"/>
        </w:rPr>
        <w:t>2</w:t>
      </w:r>
      <w:r>
        <w:t>Gleichzeitig mit dem Antrag kann die Staatsanwaltschaft die Freilassung des Beschuldigten anordnen.</w:t>
      </w:r>
    </w:p>
    <w:p>
      <w:pPr>
        <w:pStyle w:val="Heading3"/>
      </w:pPr>
      <w:bookmarkStart w:id="211" w:name="b210"/>
      <w:r>
        <w:t>§ 121 Fortdauer der Untersuchungshaft über sechs Monate</w:t>
      </w:r>
      <w:r>
        <w:t xml:space="preserve"> </w:t>
      </w:r>
      <w:r>
        <w:rPr>
          <w:rStyle w:val="Suchmarke"/>
        </w:rPr>
        <w:t>#121#</w:t>
      </w:r>
      <w:bookmarkEnd w:id="211"/>
    </w:p>
    <w:p>
      <w:r>
        <w:t>(1) Solange kein Urteil ergangen ist, das auf Freiheitsstrafe oder eine freiheitsentziehende Maßregel der Besserung und Sicherung erkennt, darf der Vollzug der Untersuchungshaft wegen derselben Tat über sechs Monate hinaus nur aufrechterhalten werden, wenn die besondere Schwierigkeit oder der besondere Umfang der Ermittlungen oder ein anderer wichtiger Grund das Urteil noch nicht zulassen und die Fortdauer der Haft rechtfertigen.</w:t>
      </w:r>
    </w:p>
    <w:p>
      <w:r>
        <w:t xml:space="preserve">(2) In den Fällen des Absatzes 1 ist der Haftbefehl nach Ablauf der sechs Monate aufzuheben, wenn nicht der Vollzug des Haftbefehls nach </w:t>
      </w:r>
      <w:hyperlink w:anchor="b200" w:history="1">
        <w:r>
          <w:rPr>
            <w:color w:val="0A3A8C"/>
            <w:u w:val="single"/>
          </w:rPr>
          <w:t xml:space="preserve">§ 116</w:t>
        </w:r>
      </w:hyperlink>
      <w:r>
        <w:t xml:space="preserve"> ausgesetzt wird oder das Oberlandesgericht die Fortdauer der Untersuchungshaft anordnet.</w:t>
      </w:r>
    </w:p>
    <w:p>
      <w:r>
        <w:t xml:space="preserve">(3) </w:t>
      </w:r>
      <w:r>
        <w:rPr>
          <w:rStyle w:val="Satznummer"/>
        </w:rPr>
        <w:t>1</w:t>
      </w:r>
      <w:r>
        <w:t xml:space="preserve">Werden die Akten dem Oberlandesgericht vor Ablauf der in Absatz 2 bezeichneten Frist vorgelegt, so ruht der Fristenlauf bis zu dessen Entscheidung. </w:t>
      </w:r>
      <w:r>
        <w:rPr>
          <w:rStyle w:val="Satznummer"/>
        </w:rPr>
        <w:t>2</w:t>
      </w:r>
      <w:r>
        <w:t xml:space="preserve">Hat die Hauptverhandlung begonnen, bevor die Frist abgelaufen ist, so ruht der Fristenlauf auch bis zur Verkündung des Urteils. </w:t>
      </w:r>
      <w:r>
        <w:rPr>
          <w:rStyle w:val="Satznummer"/>
        </w:rPr>
        <w:t>3</w:t>
      </w:r>
      <w:r>
        <w:t>Wird die Hauptverhandlung ausgesetzt und werden die Akten unverzüglich nach der Aussetzung dem Oberlandesgericht vorgelegt, so ruht der Fristenlauf ebenfalls bis zu dessen Entscheidung.</w:t>
      </w:r>
    </w:p>
    <w:p>
      <w:r>
        <w:t xml:space="preserve">(4) </w:t>
      </w:r>
      <w:r>
        <w:rPr>
          <w:rStyle w:val="Satznummer"/>
        </w:rPr>
        <w:t>1</w:t>
      </w:r>
      <w:r>
        <w:t xml:space="preserve">In den Sachen, in denen eine Strafkammer nach § 74a des Gerichtsverfassungsgesetzes zuständig ist, entscheidet das nach § 120 des Gerichtsverfassungsgesetzes zuständige Oberlandesgericht. </w:t>
      </w:r>
      <w:r>
        <w:rPr>
          <w:rStyle w:val="Satznummer"/>
        </w:rPr>
        <w:t>2</w:t>
      </w:r>
      <w:r>
        <w:t>In den Sachen, in denen ein Oberlandesgericht nach den §§ 120 oder 120b des Gerichtsverfassungsgesetzes zuständig ist, tritt an dessen Stelle der Bundesgerichtshof.</w:t>
      </w:r>
    </w:p>
    <w:p>
      <w:pPr>
        <w:pStyle w:val="Heading3"/>
      </w:pPr>
      <w:bookmarkStart w:id="212" w:name="b211"/>
      <w:r>
        <w:t>§ 122 Besondere Haftprüfung durch das Oberlandesgericht</w:t>
      </w:r>
      <w:r>
        <w:t xml:space="preserve"> </w:t>
      </w:r>
      <w:r>
        <w:rPr>
          <w:rStyle w:val="Suchmarke"/>
        </w:rPr>
        <w:t>#122#</w:t>
      </w:r>
      <w:bookmarkEnd w:id="212"/>
    </w:p>
    <w:p>
      <w:r>
        <w:t xml:space="preserve">(1) In den Fällen des </w:t>
      </w:r>
      <w:hyperlink w:anchor="b210" w:history="1">
        <w:r>
          <w:rPr>
            <w:color w:val="0A3A8C"/>
            <w:u w:val="single"/>
          </w:rPr>
          <w:t xml:space="preserve">§ 121</w:t>
        </w:r>
      </w:hyperlink>
      <w:r>
        <w:t xml:space="preserve"> legt das zuständige Gericht die Akten durch Vermittlung der Staatsanwaltschaft dem Oberlandesgericht zur Entscheidung vor, wenn es die Fortdauer der Untersuchungshaft für erforderlich hält oder die Staatsanwaltschaft es beantragt.</w:t>
      </w:r>
    </w:p>
    <w:p>
      <w:r>
        <w:t xml:space="preserve">(2) </w:t>
      </w:r>
      <w:r>
        <w:rPr>
          <w:rStyle w:val="Satznummer"/>
        </w:rPr>
        <w:t>1</w:t>
      </w:r>
      <w:r>
        <w:t xml:space="preserve">Vor der Entscheidung sind der Beschuldigte und der Verteidiger zu hören. </w:t>
      </w:r>
      <w:r>
        <w:rPr>
          <w:rStyle w:val="Satznummer"/>
        </w:rPr>
        <w:t>2</w:t>
      </w:r>
      <w:r>
        <w:t xml:space="preserve">Das Oberlandesgericht kann über die Fortdauer der Untersuchungshaft nach mündlicher Verhandlung entscheiden; geschieht dies, so gilt </w:t>
      </w:r>
      <w:hyperlink w:anchor="b205" w:history="1">
        <w:r>
          <w:rPr>
            <w:color w:val="0A3A8C"/>
            <w:u w:val="single"/>
          </w:rPr>
          <w:t xml:space="preserve">§ 118a</w:t>
        </w:r>
      </w:hyperlink>
      <w:r>
        <w:t xml:space="preserve"> entsprechend.</w:t>
      </w:r>
    </w:p>
    <w:p>
      <w:r>
        <w:t xml:space="preserve">(3) </w:t>
      </w:r>
      <w:r>
        <w:rPr>
          <w:rStyle w:val="Satznummer"/>
        </w:rPr>
        <w:t>1</w:t>
      </w:r>
      <w:r>
        <w:t xml:space="preserve">Ordnet das Oberlandesgericht die Fortdauer der Untersuchungshaft an, so gilt </w:t>
      </w:r>
      <w:hyperlink w:anchor="b192" w:history="1">
        <w:r>
          <w:rPr>
            <w:color w:val="0A3A8C"/>
            <w:u w:val="single"/>
          </w:rPr>
          <w:t xml:space="preserve">§ 114</w:t>
        </w:r>
      </w:hyperlink>
      <w:r>
        <w:t xml:space="preserve"> Abs. 2 Nr. 4 entsprechend. </w:t>
      </w:r>
      <w:r>
        <w:rPr>
          <w:rStyle w:val="Satznummer"/>
        </w:rPr>
        <w:t>2</w:t>
      </w:r>
      <w:r>
        <w:t>Für die weitere Haftprüfung (</w:t>
      </w:r>
      <w:hyperlink w:anchor="b203" w:history="1">
        <w:r>
          <w:rPr>
            <w:color w:val="0A3A8C"/>
            <w:u w:val="single"/>
          </w:rPr>
          <w:t xml:space="preserve">§ 117</w:t>
        </w:r>
      </w:hyperlink>
      <w:r>
        <w:t xml:space="preserve"> Abs. 1) ist das Oberlandesgericht zuständig, bis ein Urteil ergeht, das auf Freiheitsstrafe oder eine freiheitsentziehende Maßregel der Besserung und Sicherung erkennt. </w:t>
      </w:r>
      <w:r>
        <w:rPr>
          <w:rStyle w:val="Satznummer"/>
        </w:rPr>
        <w:t>3</w:t>
      </w:r>
      <w:r>
        <w:t xml:space="preserve">Es kann die Haftprüfung dem Gericht, das nach den allgemeinen Vorschriften dafür zuständig ist, für die Zeit von jeweils höchstens drei Monaten übertragen. </w:t>
      </w:r>
      <w:r>
        <w:rPr>
          <w:rStyle w:val="Satznummer"/>
        </w:rPr>
        <w:t>4</w:t>
      </w:r>
      <w:r>
        <w:t xml:space="preserve">In den Fällen des </w:t>
      </w:r>
      <w:hyperlink w:anchor="b204" w:history="1">
        <w:r>
          <w:rPr>
            <w:color w:val="0A3A8C"/>
            <w:u w:val="single"/>
          </w:rPr>
          <w:t xml:space="preserve">§ 118</w:t>
        </w:r>
      </w:hyperlink>
      <w:r>
        <w:t xml:space="preserve"> Abs. 1 entscheidet das Oberlandesgericht über einen Antrag auf mündliche Verhandlung nach seinem Ermessen.</w:t>
      </w:r>
    </w:p>
    <w:p>
      <w:r>
        <w:t xml:space="preserve">(4) </w:t>
      </w:r>
      <w:r>
        <w:rPr>
          <w:rStyle w:val="Satznummer"/>
        </w:rPr>
        <w:t>1</w:t>
      </w:r>
      <w:r>
        <w:t xml:space="preserve">Die Prüfung der Voraussetzungen nach </w:t>
      </w:r>
      <w:hyperlink w:anchor="b210" w:history="1">
        <w:r>
          <w:rPr>
            <w:color w:val="0A3A8C"/>
            <w:u w:val="single"/>
          </w:rPr>
          <w:t xml:space="preserve">§ 121</w:t>
        </w:r>
      </w:hyperlink>
      <w:r>
        <w:t xml:space="preserve"> Abs. 1 ist auch im weiteren Verfahren dem Oberlandesgericht vorbehalten. </w:t>
      </w:r>
      <w:r>
        <w:rPr>
          <w:rStyle w:val="Satznummer"/>
        </w:rPr>
        <w:t>2</w:t>
      </w:r>
      <w:r>
        <w:t>Die Prüfung muß jeweils spätestens nach drei Monaten wiederholt werden.</w:t>
      </w:r>
    </w:p>
    <w:p>
      <w:r>
        <w:t xml:space="preserve">(5) Das Oberlandesgericht kann den Vollzug des Haftbefehls nach </w:t>
      </w:r>
      <w:hyperlink w:anchor="b200" w:history="1">
        <w:r>
          <w:rPr>
            <w:color w:val="0A3A8C"/>
            <w:u w:val="single"/>
          </w:rPr>
          <w:t xml:space="preserve">§ 116</w:t>
        </w:r>
      </w:hyperlink>
      <w:r>
        <w:t xml:space="preserve"> aussetzen.</w:t>
      </w:r>
    </w:p>
    <w:p>
      <w:r>
        <w:t xml:space="preserve">(6) Sind in derselben Sache mehrere Beschuldigte in Untersuchungshaft, so kann das Oberlandesgericht über die Fortdauer der Untersuchungshaft auch solcher Beschuldigter entscheiden, für die es nach </w:t>
      </w:r>
      <w:hyperlink w:anchor="b210" w:history="1">
        <w:r>
          <w:rPr>
            <w:color w:val="0A3A8C"/>
            <w:u w:val="single"/>
          </w:rPr>
          <w:t xml:space="preserve">§ 121</w:t>
        </w:r>
      </w:hyperlink>
      <w:r>
        <w:t xml:space="preserve"> und den vorstehenden Vorschriften noch nicht zuständig wäre.</w:t>
      </w:r>
    </w:p>
    <w:p>
      <w:r>
        <w:t>(7) Ist der Bundesgerichtshof zur Entscheidung zuständig, so tritt dieser an die Stelle des Oberlandesgerichts.</w:t>
      </w:r>
    </w:p>
    <w:p>
      <w:pPr>
        <w:pStyle w:val="Heading3"/>
      </w:pPr>
      <w:bookmarkStart w:id="213" w:name="b212"/>
      <w:r>
        <w:t>§ 122a Höchstdauer der Untersuchungshaft bei Wiederholungsgefahr</w:t>
      </w:r>
      <w:r>
        <w:t xml:space="preserve"> </w:t>
      </w:r>
      <w:r>
        <w:rPr>
          <w:rStyle w:val="Suchmarke"/>
        </w:rPr>
        <w:t>#122a#</w:t>
      </w:r>
      <w:bookmarkEnd w:id="213"/>
    </w:p>
    <w:p>
      <w:r>
        <w:t xml:space="preserve">In den Fällen des </w:t>
      </w:r>
      <w:hyperlink w:anchor="b210" w:history="1">
        <w:r>
          <w:rPr>
            <w:color w:val="0A3A8C"/>
            <w:u w:val="single"/>
          </w:rPr>
          <w:t xml:space="preserve">§ 121</w:t>
        </w:r>
      </w:hyperlink>
      <w:r>
        <w:t xml:space="preserve"> Abs. 1 darf der Vollzug der Haft nicht länger als ein Jahr aufrechterhalten werden, wenn sie auf den Haftgrund des </w:t>
      </w:r>
      <w:hyperlink w:anchor="b190" w:history="1">
        <w:r>
          <w:rPr>
            <w:color w:val="0A3A8C"/>
            <w:u w:val="single"/>
          </w:rPr>
          <w:t xml:space="preserve">§ 112a</w:t>
        </w:r>
      </w:hyperlink>
      <w:r>
        <w:t xml:space="preserve"> gestützt ist.</w:t>
      </w:r>
    </w:p>
    <w:p>
      <w:pPr>
        <w:pStyle w:val="Heading3"/>
      </w:pPr>
      <w:bookmarkStart w:id="214" w:name="b213"/>
      <w:r>
        <w:t>§ 123 Aufhebung der Vollzugsaussetzung dienender Maßnahmen</w:t>
      </w:r>
      <w:r>
        <w:t xml:space="preserve"> </w:t>
      </w:r>
      <w:r>
        <w:rPr>
          <w:rStyle w:val="Suchmarke"/>
        </w:rPr>
        <w:t>#123#</w:t>
      </w:r>
      <w:bookmarkEnd w:id="214"/>
    </w:p>
    <w:p>
      <w:r>
        <w:t>(1) Eine Maßnahme, die der Aussetzung des Haftvollzugs dient (</w:t>
      </w:r>
      <w:hyperlink w:anchor="b200" w:history="1">
        <w:r>
          <w:rPr>
            <w:color w:val="0A3A8C"/>
            <w:u w:val="single"/>
          </w:rPr>
          <w:t xml:space="preserve">§ 116</w:t>
        </w:r>
      </w:hyperlink>
      <w:r>
        <w:t>), ist aufzuheben, wenn</w:t>
      </w:r>
    </w:p>
    <w:p>
      <w:pPr>
        <w:tabs>
          <w:tab w:pos="567" w:val="left"/>
        </w:tabs>
        <w:ind w:left="567" w:hanging="567"/>
      </w:pPr>
      <w:r>
        <w:t>1.</w:t>
      </w:r>
      <w:r>
        <w:tab/>
      </w:r>
      <w:r>
        <w:t>der Haftbefehl aufgehoben wird oder</w:t>
      </w:r>
    </w:p>
    <w:p>
      <w:pPr>
        <w:tabs>
          <w:tab w:pos="567" w:val="left"/>
        </w:tabs>
        <w:ind w:left="567" w:hanging="567"/>
      </w:pPr>
      <w:r>
        <w:t>2.</w:t>
      </w:r>
      <w:r>
        <w:tab/>
      </w:r>
      <w:r>
        <w:t>die Untersuchungshaft oder die erkannte Freiheitsstrafe oder freiheitsentziehende Maßregel der Besserung und Sicherung vollzogen wird.</w:t>
      </w:r>
    </w:p>
    <w:p>
      <w:r>
        <w:t>(2) Unter denselben Voraussetzungen wird eine noch nicht verfallene Sicherheit frei.</w:t>
      </w:r>
    </w:p>
    <w:p>
      <w:r>
        <w:t>(3) Wer für den Beschuldigten Sicherheit geleistet hat, kann deren Freigabe dadurch erlangen, daß er entweder binnen einer vom Gericht zu bestimmenden Frist die Gestellung des Beschuldigten bewirkt oder die Tatsachen, die den Verdacht einer vom Beschuldigten beabsichtigten Flucht begründen, so rechtzeitig mitteilt, daß der Beschuldigte verhaftet werden kann.</w:t>
      </w:r>
    </w:p>
    <w:p>
      <w:pPr>
        <w:pStyle w:val="Heading3"/>
      </w:pPr>
      <w:bookmarkStart w:id="215" w:name="b214"/>
      <w:r>
        <w:t>§ 124 Verfall der geleisteten Sicherheit</w:t>
      </w:r>
      <w:r>
        <w:t xml:space="preserve"> </w:t>
      </w:r>
      <w:r>
        <w:rPr>
          <w:rStyle w:val="Suchmarke"/>
        </w:rPr>
        <w:t>#124#</w:t>
      </w:r>
      <w:bookmarkEnd w:id="215"/>
    </w:p>
    <w:p>
      <w:r>
        <w:t>(1) Eine noch nicht frei gewordene Sicherheit verfällt der Staatskasse, wenn der Beschuldigte sich der Untersuchung oder dem Antritt der erkannten Freiheitsstrafe oder freiheitsentziehenden Maßregel der Besserung und Sicherung entzieht.</w:t>
      </w:r>
    </w:p>
    <w:p>
      <w:r>
        <w:t xml:space="preserve">(2) </w:t>
      </w:r>
      <w:r>
        <w:rPr>
          <w:rStyle w:val="Satznummer"/>
        </w:rPr>
        <w:t>1</w:t>
      </w:r>
      <w:r>
        <w:t xml:space="preserve">Vor der Entscheidung sind der Beschuldigte sowie derjenige, welcher für den Beschuldigten Sicherheit geleistet hat, zu einer Erklärung aufzufordern. </w:t>
      </w:r>
      <w:r>
        <w:rPr>
          <w:rStyle w:val="Satznummer"/>
        </w:rPr>
        <w:t>2</w:t>
      </w:r>
      <w:r>
        <w:t xml:space="preserve">Gegen die Entscheidung steht ihnen nur die sofortige Beschwerde zu. </w:t>
      </w:r>
      <w:r>
        <w:rPr>
          <w:rStyle w:val="Satznummer"/>
        </w:rPr>
        <w:t>3</w:t>
      </w:r>
      <w:r>
        <w:t>Vor der Entscheidung über die Beschwerde ist ihnen und der Staatsanwaltschaft Gelegenheit zur mündlichen Begründung ihrer Anträge sowie zur Erörterung über durchgeführte Ermittlungen zu geben.</w:t>
      </w:r>
    </w:p>
    <w:p>
      <w:r>
        <w:t>(3) Die den Verfall aussprechende Entscheidung hat gegen denjenigen, welcher für den Beschuldigten Sicherheit geleistet hat, die Wirkungen eines von dem Zivilrichter erlassenen, für vorläufig vollstreckbar erklärten Endurteils und nach Ablauf der Beschwerdefrist die Wirkungen eines rechtskräftigen Zivilendurteils.</w:t>
      </w:r>
    </w:p>
    <w:p>
      <w:pPr>
        <w:pStyle w:val="Heading3"/>
      </w:pPr>
      <w:bookmarkStart w:id="216" w:name="b215"/>
      <w:r>
        <w:t>§ 125 Zuständigkeit für den Erlass des Haftbefehls</w:t>
      </w:r>
      <w:r>
        <w:t xml:space="preserve"> </w:t>
      </w:r>
      <w:r>
        <w:rPr>
          <w:rStyle w:val="Suchmarke"/>
        </w:rPr>
        <w:t>#125#</w:t>
      </w:r>
      <w:bookmarkEnd w:id="216"/>
    </w:p>
    <w:p>
      <w:r>
        <w:t>(1) Vor Erhebung der öffentlichen Klage erläßt der Richter bei dem Amtsgericht, in dessen Bezirk ein Gerichtsstand begründet ist oder der Beschuldigte sich aufhält, auf Antrag der Staatsanwaltschaft oder, wenn ein Staatsanwalt nicht erreichbar und Gefahr im Verzug ist, von Amts wegen den Haftbefehl.</w:t>
      </w:r>
    </w:p>
    <w:p>
      <w:r>
        <w:t xml:space="preserve">(2) </w:t>
      </w:r>
      <w:r>
        <w:rPr>
          <w:rStyle w:val="Satznummer"/>
        </w:rPr>
        <w:t>1</w:t>
      </w:r>
      <w:r>
        <w:t xml:space="preserve">Nach Erhebung der öffentlichen Klage erläßt den Haftbefehl das Gericht, das mit der Sache befaßt ist, und, wenn Revision eingelegt ist, das Gericht, dessen Urteil angefochten ist. </w:t>
      </w:r>
      <w:r>
        <w:rPr>
          <w:rStyle w:val="Satznummer"/>
        </w:rPr>
        <w:t>2</w:t>
      </w:r>
      <w:r>
        <w:t>In dringenden Fällen kann auch der Vorsitzende den Haftbefehl erlassen.</w:t>
      </w:r>
    </w:p>
    <w:p>
      <w:pPr>
        <w:pStyle w:val="Heading3"/>
      </w:pPr>
      <w:bookmarkStart w:id="217" w:name="b216"/>
      <w:r>
        <w:t>§ 126 Zuständigkeit für weitere gerichtliche Entscheidungen</w:t>
      </w:r>
      <w:r>
        <w:t xml:space="preserve"> </w:t>
      </w:r>
      <w:r>
        <w:rPr>
          <w:rStyle w:val="Suchmarke"/>
        </w:rPr>
        <w:t>#126#</w:t>
      </w:r>
      <w:bookmarkEnd w:id="217"/>
    </w:p>
    <w:p>
      <w:r>
        <w:t xml:space="preserve">(1) </w:t>
      </w:r>
      <w:r>
        <w:rPr>
          <w:rStyle w:val="Satznummer"/>
        </w:rPr>
        <w:t>1</w:t>
      </w:r>
      <w:r>
        <w:t>Vor Erhebung der öffentlichen Klage ist für die weiteren gerichtlichen Entscheidungen und Maßnahmen, die sich auf die Untersuchungshaft, die Aussetzung ihres Vollzugs (</w:t>
      </w:r>
      <w:hyperlink w:anchor="b200" w:history="1">
        <w:r>
          <w:rPr>
            <w:color w:val="0A3A8C"/>
            <w:u w:val="single"/>
          </w:rPr>
          <w:t xml:space="preserve">§ 116</w:t>
        </w:r>
      </w:hyperlink>
      <w:r>
        <w:t>), ihre Vollstreckung (</w:t>
      </w:r>
      <w:hyperlink w:anchor="b202" w:history="1">
        <w:r>
          <w:rPr>
            <w:color w:val="0A3A8C"/>
            <w:u w:val="single"/>
          </w:rPr>
          <w:t xml:space="preserve">§ 116b</w:t>
        </w:r>
      </w:hyperlink>
      <w:r>
        <w:t xml:space="preserve">) sowie auf Anträge nach </w:t>
      </w:r>
      <w:hyperlink w:anchor="b208" w:history="1">
        <w:r>
          <w:rPr>
            <w:color w:val="0A3A8C"/>
            <w:u w:val="single"/>
          </w:rPr>
          <w:t xml:space="preserve">§ 119a</w:t>
        </w:r>
      </w:hyperlink>
      <w:r>
        <w:t xml:space="preserve"> beziehen, das Gericht zuständig, das den Haftbefehl erlassen hat. </w:t>
      </w:r>
      <w:r>
        <w:rPr>
          <w:rStyle w:val="Satznummer"/>
        </w:rPr>
        <w:t>2</w:t>
      </w:r>
      <w:r>
        <w:t xml:space="preserve">Hat das Beschwerdegericht den Haftbefehl erlassen, so ist das Gericht zuständig, das die vorangegangene Entscheidung getroffen hat. </w:t>
      </w:r>
      <w:r>
        <w:rPr>
          <w:rStyle w:val="Satznummer"/>
        </w:rPr>
        <w:t>3</w:t>
      </w:r>
      <w:r>
        <w:t xml:space="preserve">Wird das vorbereitende Verfahren an einem anderen Ort geführt oder die Untersuchungshaft an einem anderen Ort vollzogen, so kann das Gericht seine Zuständigkeit auf Antrag der Staatsanwaltschaft auf das für diesen Ort zuständige Amtsgericht übertragen. </w:t>
      </w:r>
      <w:r>
        <w:rPr>
          <w:rStyle w:val="Satznummer"/>
        </w:rPr>
        <w:t>4</w:t>
      </w:r>
      <w:r>
        <w:t xml:space="preserve">Ist der Ort in mehrere Gerichtsbezirke geteilt, so bestimmt die Landesregierung durch Rechtsverordnung das zuständige Amtsgericht. </w:t>
      </w:r>
      <w:r>
        <w:rPr>
          <w:rStyle w:val="Satznummer"/>
        </w:rPr>
        <w:t>5</w:t>
      </w:r>
      <w:r>
        <w:t>Die Landesregierung kann diese Ermächtigung auf die Landesjustizverwaltung übertragen.</w:t>
      </w:r>
    </w:p>
    <w:p>
      <w:r>
        <w:t xml:space="preserve">(2) </w:t>
      </w:r>
      <w:r>
        <w:rPr>
          <w:rStyle w:val="Satznummer"/>
        </w:rPr>
        <w:t>1</w:t>
      </w:r>
      <w:r>
        <w:t xml:space="preserve">Nach Erhebung der öffentlichen Klage ist das Gericht zuständig, das mit der Sache befaßt ist. </w:t>
      </w:r>
      <w:r>
        <w:rPr>
          <w:rStyle w:val="Satznummer"/>
        </w:rPr>
        <w:t>2</w:t>
      </w:r>
      <w:r>
        <w:t xml:space="preserve">Während des Revisionsverfahrens ist das Gericht zuständig, dessen Urteil angefochten ist. </w:t>
      </w:r>
      <w:r>
        <w:rPr>
          <w:rStyle w:val="Satznummer"/>
        </w:rPr>
        <w:t>3</w:t>
      </w:r>
      <w:r>
        <w:t xml:space="preserve">Einzelne Maßnahmen, insbesondere nach </w:t>
      </w:r>
      <w:hyperlink w:anchor="b207" w:history="1">
        <w:r>
          <w:rPr>
            <w:color w:val="0A3A8C"/>
            <w:u w:val="single"/>
          </w:rPr>
          <w:t xml:space="preserve">§ 119</w:t>
        </w:r>
      </w:hyperlink>
      <w:r>
        <w:t xml:space="preserve">, ordnet der Vorsitzende an. </w:t>
      </w:r>
      <w:r>
        <w:rPr>
          <w:rStyle w:val="Satznummer"/>
        </w:rPr>
        <w:t>4</w:t>
      </w:r>
      <w:r>
        <w:t>In dringenden Fällen kann er auch den Haftbefehl aufheben oder den Vollzug aussetzen (</w:t>
      </w:r>
      <w:hyperlink w:anchor="b200" w:history="1">
        <w:r>
          <w:rPr>
            <w:color w:val="0A3A8C"/>
            <w:u w:val="single"/>
          </w:rPr>
          <w:t xml:space="preserve">§ 116</w:t>
        </w:r>
      </w:hyperlink>
      <w:r>
        <w:t>), wenn die Staatsanwaltschaft zustimmt; andernfalls ist unverzüglich die Entscheidung des Gerichts herbeizuführen.</w:t>
      </w:r>
    </w:p>
    <w:p>
      <w:r>
        <w:t xml:space="preserve">(3) Das Revisionsgericht kann den Haftbefehl aufheben, wenn es das angefochtene Urteil aufhebt und sich bei dieser Entscheidung ohne weiteres ergibt, daß die Voraussetzungen des </w:t>
      </w:r>
      <w:hyperlink w:anchor="b209" w:history="1">
        <w:r>
          <w:rPr>
            <w:color w:val="0A3A8C"/>
            <w:u w:val="single"/>
          </w:rPr>
          <w:t xml:space="preserve">§ 120</w:t>
        </w:r>
      </w:hyperlink>
      <w:r>
        <w:t xml:space="preserve"> Abs. 1 vorliegen.</w:t>
      </w:r>
    </w:p>
    <w:p>
      <w:r>
        <w:t xml:space="preserve">(4) Die </w:t>
      </w:r>
      <w:hyperlink w:anchor="b210" w:history="1">
        <w:r>
          <w:rPr>
            <w:color w:val="0A3A8C"/>
            <w:u w:val="single"/>
          </w:rPr>
          <w:t xml:space="preserve">§§ 121</w:t>
        </w:r>
      </w:hyperlink>
      <w:r>
        <w:t xml:space="preserve"> und </w:t>
      </w:r>
      <w:hyperlink w:anchor="b211" w:history="1">
        <w:r>
          <w:rPr>
            <w:color w:val="0A3A8C"/>
            <w:u w:val="single"/>
          </w:rPr>
          <w:t xml:space="preserve">122</w:t>
        </w:r>
      </w:hyperlink>
      <w:r>
        <w:t xml:space="preserve"> bleiben unberührt.</w:t>
      </w:r>
    </w:p>
    <w:p>
      <w:r>
        <w:t xml:space="preserve">(5) </w:t>
      </w:r>
      <w:r>
        <w:rPr>
          <w:rStyle w:val="Satznummer"/>
        </w:rPr>
        <w:t>1</w:t>
      </w:r>
      <w:r>
        <w:t xml:space="preserve">Soweit nach den Gesetzen der Länder über den Vollzug der Untersuchungshaft eine Maßnahme der vorherigen gerichtlichen Anordnung oder der gerichtlichen Genehmigung bedarf, ist das Amtsgericht zuständig, in dessen Bezirk die Maßnahme durchgeführt wird. </w:t>
      </w:r>
      <w:r>
        <w:rPr>
          <w:rStyle w:val="Satznummer"/>
        </w:rPr>
        <w:t>2</w:t>
      </w:r>
      <w:r>
        <w:t xml:space="preserve">Unterhält ein Land für den Vollzug der Untersuchungshaft eine Einrichtung auf dem Gebiet eines anderen Landes, können die beteiligten Länder vereinbaren, dass das Amtsgericht zuständig ist, in dessen Bezirk die für die Einrichtung zuständige Aufsichtsbehörde ihren Sitz hat. </w:t>
      </w:r>
      <w:r>
        <w:rPr>
          <w:rStyle w:val="Satznummer"/>
        </w:rPr>
        <w:t>3</w:t>
      </w:r>
      <w:r>
        <w:t>Für das Verfahren gilt § 121b des Strafvollzugsgesetzes entsprechend.</w:t>
      </w:r>
    </w:p>
    <w:p>
      <w:pPr>
        <w:pStyle w:val="Heading3"/>
      </w:pPr>
      <w:bookmarkStart w:id="218" w:name="b217"/>
      <w:r>
        <w:t>§ 126a Einstweilige Unterbringung</w:t>
      </w:r>
      <w:r>
        <w:t xml:space="preserve"> </w:t>
      </w:r>
      <w:r>
        <w:rPr>
          <w:rStyle w:val="Suchmarke"/>
        </w:rPr>
        <w:t>#126a#</w:t>
      </w:r>
      <w:bookmarkEnd w:id="218"/>
    </w:p>
    <w:p>
      <w:r>
        <w:t>(1) Sind dringende Gründe für die Annahme vorhanden, daß jemand eine rechtswidrige Tat im Zustand der Schuldunfähigkeit oder verminderten Schuldfähigkeit (§§ 20, 21 des Strafgesetzbuches) begangen hat und daß seine Unterbringung in einem psychiatrischen Krankenhaus oder einer Entziehungsanstalt angeordnet werden wird, so kann das Gericht durch Unterbringungsbefehl die einstweilige Unterbringung in einer dieser Anstalten anordnen, wenn die öffentliche Sicherheit es erfordert.</w:t>
      </w:r>
    </w:p>
    <w:p>
      <w:r>
        <w:t xml:space="preserve">(2) </w:t>
      </w:r>
      <w:r>
        <w:rPr>
          <w:rStyle w:val="Satznummer"/>
        </w:rPr>
        <w:t>1</w:t>
      </w:r>
      <w:r>
        <w:t xml:space="preserve">Für die einstweilige Unterbringung gelten die </w:t>
      </w:r>
      <w:hyperlink w:anchor="b192" w:history="1">
        <w:r>
          <w:rPr>
            <w:color w:val="0A3A8C"/>
            <w:u w:val="single"/>
          </w:rPr>
          <w:t xml:space="preserve">§§ 114</w:t>
        </w:r>
      </w:hyperlink>
      <w:r>
        <w:t xml:space="preserve"> bis </w:t>
      </w:r>
      <w:hyperlink w:anchor="b199" w:history="1">
        <w:r>
          <w:rPr>
            <w:color w:val="0A3A8C"/>
            <w:u w:val="single"/>
          </w:rPr>
          <w:t xml:space="preserve">115a</w:t>
        </w:r>
      </w:hyperlink>
      <w:r>
        <w:t xml:space="preserve">, </w:t>
      </w:r>
      <w:hyperlink w:anchor="b200" w:history="1">
        <w:r>
          <w:rPr>
            <w:color w:val="0A3A8C"/>
            <w:u w:val="single"/>
          </w:rPr>
          <w:t xml:space="preserve">116</w:t>
        </w:r>
      </w:hyperlink>
      <w:r>
        <w:t xml:space="preserve"> Abs. 3 und 4, </w:t>
      </w:r>
      <w:hyperlink w:anchor="b203" w:history="1">
        <w:r>
          <w:rPr>
            <w:color w:val="0A3A8C"/>
            <w:u w:val="single"/>
          </w:rPr>
          <w:t xml:space="preserve">§§ 117</w:t>
        </w:r>
      </w:hyperlink>
      <w:r>
        <w:t xml:space="preserve"> bis </w:t>
      </w:r>
      <w:hyperlink w:anchor="b208" w:history="1">
        <w:r>
          <w:rPr>
            <w:color w:val="0A3A8C"/>
            <w:u w:val="single"/>
          </w:rPr>
          <w:t xml:space="preserve">119a</w:t>
        </w:r>
      </w:hyperlink>
      <w:r>
        <w:t xml:space="preserve">, </w:t>
      </w:r>
      <w:hyperlink w:anchor="b213" w:history="1">
        <w:r>
          <w:rPr>
            <w:color w:val="0A3A8C"/>
            <w:u w:val="single"/>
          </w:rPr>
          <w:t xml:space="preserve">123</w:t>
        </w:r>
      </w:hyperlink>
      <w:r>
        <w:t xml:space="preserve">, </w:t>
      </w:r>
      <w:hyperlink w:anchor="b215" w:history="1">
        <w:r>
          <w:rPr>
            <w:color w:val="0A3A8C"/>
            <w:u w:val="single"/>
          </w:rPr>
          <w:t xml:space="preserve">125</w:t>
        </w:r>
      </w:hyperlink>
      <w:r>
        <w:t xml:space="preserve"> und </w:t>
      </w:r>
      <w:hyperlink w:anchor="b216" w:history="1">
        <w:r>
          <w:rPr>
            <w:color w:val="0A3A8C"/>
            <w:u w:val="single"/>
          </w:rPr>
          <w:t xml:space="preserve">126</w:t>
        </w:r>
      </w:hyperlink>
      <w:r>
        <w:t xml:space="preserve"> entsprechend. </w:t>
      </w:r>
      <w:r>
        <w:rPr>
          <w:rStyle w:val="Satznummer"/>
        </w:rPr>
        <w:t>2</w:t>
      </w:r>
      <w:r>
        <w:t xml:space="preserve">Die </w:t>
      </w:r>
      <w:hyperlink w:anchor="b210" w:history="1">
        <w:r>
          <w:rPr>
            <w:color w:val="0A3A8C"/>
            <w:u w:val="single"/>
          </w:rPr>
          <w:t xml:space="preserve">§§ 121</w:t>
        </w:r>
      </w:hyperlink>
      <w:r>
        <w:t xml:space="preserve">, </w:t>
      </w:r>
      <w:hyperlink w:anchor="b211" w:history="1">
        <w:r>
          <w:rPr>
            <w:color w:val="0A3A8C"/>
            <w:u w:val="single"/>
          </w:rPr>
          <w:t xml:space="preserve">122</w:t>
        </w:r>
      </w:hyperlink>
      <w:r>
        <w:t xml:space="preserve"> gelten entsprechend mit der Maßgabe, dass das Oberlandesgericht prüft, ob die Voraussetzungen der einstweiligen Unterbringung weiterhin vorliegen.</w:t>
      </w:r>
    </w:p>
    <w:p>
      <w:r>
        <w:t xml:space="preserve">(3) </w:t>
      </w:r>
      <w:r>
        <w:rPr>
          <w:rStyle w:val="Satznummer"/>
        </w:rPr>
        <w:t>1</w:t>
      </w:r>
      <w:r>
        <w:t xml:space="preserve">Der Unterbringungsbefehl ist aufzuheben, wenn die Voraussetzungen der einstweiligen Unterbringung nicht mehr vorliegen oder wenn das Gericht im Urteil die Unterbringung in einem psychiatrischen Krankenhaus oder einer Entziehungsanstalt nicht anordnet. </w:t>
      </w:r>
      <w:r>
        <w:rPr>
          <w:rStyle w:val="Satznummer"/>
        </w:rPr>
        <w:t>2</w:t>
      </w:r>
      <w:r>
        <w:t xml:space="preserve">Durch die Einlegung eines Rechtsmittels darf die Freilassung nicht aufgehalten werden. </w:t>
      </w:r>
      <w:r>
        <w:rPr>
          <w:rStyle w:val="Satznummer"/>
        </w:rPr>
        <w:t>3</w:t>
      </w:r>
      <w:hyperlink w:anchor="b209" w:history="1">
        <w:r>
          <w:rPr>
            <w:color w:val="0A3A8C"/>
            <w:u w:val="single"/>
          </w:rPr>
          <w:t xml:space="preserve">§ 120</w:t>
        </w:r>
      </w:hyperlink>
      <w:r>
        <w:t xml:space="preserve"> Abs. 3 gilt entsprechend.</w:t>
      </w:r>
    </w:p>
    <w:p>
      <w:r>
        <w:t>(4) Hat der Untergebrachte einen gesetzlichen Vertreter oder einen Bevollmächtigten im Sinne des § 1831 Absatz 5 und des § 1820 Absatz 2 Nummer 2 des Bürgerlichen Gesetzbuches, so sind Entscheidungen nach Absatz 1 bis 3 auch diesem bekannt zu geben.</w:t>
      </w:r>
    </w:p>
    <w:p>
      <w:pPr>
        <w:pStyle w:val="Heading3"/>
      </w:pPr>
      <w:bookmarkStart w:id="219" w:name="b218"/>
      <w:r>
        <w:t>§ 127 Vorläufige Festnahme</w:t>
      </w:r>
      <w:r>
        <w:t xml:space="preserve"> </w:t>
      </w:r>
      <w:r>
        <w:rPr>
          <w:rStyle w:val="Suchmarke"/>
        </w:rPr>
        <w:t>#127#</w:t>
      </w:r>
      <w:bookmarkEnd w:id="219"/>
    </w:p>
    <w:p>
      <w:r>
        <w:t xml:space="preserve">(1) </w:t>
      </w:r>
      <w:r>
        <w:rPr>
          <w:rStyle w:val="Satznummer"/>
        </w:rPr>
        <w:t>1</w:t>
      </w:r>
      <w:r>
        <w:t xml:space="preserve">Wird jemand auf frischer Tat betroffen oder verfolgt, so ist, wenn er der Flucht verdächtig ist oder seine Identität nicht sofort festgestellt werden kann, jedermann befugt, ihn auch ohne richterliche Anordnung vorläufig festzunehmen. </w:t>
      </w:r>
      <w:r>
        <w:rPr>
          <w:rStyle w:val="Satznummer"/>
        </w:rPr>
        <w:t>2</w:t>
      </w:r>
      <w:r>
        <w:t xml:space="preserve">Die Feststellung der Identität einer Person durch die Staatsanwaltschaft oder die Beamten des Polizeidienstes bestimmt sich nach </w:t>
      </w:r>
      <w:hyperlink w:anchor="b297" w:history="1">
        <w:r>
          <w:rPr>
            <w:color w:val="0A3A8C"/>
            <w:u w:val="single"/>
          </w:rPr>
          <w:t xml:space="preserve">§ 163b</w:t>
        </w:r>
      </w:hyperlink>
      <w:r>
        <w:t xml:space="preserve"> Abs. 1.</w:t>
      </w:r>
    </w:p>
    <w:p>
      <w:r>
        <w:t>(2) Die Staatsanwaltschaft und die Beamten des Polizeidienstes sind bei Gefahr im Verzug auch dann zur vorläufigen Festnahme befugt, wenn die Voraussetzungen eines Haftbefehls oder eines Unterbringungsbefehls vorliegen.</w:t>
      </w:r>
    </w:p>
    <w:p>
      <w:r>
        <w:t xml:space="preserve">(3) </w:t>
      </w:r>
      <w:r>
        <w:rPr>
          <w:rStyle w:val="Satznummer"/>
        </w:rPr>
        <w:t>1</w:t>
      </w:r>
      <w:r>
        <w:t xml:space="preserve">Ist eine Straftat nur auf Antrag verfolgbar, so ist die vorläufige Festnahme auch dann zulässig, wenn ein Antrag noch nicht gestellt ist. </w:t>
      </w:r>
      <w:r>
        <w:rPr>
          <w:rStyle w:val="Satznummer"/>
        </w:rPr>
        <w:t>2</w:t>
      </w:r>
      <w:r>
        <w:t>Dies gilt entsprechend, wenn eine Straftat nur mit Ermächtigung oder auf Strafverlangen verfolgbar ist.</w:t>
      </w:r>
    </w:p>
    <w:p>
      <w:r>
        <w:t xml:space="preserve">(4) Für die vorläufige Festnahme durch die Staatsanwaltschaft und die Beamten des Polizeidienstes gelten die </w:t>
      </w:r>
      <w:hyperlink w:anchor="b193" w:history="1">
        <w:r>
          <w:rPr>
            <w:color w:val="0A3A8C"/>
            <w:u w:val="single"/>
          </w:rPr>
          <w:t xml:space="preserve">§§ 114a</w:t>
        </w:r>
      </w:hyperlink>
      <w:r>
        <w:t xml:space="preserve"> bis </w:t>
      </w:r>
      <w:hyperlink w:anchor="b195" w:history="1">
        <w:r>
          <w:rPr>
            <w:color w:val="0A3A8C"/>
            <w:u w:val="single"/>
          </w:rPr>
          <w:t xml:space="preserve">114c</w:t>
        </w:r>
      </w:hyperlink>
      <w:r>
        <w:t xml:space="preserve"> entsprechend.</w:t>
      </w:r>
    </w:p>
    <w:p>
      <w:pPr>
        <w:pStyle w:val="Heading3"/>
      </w:pPr>
      <w:bookmarkStart w:id="220" w:name="b219"/>
      <w:r>
        <w:t>§ 127a Absehen von der Anordnung oder Aufrechterhaltung der vorläufigen Festnahme</w:t>
      </w:r>
      <w:r>
        <w:t xml:space="preserve"> </w:t>
      </w:r>
      <w:r>
        <w:rPr>
          <w:rStyle w:val="Suchmarke"/>
        </w:rPr>
        <w:t>#127a#</w:t>
      </w:r>
      <w:bookmarkEnd w:id="220"/>
    </w:p>
    <w:p>
      <w:r>
        <w:t>(1) Hat der Beschuldigte im Geltungsbereich dieses Gesetzes keinen festen Wohnsitz oder Aufenthalt und liegen die Voraussetzungen eines Haftbefehls nur wegen Fluchtgefahr vor, so kann davon abgesehen werden, seine Festnahme anzuordnen oder aufrechtzuerhalten, wenn</w:t>
      </w:r>
    </w:p>
    <w:p>
      <w:pPr>
        <w:tabs>
          <w:tab w:pos="567" w:val="left"/>
        </w:tabs>
        <w:ind w:left="567" w:hanging="567"/>
      </w:pPr>
      <w:r>
        <w:t>1.</w:t>
      </w:r>
      <w:r>
        <w:tab/>
      </w:r>
      <w:r>
        <w:t>nicht damit zu rechnen ist, daß wegen der Tat eine Freiheitsstrafe verhängt oder eine freiheitsentziehende Maßregel der Besserung und Sicherung angeordnet wird und</w:t>
      </w:r>
    </w:p>
    <w:p>
      <w:pPr>
        <w:tabs>
          <w:tab w:pos="567" w:val="left"/>
        </w:tabs>
        <w:ind w:left="567" w:hanging="567"/>
      </w:pPr>
      <w:r>
        <w:t>2.</w:t>
      </w:r>
      <w:r>
        <w:tab/>
      </w:r>
      <w:r>
        <w:t>der Beschuldigte eine angemessene Sicherheit für die zu erwartende Geldstrafe und die Kosten des Verfahrens leistet.</w:t>
      </w:r>
    </w:p>
    <w:p>
      <w:r>
        <w:t xml:space="preserve">(2) </w:t>
      </w:r>
      <w:hyperlink w:anchor="b201" w:history="1">
        <w:r>
          <w:rPr>
            <w:color w:val="0A3A8C"/>
            <w:u w:val="single"/>
          </w:rPr>
          <w:t xml:space="preserve">§ 116a</w:t>
        </w:r>
      </w:hyperlink>
      <w:r>
        <w:t xml:space="preserve"> Abs. 1 und 3 gilt entsprechend.</w:t>
      </w:r>
    </w:p>
    <w:p>
      <w:pPr>
        <w:pStyle w:val="Heading3"/>
      </w:pPr>
      <w:bookmarkStart w:id="221" w:name="b220"/>
      <w:r>
        <w:t>§ 127b Vorläufige Festnahme und Haftbefehl bei beschleunigtem Verfahren</w:t>
      </w:r>
      <w:r>
        <w:t xml:space="preserve"> </w:t>
      </w:r>
      <w:r>
        <w:rPr>
          <w:rStyle w:val="Suchmarke"/>
        </w:rPr>
        <w:t>#127b#</w:t>
      </w:r>
      <w:bookmarkEnd w:id="221"/>
    </w:p>
    <w:p>
      <w:r>
        <w:t xml:space="preserve">(1) </w:t>
      </w:r>
      <w:r>
        <w:rPr>
          <w:rStyle w:val="Satznummer"/>
        </w:rPr>
        <w:t>1</w:t>
      </w:r>
      <w:r>
        <w:t>Die Staatsanwaltschaft und die Beamten des Polizeidienstes sind zur vorläufigen Festnahme eines auf frischer Tat Betroffenen oder Verfolgten auch dann befugt, wenn</w:t>
      </w:r>
    </w:p>
    <w:p>
      <w:pPr>
        <w:tabs>
          <w:tab w:pos="567" w:val="left"/>
        </w:tabs>
        <w:ind w:left="567" w:hanging="567"/>
      </w:pPr>
      <w:r>
        <w:t>1.</w:t>
      </w:r>
      <w:r>
        <w:tab/>
      </w:r>
      <w:r>
        <w:t>eine unverzügliche Entscheidung im beschleunigten Verfahren wahrscheinlich ist und</w:t>
      </w:r>
    </w:p>
    <w:p>
      <w:pPr>
        <w:tabs>
          <w:tab w:pos="567" w:val="left"/>
        </w:tabs>
        <w:ind w:left="567" w:hanging="567"/>
      </w:pPr>
      <w:r>
        <w:t>2.</w:t>
      </w:r>
      <w:r>
        <w:tab/>
      </w:r>
      <w:r>
        <w:t>auf Grund bestimmter Tatsachen zu befürchten ist, daß der Festgenommene der Hauptverhandlung fernbleiben wird.</w:t>
      </w:r>
    </w:p>
    <w:p>
      <w:r>
        <w:rPr>
          <w:rStyle w:val="Satznummer"/>
        </w:rPr>
        <w:t>2</w:t>
      </w:r>
      <w:r>
        <w:t xml:space="preserve">Die </w:t>
      </w:r>
      <w:hyperlink w:anchor="b193" w:history="1">
        <w:r>
          <w:rPr>
            <w:color w:val="0A3A8C"/>
            <w:u w:val="single"/>
          </w:rPr>
          <w:t xml:space="preserve">§§ 114a</w:t>
        </w:r>
      </w:hyperlink>
      <w:r>
        <w:t xml:space="preserve"> bis </w:t>
      </w:r>
      <w:hyperlink w:anchor="b195" w:history="1">
        <w:r>
          <w:rPr>
            <w:color w:val="0A3A8C"/>
            <w:u w:val="single"/>
          </w:rPr>
          <w:t xml:space="preserve">114c</w:t>
        </w:r>
      </w:hyperlink>
      <w:r>
        <w:t xml:space="preserve"> gelten entsprechend.</w:t>
      </w:r>
    </w:p>
    <w:p>
      <w:r>
        <w:t xml:space="preserve">(2) </w:t>
      </w:r>
      <w:r>
        <w:rPr>
          <w:rStyle w:val="Satznummer"/>
        </w:rPr>
        <w:t>1</w:t>
      </w:r>
      <w:r>
        <w:t>Ein Haftbefehl (</w:t>
      </w:r>
      <w:hyperlink w:anchor="b221" w:history="1">
        <w:r>
          <w:rPr>
            <w:color w:val="0A3A8C"/>
            <w:u w:val="single"/>
          </w:rPr>
          <w:t xml:space="preserve">§ 128</w:t>
        </w:r>
      </w:hyperlink>
      <w:r>
        <w:t xml:space="preserve"> Abs. 2 Satz 2) darf aus den Gründen des Absatzes 1 gegen den der Tat dringend Verdächtigen nur ergehen, wenn die Durchführung der Hauptverhandlung binnen einer Woche nach der Festnahme zu erwarten ist. </w:t>
      </w:r>
      <w:r>
        <w:rPr>
          <w:rStyle w:val="Satznummer"/>
        </w:rPr>
        <w:t>2</w:t>
      </w:r>
      <w:r>
        <w:t>Der Haftbefehl ist auf höchstens eine Woche ab dem Tage der Festnahme zu befristen.</w:t>
      </w:r>
    </w:p>
    <w:p>
      <w:r>
        <w:t>(3) Über den Erlaß des Haftbefehls soll der für die Durchführung des beschleunigten Verfahrens zuständige Richter entscheiden.</w:t>
      </w:r>
    </w:p>
    <w:p>
      <w:pPr>
        <w:pStyle w:val="Heading3"/>
      </w:pPr>
      <w:bookmarkStart w:id="222" w:name="b221"/>
      <w:r>
        <w:t>§ 128 Vorführung bei vorläufiger Festnahme</w:t>
      </w:r>
      <w:r>
        <w:t xml:space="preserve"> </w:t>
      </w:r>
      <w:r>
        <w:rPr>
          <w:rStyle w:val="Suchmarke"/>
        </w:rPr>
        <w:t>#128#</w:t>
      </w:r>
      <w:bookmarkEnd w:id="222"/>
    </w:p>
    <w:p>
      <w:r>
        <w:t xml:space="preserve">(1) </w:t>
      </w:r>
      <w:r>
        <w:rPr>
          <w:rStyle w:val="Satznummer"/>
        </w:rPr>
        <w:t>1</w:t>
      </w:r>
      <w:r>
        <w:t xml:space="preserve">Der Festgenommene ist, sofern er nicht wieder in Freiheit gesetzt wird, unverzüglich, spätestens am Tage nach der Festnahme, dem Richter bei dem Amtsgericht, in dessen Bezirk er festgenommen worden ist, vorzuführen. </w:t>
      </w:r>
      <w:r>
        <w:rPr>
          <w:rStyle w:val="Satznummer"/>
        </w:rPr>
        <w:t>2</w:t>
      </w:r>
      <w:r>
        <w:t xml:space="preserve">Der Richter vernimmt den Vorgeführten gemäß </w:t>
      </w:r>
      <w:hyperlink w:anchor="b198" w:history="1">
        <w:r>
          <w:rPr>
            <w:color w:val="0A3A8C"/>
            <w:u w:val="single"/>
          </w:rPr>
          <w:t xml:space="preserve">§ 115</w:t>
        </w:r>
      </w:hyperlink>
      <w:r>
        <w:t xml:space="preserve"> Abs. 3.</w:t>
      </w:r>
    </w:p>
    <w:p>
      <w:r>
        <w:t xml:space="preserve">(2) </w:t>
      </w:r>
      <w:r>
        <w:rPr>
          <w:rStyle w:val="Satznummer"/>
        </w:rPr>
        <w:t>1</w:t>
      </w:r>
      <w:r>
        <w:t xml:space="preserve">Hält der Richter die Festnahme nicht für gerechtfertigt oder ihre Gründe für beseitigt, so ordnet er die Freilassung an. </w:t>
      </w:r>
      <w:r>
        <w:rPr>
          <w:rStyle w:val="Satznummer"/>
        </w:rPr>
        <w:t>2</w:t>
      </w:r>
      <w:r>
        <w:t xml:space="preserve">Andernfalls erläßt er auf Antrag der Staatsanwaltschaft oder, wenn ein Staatsanwalt nicht erreichbar ist, von Amts wegen einen Haftbefehl oder einen Unterbringungsbefehl. </w:t>
      </w:r>
      <w:r>
        <w:rPr>
          <w:rStyle w:val="Satznummer"/>
        </w:rPr>
        <w:t>3</w:t>
      </w:r>
      <w:hyperlink w:anchor="b198" w:history="1">
        <w:r>
          <w:rPr>
            <w:color w:val="0A3A8C"/>
            <w:u w:val="single"/>
          </w:rPr>
          <w:t xml:space="preserve">§ 115</w:t>
        </w:r>
      </w:hyperlink>
      <w:r>
        <w:t xml:space="preserve"> Abs. 4 gilt entsprechend.</w:t>
      </w:r>
    </w:p>
    <w:p>
      <w:pPr>
        <w:pStyle w:val="Heading3"/>
      </w:pPr>
      <w:bookmarkStart w:id="223" w:name="b222"/>
      <w:r>
        <w:t>§ 129 Vorführung bei vorläufiger Festnahme nach Anklageerhebung</w:t>
      </w:r>
      <w:r>
        <w:t xml:space="preserve"> </w:t>
      </w:r>
      <w:r>
        <w:rPr>
          <w:rStyle w:val="Suchmarke"/>
        </w:rPr>
        <w:t>#129#</w:t>
      </w:r>
      <w:bookmarkEnd w:id="223"/>
    </w:p>
    <w:p>
      <w:r>
        <w:t>Ist gegen den Festgenommenen bereits die öffentliche Klage erhoben, so ist er entweder sofort oder auf Verfügung des Richters, dem er zunächst vorgeführt worden ist, dem zuständigen Gericht vorzuführen; dieses hat spätestens am Tage nach der Festnahme über Freilassung, Verhaftung oder einstweilige Unterbringung des Festgenommenen zu entscheiden.</w:t>
      </w:r>
    </w:p>
    <w:p>
      <w:pPr>
        <w:pStyle w:val="Heading3"/>
      </w:pPr>
      <w:bookmarkStart w:id="224" w:name="b223"/>
      <w:r>
        <w:t>§ 130 Haftbefehl vor Stellung eines Strafantrags</w:t>
      </w:r>
      <w:r>
        <w:t xml:space="preserve"> </w:t>
      </w:r>
      <w:r>
        <w:rPr>
          <w:rStyle w:val="Suchmarke"/>
        </w:rPr>
        <w:t>#130#</w:t>
      </w:r>
      <w:bookmarkEnd w:id="224"/>
    </w:p>
    <w:p>
      <w:r>
        <w:rPr>
          <w:rStyle w:val="Satznummer"/>
        </w:rPr>
        <w:t>1</w:t>
      </w:r>
      <w:r>
        <w:t xml:space="preserve">Wird wegen Verdachts einer Straftat, die nur auf Antrag verfolgbar ist, ein Haftbefehl erlassen, bevor der Antrag gestellt ist, so ist der Antragsberechtigte, von mehreren wenigstens einer, sofort von dem Erlaß des Haftbefehls in Kenntnis zu setzen und davon zu unterrichten, daß der Haftbefehl aufgehoben werden wird, wenn der Antrag nicht innerhalb einer vom Richter zu bestimmenden Frist, die eine Woche nicht überschreiten soll, gestellt wird. </w:t>
      </w:r>
      <w:r>
        <w:rPr>
          <w:rStyle w:val="Satznummer"/>
        </w:rPr>
        <w:t>2</w:t>
      </w:r>
      <w:r>
        <w:t xml:space="preserve">Wird innerhalb der Frist Strafantrag nicht gestellt, so ist der Haftbefehl aufzuheben. </w:t>
      </w:r>
      <w:r>
        <w:rPr>
          <w:rStyle w:val="Satznummer"/>
        </w:rPr>
        <w:t>3</w:t>
      </w:r>
      <w:r>
        <w:t xml:space="preserve">Dies gilt entsprechend, wenn eine Straftat nur mit Ermächtigung oder auf Strafverlangen verfolgbar ist. </w:t>
      </w:r>
      <w:r>
        <w:rPr>
          <w:rStyle w:val="Satznummer"/>
        </w:rPr>
        <w:t>4</w:t>
      </w:r>
      <w:hyperlink w:anchor="b209" w:history="1">
        <w:r>
          <w:rPr>
            <w:color w:val="0A3A8C"/>
            <w:u w:val="single"/>
          </w:rPr>
          <w:t xml:space="preserve">§ 120</w:t>
        </w:r>
      </w:hyperlink>
      <w:r>
        <w:t xml:space="preserve"> Abs. 3 ist anzuwenden.</w:t>
      </w:r>
    </w:p>
    <w:p>
      <w:pPr>
        <w:pStyle w:val="Heading2"/>
      </w:pPr>
      <w:bookmarkStart w:id="225" w:name="b224"/>
      <w:r>
        <w:t>Abschnitt 9a Weitere Maßnahmen zur Sicherstellung der Strafverfolgung und Strafvollstreckung</w:t>
      </w:r>
      <w:bookmarkEnd w:id="225"/>
    </w:p>
    <w:p>
      <w:pPr>
        <w:pStyle w:val="Heading3"/>
      </w:pPr>
      <w:bookmarkStart w:id="226" w:name="b225"/>
      <w:r>
        <w:t>§ 131 Ausschreibung zur Festnahme</w:t>
      </w:r>
      <w:r>
        <w:t xml:space="preserve"> </w:t>
      </w:r>
      <w:r>
        <w:rPr>
          <w:rStyle w:val="Suchmarke"/>
        </w:rPr>
        <w:t>#131#</w:t>
      </w:r>
      <w:bookmarkEnd w:id="226"/>
    </w:p>
    <w:p>
      <w:r>
        <w:t>(1) Auf Grund eines Haftbefehls oder eines Unterbringungsbefehls können der Richter oder die Staatsanwaltschaft und, wenn Gefahr im Verzug ist, ihre Ermittlungspersonen (§ 152 des Gerichtsverfassungsgesetzes) die Ausschreibung zur Festnahme veranlassen.</w:t>
      </w:r>
    </w:p>
    <w:p>
      <w:r>
        <w:t xml:space="preserve">(2) </w:t>
      </w:r>
      <w:r>
        <w:rPr>
          <w:rStyle w:val="Satznummer"/>
        </w:rPr>
        <w:t>1</w:t>
      </w:r>
      <w:r>
        <w:t xml:space="preserve">Liegen die Voraussetzungen eines Haftbefehls oder Unterbringungsbefehls vor, dessen Erlass nicht ohne Gefährdung des Fahndungserfolges abgewartet werden kann, so können die Staatsanwaltschaft und ihre Ermittlungspersonen (§ 152 des Gerichtsverfassungsgesetzes) Maßnahmen nach Absatz 1 veranlassen, wenn dies zur vorläufigen Festnahme erforderlich ist. </w:t>
      </w:r>
      <w:r>
        <w:rPr>
          <w:rStyle w:val="Satznummer"/>
        </w:rPr>
        <w:t>2</w:t>
      </w:r>
      <w:r>
        <w:t>Die Entscheidung über den Erlass des Haft- oder Unterbringungsbefehls ist unverzüglich, spätestens binnen einer Woche herbeizuführen.</w:t>
      </w:r>
    </w:p>
    <w:p>
      <w:r>
        <w:t xml:space="preserve">(3) </w:t>
      </w:r>
      <w:r>
        <w:rPr>
          <w:rStyle w:val="Satznummer"/>
        </w:rPr>
        <w:t>1</w:t>
      </w:r>
      <w:r>
        <w:t xml:space="preserve">Bei einer Straftat von erheblicher Bedeutung können in den Fällen der Absätze 1 und 2 der Richter und die Staatsanwaltschaft auch Öffentlichkeitsfahndungen veranlassen, wenn andere Formen der Aufenthaltsermittlung erheblich weniger Erfolg versprechend oder wesentlich erschwert wären. </w:t>
      </w:r>
      <w:r>
        <w:rPr>
          <w:rStyle w:val="Satznummer"/>
        </w:rPr>
        <w:t>2</w:t>
      </w:r>
      <w:r>
        <w:t xml:space="preserve">Unter den gleichen Voraussetzungen steht diese Befugnis bei Gefahr im Verzug und wenn der Richter oder die Staatsanwaltschaft nicht rechtzeitig erreichbar ist auch den Ermittlungspersonen der Staatsanwaltschaft (§ 152 des Gerichtsverfassungsgesetzes) zu. </w:t>
      </w:r>
      <w:r>
        <w:rPr>
          <w:rStyle w:val="Satznummer"/>
        </w:rPr>
        <w:t>3</w:t>
      </w:r>
      <w:r>
        <w:t xml:space="preserve">In den Fällen des Satzes 2 ist die Entscheidung der Staatsanwaltschaft unverzüglich herbeizuführen. </w:t>
      </w:r>
      <w:r>
        <w:rPr>
          <w:rStyle w:val="Satznummer"/>
        </w:rPr>
        <w:t>4</w:t>
      </w:r>
      <w:r>
        <w:t>Die Anordnung tritt außer Kraft, wenn diese Bestätigung nicht binnen 24 Stunden erfolgt.</w:t>
      </w:r>
    </w:p>
    <w:p>
      <w:r>
        <w:t xml:space="preserve">(4) </w:t>
      </w:r>
      <w:r>
        <w:rPr>
          <w:rStyle w:val="Satznummer"/>
        </w:rPr>
        <w:t>1</w:t>
      </w:r>
      <w:r>
        <w:t xml:space="preserve">Der Beschuldigte ist möglichst genau zu bezeichnen und soweit erforderlich zu beschreiben; eine Abbildung darf beigefügt werden. </w:t>
      </w:r>
      <w:r>
        <w:rPr>
          <w:rStyle w:val="Satznummer"/>
        </w:rPr>
        <w:t>2</w:t>
      </w:r>
      <w:r>
        <w:t>Die Tat, derer er verdächtig ist, Ort und Zeit ihrer Begehung sowie Umstände, die für die Ergreifung von Bedeutung sein können, können angegeben werden.</w:t>
      </w:r>
    </w:p>
    <w:p>
      <w:r>
        <w:t xml:space="preserve">(5) Die </w:t>
      </w:r>
      <w:hyperlink w:anchor="b198" w:history="1">
        <w:r>
          <w:rPr>
            <w:color w:val="0A3A8C"/>
            <w:u w:val="single"/>
          </w:rPr>
          <w:t xml:space="preserve">§§ 115</w:t>
        </w:r>
      </w:hyperlink>
      <w:r>
        <w:t xml:space="preserve"> und </w:t>
      </w:r>
      <w:hyperlink w:anchor="b199" w:history="1">
        <w:r>
          <w:rPr>
            <w:color w:val="0A3A8C"/>
            <w:u w:val="single"/>
          </w:rPr>
          <w:t xml:space="preserve">115a</w:t>
        </w:r>
      </w:hyperlink>
      <w:r>
        <w:t xml:space="preserve"> gelten entsprechend.</w:t>
      </w:r>
    </w:p>
    <w:p>
      <w:pPr>
        <w:pStyle w:val="Heading3"/>
      </w:pPr>
      <w:bookmarkStart w:id="227" w:name="b226"/>
      <w:r>
        <w:t>§ 131a Ausschreibung zur Aufenthaltsermittlung</w:t>
      </w:r>
      <w:r>
        <w:t xml:space="preserve"> </w:t>
      </w:r>
      <w:r>
        <w:rPr>
          <w:rStyle w:val="Suchmarke"/>
        </w:rPr>
        <w:t>#131a#</w:t>
      </w:r>
      <w:bookmarkEnd w:id="227"/>
    </w:p>
    <w:p>
      <w:r>
        <w:t>(1) Die Ausschreibung zur Aufenthaltsermittlung eines Beschuldigten oder eines Zeugen darf angeordnet werden, wenn sein Aufenthalt nicht bekannt ist.</w:t>
      </w:r>
    </w:p>
    <w:p>
      <w:r>
        <w:t>(2) Absatz 1 gilt auch für Ausschreibungen des Beschuldigten, soweit sie zur Sicherstellung eines Führerscheins, zur erkennungsdienstlichen Behandlung, zur Anfertigung einer DNA-Analyse oder zur Feststellung seiner Identität erforderlich sind.</w:t>
      </w:r>
    </w:p>
    <w:p>
      <w:r>
        <w:t>(3) Auf Grund einer Ausschreibung zur Aufenthaltsermittlung eines Beschuldigten oder Zeugen darf bei einer Straftat von erheblicher Bedeutung auch eine Öffentlichkeitsfahndung angeordnet werden, wenn der Beschuldigte der Begehung der Straftat dringend verdächtig ist und die Aufenthaltsermittlung auf andere Weise erheblich weniger Erfolg versprechend oder wesentlich erschwert wäre.</w:t>
      </w:r>
    </w:p>
    <w:p>
      <w:r>
        <w:t xml:space="preserve">(4) </w:t>
      </w:r>
      <w:r>
        <w:rPr>
          <w:rStyle w:val="Satznummer"/>
        </w:rPr>
        <w:t>1</w:t>
      </w:r>
      <w:hyperlink w:anchor="b225" w:history="1">
        <w:r>
          <w:rPr>
            <w:color w:val="0A3A8C"/>
            <w:u w:val="single"/>
          </w:rPr>
          <w:t xml:space="preserve">§ 131</w:t>
        </w:r>
      </w:hyperlink>
      <w:r>
        <w:t xml:space="preserve"> Abs. 4 gilt entsprechend. </w:t>
      </w:r>
      <w:r>
        <w:rPr>
          <w:rStyle w:val="Satznummer"/>
        </w:rPr>
        <w:t>2</w:t>
      </w:r>
      <w:r>
        <w:t xml:space="preserve">Bei der Aufenthaltsermittlung eines Zeugen ist erkennbar zu machen, dass die gesuchte Person nicht Beschuldigter ist. </w:t>
      </w:r>
      <w:r>
        <w:rPr>
          <w:rStyle w:val="Satznummer"/>
        </w:rPr>
        <w:t>3</w:t>
      </w:r>
      <w:r>
        <w:t xml:space="preserve">Die Öffentlichkeitsfahndung nach einem Zeugen unterbleibt, wenn überwiegende schutzwürdige Interessen des Zeugen entgegenstehen. </w:t>
      </w:r>
      <w:r>
        <w:rPr>
          <w:rStyle w:val="Satznummer"/>
        </w:rPr>
        <w:t>4</w:t>
      </w:r>
      <w:r>
        <w:t>Abbildungen des Zeugen dürfen nur erfolgen, soweit die Aufenthaltsermittlung auf andere Weise aussichtslos oder wesentlich erschwert wäre.</w:t>
      </w:r>
    </w:p>
    <w:p>
      <w:r>
        <w:t>(5) Ausschreibungen nach den Absätzen 1 und 2 dürfen in allen Fahndungshilfsmitteln der Strafverfolgungsbehörden vorgenommen werden.</w:t>
      </w:r>
    </w:p>
    <w:p>
      <w:pPr>
        <w:pStyle w:val="Heading3"/>
      </w:pPr>
      <w:bookmarkStart w:id="228" w:name="b227"/>
      <w:r>
        <w:t>§ 131b Veröffentlichung von Abbildungen des Beschuldigten oder Zeugen</w:t>
      </w:r>
      <w:r>
        <w:t xml:space="preserve"> </w:t>
      </w:r>
      <w:r>
        <w:rPr>
          <w:rStyle w:val="Suchmarke"/>
        </w:rPr>
        <w:t>#131b#</w:t>
      </w:r>
      <w:bookmarkEnd w:id="228"/>
    </w:p>
    <w:p>
      <w:r>
        <w:t>(1) Die Veröffentlichung von Abbildungen eines Beschuldigten, der einer Straftat von erheblicher Bedeutung verdächtig ist, ist auch zulässig, wenn die Aufklärung einer Straftat, insbesondere die Feststellung der Identität eines unbekannten Täters auf andere Weise erheblich weniger Erfolg versprechend oder wesentlich erschwert wäre.</w:t>
      </w:r>
    </w:p>
    <w:p>
      <w:r>
        <w:t xml:space="preserve">(2) </w:t>
      </w:r>
      <w:r>
        <w:rPr>
          <w:rStyle w:val="Satznummer"/>
        </w:rPr>
        <w:t>1</w:t>
      </w:r>
      <w:r>
        <w:t xml:space="preserve">Die Veröffentlichung von Abbildungen eines Zeugen und Hinweise auf das der Veröffentlichung zugrunde liegende Strafverfahren sind auch zulässig, wenn die Aufklärung einer Straftat von erheblicher Bedeutung, insbesondere die Feststellung der Identität des Zeugen, auf andere Weise aussichtslos oder wesentlich erschwert wäre. </w:t>
      </w:r>
      <w:r>
        <w:rPr>
          <w:rStyle w:val="Satznummer"/>
        </w:rPr>
        <w:t>2</w:t>
      </w:r>
      <w:r>
        <w:t>Die Veröffentlichung muss erkennbar machen, dass die abgebildete Person nicht Beschuldigter ist.</w:t>
      </w:r>
    </w:p>
    <w:p>
      <w:r>
        <w:t xml:space="preserve">(3) </w:t>
      </w:r>
      <w:hyperlink w:anchor="b225" w:history="1">
        <w:r>
          <w:rPr>
            <w:color w:val="0A3A8C"/>
            <w:u w:val="single"/>
          </w:rPr>
          <w:t xml:space="preserve">§ 131</w:t>
        </w:r>
      </w:hyperlink>
      <w:r>
        <w:t xml:space="preserve"> Abs. 4 Satz 1 erster Halbsatz und Satz 2 gilt entsprechend.</w:t>
      </w:r>
    </w:p>
    <w:p>
      <w:pPr>
        <w:pStyle w:val="Heading3"/>
      </w:pPr>
      <w:bookmarkStart w:id="229" w:name="b228"/>
      <w:r>
        <w:t>§ 131c Anordnung und Bestätigung von Fahndungsmaßnahmen</w:t>
      </w:r>
      <w:r>
        <w:t xml:space="preserve"> </w:t>
      </w:r>
      <w:r>
        <w:rPr>
          <w:rStyle w:val="Suchmarke"/>
        </w:rPr>
        <w:t>#131c#</w:t>
      </w:r>
      <w:bookmarkEnd w:id="229"/>
    </w:p>
    <w:p>
      <w:r>
        <w:t xml:space="preserve">(1) </w:t>
      </w:r>
      <w:r>
        <w:rPr>
          <w:rStyle w:val="Satznummer"/>
        </w:rPr>
        <w:t>1</w:t>
      </w:r>
      <w:r>
        <w:t xml:space="preserve">Fahndungen nach </w:t>
      </w:r>
      <w:hyperlink w:anchor="b226" w:history="1">
        <w:r>
          <w:rPr>
            <w:color w:val="0A3A8C"/>
            <w:u w:val="single"/>
          </w:rPr>
          <w:t xml:space="preserve">§ 131a</w:t>
        </w:r>
      </w:hyperlink>
      <w:r>
        <w:t xml:space="preserve"> Abs. 3 und </w:t>
      </w:r>
      <w:hyperlink w:anchor="b227" w:history="1">
        <w:r>
          <w:rPr>
            <w:color w:val="0A3A8C"/>
            <w:u w:val="single"/>
          </w:rPr>
          <w:t xml:space="preserve">§ 131b</w:t>
        </w:r>
      </w:hyperlink>
      <w:r>
        <w:t xml:space="preserve"> dürfen nur durch den Richter, bei Gefahr im Verzug auch durch die Staatsanwaltschaft und ihre Ermittlungspersonen (§ 152 des Gerichtsverfassungsgesetzes) angeordnet werden. </w:t>
      </w:r>
      <w:r>
        <w:rPr>
          <w:rStyle w:val="Satznummer"/>
        </w:rPr>
        <w:t>2</w:t>
      </w:r>
      <w:r>
        <w:t xml:space="preserve">Fahndungen nach </w:t>
      </w:r>
      <w:hyperlink w:anchor="b226" w:history="1">
        <w:r>
          <w:rPr>
            <w:color w:val="0A3A8C"/>
            <w:u w:val="single"/>
          </w:rPr>
          <w:t xml:space="preserve">§ 131a</w:t>
        </w:r>
      </w:hyperlink>
      <w:r>
        <w:t xml:space="preserve"> Abs. 1 und 2 bedürfen der Anordnung durch die Staatsanwaltschaft; bei Gefahr im Verzug dürfen sie auch durch ihre Ermittlungspersonen (§ 152 des Gerichtsverfassungsgesetzes) angeordnet werden.</w:t>
      </w:r>
    </w:p>
    <w:p>
      <w:r>
        <w:t xml:space="preserve">(2) </w:t>
      </w:r>
      <w:r>
        <w:rPr>
          <w:rStyle w:val="Satznummer"/>
        </w:rPr>
        <w:t>1</w:t>
      </w:r>
      <w:r>
        <w:t xml:space="preserve">In Fällen andauernder Veröffentlichung in elektronischen Medien sowie bei wiederholter Veröffentlichung im Fernsehen oder in periodischen Druckwerken tritt die Anordnung der Staatsanwaltschaft und ihrer Ermittlungspersonen (§ 152 des Gerichtsverfassungsgesetzes) nach Absatz 1 Satz 1 außer Kraft, wenn sie nicht binnen einer Woche von dem Richter bestätigt wird. </w:t>
      </w:r>
      <w:r>
        <w:rPr>
          <w:rStyle w:val="Satznummer"/>
        </w:rPr>
        <w:t>2</w:t>
      </w:r>
      <w:r>
        <w:t>Im Übrigen treten Fahndungsanordnungen der Ermittlungspersonen der Staatsanwaltschaft (§ 152 des Gerichtsverfassungsgesetzes) außer Kraft, wenn sie nicht binnen einer Woche von der Staatsanwaltschaft bestätigt werden.</w:t>
      </w:r>
    </w:p>
    <w:p>
      <w:pPr>
        <w:pStyle w:val="Heading3"/>
      </w:pPr>
      <w:bookmarkStart w:id="230" w:name="b229"/>
      <w:r>
        <w:t>§ 132 Sicherheitsleistung, Zustellungsbevollmächtigter</w:t>
      </w:r>
      <w:r>
        <w:t xml:space="preserve"> </w:t>
      </w:r>
      <w:r>
        <w:rPr>
          <w:rStyle w:val="Suchmarke"/>
        </w:rPr>
        <w:t>#132#</w:t>
      </w:r>
      <w:bookmarkEnd w:id="230"/>
    </w:p>
    <w:p>
      <w:r>
        <w:t xml:space="preserve">(1) </w:t>
      </w:r>
      <w:r>
        <w:rPr>
          <w:rStyle w:val="Satznummer"/>
        </w:rPr>
        <w:t>1</w:t>
      </w:r>
      <w:r>
        <w:t>Hat der Beschuldigte, der einer Straftat dringend verdächtig ist, im Geltungsbereich dieses Gesetzes keinen festen Wohnsitz oder Aufenthalt, liegen aber die Voraussetzungen eines Haftbefehls nicht vor, so kann, um die Durchführung des Strafverfahrens sicherzustellen, angeordnet werden, daß der Beschuldigte</w:t>
      </w:r>
    </w:p>
    <w:p>
      <w:pPr>
        <w:tabs>
          <w:tab w:pos="567" w:val="left"/>
        </w:tabs>
        <w:ind w:left="567" w:hanging="567"/>
      </w:pPr>
      <w:r>
        <w:t>1.</w:t>
      </w:r>
      <w:r>
        <w:tab/>
      </w:r>
      <w:r>
        <w:t>eine angemessene Sicherheit für die zu erwartende Geldstrafe und die Kosten des Verfahrens leistet und</w:t>
      </w:r>
    </w:p>
    <w:p>
      <w:pPr>
        <w:tabs>
          <w:tab w:pos="567" w:val="left"/>
        </w:tabs>
        <w:ind w:left="567" w:hanging="567"/>
      </w:pPr>
      <w:r>
        <w:t>2.</w:t>
      </w:r>
      <w:r>
        <w:tab/>
      </w:r>
      <w:r>
        <w:t>eine im Bezirk des zuständigen Gerichts wohnende Person zum Empfang von Zustellungen bevollmächtigt.</w:t>
      </w:r>
    </w:p>
    <w:p>
      <w:r>
        <w:rPr>
          <w:rStyle w:val="Satznummer"/>
        </w:rPr>
        <w:t>2</w:t>
      </w:r>
      <w:hyperlink w:anchor="b201" w:history="1">
        <w:r>
          <w:rPr>
            <w:color w:val="0A3A8C"/>
            <w:u w:val="single"/>
          </w:rPr>
          <w:t xml:space="preserve">§ 116a</w:t>
        </w:r>
      </w:hyperlink>
      <w:r>
        <w:t xml:space="preserve"> Abs. 1 gilt entsprechend.</w:t>
      </w:r>
    </w:p>
    <w:p>
      <w:r>
        <w:t>(2) Die Anordnung dürfen nur der Richter, bei Gefahr im Verzuge auch die Staatsanwaltschaft und ihre Ermittlungspersonen (§ 152 des Gerichtsverfassungsgesetzes) treffen.</w:t>
      </w:r>
    </w:p>
    <w:p>
      <w:r>
        <w:t xml:space="preserve">(3) </w:t>
      </w:r>
      <w:r>
        <w:rPr>
          <w:rStyle w:val="Satznummer"/>
        </w:rPr>
        <w:t>1</w:t>
      </w:r>
      <w:r>
        <w:t xml:space="preserve">Befolgt der Beschuldigte die Anordnung nicht, so können Beförderungsmittel und andere Sachen, die der Beschuldigte mit sich führt und die ihm gehören, beschlagnahmt werden. </w:t>
      </w:r>
      <w:r>
        <w:rPr>
          <w:rStyle w:val="Satznummer"/>
        </w:rPr>
        <w:t>2</w:t>
      </w:r>
      <w:r>
        <w:t xml:space="preserve">Die </w:t>
      </w:r>
      <w:hyperlink w:anchor="b132" w:history="1">
        <w:r>
          <w:rPr>
            <w:color w:val="0A3A8C"/>
            <w:u w:val="single"/>
          </w:rPr>
          <w:t xml:space="preserve">§§ 94</w:t>
        </w:r>
      </w:hyperlink>
      <w:r>
        <w:t xml:space="preserve"> und </w:t>
      </w:r>
      <w:hyperlink w:anchor="b137" w:history="1">
        <w:r>
          <w:rPr>
            <w:color w:val="0A3A8C"/>
            <w:u w:val="single"/>
          </w:rPr>
          <w:t xml:space="preserve">98</w:t>
        </w:r>
      </w:hyperlink>
      <w:r>
        <w:t xml:space="preserve"> gelten entsprechend.</w:t>
      </w:r>
    </w:p>
    <w:p>
      <w:pPr>
        <w:pStyle w:val="Heading2"/>
      </w:pPr>
      <w:bookmarkStart w:id="231" w:name="b230"/>
      <w:r>
        <w:t>Abschnitt 9b Vorläufiges Berufsverbot</w:t>
      </w:r>
      <w:bookmarkEnd w:id="231"/>
    </w:p>
    <w:p>
      <w:pPr>
        <w:pStyle w:val="Heading3"/>
      </w:pPr>
      <w:bookmarkStart w:id="232" w:name="b231"/>
      <w:r>
        <w:t>§ 132a Anordnung und Aufhebung eines vorläufigen Berufsverbots</w:t>
      </w:r>
      <w:r>
        <w:t xml:space="preserve"> </w:t>
      </w:r>
      <w:r>
        <w:rPr>
          <w:rStyle w:val="Suchmarke"/>
        </w:rPr>
        <w:t>#132a#</w:t>
      </w:r>
      <w:bookmarkEnd w:id="232"/>
    </w:p>
    <w:p>
      <w:r>
        <w:t xml:space="preserve">(1) </w:t>
      </w:r>
      <w:r>
        <w:rPr>
          <w:rStyle w:val="Satznummer"/>
        </w:rPr>
        <w:t>1</w:t>
      </w:r>
      <w:r>
        <w:t xml:space="preserve">Sind dringende Gründe für die Annahme vorhanden, daß ein Berufsverbot angeordnet werden wird (§ 70 des Strafgesetzbuches), so kann der Richter dem Beschuldigten durch Beschluß die Ausübung des Berufs, Berufszweiges, Gewerbes oder Gewerbezweiges vorläufig verbieten. </w:t>
      </w:r>
      <w:r>
        <w:rPr>
          <w:rStyle w:val="Satznummer"/>
        </w:rPr>
        <w:t>2</w:t>
      </w:r>
      <w:r>
        <w:t>§ 70 Abs. 3 des Strafgesetzbuches gilt entsprechend.</w:t>
      </w:r>
    </w:p>
    <w:p>
      <w:r>
        <w:t>(2) Das vorläufige Berufsverbot ist aufzuheben, wenn sein Grund weggefallen ist oder wenn das Gericht im Urteil das Berufsverbot nicht anordnet.</w:t>
      </w:r>
    </w:p>
    <w:p>
      <w:pPr>
        <w:pStyle w:val="Heading2"/>
      </w:pPr>
      <w:bookmarkStart w:id="233" w:name="b232"/>
      <w:r>
        <w:t>Zehnter Abschnitt Vernehmung des Beschuldigten</w:t>
      </w:r>
      <w:bookmarkEnd w:id="233"/>
    </w:p>
    <w:p>
      <w:pPr>
        <w:pStyle w:val="Heading3"/>
      </w:pPr>
      <w:bookmarkStart w:id="234" w:name="b233"/>
      <w:r>
        <w:t>§ 133 Ladung</w:t>
      </w:r>
      <w:r>
        <w:t xml:space="preserve"> </w:t>
      </w:r>
      <w:r>
        <w:rPr>
          <w:rStyle w:val="Suchmarke"/>
        </w:rPr>
        <w:t>#133#</w:t>
      </w:r>
      <w:bookmarkEnd w:id="234"/>
    </w:p>
    <w:p>
      <w:r>
        <w:t>(1) Der Beschuldigte ist zur Vernehmung schriftlich zu laden.</w:t>
      </w:r>
    </w:p>
    <w:p>
      <w:r>
        <w:t>(2) Die Ladung kann unter der Androhung geschehen, daß im Falle des Ausbleibens seine Vorführung erfolgen werde.</w:t>
      </w:r>
    </w:p>
    <w:p>
      <w:pPr>
        <w:pStyle w:val="Heading3"/>
      </w:pPr>
      <w:bookmarkStart w:id="235" w:name="b234"/>
      <w:r>
        <w:t>§ 134 Vorführung</w:t>
      </w:r>
      <w:r>
        <w:t xml:space="preserve"> </w:t>
      </w:r>
      <w:r>
        <w:rPr>
          <w:rStyle w:val="Suchmarke"/>
        </w:rPr>
        <w:t>#134#</w:t>
      </w:r>
      <w:bookmarkEnd w:id="235"/>
    </w:p>
    <w:p>
      <w:r>
        <w:t>(1) Die sofortige Vorführung des Beschuldigten kann verfügt werden, wenn Gründe vorliegen, die den Erlaß eines Haftbefehls rechtfertigen würden.</w:t>
      </w:r>
    </w:p>
    <w:p>
      <w:r>
        <w:t>(2) In dem Vorführungsbefehl ist der Beschuldigte genau zu bezeichnen und die ihm zur Last gelegte Straftat sowie der Grund der Vorführung anzugeben.</w:t>
      </w:r>
    </w:p>
    <w:p>
      <w:pPr>
        <w:pStyle w:val="Heading3"/>
      </w:pPr>
      <w:bookmarkStart w:id="236" w:name="b235"/>
      <w:r>
        <w:t>§ 135 Sofortige Vernehmung</w:t>
      </w:r>
      <w:r>
        <w:t xml:space="preserve"> </w:t>
      </w:r>
      <w:r>
        <w:rPr>
          <w:rStyle w:val="Suchmarke"/>
        </w:rPr>
        <w:t>#135#</w:t>
      </w:r>
      <w:bookmarkEnd w:id="236"/>
    </w:p>
    <w:p>
      <w:r>
        <w:rPr>
          <w:rStyle w:val="Satznummer"/>
        </w:rPr>
        <w:t>1</w:t>
      </w:r>
      <w:r>
        <w:t xml:space="preserve">Der Beschuldigte ist unverzüglich dem Richter vorzuführen und von diesem zu vernehmen. </w:t>
      </w:r>
      <w:r>
        <w:rPr>
          <w:rStyle w:val="Satznummer"/>
        </w:rPr>
        <w:t>2</w:t>
      </w:r>
      <w:r>
        <w:t>Er darf auf Grund des Vorführungsbefehls nicht länger festgehalten werden als bis zum Ende des Tages, der dem Beginn der Vorführung folgt.</w:t>
      </w:r>
    </w:p>
    <w:p>
      <w:pPr>
        <w:pStyle w:val="Heading3"/>
      </w:pPr>
      <w:bookmarkStart w:id="237" w:name="b236"/>
      <w:r>
        <w:t>§ 136 Vernehmung</w:t>
      </w:r>
      <w:r>
        <w:t xml:space="preserve"> </w:t>
      </w:r>
      <w:r>
        <w:rPr>
          <w:rStyle w:val="Suchmarke"/>
        </w:rPr>
        <w:t>#136#</w:t>
      </w:r>
      <w:bookmarkEnd w:id="237"/>
    </w:p>
    <w:p>
      <w:r>
        <w:t xml:space="preserve">(1) </w:t>
      </w:r>
      <w:r>
        <w:rPr>
          <w:rStyle w:val="Satznummer"/>
        </w:rPr>
        <w:t>1</w:t>
      </w:r>
      <w:r>
        <w:t xml:space="preserve">Bei Beginn der Vernehmung ist dem Beschuldigten zu eröffnen, welche Tat ihm zu Last gelegt wird und welche Strafvorschriften in Betracht kommen. </w:t>
      </w:r>
      <w:r>
        <w:rPr>
          <w:rStyle w:val="Satznummer"/>
        </w:rPr>
        <w:t>2</w:t>
      </w:r>
      <w:r>
        <w:t xml:space="preserve">Er ist darauf hinzuweisen, daß es ihm nach dem Gesetz freistehe, sich zu der Beschuldigung zu äußern oder nicht zur Sache auszusagen und jederzeit, auch schon vor seiner Vernehmung, einen von ihm zu wählenden Verteidiger zu befragen. </w:t>
      </w:r>
      <w:r>
        <w:rPr>
          <w:rStyle w:val="Satznummer"/>
        </w:rPr>
        <w:t>3</w:t>
      </w:r>
      <w:r>
        <w:t xml:space="preserve">Möchte der Beschuldigte vor seiner Vernehmung einen Verteidiger befragen, sind ihm Informationen zur Verfügung zu stellen, die es ihm erleichtern, einen Verteidiger zu kontaktieren. </w:t>
      </w:r>
      <w:r>
        <w:rPr>
          <w:rStyle w:val="Satznummer"/>
        </w:rPr>
        <w:t>4</w:t>
      </w:r>
      <w:r>
        <w:t xml:space="preserve">Auf bestehende anwaltliche Notdienste ist dabei hinzuweisen. </w:t>
      </w:r>
      <w:r>
        <w:rPr>
          <w:rStyle w:val="Satznummer"/>
        </w:rPr>
        <w:t>5</w:t>
      </w:r>
      <w:r>
        <w:t xml:space="preserve">Er ist ferner darüber zu belehren, daß er zu seiner Entlastung einzelne Beweiserhebungen beantragen und unter den Voraussetzungen des </w:t>
      </w:r>
      <w:hyperlink w:anchor="b246" w:history="1">
        <w:r>
          <w:rPr>
            <w:color w:val="0A3A8C"/>
            <w:u w:val="single"/>
          </w:rPr>
          <w:t xml:space="preserve">§ 140</w:t>
        </w:r>
      </w:hyperlink>
      <w:r>
        <w:t xml:space="preserve"> die Bestellung eines Pflichtverteidigers nach Maßgabe des </w:t>
      </w:r>
      <w:hyperlink w:anchor="b247" w:history="1">
        <w:r>
          <w:rPr>
            <w:color w:val="0A3A8C"/>
            <w:u w:val="single"/>
          </w:rPr>
          <w:t xml:space="preserve">§ 141</w:t>
        </w:r>
      </w:hyperlink>
      <w:r>
        <w:t xml:space="preserve"> Absatz 1 und des </w:t>
      </w:r>
      <w:hyperlink w:anchor="b249" w:history="1">
        <w:r>
          <w:rPr>
            <w:color w:val="0A3A8C"/>
            <w:u w:val="single"/>
          </w:rPr>
          <w:t xml:space="preserve">§ 142</w:t>
        </w:r>
      </w:hyperlink>
      <w:r>
        <w:t xml:space="preserve"> Absatz 1 beantragen kann; zu Letzterem ist er dabei auf die Kostenfolge des </w:t>
      </w:r>
      <w:hyperlink w:anchor="b690" w:history="1">
        <w:r>
          <w:rPr>
            <w:color w:val="0A3A8C"/>
            <w:u w:val="single"/>
          </w:rPr>
          <w:t xml:space="preserve">§ 465</w:t>
        </w:r>
      </w:hyperlink>
      <w:r>
        <w:t xml:space="preserve"> hinzuweisen. </w:t>
      </w:r>
      <w:r>
        <w:rPr>
          <w:rStyle w:val="Satznummer"/>
        </w:rPr>
        <w:t>6</w:t>
      </w:r>
      <w:r>
        <w:t>In geeigneten Fällen soll der Beschuldigte auch darauf, dass er sich schriftlich äußern kann, sowie auf die Möglichkeit eines Täter-Opfer-Ausgleichs hingewiesen werden.</w:t>
      </w:r>
    </w:p>
    <w:p>
      <w:r>
        <w:t>(2) Die Vernehmung soll dem Beschuldigten Gelegenheit geben, die gegen ihn vorliegenden Verdachtsgründe zu beseitigen und die zu seinen Gunsten sprechenden Tatsachen geltend zu machen.</w:t>
      </w:r>
    </w:p>
    <w:p>
      <w:r>
        <w:t>(3) Bei der Vernehmung des Beschuldigten ist zugleich auf die Ermittlung seiner persönlichen Verhältnisse Bedacht zu nehmen.</w:t>
      </w:r>
    </w:p>
    <w:p>
      <w:r>
        <w:t xml:space="preserve">(4) </w:t>
      </w:r>
      <w:r>
        <w:rPr>
          <w:rStyle w:val="Satznummer"/>
        </w:rPr>
        <w:t>1</w:t>
      </w:r>
      <w:r>
        <w:t xml:space="preserve">Die Vernehmung des Beschuldigten kann in Bild und Ton aufgezeichnet werden. </w:t>
      </w:r>
      <w:r>
        <w:rPr>
          <w:rStyle w:val="Satznummer"/>
        </w:rPr>
        <w:t>2</w:t>
      </w:r>
      <w:r>
        <w:t>Sie ist aufzuzeichnen, wenn</w:t>
      </w:r>
    </w:p>
    <w:p>
      <w:pPr>
        <w:tabs>
          <w:tab w:pos="567" w:val="left"/>
        </w:tabs>
        <w:ind w:left="567" w:hanging="567"/>
      </w:pPr>
      <w:r>
        <w:t>1.</w:t>
      </w:r>
      <w:r>
        <w:tab/>
      </w:r>
      <w:r>
        <w:t>dem Verfahren ein vorsätzlich begangenes Tötungsdelikt zugrunde liegt und der Aufzeichnung weder die äußeren Umstände noch die besondere Dringlichkeit der Vernehmung entgegenstehen oder</w:t>
      </w:r>
    </w:p>
    <w:p>
      <w:pPr>
        <w:tabs>
          <w:tab w:pos="567" w:val="left"/>
        </w:tabs>
        <w:ind w:left="567" w:hanging="567"/>
      </w:pPr>
      <w:r>
        <w:t>2.</w:t>
      </w:r>
      <w:r>
        <w:tab/>
      </w:r>
      <w:r>
        <w:t>die schutzwürdigen Interessen von Beschuldigten, die erkennbar unter eingeschränkten geistigen Fähigkeiten oder einer schwerwiegenden seelischen Störung leiden, durch die Aufzeichnung besser gewahrt werden können.</w:t>
      </w:r>
    </w:p>
    <w:p>
      <w:r>
        <w:rPr>
          <w:rStyle w:val="Satznummer"/>
        </w:rPr>
        <w:t>3</w:t>
      </w:r>
      <w:hyperlink w:anchor="b82" w:history="1">
        <w:r>
          <w:rPr>
            <w:color w:val="0A3A8C"/>
            <w:u w:val="single"/>
          </w:rPr>
          <w:t xml:space="preserve">§ 58a</w:t>
        </w:r>
      </w:hyperlink>
      <w:r>
        <w:t xml:space="preserve"> Absatz 2 gilt entsprechend.</w:t>
      </w:r>
    </w:p>
    <w:p>
      <w:r>
        <w:t xml:space="preserve">(5) </w:t>
      </w:r>
      <w:hyperlink w:anchor="b83" w:history="1">
        <w:r>
          <w:rPr>
            <w:color w:val="0A3A8C"/>
            <w:u w:val="single"/>
          </w:rPr>
          <w:t xml:space="preserve">§ 58b</w:t>
        </w:r>
      </w:hyperlink>
      <w:r>
        <w:t xml:space="preserve"> gilt entsprechend.</w:t>
      </w:r>
    </w:p>
    <w:p>
      <w:pPr>
        <w:pStyle w:val="Heading3"/>
      </w:pPr>
      <w:bookmarkStart w:id="238" w:name="b237"/>
      <w:r>
        <w:t>§ 136a Verbotene Vernehmungsmethoden; Beweisverwertungsverbote</w:t>
      </w:r>
      <w:r>
        <w:t xml:space="preserve"> </w:t>
      </w:r>
      <w:r>
        <w:rPr>
          <w:rStyle w:val="Suchmarke"/>
        </w:rPr>
        <w:t>#136a#</w:t>
      </w:r>
      <w:bookmarkEnd w:id="238"/>
    </w:p>
    <w:p>
      <w:r>
        <w:t xml:space="preserve">(1) </w:t>
      </w:r>
      <w:r>
        <w:rPr>
          <w:rStyle w:val="Satznummer"/>
        </w:rPr>
        <w:t>1</w:t>
      </w:r>
      <w:r>
        <w:t xml:space="preserve">Die Freiheit der Willensentschließung und der Willensbetätigung des Beschuldigten darf nicht beeinträchtigt werden durch Mißhandlung, durch Ermüdung, durch körperlichen Eingriff, durch Verabreichung von Mitteln, durch Quälerei, durch Täuschung oder durch Hypnose. </w:t>
      </w:r>
      <w:r>
        <w:rPr>
          <w:rStyle w:val="Satznummer"/>
        </w:rPr>
        <w:t>2</w:t>
      </w:r>
      <w:r>
        <w:t xml:space="preserve">Zwang darf nur angewandt werden, soweit das Strafverfahrensrecht dies zuläßt. </w:t>
      </w:r>
      <w:r>
        <w:rPr>
          <w:rStyle w:val="Satznummer"/>
        </w:rPr>
        <w:t>3</w:t>
      </w:r>
      <w:r>
        <w:t>Die Drohung mit einer nach seinen Vorschriften unzulässigen Maßnahme und das Versprechen eines gesetzlich nicht vorgesehenen Vorteils sind verboten.</w:t>
      </w:r>
    </w:p>
    <w:p>
      <w:r>
        <w:t>(2) Maßnahmen, die das Erinnerungsvermögen oder die Einsichtsfähigkeit des Beschuldigten beeinträchtigen, sind nicht gestattet.</w:t>
      </w:r>
    </w:p>
    <w:p>
      <w:r>
        <w:t xml:space="preserve">(3) </w:t>
      </w:r>
      <w:r>
        <w:rPr>
          <w:rStyle w:val="Satznummer"/>
        </w:rPr>
        <w:t>1</w:t>
      </w:r>
      <w:r>
        <w:t xml:space="preserve">Das Verbot der Absätze 1 und 2 gilt ohne Rücksicht auf die Einwilligung des Beschuldigten. </w:t>
      </w:r>
      <w:r>
        <w:rPr>
          <w:rStyle w:val="Satznummer"/>
        </w:rPr>
        <w:t>2</w:t>
      </w:r>
      <w:r>
        <w:t>Aussagen, die unter Verletzung dieses Verbots zustande gekommen sind, dürfen auch dann nicht verwertet werden, wenn der Beschuldigte der Verwertung zustimmt.</w:t>
      </w:r>
    </w:p>
    <w:p>
      <w:pPr>
        <w:pStyle w:val="Heading2"/>
      </w:pPr>
      <w:bookmarkStart w:id="239" w:name="b238"/>
      <w:r>
        <w:t>Elfter Abschnitt Verteidigung</w:t>
      </w:r>
      <w:bookmarkEnd w:id="239"/>
    </w:p>
    <w:p>
      <w:pPr>
        <w:pStyle w:val="Heading3"/>
      </w:pPr>
      <w:bookmarkStart w:id="240" w:name="b239"/>
      <w:r>
        <w:t>§ 137 Recht des Beschuldigten auf Hinzuziehung eines Verteidigers</w:t>
      </w:r>
      <w:r>
        <w:t xml:space="preserve"> </w:t>
      </w:r>
      <w:r>
        <w:rPr>
          <w:rStyle w:val="Suchmarke"/>
        </w:rPr>
        <w:t>#137#</w:t>
      </w:r>
      <w:bookmarkEnd w:id="240"/>
    </w:p>
    <w:p>
      <w:r>
        <w:t xml:space="preserve">(1) </w:t>
      </w:r>
      <w:r>
        <w:rPr>
          <w:rStyle w:val="Satznummer"/>
        </w:rPr>
        <w:t>1</w:t>
      </w:r>
      <w:r>
        <w:t xml:space="preserve">Der Beschuldigte kann sich in jeder Lage des Verfahrens des Beistandes eines Verteidigers bedienen. </w:t>
      </w:r>
      <w:r>
        <w:rPr>
          <w:rStyle w:val="Satznummer"/>
        </w:rPr>
        <w:t>2</w:t>
      </w:r>
      <w:r>
        <w:t>Die Zahl der gewählten Verteidiger darf drei nicht übersteigen.</w:t>
      </w:r>
    </w:p>
    <w:p>
      <w:r>
        <w:t xml:space="preserve">(2) </w:t>
      </w:r>
      <w:r>
        <w:rPr>
          <w:rStyle w:val="Satznummer"/>
        </w:rPr>
        <w:t>1</w:t>
      </w:r>
      <w:r>
        <w:t xml:space="preserve">Hat der Beschuldigte einen gesetzlichen Vertreter, so kann auch dieser selbständig einen Verteidiger wählen. </w:t>
      </w:r>
      <w:r>
        <w:rPr>
          <w:rStyle w:val="Satznummer"/>
        </w:rPr>
        <w:t>2</w:t>
      </w:r>
      <w:r>
        <w:t>Absatz 1 Satz 2 gilt entsprechend.</w:t>
      </w:r>
    </w:p>
    <w:p>
      <w:pPr>
        <w:pStyle w:val="Heading3"/>
      </w:pPr>
      <w:bookmarkStart w:id="241" w:name="b240"/>
      <w:r>
        <w:t>§ 138 Wahlverteidiger</w:t>
      </w:r>
      <w:r>
        <w:t xml:space="preserve"> </w:t>
      </w:r>
      <w:r>
        <w:rPr>
          <w:rStyle w:val="Suchmarke"/>
        </w:rPr>
        <w:t>#138#</w:t>
      </w:r>
      <w:bookmarkEnd w:id="241"/>
    </w:p>
    <w:p>
      <w:r>
        <w:t>(1) Zu Verteidigern können Rechtsanwälte sowie die Rechtslehrer an deutschen Hochschulen im Sinne des Hochschulrahmengesetzes mit Befähigung zum Richteramt gewählt werden.</w:t>
      </w:r>
    </w:p>
    <w:p>
      <w:r>
        <w:t xml:space="preserve">(2) </w:t>
      </w:r>
      <w:r>
        <w:rPr>
          <w:rStyle w:val="Satznummer"/>
        </w:rPr>
        <w:t>1</w:t>
      </w:r>
      <w:r>
        <w:t xml:space="preserve">Andere Personen können nur mit Genehmigung des Gerichts gewählt werden. </w:t>
      </w:r>
      <w:r>
        <w:rPr>
          <w:rStyle w:val="Satznummer"/>
        </w:rPr>
        <w:t>2</w:t>
      </w:r>
      <w:r>
        <w:t>Gehört die gewählte Person im Fall der notwendigen Verteidigung nicht zu den Personen, die zu Verteidigern bestellt werden dürfen, kann sie zudem nur in Gemeinschaft mit einer solchen als Wahlverteidiger zugelassen werden.</w:t>
      </w:r>
    </w:p>
    <w:p>
      <w:r>
        <w:t>(3) Können sich Zeugen, Privatkläger, Nebenkläger, Nebenklagebefugte und Verletzte eines Rechtsanwalts als Beistand bedienen oder sich durch einen solchen vertreten lassen, können sie nach Maßgabe der Absätze 1 und 2 Satz 1 auch die übrigen dort genannten Personen wählen.</w:t>
      </w:r>
    </w:p>
    <w:p>
      <w:pPr>
        <w:pStyle w:val="Heading3"/>
      </w:pPr>
      <w:bookmarkStart w:id="242" w:name="b241"/>
      <w:r>
        <w:t>§ 138a Ausschließung des Verteidigers</w:t>
      </w:r>
      <w:r>
        <w:t xml:space="preserve"> </w:t>
      </w:r>
      <w:r>
        <w:rPr>
          <w:rStyle w:val="Suchmarke"/>
        </w:rPr>
        <w:t>#138a#</w:t>
      </w:r>
      <w:bookmarkEnd w:id="242"/>
    </w:p>
    <w:p>
      <w:r>
        <w:t>(1) Ein Verteidiger ist von der Mitwirkung in einem Verfahren auszuschließen, wenn er dringend oder in einem die Eröffnung des Hauptverfahrens rechtfertigenden Grade verdächtig ist, daß er</w:t>
      </w:r>
    </w:p>
    <w:p>
      <w:pPr>
        <w:tabs>
          <w:tab w:pos="567" w:val="left"/>
        </w:tabs>
        <w:ind w:left="567" w:hanging="567"/>
      </w:pPr>
      <w:r>
        <w:t>1.</w:t>
      </w:r>
      <w:r>
        <w:tab/>
      </w:r>
      <w:r>
        <w:t>an der Tat, die den Gegenstand der Untersuchung bildet, beteiligt ist,</w:t>
      </w:r>
    </w:p>
    <w:p>
      <w:pPr>
        <w:tabs>
          <w:tab w:pos="567" w:val="left"/>
        </w:tabs>
        <w:ind w:left="567" w:hanging="567"/>
      </w:pPr>
      <w:r>
        <w:t>2.</w:t>
      </w:r>
      <w:r>
        <w:tab/>
      </w:r>
      <w:r>
        <w:t>den Verkehr mit dem nicht auf freiem Fuß befindlichen Beschuldigten dazu mißbraucht, Straftaten zu begehen oder die Sicherheit einer Vollzugsanstalt erheblich zu gefährden, oder</w:t>
      </w:r>
    </w:p>
    <w:p>
      <w:pPr>
        <w:tabs>
          <w:tab w:pos="567" w:val="left"/>
        </w:tabs>
        <w:ind w:left="567" w:hanging="567"/>
      </w:pPr>
      <w:r>
        <w:t>3.</w:t>
      </w:r>
      <w:r>
        <w:tab/>
      </w:r>
      <w:r>
        <w:t>eine Handlung begangen hat, die für den Fall der Verurteilung des Beschuldigten Datenhehlerei, Begünstigung, Strafvereitelung oder Hehlerei wäre.</w:t>
      </w:r>
    </w:p>
    <w:p>
      <w:r>
        <w:t>(2) Von der Mitwirkung in einem Verfahren, das eine Straftat nach § 129a, auch in Verbindung mit § 129b Abs. 1, des Strafgesetzbuches zum Gegenstand hat, ist ein Verteidiger auch auszuschließen, wenn bestimmte Tatsachen den Verdacht begründen, daß er eine der in Absatz 1 Nr. 1 und 2 bezeichneten Handlungen begangen hat oder begeht.</w:t>
      </w:r>
    </w:p>
    <w:p>
      <w:r>
        <w:t xml:space="preserve">(3) </w:t>
      </w:r>
      <w:r>
        <w:rPr>
          <w:rStyle w:val="Satznummer"/>
        </w:rPr>
        <w:t>1</w:t>
      </w:r>
      <w:r>
        <w:t>Die Ausschließung ist aufzuheben,</w:t>
      </w:r>
    </w:p>
    <w:p>
      <w:pPr>
        <w:tabs>
          <w:tab w:pos="567" w:val="left"/>
        </w:tabs>
        <w:ind w:left="567" w:hanging="567"/>
      </w:pPr>
      <w:r>
        <w:t>1.</w:t>
      </w:r>
      <w:r>
        <w:tab/>
      </w:r>
      <w:r>
        <w:t>sobald ihre Voraussetzungen nicht mehr vorliegen, jedoch nicht allein deshalb, weil der Beschuldigte auf freien Fuß gesetzt worden ist,</w:t>
      </w:r>
    </w:p>
    <w:p>
      <w:pPr>
        <w:tabs>
          <w:tab w:pos="567" w:val="left"/>
        </w:tabs>
        <w:ind w:left="567" w:hanging="567"/>
      </w:pPr>
      <w:r>
        <w:t>2.</w:t>
      </w:r>
      <w:r>
        <w:tab/>
      </w:r>
      <w:r>
        <w:t>wenn der Verteidiger in einem wegen des Sachverhalts, der zur Ausschließung geführt hat, eröffneten Hauptverfahren freigesprochen oder wenn in einem Urteil des Ehren- oder Berufsgerichts eine schuldhafte Verletzung der Berufspflichten im Hinblick auf diesen Sachverhalt nicht festgestellt wird,</w:t>
      </w:r>
    </w:p>
    <w:p>
      <w:pPr>
        <w:tabs>
          <w:tab w:pos="567" w:val="left"/>
        </w:tabs>
        <w:ind w:left="567" w:hanging="567"/>
      </w:pPr>
      <w:r>
        <w:t>3.</w:t>
      </w:r>
      <w:r>
        <w:tab/>
      </w:r>
      <w:r>
        <w:t>wenn nicht spätestens ein Jahr nach der Ausschließung wegen des Sachverhalts, der zur Ausschließung geführt hat, das Hauptverfahren im Strafverfahren oder im ehren- oder berufsgerichtlichen Verfahren eröffnet oder ein Strafbefehl erlassen worden ist.</w:t>
      </w:r>
    </w:p>
    <w:p>
      <w:r>
        <w:rPr>
          <w:rStyle w:val="Satznummer"/>
        </w:rPr>
        <w:t>2</w:t>
      </w:r>
      <w:r>
        <w:t>Eine Ausschließung, die nach Nummer 3 aufzuheben ist, kann befristet, längstens jedoch insgesamt für die Dauer eines weiteren Jahres, aufrechterhalten werden, wenn die besondere Schwierigkeit oder der besondere Umfang der Sache oder ein anderer wichtiger Grund die Entscheidung über die Eröffnung des Hauptverfahrens noch nicht zuläßt.</w:t>
      </w:r>
    </w:p>
    <w:p>
      <w:r>
        <w:t xml:space="preserve">(4) </w:t>
      </w:r>
      <w:r>
        <w:rPr>
          <w:rStyle w:val="Satznummer"/>
        </w:rPr>
        <w:t>1</w:t>
      </w:r>
      <w:r>
        <w:t xml:space="preserve">Solange ein Verteidiger ausgeschlossen ist, kann er den Beschuldigten auch in anderen gesetzlich geordneten Verfahren nicht verteidigen. </w:t>
      </w:r>
      <w:r>
        <w:rPr>
          <w:rStyle w:val="Satznummer"/>
        </w:rPr>
        <w:t>2</w:t>
      </w:r>
      <w:r>
        <w:t>In sonstigen Angelegenheiten darf er den Beschuldigten, der sich nicht auf freiem Fuß befindet, nicht aufsuchen.</w:t>
      </w:r>
    </w:p>
    <w:p>
      <w:r>
        <w:t xml:space="preserve">(5) </w:t>
      </w:r>
      <w:r>
        <w:rPr>
          <w:rStyle w:val="Satznummer"/>
        </w:rPr>
        <w:t>1</w:t>
      </w:r>
      <w:r>
        <w:t xml:space="preserve">Andere Beschuldigte kann ein Verteidiger, solange er ausgeschlossen ist, in demselben Verfahren nicht verteidigen, in anderen Verfahren dann nicht, wenn diese eine Straftat nach § 129a, auch in Verbindung mit § 129b Abs. 1, des Strafgesetzbuches zum Gegenstand haben und die Ausschließung in einem Verfahren erfolgt ist, das ebenfalls eine solche Straftat zum Gegenstand hat. </w:t>
      </w:r>
      <w:r>
        <w:rPr>
          <w:rStyle w:val="Satznummer"/>
        </w:rPr>
        <w:t>2</w:t>
      </w:r>
      <w:r>
        <w:t>Absatz 4 gilt entsprechend.</w:t>
      </w:r>
    </w:p>
    <w:p>
      <w:pPr>
        <w:pStyle w:val="Heading3"/>
      </w:pPr>
      <w:bookmarkStart w:id="243" w:name="b242"/>
      <w:r>
        <w:t>§ 138b Ausschließung bei Gefahr für die Sicherheit der Bundesrepublik Deutschland</w:t>
      </w:r>
      <w:r>
        <w:t xml:space="preserve"> </w:t>
      </w:r>
      <w:r>
        <w:rPr>
          <w:rStyle w:val="Suchmarke"/>
        </w:rPr>
        <w:t>#138b#</w:t>
      </w:r>
      <w:bookmarkEnd w:id="243"/>
    </w:p>
    <w:p>
      <w:r>
        <w:rPr>
          <w:rStyle w:val="Satznummer"/>
        </w:rPr>
        <w:t>1</w:t>
      </w:r>
      <w:r>
        <w:t xml:space="preserve">Von der Mitwirkung in einem Verfahren, das eine der in § 74a Abs. 1 Nr. 3 und § 120 Abs. 1 Nr. 3 des Gerichtsverfassungsgesetzes genannten Straftaten oder die Nichterfüllung der Pflichten nach § 138 des Strafgesetzbuches hinsichtlich der Straftaten des Landesverrates oder einer Gefährdung der äußeren Sicherheit nach den §§ 94 bis 96, 97a und 100 des Strafgesetzbuches zum Gegenstand hat, ist ein Verteidiger auch dann auszuschließen, wenn auf Grund bestimmter Tatsachen die Annahme begründet ist, daß seine Mitwirkung eine Gefahr für die Sicherheit der Bundesrepublik Deutschland herbeiführen würde. </w:t>
      </w:r>
      <w:r>
        <w:rPr>
          <w:rStyle w:val="Satznummer"/>
        </w:rPr>
        <w:t>2</w:t>
      </w:r>
      <w:hyperlink w:anchor="b241" w:history="1">
        <w:r>
          <w:rPr>
            <w:color w:val="0A3A8C"/>
            <w:u w:val="single"/>
          </w:rPr>
          <w:t xml:space="preserve">§ 138a</w:t>
        </w:r>
      </w:hyperlink>
      <w:r>
        <w:t xml:space="preserve"> Abs. 3 Satz 1 Nr. 1 gilt entsprechend.</w:t>
      </w:r>
    </w:p>
    <w:p>
      <w:pPr>
        <w:pStyle w:val="Heading3"/>
      </w:pPr>
      <w:bookmarkStart w:id="244" w:name="b243"/>
      <w:r>
        <w:t>§ 138c Zuständigkeit für die Ausschließungsentscheidung</w:t>
      </w:r>
      <w:r>
        <w:t xml:space="preserve"> </w:t>
      </w:r>
      <w:r>
        <w:rPr>
          <w:rStyle w:val="Suchmarke"/>
        </w:rPr>
        <w:t>#138c#</w:t>
      </w:r>
      <w:bookmarkEnd w:id="244"/>
    </w:p>
    <w:p>
      <w:r>
        <w:t xml:space="preserve">(1) </w:t>
      </w:r>
      <w:r>
        <w:rPr>
          <w:rStyle w:val="Satznummer"/>
        </w:rPr>
        <w:t>1</w:t>
      </w:r>
      <w:r>
        <w:t xml:space="preserve">Die Entscheidungen nach den </w:t>
      </w:r>
      <w:hyperlink w:anchor="b241" w:history="1">
        <w:r>
          <w:rPr>
            <w:color w:val="0A3A8C"/>
            <w:u w:val="single"/>
          </w:rPr>
          <w:t xml:space="preserve">§§ 138a</w:t>
        </w:r>
      </w:hyperlink>
      <w:r>
        <w:t xml:space="preserve"> und </w:t>
      </w:r>
      <w:hyperlink w:anchor="b242" w:history="1">
        <w:r>
          <w:rPr>
            <w:color w:val="0A3A8C"/>
            <w:u w:val="single"/>
          </w:rPr>
          <w:t xml:space="preserve">138b</w:t>
        </w:r>
      </w:hyperlink>
      <w:r>
        <w:t xml:space="preserve"> trifft das Oberlandesgericht. </w:t>
      </w:r>
      <w:r>
        <w:rPr>
          <w:rStyle w:val="Satznummer"/>
        </w:rPr>
        <w:t>2</w:t>
      </w:r>
      <w:r>
        <w:t xml:space="preserve">Werden im vorbereitenden Verfahren die Ermittlungen vom Generalbundesanwalt geführt oder ist das Verfahren vor dem Bundesgerichtshof anhängig, so entscheidet der Bundesgerichtshof. </w:t>
      </w:r>
      <w:r>
        <w:rPr>
          <w:rStyle w:val="Satznummer"/>
        </w:rPr>
        <w:t>3</w:t>
      </w:r>
      <w:r>
        <w:t>Ist das Verfahren vor einem Senat eines Oberlandesgerichtes oder des Bundesgerichtshofes anhängig, so entscheidet ein anderer Senat.</w:t>
      </w:r>
    </w:p>
    <w:p>
      <w:r>
        <w:t xml:space="preserve">(2) </w:t>
      </w:r>
      <w:r>
        <w:rPr>
          <w:rStyle w:val="Satznummer"/>
        </w:rPr>
        <w:t>1</w:t>
      </w:r>
      <w:r>
        <w:t xml:space="preserve">Das nach Absatz 1 zuständige Gericht entscheidet nach Erhebung der öffentlichen Klage bis zum rechtskräftigen Abschluß des Verfahrens auf Vorlage des Gerichts, bei dem das Verfahren anhängig ist, sonst auf Antrag der Staatsanwaltschaft. </w:t>
      </w:r>
      <w:r>
        <w:rPr>
          <w:rStyle w:val="Satznummer"/>
        </w:rPr>
        <w:t>2</w:t>
      </w:r>
      <w:r>
        <w:t xml:space="preserve">Die Vorlage erfolgt auf Antrag der Staatsanwaltschaft oder von Amts wegen durch Vermittlung der Staatsanwaltschaft. </w:t>
      </w:r>
      <w:r>
        <w:rPr>
          <w:rStyle w:val="Satznummer"/>
        </w:rPr>
        <w:t>3</w:t>
      </w:r>
      <w:r>
        <w:t xml:space="preserve">Soll ein Verteidiger ausgeschlossen werden, der Mitglied einer Rechtsanwaltskammer ist, so ist eine Abschrift des Antrages der Staatsanwaltschaft nach Satz 1 oder die Vorlage des Gerichts dem Vorstand der zuständigen Rechtsanwaltskammer mitzuteilen. </w:t>
      </w:r>
      <w:r>
        <w:rPr>
          <w:rStyle w:val="Satznummer"/>
        </w:rPr>
        <w:t>4</w:t>
      </w:r>
      <w:r>
        <w:t>Dieser kann sich im Verfahren äußern.</w:t>
      </w:r>
    </w:p>
    <w:p>
      <w:r>
        <w:t xml:space="preserve">(3) </w:t>
      </w:r>
      <w:r>
        <w:rPr>
          <w:rStyle w:val="Satznummer"/>
        </w:rPr>
        <w:t>1</w:t>
      </w:r>
      <w:r>
        <w:t xml:space="preserve">Das Gericht, bei dem das Verfahren anhängig ist, kann anordnen, daß die Rechte des Verteidigers aus den </w:t>
      </w:r>
      <w:hyperlink w:anchor="b257" w:history="1">
        <w:r>
          <w:rPr>
            <w:color w:val="0A3A8C"/>
            <w:u w:val="single"/>
          </w:rPr>
          <w:t xml:space="preserve">§§ 147</w:t>
        </w:r>
      </w:hyperlink>
      <w:r>
        <w:t xml:space="preserve"> und </w:t>
      </w:r>
      <w:hyperlink w:anchor="b258" w:history="1">
        <w:r>
          <w:rPr>
            <w:color w:val="0A3A8C"/>
            <w:u w:val="single"/>
          </w:rPr>
          <w:t xml:space="preserve">148</w:t>
        </w:r>
      </w:hyperlink>
      <w:r>
        <w:t xml:space="preserve"> bis zur Entscheidung des nach Absatz 1 zuständigen Gerichts über die Ausschließung ruhen; es kann das Ruhen dieser Rechte auch für die in </w:t>
      </w:r>
      <w:hyperlink w:anchor="b241" w:history="1">
        <w:r>
          <w:rPr>
            <w:color w:val="0A3A8C"/>
            <w:u w:val="single"/>
          </w:rPr>
          <w:t xml:space="preserve">§ 138a</w:t>
        </w:r>
      </w:hyperlink>
      <w:r>
        <w:t xml:space="preserve"> Abs. 4 und 5 bezeichneten Fälle anordnen. </w:t>
      </w:r>
      <w:r>
        <w:rPr>
          <w:rStyle w:val="Satznummer"/>
        </w:rPr>
        <w:t>2</w:t>
      </w:r>
      <w:r>
        <w:t xml:space="preserve">Vor Erhebung der öffentlichen Klage und nach rechtskräftigem Abschluß des Verfahrens trifft die Anordnung nach Satz 1 das Gericht, das über die Ausschließung des Verteidigers zu entscheiden hat. </w:t>
      </w:r>
      <w:r>
        <w:rPr>
          <w:rStyle w:val="Satznummer"/>
        </w:rPr>
        <w:t>3</w:t>
      </w:r>
      <w:r>
        <w:t xml:space="preserve">Die Anordnung ergeht durch unanfechtbaren Beschluß. </w:t>
      </w:r>
      <w:r>
        <w:rPr>
          <w:rStyle w:val="Satznummer"/>
        </w:rPr>
        <w:t>4</w:t>
      </w:r>
      <w:r>
        <w:t xml:space="preserve">Für die Dauer der Anordnung hat das Gericht zur Wahrnehmung der Rechte aus den </w:t>
      </w:r>
      <w:hyperlink w:anchor="b257" w:history="1">
        <w:r>
          <w:rPr>
            <w:color w:val="0A3A8C"/>
            <w:u w:val="single"/>
          </w:rPr>
          <w:t xml:space="preserve">§§ 147</w:t>
        </w:r>
      </w:hyperlink>
      <w:r>
        <w:t xml:space="preserve"> und </w:t>
      </w:r>
      <w:hyperlink w:anchor="b258" w:history="1">
        <w:r>
          <w:rPr>
            <w:color w:val="0A3A8C"/>
            <w:u w:val="single"/>
          </w:rPr>
          <w:t xml:space="preserve">148</w:t>
        </w:r>
      </w:hyperlink>
      <w:r>
        <w:t xml:space="preserve"> einen anderen Verteidiger zu bestellen. </w:t>
      </w:r>
      <w:r>
        <w:rPr>
          <w:rStyle w:val="Satznummer"/>
        </w:rPr>
        <w:t>5</w:t>
      </w:r>
      <w:hyperlink w:anchor="b249" w:history="1">
        <w:r>
          <w:rPr>
            <w:color w:val="0A3A8C"/>
            <w:u w:val="single"/>
          </w:rPr>
          <w:t xml:space="preserve">§ 142</w:t>
        </w:r>
      </w:hyperlink>
      <w:r>
        <w:t xml:space="preserve"> Absatz 5 bis 7 gilt entsprechend.</w:t>
      </w:r>
    </w:p>
    <w:p>
      <w:r>
        <w:t xml:space="preserve">(4) </w:t>
      </w:r>
      <w:r>
        <w:rPr>
          <w:rStyle w:val="Satznummer"/>
        </w:rPr>
        <w:t>1</w:t>
      </w:r>
      <w:r>
        <w:t xml:space="preserve">Legt das Gericht, bei dem das Verfahren anhängig ist, gemäß Absatz 2 während der Hauptverhandlung vor, so hat es zugleich mit der Vorlage die Hauptverhandlung bis zur Entscheidung durch das nach Absatz 1 zuständige Gericht zu unterbrechen oder auszusetzen. </w:t>
      </w:r>
      <w:r>
        <w:rPr>
          <w:rStyle w:val="Satznummer"/>
        </w:rPr>
        <w:t>2</w:t>
      </w:r>
      <w:r>
        <w:t>Die Hauptverhandlung kann bis zu dreißig Tagen unterbrochen werden.</w:t>
      </w:r>
    </w:p>
    <w:p>
      <w:r>
        <w:t xml:space="preserve">(5) </w:t>
      </w:r>
      <w:r>
        <w:rPr>
          <w:rStyle w:val="Satznummer"/>
        </w:rPr>
        <w:t>1</w:t>
      </w:r>
      <w:r>
        <w:t xml:space="preserve">Scheidet der Verteidiger aus eigenem Entschluß oder auf Veranlassung des Beschuldigten von der Mitwirkung in einem Verfahren aus, nachdem gemäß Absatz 2 der Antrag auf Ausschließung gegen ihn gestellt oder die Sache dem zur Entscheidung zuständigen Gericht vorgelegt worden ist, so kann dieses Gericht das Ausschließungsverfahren weiterführen mit dem Ziel der Feststellung, ob die Mitwirkung des ausgeschiedenen Verteidigers in dem Verfahren zulässig ist. </w:t>
      </w:r>
      <w:r>
        <w:rPr>
          <w:rStyle w:val="Satznummer"/>
        </w:rPr>
        <w:t>2</w:t>
      </w:r>
      <w:r>
        <w:t>Die Feststellung der Unzulässigkeit steht im Sinne der §§ 138a, 138b, 138d der Ausschließung gleich.</w:t>
      </w:r>
    </w:p>
    <w:p>
      <w:r>
        <w:t xml:space="preserve">(6) </w:t>
      </w:r>
      <w:r>
        <w:rPr>
          <w:rStyle w:val="Satznummer"/>
        </w:rPr>
        <w:t>1</w:t>
      </w:r>
      <w:r>
        <w:t xml:space="preserve">Ist der Verteidiger von der Mitwirkung in dem Verfahren ausgeschlossen worden, so können ihm die durch die Aussetzung verursachten Kosten auferlegt werden. </w:t>
      </w:r>
      <w:r>
        <w:rPr>
          <w:rStyle w:val="Satznummer"/>
        </w:rPr>
        <w:t>2</w:t>
      </w:r>
      <w:r>
        <w:t>Die Entscheidung hierüber trifft das Gericht, bei dem das Verfahren anhängig ist.</w:t>
      </w:r>
    </w:p>
    <w:p>
      <w:pPr>
        <w:pStyle w:val="Heading3"/>
      </w:pPr>
      <w:bookmarkStart w:id="245" w:name="b244"/>
      <w:r>
        <w:t>§ 138d Verfahren bei Ausschließung des Verteidigers</w:t>
      </w:r>
      <w:r>
        <w:t xml:space="preserve"> </w:t>
      </w:r>
      <w:r>
        <w:rPr>
          <w:rStyle w:val="Suchmarke"/>
        </w:rPr>
        <w:t>#138d#</w:t>
      </w:r>
      <w:bookmarkEnd w:id="245"/>
    </w:p>
    <w:p>
      <w:r>
        <w:t>(1) Über die Ausschließung des Verteidigers wird nach mündlicher Verhandlung entschieden.</w:t>
      </w:r>
    </w:p>
    <w:p>
      <w:r>
        <w:t xml:space="preserve">(2) </w:t>
      </w:r>
      <w:r>
        <w:rPr>
          <w:rStyle w:val="Satznummer"/>
        </w:rPr>
        <w:t>1</w:t>
      </w:r>
      <w:r>
        <w:t xml:space="preserve">Der Verteidiger ist zu dem Termin der mündlichen Verhandlung zu laden. </w:t>
      </w:r>
      <w:r>
        <w:rPr>
          <w:rStyle w:val="Satznummer"/>
        </w:rPr>
        <w:t>2</w:t>
      </w:r>
      <w:r>
        <w:t xml:space="preserve">Die Ladungsfrist beträgt eine Woche; sie kann auf drei Tage verkürzt werden. </w:t>
      </w:r>
      <w:r>
        <w:rPr>
          <w:rStyle w:val="Satznummer"/>
        </w:rPr>
        <w:t>3</w:t>
      </w:r>
      <w:r>
        <w:t>Die Staatsanwaltschaft, der Beschuldigte und in den Fällen des § 138c Abs. 2 Satz 3 der Vorstand der Rechtsanwaltskammer sind von dem Termin zur mündlichen Verhandlung zu benachrichtigen.</w:t>
      </w:r>
    </w:p>
    <w:p>
      <w:r>
        <w:t>(3) Die mündliche Verhandlung kann ohne den Verteidiger durchgeführt werden, wenn er ordnungsgemäß geladen und in der Ladung darauf hingewiesen worden ist, daß in seiner Abwesenheit verhandelt werden kann.</w:t>
      </w:r>
    </w:p>
    <w:p>
      <w:r>
        <w:t xml:space="preserve">(4) </w:t>
      </w:r>
      <w:r>
        <w:rPr>
          <w:rStyle w:val="Satznummer"/>
        </w:rPr>
        <w:t>1</w:t>
      </w:r>
      <w:r>
        <w:t xml:space="preserve">In der mündlichen Verhandlung sind die anwesenden Beteiligten zu hören. </w:t>
      </w:r>
      <w:r>
        <w:rPr>
          <w:rStyle w:val="Satznummer"/>
        </w:rPr>
        <w:t>2</w:t>
      </w:r>
      <w:r>
        <w:t xml:space="preserve">Für die Anhörung des Vorstands der Rechtsanwaltskammer gilt </w:t>
      </w:r>
      <w:hyperlink w:anchor="b390" w:history="1">
        <w:r>
          <w:rPr>
            <w:color w:val="0A3A8C"/>
            <w:u w:val="single"/>
          </w:rPr>
          <w:t xml:space="preserve">§ 247a</w:t>
        </w:r>
      </w:hyperlink>
      <w:r>
        <w:t xml:space="preserve"> Absatz 2 Satz 1 und 3 entsprechend. </w:t>
      </w:r>
      <w:r>
        <w:rPr>
          <w:rStyle w:val="Satznummer"/>
        </w:rPr>
        <w:t>3</w:t>
      </w:r>
      <w:r>
        <w:t xml:space="preserve">Den Umfang der Beweisaufnahme bestimmt das Gericht nach pflichtgemäßem Ermessen. </w:t>
      </w:r>
      <w:r>
        <w:rPr>
          <w:rStyle w:val="Satznummer"/>
        </w:rPr>
        <w:t>4</w:t>
      </w:r>
      <w:r>
        <w:t xml:space="preserve">Über die Verhandlung ist ein Protokoll aufzunehmen; die </w:t>
      </w:r>
      <w:hyperlink w:anchor="b423" w:history="1">
        <w:r>
          <w:rPr>
            <w:color w:val="0A3A8C"/>
            <w:u w:val="single"/>
          </w:rPr>
          <w:t xml:space="preserve">§§ 271</w:t>
        </w:r>
      </w:hyperlink>
      <w:r>
        <w:t xml:space="preserve"> bis </w:t>
      </w:r>
      <w:hyperlink w:anchor="b425" w:history="1">
        <w:r>
          <w:rPr>
            <w:color w:val="0A3A8C"/>
            <w:u w:val="single"/>
          </w:rPr>
          <w:t xml:space="preserve">273</w:t>
        </w:r>
      </w:hyperlink>
      <w:r>
        <w:t xml:space="preserve"> gelten entsprechend.</w:t>
      </w:r>
    </w:p>
    <w:p>
      <w:r>
        <w:t xml:space="preserve">(5) </w:t>
      </w:r>
      <w:r>
        <w:rPr>
          <w:rStyle w:val="Satznummer"/>
        </w:rPr>
        <w:t>1</w:t>
      </w:r>
      <w:r>
        <w:t xml:space="preserve">Die Entscheidung ist am Schluß der mündlichen Verhandlung zu verkünden. </w:t>
      </w:r>
      <w:r>
        <w:rPr>
          <w:rStyle w:val="Satznummer"/>
        </w:rPr>
        <w:t>2</w:t>
      </w:r>
      <w:r>
        <w:t>Ist dies nicht möglich, so ist die Entscheidung spätestens binnen einer Woche zu erlassen.</w:t>
      </w:r>
    </w:p>
    <w:p>
      <w:r>
        <w:t xml:space="preserve">(6) </w:t>
      </w:r>
      <w:r>
        <w:rPr>
          <w:rStyle w:val="Satznummer"/>
        </w:rPr>
        <w:t>1</w:t>
      </w:r>
      <w:r>
        <w:t xml:space="preserve">Gegen die Entscheidung, durch die ein Verteidiger aus den in </w:t>
      </w:r>
      <w:hyperlink w:anchor="b241" w:history="1">
        <w:r>
          <w:rPr>
            <w:color w:val="0A3A8C"/>
            <w:u w:val="single"/>
          </w:rPr>
          <w:t xml:space="preserve">§ 138a</w:t>
        </w:r>
      </w:hyperlink>
      <w:r>
        <w:t xml:space="preserve"> genannten Gründen ausgeschlossen wird oder die einen Fall des </w:t>
      </w:r>
      <w:hyperlink w:anchor="b242" w:history="1">
        <w:r>
          <w:rPr>
            <w:color w:val="0A3A8C"/>
            <w:u w:val="single"/>
          </w:rPr>
          <w:t xml:space="preserve">§ 138b</w:t>
        </w:r>
      </w:hyperlink>
      <w:r>
        <w:t xml:space="preserve"> betrifft, ist sofortige Beschwerde zulässig. </w:t>
      </w:r>
      <w:r>
        <w:rPr>
          <w:rStyle w:val="Satznummer"/>
        </w:rPr>
        <w:t>2</w:t>
      </w:r>
      <w:r>
        <w:t xml:space="preserve">Dem Vorstand der Rechtsanwaltskammer steht ein Beschwerderecht nicht zu. </w:t>
      </w:r>
      <w:r>
        <w:rPr>
          <w:rStyle w:val="Satznummer"/>
        </w:rPr>
        <w:t>3</w:t>
      </w:r>
      <w:r>
        <w:t xml:space="preserve">Eine die Ausschließung des Verteidigers nach </w:t>
      </w:r>
      <w:hyperlink w:anchor="b241" w:history="1">
        <w:r>
          <w:rPr>
            <w:color w:val="0A3A8C"/>
            <w:u w:val="single"/>
          </w:rPr>
          <w:t xml:space="preserve">§ 138a</w:t>
        </w:r>
      </w:hyperlink>
      <w:r>
        <w:t xml:space="preserve"> ablehnende Entscheidung ist nicht anfechtbar.</w:t>
      </w:r>
    </w:p>
    <w:p>
      <w:pPr>
        <w:pStyle w:val="Heading3"/>
      </w:pPr>
      <w:bookmarkStart w:id="246" w:name="b245"/>
      <w:r>
        <w:t>§ 139 Übertragung der Verteidigung auf einen Referendar</w:t>
      </w:r>
      <w:r>
        <w:t xml:space="preserve"> </w:t>
      </w:r>
      <w:r>
        <w:rPr>
          <w:rStyle w:val="Suchmarke"/>
        </w:rPr>
        <w:t>#139#</w:t>
      </w:r>
      <w:bookmarkEnd w:id="246"/>
    </w:p>
    <w:p>
      <w:r>
        <w:t>Der als Verteidiger gewählte Rechtsanwalt kann mit Zustimmung dessen, der ihn gewählt hat, die Verteidigung einem Rechtskundigen, der die erste Prüfung für den Justizdienst bestanden hat und darin seit mindestens einem Jahr und drei Monaten beschäftigt ist, übertragen.</w:t>
      </w:r>
    </w:p>
    <w:p>
      <w:pPr>
        <w:pStyle w:val="Heading3"/>
      </w:pPr>
      <w:bookmarkStart w:id="247" w:name="b246"/>
      <w:r>
        <w:t>§ 140 Notwendige Verteidigung</w:t>
      </w:r>
      <w:r>
        <w:t xml:space="preserve"> </w:t>
      </w:r>
      <w:r>
        <w:rPr>
          <w:rStyle w:val="Suchmarke"/>
        </w:rPr>
        <w:t>#140#</w:t>
      </w:r>
      <w:bookmarkEnd w:id="247"/>
    </w:p>
    <w:p>
      <w:r>
        <w:t>(1) Ein Fall der notwendigen Verteidigung liegt vor, wenn</w:t>
      </w:r>
    </w:p>
    <w:p>
      <w:pPr>
        <w:tabs>
          <w:tab w:pos="567" w:val="left"/>
        </w:tabs>
        <w:ind w:left="567" w:hanging="567"/>
      </w:pPr>
      <w:r>
        <w:t>1.</w:t>
      </w:r>
      <w:r>
        <w:tab/>
      </w:r>
      <w:r>
        <w:t>zu erwarten ist, dass die Hauptverhandlung im ersten Rechtszug vor dem Oberlandesgericht, dem Landgericht oder dem Schöffengericht stattfindet;</w:t>
      </w:r>
    </w:p>
    <w:p>
      <w:pPr>
        <w:tabs>
          <w:tab w:pos="567" w:val="left"/>
        </w:tabs>
        <w:ind w:left="567" w:hanging="567"/>
      </w:pPr>
      <w:r>
        <w:t>2.</w:t>
      </w:r>
      <w:r>
        <w:tab/>
      </w:r>
      <w:r>
        <w:t>dem Beschuldigten ein Verbrechen zur Last gelegt wird;</w:t>
      </w:r>
    </w:p>
    <w:p>
      <w:pPr>
        <w:tabs>
          <w:tab w:pos="567" w:val="left"/>
        </w:tabs>
        <w:ind w:left="567" w:hanging="567"/>
      </w:pPr>
      <w:r>
        <w:t>3.</w:t>
      </w:r>
      <w:r>
        <w:tab/>
      </w:r>
      <w:r>
        <w:t>das Verfahren zu einem Berufsverbot führen kann;</w:t>
      </w:r>
    </w:p>
    <w:p>
      <w:pPr>
        <w:tabs>
          <w:tab w:pos="567" w:val="left"/>
        </w:tabs>
        <w:ind w:left="567" w:hanging="567"/>
      </w:pPr>
      <w:r>
        <w:t>4.</w:t>
      </w:r>
      <w:r>
        <w:tab/>
      </w:r>
      <w:r>
        <w:t xml:space="preserve">der Beschuldigte nach den </w:t>
      </w:r>
      <w:hyperlink w:anchor="b198" w:history="1">
        <w:r>
          <w:rPr>
            <w:color w:val="0A3A8C"/>
            <w:u w:val="single"/>
          </w:rPr>
          <w:t xml:space="preserve">§§ 115</w:t>
        </w:r>
      </w:hyperlink>
      <w:r>
        <w:t xml:space="preserve">, </w:t>
      </w:r>
      <w:hyperlink w:anchor="b199" w:history="1">
        <w:r>
          <w:rPr>
            <w:color w:val="0A3A8C"/>
            <w:u w:val="single"/>
          </w:rPr>
          <w:t xml:space="preserve">115a</w:t>
        </w:r>
      </w:hyperlink>
      <w:r>
        <w:t xml:space="preserve">, </w:t>
      </w:r>
      <w:hyperlink w:anchor="b221" w:history="1">
        <w:r>
          <w:rPr>
            <w:color w:val="0A3A8C"/>
            <w:u w:val="single"/>
          </w:rPr>
          <w:t xml:space="preserve">128</w:t>
        </w:r>
      </w:hyperlink>
      <w:r>
        <w:t xml:space="preserve"> Absatz 1 oder </w:t>
      </w:r>
      <w:hyperlink w:anchor="b222" w:history="1">
        <w:r>
          <w:rPr>
            <w:color w:val="0A3A8C"/>
            <w:u w:val="single"/>
          </w:rPr>
          <w:t xml:space="preserve">§ 129</w:t>
        </w:r>
      </w:hyperlink>
      <w:r>
        <w:t xml:space="preserve"> einem Gericht zur Entscheidung über Haft oder einstweilige Unterbringung vorzuführen ist;</w:t>
      </w:r>
    </w:p>
    <w:p>
      <w:pPr>
        <w:tabs>
          <w:tab w:pos="567" w:val="left"/>
        </w:tabs>
        <w:ind w:left="567" w:hanging="567"/>
      </w:pPr>
      <w:r>
        <w:t>5.</w:t>
      </w:r>
      <w:r>
        <w:tab/>
      </w:r>
      <w:r>
        <w:t>der Beschuldigte sich auf Grund richterlicher Anordnung oder mit richterlicher Genehmigung in einer Anstalt befindet;</w:t>
      </w:r>
    </w:p>
    <w:p>
      <w:pPr>
        <w:tabs>
          <w:tab w:pos="567" w:val="left"/>
        </w:tabs>
        <w:ind w:left="567" w:hanging="567"/>
      </w:pPr>
      <w:r>
        <w:t>6.</w:t>
      </w:r>
      <w:r>
        <w:tab/>
      </w:r>
      <w:r>
        <w:t>zur Vorbereitung eines Gutachtens über den psychischen Zustand des Beschuldigten seine Unterbringung nach § 81 in Frage kommt;</w:t>
      </w:r>
    </w:p>
    <w:p>
      <w:pPr>
        <w:tabs>
          <w:tab w:pos="567" w:val="left"/>
        </w:tabs>
        <w:ind w:left="567" w:hanging="567"/>
      </w:pPr>
      <w:r>
        <w:t>7.</w:t>
      </w:r>
      <w:r>
        <w:tab/>
      </w:r>
      <w:r>
        <w:t>zu erwarten ist, dass ein Sicherungsverfahren durchgeführt wird;</w:t>
      </w:r>
    </w:p>
    <w:p>
      <w:pPr>
        <w:tabs>
          <w:tab w:pos="567" w:val="left"/>
        </w:tabs>
        <w:ind w:left="567" w:hanging="567"/>
      </w:pPr>
      <w:r>
        <w:t>8.</w:t>
      </w:r>
      <w:r>
        <w:tab/>
      </w:r>
      <w:r>
        <w:t>der bisherige Verteidiger durch eine Entscheidung von der Mitwirkung in dem Verfahren ausgeschlossen ist;</w:t>
      </w:r>
    </w:p>
    <w:p>
      <w:pPr>
        <w:tabs>
          <w:tab w:pos="567" w:val="left"/>
        </w:tabs>
        <w:ind w:left="567" w:hanging="567"/>
      </w:pPr>
      <w:r>
        <w:t>9.</w:t>
      </w:r>
      <w:r>
        <w:tab/>
      </w:r>
      <w:r>
        <w:t xml:space="preserve">dem Verletzten nach den </w:t>
      </w:r>
      <w:hyperlink w:anchor="b566" w:history="1">
        <w:r>
          <w:rPr>
            <w:color w:val="0A3A8C"/>
            <w:u w:val="single"/>
          </w:rPr>
          <w:t xml:space="preserve">§§ 397a</w:t>
        </w:r>
      </w:hyperlink>
      <w:r>
        <w:t xml:space="preserve"> und </w:t>
      </w:r>
      <w:hyperlink w:anchor="b586" w:history="1">
        <w:r>
          <w:rPr>
            <w:color w:val="0A3A8C"/>
            <w:u w:val="single"/>
          </w:rPr>
          <w:t xml:space="preserve">406h</w:t>
        </w:r>
      </w:hyperlink>
      <w:r>
        <w:t xml:space="preserve"> Absatz 3 und 4 ein Rechtsanwalt beigeordnet worden ist;</w:t>
      </w:r>
    </w:p>
    <w:p>
      <w:pPr>
        <w:tabs>
          <w:tab w:pos="567" w:val="left"/>
        </w:tabs>
        <w:ind w:left="567" w:hanging="567"/>
      </w:pPr>
      <w:r>
        <w:t>10.</w:t>
      </w:r>
      <w:r>
        <w:tab/>
      </w:r>
      <w:r>
        <w:t>bei einer richterlichen Vernehmung die Mitwirkung eines Verteidigers auf Grund der Bedeutung der Vernehmung zur Wahrung der Rechte des Beschuldigten geboten erscheint;</w:t>
      </w:r>
    </w:p>
    <w:p>
      <w:pPr>
        <w:tabs>
          <w:tab w:pos="567" w:val="left"/>
        </w:tabs>
        <w:ind w:left="567" w:hanging="567"/>
      </w:pPr>
      <w:r>
        <w:t>11.</w:t>
      </w:r>
      <w:r>
        <w:tab/>
      </w:r>
      <w:r>
        <w:t>ein seh-, hör- oder sprachbehinderter Beschuldigter die Bestellung beantragt.</w:t>
      </w:r>
    </w:p>
    <w:p>
      <w:r>
        <w:t>(2) Ein Fall der notwendigen Verteidigung liegt auch vor, wenn wegen der Schwere der Tat, der Schwere der zu erwartenden Rechtsfolge oder wegen der Schwierigkeit der Sach- oder Rechtslage die Mitwirkung eines Verteidigers geboten erscheint oder wenn ersichtlich ist, dass sich der Beschuldigte nicht selbst verteidigen kann.</w:t>
      </w:r>
    </w:p>
    <w:p>
      <w:r>
        <w:t>(3) (weggefallen)</w:t>
      </w:r>
    </w:p>
    <w:p>
      <w:pPr>
        <w:pStyle w:val="Heading3"/>
      </w:pPr>
      <w:bookmarkStart w:id="248" w:name="b247"/>
      <w:r>
        <w:t>§ 141 Zeitpunkt der Bestellung eines Pflichtverteidigers</w:t>
      </w:r>
      <w:r>
        <w:t xml:space="preserve"> </w:t>
      </w:r>
      <w:r>
        <w:rPr>
          <w:rStyle w:val="Suchmarke"/>
        </w:rPr>
        <w:t>#141#</w:t>
      </w:r>
      <w:bookmarkEnd w:id="248"/>
    </w:p>
    <w:p>
      <w:r>
        <w:t xml:space="preserve">(1) </w:t>
      </w:r>
      <w:r>
        <w:rPr>
          <w:rStyle w:val="Satznummer"/>
        </w:rPr>
        <w:t>1</w:t>
      </w:r>
      <w:r>
        <w:t xml:space="preserve">In den Fällen der notwendigen Verteidigung wird dem Beschuldigten, dem der Tatvorwurf eröffnet worden ist und der noch keinen Verteidiger hat, unverzüglich ein Pflichtverteidiger bestellt, wenn der Beschuldigte dies nach Belehrung ausdrücklich beantragt. </w:t>
      </w:r>
      <w:r>
        <w:rPr>
          <w:rStyle w:val="Satznummer"/>
        </w:rPr>
        <w:t>2</w:t>
      </w:r>
      <w:r>
        <w:t>Über den Antrag ist spätestens vor einer Vernehmung des Beschuldigten oder einer Gegenüberstellung mit ihm zu entscheiden.</w:t>
      </w:r>
    </w:p>
    <w:p>
      <w:r>
        <w:t xml:space="preserve">(2) </w:t>
      </w:r>
      <w:r>
        <w:rPr>
          <w:rStyle w:val="Satznummer"/>
        </w:rPr>
        <w:t>1</w:t>
      </w:r>
      <w:r>
        <w:t>Unabhängig von einem Antrag wird dem Beschuldigten, der noch keinen Verteidiger hat, in den Fällen der notwendigen Verteidigung ein Pflichtverteidiger bestellt, sobald</w:t>
      </w:r>
    </w:p>
    <w:p>
      <w:pPr>
        <w:tabs>
          <w:tab w:pos="567" w:val="left"/>
        </w:tabs>
        <w:ind w:left="567" w:hanging="567"/>
      </w:pPr>
      <w:r>
        <w:t>1.</w:t>
      </w:r>
      <w:r>
        <w:tab/>
      </w:r>
      <w:r>
        <w:t>er einem Gericht zur Entscheidung über Haft oder einstweilige Unterbringung vorgeführt werden soll;</w:t>
      </w:r>
    </w:p>
    <w:p>
      <w:pPr>
        <w:tabs>
          <w:tab w:pos="567" w:val="left"/>
        </w:tabs>
        <w:ind w:left="567" w:hanging="567"/>
      </w:pPr>
      <w:r>
        <w:t>2.</w:t>
      </w:r>
      <w:r>
        <w:tab/>
      </w:r>
      <w:r>
        <w:t>bekannt wird, dass der Beschuldigte, dem der Tatvorwurf eröffnet worden ist, sich auf Grund richterlicher Anordnung oder mit richterlicher Genehmigung in einer Anstalt befindet;</w:t>
      </w:r>
    </w:p>
    <w:p>
      <w:pPr>
        <w:tabs>
          <w:tab w:pos="567" w:val="left"/>
        </w:tabs>
        <w:ind w:left="567" w:hanging="567"/>
      </w:pPr>
      <w:r>
        <w:t>3.</w:t>
      </w:r>
      <w:r>
        <w:tab/>
      </w:r>
      <w:r>
        <w:t>im Vorverfahren ersichtlich ist, dass sich der Beschuldigte, insbesondere bei einer Vernehmung des Beschuldigten oder einer Gegenüberstellung mit ihm, nicht selbst verteidigen kann, oder</w:t>
      </w:r>
    </w:p>
    <w:p>
      <w:pPr>
        <w:tabs>
          <w:tab w:pos="567" w:val="left"/>
        </w:tabs>
        <w:ind w:left="567" w:hanging="567"/>
      </w:pPr>
      <w:r>
        <w:t>4.</w:t>
      </w:r>
      <w:r>
        <w:tab/>
      </w:r>
      <w:r>
        <w:t>er gemäß § 201 zur Erklärung über die Anklageschrift aufgefordert worden ist; ergibt sich erst später, dass die Mitwirkung eines Verteidigers notwendig ist, so wird er sofort bestellt.</w:t>
      </w:r>
    </w:p>
    <w:p>
      <w:r>
        <w:rPr>
          <w:rStyle w:val="Satznummer"/>
        </w:rPr>
        <w:t>2</w:t>
      </w:r>
      <w:r>
        <w:t xml:space="preserve">Erfolgt die Vorführung in den Fällen des Satzes 1 Nummer 1 zur Entscheidung über den Erlass eines Haftbefehls nach </w:t>
      </w:r>
      <w:hyperlink w:anchor="b220" w:history="1">
        <w:r>
          <w:rPr>
            <w:color w:val="0A3A8C"/>
            <w:u w:val="single"/>
          </w:rPr>
          <w:t xml:space="preserve">§ 127b</w:t>
        </w:r>
      </w:hyperlink>
      <w:r>
        <w:t xml:space="preserve"> Absatz 2 oder über die Vollstreckung eines Haftbefehls gemäß </w:t>
      </w:r>
      <w:hyperlink w:anchor="b366" w:history="1">
        <w:r>
          <w:rPr>
            <w:color w:val="0A3A8C"/>
            <w:u w:val="single"/>
          </w:rPr>
          <w:t xml:space="preserve">§ 230</w:t>
        </w:r>
      </w:hyperlink>
      <w:r>
        <w:t xml:space="preserve"> Absatz 2 oder </w:t>
      </w:r>
      <w:hyperlink w:anchor="b484" w:history="1">
        <w:r>
          <w:rPr>
            <w:color w:val="0A3A8C"/>
            <w:u w:val="single"/>
          </w:rPr>
          <w:t xml:space="preserve">§ 329</w:t>
        </w:r>
      </w:hyperlink>
      <w:r>
        <w:t xml:space="preserve"> Absatz 3, so wird ein Pflichtverteidiger nur bestellt, wenn der Beschuldigte dies nach Belehrung ausdrücklich beantragt. </w:t>
      </w:r>
      <w:r>
        <w:rPr>
          <w:rStyle w:val="Satznummer"/>
        </w:rPr>
        <w:t>3</w:t>
      </w:r>
      <w:r>
        <w:t>In den Fällen des Satzes 1 Nummer 2 und 3 kann die Bestellung unterbleiben, wenn beabsichtigt ist, das Verfahren alsbald einzustellen und keine anderen Untersuchungshandlungen als die Einholung von Registerauskünften oder die Beiziehung von Urteilen oder Akten vorgenommen werden sollen.</w:t>
      </w:r>
    </w:p>
    <w:p>
      <w:pPr>
        <w:pStyle w:val="Heading3"/>
      </w:pPr>
      <w:bookmarkStart w:id="249" w:name="b248"/>
      <w:r>
        <w:t>§ 141a Vernehmungen und Gegenüberstellungen vor der Bestellung eines Pflichtverteidigers</w:t>
      </w:r>
      <w:r>
        <w:t xml:space="preserve"> </w:t>
      </w:r>
      <w:r>
        <w:rPr>
          <w:rStyle w:val="Suchmarke"/>
        </w:rPr>
        <w:t>#141a#</w:t>
      </w:r>
      <w:bookmarkEnd w:id="249"/>
    </w:p>
    <w:p>
      <w:r>
        <w:rPr>
          <w:rStyle w:val="Satznummer"/>
        </w:rPr>
        <w:t>1</w:t>
      </w:r>
      <w:r>
        <w:t xml:space="preserve">Im Vorverfahren dürfen Vernehmungen des Beschuldigten oder Gegenüberstellungen mit dem Beschuldigten vor der Bestellung eines Pflichtverteidigers abweichend von </w:t>
      </w:r>
      <w:hyperlink w:anchor="b247" w:history="1">
        <w:r>
          <w:rPr>
            <w:color w:val="0A3A8C"/>
            <w:u w:val="single"/>
          </w:rPr>
          <w:t xml:space="preserve">§ 141</w:t>
        </w:r>
      </w:hyperlink>
      <w:r>
        <w:t xml:space="preserve"> Absatz 2 und, wenn der Beschuldigte hiermit ausdrücklich einverstanden ist, auch abweichend von </w:t>
      </w:r>
      <w:hyperlink w:anchor="b247" w:history="1">
        <w:r>
          <w:rPr>
            <w:color w:val="0A3A8C"/>
            <w:u w:val="single"/>
          </w:rPr>
          <w:t xml:space="preserve">§ 141</w:t>
        </w:r>
      </w:hyperlink>
      <w:r>
        <w:t xml:space="preserve"> Absatz 1 durchgeführt werden, soweit dies</w:t>
      </w:r>
    </w:p>
    <w:p>
      <w:pPr>
        <w:tabs>
          <w:tab w:pos="567" w:val="left"/>
        </w:tabs>
        <w:ind w:left="567" w:hanging="567"/>
      </w:pPr>
      <w:r>
        <w:t>1.</w:t>
      </w:r>
      <w:r>
        <w:tab/>
      </w:r>
      <w:r>
        <w:t>zur Abwehr einer gegenwärtigen Gefahr für Leib oder Leben oder für die Freiheit einer Person dringend erforderlich ist oder</w:t>
      </w:r>
    </w:p>
    <w:p>
      <w:pPr>
        <w:tabs>
          <w:tab w:pos="567" w:val="left"/>
        </w:tabs>
        <w:ind w:left="567" w:hanging="567"/>
      </w:pPr>
      <w:r>
        <w:t>2.</w:t>
      </w:r>
      <w:r>
        <w:tab/>
      </w:r>
      <w:r>
        <w:t>zur Abwendung einer erheblichen Gefährdung eines Strafverfahrens zwingend geboten ist.</w:t>
      </w:r>
    </w:p>
    <w:p>
      <w:r>
        <w:rPr>
          <w:rStyle w:val="Satznummer"/>
        </w:rPr>
        <w:t>2</w:t>
      </w:r>
      <w:r>
        <w:t>Das Recht des Beschuldigten, jederzeit, auch schon vor der Vernehmung, einen von ihm zu wählenden Verteidiger zu befragen, bleibt unberührt.</w:t>
      </w:r>
    </w:p>
    <w:p>
      <w:pPr>
        <w:pStyle w:val="Heading3"/>
      </w:pPr>
      <w:bookmarkStart w:id="250" w:name="b249"/>
      <w:r>
        <w:t>§ 142 Zuständigkeit und Bestellungsverfahren</w:t>
      </w:r>
      <w:r>
        <w:t xml:space="preserve"> </w:t>
      </w:r>
      <w:r>
        <w:rPr>
          <w:rStyle w:val="Suchmarke"/>
        </w:rPr>
        <w:t>#142#</w:t>
      </w:r>
      <w:bookmarkEnd w:id="250"/>
    </w:p>
    <w:p>
      <w:r>
        <w:t xml:space="preserve">(1) </w:t>
      </w:r>
      <w:r>
        <w:rPr>
          <w:rStyle w:val="Satznummer"/>
        </w:rPr>
        <w:t>1</w:t>
      </w:r>
      <w:r>
        <w:t xml:space="preserve">Der Antrag des Beschuldigten nach </w:t>
      </w:r>
      <w:hyperlink w:anchor="b247" w:history="1">
        <w:r>
          <w:rPr>
            <w:color w:val="0A3A8C"/>
            <w:u w:val="single"/>
          </w:rPr>
          <w:t xml:space="preserve">§ 141</w:t>
        </w:r>
      </w:hyperlink>
      <w:r>
        <w:t xml:space="preserve"> Absatz 1 Satz 1 ist vor Erhebung der Anklage bei den Behörden oder Beamten des Polizeidienstes oder bei der Staatsanwaltschaft anzubringen. </w:t>
      </w:r>
      <w:r>
        <w:rPr>
          <w:rStyle w:val="Satznummer"/>
        </w:rPr>
        <w:t>2</w:t>
      </w:r>
      <w:r>
        <w:t xml:space="preserve">Die Staatsanwaltschaft legt ihn mit einer Stellungnahme unverzüglich dem Gericht zur Entscheidung vor, sofern sie nicht nach Absatz 4 verfährt. </w:t>
      </w:r>
      <w:r>
        <w:rPr>
          <w:rStyle w:val="Satznummer"/>
        </w:rPr>
        <w:t>3</w:t>
      </w:r>
      <w:r>
        <w:t>Nach Erhebung der Anklage ist der Antrag des Beschuldigten bei dem nach Absatz 3 Nummer 3 zuständigen Gericht anzubringen.</w:t>
      </w:r>
    </w:p>
    <w:p>
      <w:r>
        <w:t xml:space="preserve">(2) Ist dem Beschuldigten im Vorverfahren ein Pflichtverteidiger gemäß </w:t>
      </w:r>
      <w:hyperlink w:anchor="b247" w:history="1">
        <w:r>
          <w:rPr>
            <w:color w:val="0A3A8C"/>
            <w:u w:val="single"/>
          </w:rPr>
          <w:t xml:space="preserve">§ 141</w:t>
        </w:r>
      </w:hyperlink>
      <w:r>
        <w:t xml:space="preserve"> Absatz 2 Satz 1 Nummer 1 bis 3 zu bestellen, so stellt die Staatsanwaltschaft unverzüglich den Antrag, dem Beschuldigten einen Pflichtverteidiger zu bestellen, sofern sie nicht nach Absatz 4 verfährt.</w:t>
      </w:r>
    </w:p>
    <w:p>
      <w:r>
        <w:t>(3) Über die Bestellung entscheidet</w:t>
      </w:r>
    </w:p>
    <w:p>
      <w:pPr>
        <w:tabs>
          <w:tab w:pos="567" w:val="left"/>
        </w:tabs>
        <w:ind w:left="567" w:hanging="567"/>
      </w:pPr>
      <w:r>
        <w:t>1.</w:t>
      </w:r>
      <w:r>
        <w:tab/>
      </w:r>
      <w:r>
        <w:t xml:space="preserve">das Amtsgericht, in dessen Bezirk die Staatsanwaltschaft oder ihre zuständige Zweigstelle ihren Sitz hat, oder das nach </w:t>
      </w:r>
      <w:hyperlink w:anchor="b294" w:history="1">
        <w:r>
          <w:rPr>
            <w:color w:val="0A3A8C"/>
            <w:u w:val="single"/>
          </w:rPr>
          <w:t xml:space="preserve">§ 162</w:t>
        </w:r>
      </w:hyperlink>
      <w:r>
        <w:t xml:space="preserve"> Absatz 1 Satz 3 zuständige Gericht;</w:t>
      </w:r>
    </w:p>
    <w:p>
      <w:pPr>
        <w:tabs>
          <w:tab w:pos="567" w:val="left"/>
        </w:tabs>
        <w:ind w:left="567" w:hanging="567"/>
      </w:pPr>
      <w:r>
        <w:t>2.</w:t>
      </w:r>
      <w:r>
        <w:tab/>
      </w:r>
      <w:r>
        <w:t xml:space="preserve">in den Fällen des </w:t>
      </w:r>
      <w:hyperlink w:anchor="b246" w:history="1">
        <w:r>
          <w:rPr>
            <w:color w:val="0A3A8C"/>
            <w:u w:val="single"/>
          </w:rPr>
          <w:t xml:space="preserve">§ 140</w:t>
        </w:r>
      </w:hyperlink>
      <w:r>
        <w:t xml:space="preserve"> Absatz 1 Nummer 4 das Gericht, dem der Beschuldigte vorzuführen ist;</w:t>
      </w:r>
    </w:p>
    <w:p>
      <w:pPr>
        <w:tabs>
          <w:tab w:pos="567" w:val="left"/>
        </w:tabs>
        <w:ind w:left="567" w:hanging="567"/>
      </w:pPr>
      <w:r>
        <w:t>3.</w:t>
      </w:r>
      <w:r>
        <w:tab/>
      </w:r>
      <w:r>
        <w:t>nach Erhebung der Anklage der Vorsitzende des Gerichts, bei dem das Verfahren anhängig ist.</w:t>
      </w:r>
    </w:p>
    <w:p>
      <w:r>
        <w:t xml:space="preserve">(4) </w:t>
      </w:r>
      <w:r>
        <w:rPr>
          <w:rStyle w:val="Satznummer"/>
        </w:rPr>
        <w:t>1</w:t>
      </w:r>
      <w:r>
        <w:t xml:space="preserve">Bei besonderer Eilbedürftigkeit kann auch die Staatsanwaltschaft über die Bestellung entscheiden. </w:t>
      </w:r>
      <w:r>
        <w:rPr>
          <w:rStyle w:val="Satznummer"/>
        </w:rPr>
        <w:t>2</w:t>
      </w:r>
      <w:r>
        <w:t xml:space="preserve">Sie beantragt unverzüglich, spätestens innerhalb einer Woche nach ihrer Entscheidung, die gerichtliche Bestätigung der Bestellung oder der Ablehnung des Antrags des Beschuldigten. </w:t>
      </w:r>
      <w:r>
        <w:rPr>
          <w:rStyle w:val="Satznummer"/>
        </w:rPr>
        <w:t>3</w:t>
      </w:r>
      <w:r>
        <w:t>Der Beschuldigte kann jederzeit die gerichtliche Entscheidung beantragen.</w:t>
      </w:r>
    </w:p>
    <w:p>
      <w:r>
        <w:t xml:space="preserve">(5) </w:t>
      </w:r>
      <w:r>
        <w:rPr>
          <w:rStyle w:val="Satznummer"/>
        </w:rPr>
        <w:t>1</w:t>
      </w:r>
      <w:r>
        <w:t xml:space="preserve">Vor der Bestellung eines Pflichtverteidigers ist dem Beschuldigten Gelegenheit zu geben, innerhalb einer zu bestimmenden Frist einen Verteidiger zu bezeichnen. </w:t>
      </w:r>
      <w:r>
        <w:rPr>
          <w:rStyle w:val="Satznummer"/>
        </w:rPr>
        <w:t>2</w:t>
      </w:r>
      <w:hyperlink w:anchor="b236" w:history="1">
        <w:r>
          <w:rPr>
            <w:color w:val="0A3A8C"/>
            <w:u w:val="single"/>
          </w:rPr>
          <w:t xml:space="preserve">§ 136</w:t>
        </w:r>
      </w:hyperlink>
      <w:r>
        <w:t xml:space="preserve"> Absatz 1 Satz 3 und 4 gilt entsprechend. </w:t>
      </w:r>
      <w:r>
        <w:rPr>
          <w:rStyle w:val="Satznummer"/>
        </w:rPr>
        <w:t>3</w:t>
      </w:r>
      <w:r>
        <w:t>Ein von dem Beschuldigten innerhalb der Frist bezeichneter Verteidiger ist zu bestellen, wenn dem kein wichtiger Grund entgegensteht; ein wichtiger Grund liegt auch vor, wenn der Verteidiger nicht oder nicht rechtzeitig zur Verfügung steht.</w:t>
      </w:r>
    </w:p>
    <w:p>
      <w:r>
        <w:t xml:space="preserve">(6) </w:t>
      </w:r>
      <w:r>
        <w:rPr>
          <w:rStyle w:val="Satznummer"/>
        </w:rPr>
        <w:t>1</w:t>
      </w:r>
      <w:r>
        <w:t xml:space="preserve">Wird dem Beschuldigten ein Pflichtverteidiger bestellt, den er nicht bezeichnet hat, ist er aus dem Gesamtverzeichnis der Bundesrechtsanwaltskammer (§ 31 der Bundesrechtsanwaltsordnung) auszuwählen. </w:t>
      </w:r>
      <w:r>
        <w:rPr>
          <w:rStyle w:val="Satznummer"/>
        </w:rPr>
        <w:t>2</w:t>
      </w:r>
      <w:r>
        <w:t>Dabei soll aus den dort eingetragenen Rechtsanwälten entweder ein Fachanwalt für Strafrecht oder ein anderer Rechtsanwalt, der gegenüber der Rechtsanwaltskammer sein Interesse an der Übernahme von Pflichtverteidigungen angezeigt hat und für die Übernahme der Verteidigung geeignet ist, ausgewählt werden.</w:t>
      </w:r>
    </w:p>
    <w:p>
      <w:r>
        <w:t xml:space="preserve">(7) </w:t>
      </w:r>
      <w:r>
        <w:rPr>
          <w:rStyle w:val="Satznummer"/>
        </w:rPr>
        <w:t>1</w:t>
      </w:r>
      <w:r>
        <w:t xml:space="preserve">Gerichtliche Entscheidungen über die Bestellung eines Pflichtverteidigers sind mit der sofortigen Beschwerde anfechtbar. </w:t>
      </w:r>
      <w:r>
        <w:rPr>
          <w:rStyle w:val="Satznummer"/>
        </w:rPr>
        <w:t>2</w:t>
      </w:r>
      <w:r>
        <w:t xml:space="preserve">Sie ist ausgeschlossen, wenn der Beschuldigte einen Antrag nach </w:t>
      </w:r>
      <w:hyperlink w:anchor="b251" w:history="1">
        <w:r>
          <w:rPr>
            <w:color w:val="0A3A8C"/>
            <w:u w:val="single"/>
          </w:rPr>
          <w:t xml:space="preserve">§ 143a</w:t>
        </w:r>
      </w:hyperlink>
      <w:r>
        <w:t xml:space="preserve"> Absatz 2 Satz 1 Nummer 1 stellen kann.</w:t>
      </w:r>
    </w:p>
    <w:p>
      <w:pPr>
        <w:pStyle w:val="Heading3"/>
      </w:pPr>
      <w:bookmarkStart w:id="251" w:name="b250"/>
      <w:r>
        <w:t>§ 143 Dauer und Aufhebung der Bestellung</w:t>
      </w:r>
      <w:r>
        <w:t xml:space="preserve"> </w:t>
      </w:r>
      <w:r>
        <w:rPr>
          <w:rStyle w:val="Suchmarke"/>
        </w:rPr>
        <w:t>#143#</w:t>
      </w:r>
      <w:bookmarkEnd w:id="251"/>
    </w:p>
    <w:p>
      <w:r>
        <w:t xml:space="preserve">(1) Die Bestellung des Pflichtverteidigers endet mit der Einstellung oder dem rechtskräftigen Abschluss des Strafverfahrens einschließlich eines Verfahrens nach den </w:t>
      </w:r>
      <w:hyperlink w:anchor="b614" w:history="1">
        <w:r>
          <w:rPr>
            <w:color w:val="0A3A8C"/>
            <w:u w:val="single"/>
          </w:rPr>
          <w:t xml:space="preserve">§§ 423</w:t>
        </w:r>
      </w:hyperlink>
      <w:r>
        <w:t xml:space="preserve"> oder </w:t>
      </w:r>
      <w:hyperlink w:anchor="b674" w:history="1">
        <w:r>
          <w:rPr>
            <w:color w:val="0A3A8C"/>
            <w:u w:val="single"/>
          </w:rPr>
          <w:t xml:space="preserve">460</w:t>
        </w:r>
      </w:hyperlink>
      <w:r>
        <w:t>.</w:t>
      </w:r>
    </w:p>
    <w:p>
      <w:r>
        <w:t xml:space="preserve">(2) </w:t>
      </w:r>
      <w:r>
        <w:rPr>
          <w:rStyle w:val="Satznummer"/>
        </w:rPr>
        <w:t>1</w:t>
      </w:r>
      <w:r>
        <w:t xml:space="preserve">Die Bestellung kann aufgehoben werden, wenn kein Fall notwendiger Verteidigung mehr vorliegt. </w:t>
      </w:r>
      <w:r>
        <w:rPr>
          <w:rStyle w:val="Satznummer"/>
        </w:rPr>
        <w:t>2</w:t>
      </w:r>
      <w:r>
        <w:t xml:space="preserve">In den Fällen des </w:t>
      </w:r>
      <w:hyperlink w:anchor="b246" w:history="1">
        <w:r>
          <w:rPr>
            <w:color w:val="0A3A8C"/>
            <w:u w:val="single"/>
          </w:rPr>
          <w:t xml:space="preserve">§ 140</w:t>
        </w:r>
      </w:hyperlink>
      <w:r>
        <w:t xml:space="preserve"> Absatz 1 Nummer 5 gilt dies nur, wenn der Beschuldigte mindestens zwei Wochen vor Beginn der Hauptverhandlung aus der Anstalt entlassen wird. </w:t>
      </w:r>
      <w:r>
        <w:rPr>
          <w:rStyle w:val="Satznummer"/>
        </w:rPr>
        <w:t>3</w:t>
      </w:r>
      <w:r>
        <w:t xml:space="preserve">Beruht der Freiheitsentzug in den Fällen des </w:t>
      </w:r>
      <w:hyperlink w:anchor="b246" w:history="1">
        <w:r>
          <w:rPr>
            <w:color w:val="0A3A8C"/>
            <w:u w:val="single"/>
          </w:rPr>
          <w:t xml:space="preserve">§ 140</w:t>
        </w:r>
      </w:hyperlink>
      <w:r>
        <w:t xml:space="preserve"> Absatz 1 Nummer 5 auf einem Haftbefehl gemäß </w:t>
      </w:r>
      <w:hyperlink w:anchor="b220" w:history="1">
        <w:r>
          <w:rPr>
            <w:color w:val="0A3A8C"/>
            <w:u w:val="single"/>
          </w:rPr>
          <w:t xml:space="preserve">§ 127b</w:t>
        </w:r>
      </w:hyperlink>
      <w:r>
        <w:t xml:space="preserve"> Absatz 2, </w:t>
      </w:r>
      <w:hyperlink w:anchor="b366" w:history="1">
        <w:r>
          <w:rPr>
            <w:color w:val="0A3A8C"/>
            <w:u w:val="single"/>
          </w:rPr>
          <w:t xml:space="preserve">§ 230</w:t>
        </w:r>
      </w:hyperlink>
      <w:r>
        <w:t xml:space="preserve"> Absatz 2 oder </w:t>
      </w:r>
      <w:hyperlink w:anchor="b484" w:history="1">
        <w:r>
          <w:rPr>
            <w:color w:val="0A3A8C"/>
            <w:u w:val="single"/>
          </w:rPr>
          <w:t xml:space="preserve">§ 329</w:t>
        </w:r>
      </w:hyperlink>
      <w:r>
        <w:t xml:space="preserve"> Absatz 3, soll die Bestellung mit der Aufhebung oder Außervollzugsetzung des Haftbefehls, spätestens zum Schluss der Hauptverhandlung, aufgehoben werden. </w:t>
      </w:r>
      <w:r>
        <w:rPr>
          <w:rStyle w:val="Satznummer"/>
        </w:rPr>
        <w:t>4</w:t>
      </w:r>
      <w:r>
        <w:t xml:space="preserve">In den Fällen des </w:t>
      </w:r>
      <w:hyperlink w:anchor="b246" w:history="1">
        <w:r>
          <w:rPr>
            <w:color w:val="0A3A8C"/>
            <w:u w:val="single"/>
          </w:rPr>
          <w:t xml:space="preserve">§ 140</w:t>
        </w:r>
      </w:hyperlink>
      <w:r>
        <w:t xml:space="preserve"> Absatz 1 Nummer 4 soll die Bestellung mit dem Ende der Vorführung aufgehoben werden, falls der Beschuldigte auf freien Fuß gesetzt wird.</w:t>
      </w:r>
    </w:p>
    <w:p>
      <w:r>
        <w:t>(3) Beschlüsse nach Absatz 2 sind mit der sofortigen Beschwerde anfechtbar.</w:t>
      </w:r>
    </w:p>
    <w:p>
      <w:pPr>
        <w:pStyle w:val="Heading3"/>
      </w:pPr>
      <w:bookmarkStart w:id="252" w:name="b251"/>
      <w:r>
        <w:t>§ 143a Verteidigerwechsel</w:t>
      </w:r>
      <w:r>
        <w:t xml:space="preserve"> </w:t>
      </w:r>
      <w:r>
        <w:rPr>
          <w:rStyle w:val="Suchmarke"/>
        </w:rPr>
        <w:t>#143a#</w:t>
      </w:r>
      <w:bookmarkEnd w:id="252"/>
    </w:p>
    <w:p>
      <w:r>
        <w:t xml:space="preserve">(1) </w:t>
      </w:r>
      <w:r>
        <w:rPr>
          <w:rStyle w:val="Satznummer"/>
        </w:rPr>
        <w:t>1</w:t>
      </w:r>
      <w:r>
        <w:t xml:space="preserve">Die Bestellung des Pflichtverteidigers ist aufzuheben, wenn der Beschuldigte einen anderen Verteidiger gewählt und dieser die Wahl angenommen hat. </w:t>
      </w:r>
      <w:r>
        <w:rPr>
          <w:rStyle w:val="Satznummer"/>
        </w:rPr>
        <w:t>2</w:t>
      </w:r>
      <w:r>
        <w:t xml:space="preserve">Dies gilt nicht, wenn zu besorgen ist, dass der neue Verteidiger das Mandat demnächst niederlegen und seine Beiordnung als Pflichtverteidiger beantragen wird, oder soweit die Aufrechterhaltung der Bestellung aus den Gründen des </w:t>
      </w:r>
      <w:hyperlink w:anchor="b252" w:history="1">
        <w:r>
          <w:rPr>
            <w:color w:val="0A3A8C"/>
            <w:u w:val="single"/>
          </w:rPr>
          <w:t xml:space="preserve">§ 144</w:t>
        </w:r>
      </w:hyperlink>
      <w:r>
        <w:t xml:space="preserve"> erforderlich ist.</w:t>
      </w:r>
    </w:p>
    <w:p>
      <w:r>
        <w:t xml:space="preserve">(2) </w:t>
      </w:r>
      <w:r>
        <w:rPr>
          <w:rStyle w:val="Satznummer"/>
        </w:rPr>
        <w:t>1</w:t>
      </w:r>
      <w:r>
        <w:t>Die Bestellung des Pflichtverteidigers ist aufzuheben und ein neuer Pflichtverteidiger zu bestellen, wenn</w:t>
      </w:r>
    </w:p>
    <w:p>
      <w:pPr>
        <w:tabs>
          <w:tab w:pos="567" w:val="left"/>
        </w:tabs>
        <w:ind w:left="567" w:hanging="567"/>
      </w:pPr>
      <w:r>
        <w:t>1.</w:t>
      </w:r>
      <w:r>
        <w:tab/>
      </w:r>
      <w:r>
        <w:t xml:space="preserve">der Beschuldigte, dem ein anderer als der von ihm innerhalb der nach </w:t>
      </w:r>
      <w:hyperlink w:anchor="b249" w:history="1">
        <w:r>
          <w:rPr>
            <w:color w:val="0A3A8C"/>
            <w:u w:val="single"/>
          </w:rPr>
          <w:t xml:space="preserve">§ 142</w:t>
        </w:r>
      </w:hyperlink>
      <w:r>
        <w:t xml:space="preserve"> Absatz 5 Satz 1 bestimmten Frist bezeichnete Verteidiger beigeordnet wurde oder dem zur Auswahl des Verteidigers nur eine kurze Frist gesetzt wurde, innerhalb von drei Wochen nach Bekanntmachung der gerichtlichen Entscheidung über die Bestellung beantragt, ihm einen anderen von ihm bezeichneten Verteidiger zu bestellen, und dem kein wichtiger Grund entgegensteht;</w:t>
      </w:r>
    </w:p>
    <w:p>
      <w:pPr>
        <w:tabs>
          <w:tab w:pos="567" w:val="left"/>
        </w:tabs>
        <w:ind w:left="567" w:hanging="567"/>
      </w:pPr>
      <w:r>
        <w:t>2.</w:t>
      </w:r>
      <w:r>
        <w:tab/>
      </w:r>
      <w:r>
        <w:t xml:space="preserve">der anlässlich einer Vorführung vor den nächsten Richter gemäß </w:t>
      </w:r>
      <w:hyperlink w:anchor="b199" w:history="1">
        <w:r>
          <w:rPr>
            <w:color w:val="0A3A8C"/>
            <w:u w:val="single"/>
          </w:rPr>
          <w:t xml:space="preserve">§ 115a</w:t>
        </w:r>
      </w:hyperlink>
      <w:r>
        <w:t xml:space="preserve"> bestellte Pflichtverteidiger die Aufhebung seiner Beiordnung aus wichtigem Grund, insbesondere wegen unzumutbarer Entfernung zum künftigen Aufenthaltsort des Beschuldigten, beantragt; der Antrag ist unverzüglich zu stellen, nachdem das Verfahren gemäß </w:t>
      </w:r>
      <w:hyperlink w:anchor="b199" w:history="1">
        <w:r>
          <w:rPr>
            <w:color w:val="0A3A8C"/>
            <w:u w:val="single"/>
          </w:rPr>
          <w:t xml:space="preserve">§ 115a</w:t>
        </w:r>
      </w:hyperlink>
      <w:r>
        <w:t xml:space="preserve"> beendet ist; oder</w:t>
      </w:r>
    </w:p>
    <w:p>
      <w:pPr>
        <w:tabs>
          <w:tab w:pos="567" w:val="left"/>
        </w:tabs>
        <w:ind w:left="567" w:hanging="567"/>
      </w:pPr>
      <w:r>
        <w:t>3.</w:t>
      </w:r>
      <w:r>
        <w:tab/>
      </w:r>
      <w:r>
        <w:t>das Vertrauensverhältnis zwischen Verteidiger und Beschuldigtem endgültig zerstört ist oder aus einem sonstigen Grund keine angemessene Verteidigung des Beschuldigten gewährleistet ist.</w:t>
      </w:r>
    </w:p>
    <w:p>
      <w:r>
        <w:rPr>
          <w:rStyle w:val="Satznummer"/>
        </w:rPr>
        <w:t>2</w:t>
      </w:r>
      <w:r>
        <w:t xml:space="preserve">In den Fällen der Nummern 2 und 3 gilt </w:t>
      </w:r>
      <w:hyperlink w:anchor="b249" w:history="1">
        <w:r>
          <w:rPr>
            <w:color w:val="0A3A8C"/>
            <w:u w:val="single"/>
          </w:rPr>
          <w:t xml:space="preserve">§ 142</w:t>
        </w:r>
      </w:hyperlink>
      <w:r>
        <w:t xml:space="preserve"> Absatz 5 und 6 entsprechend.</w:t>
      </w:r>
    </w:p>
    <w:p>
      <w:r>
        <w:t xml:space="preserve">(3) </w:t>
      </w:r>
      <w:r>
        <w:rPr>
          <w:rStyle w:val="Satznummer"/>
        </w:rPr>
        <w:t>1</w:t>
      </w:r>
      <w:r>
        <w:t xml:space="preserve">Für die Revisionsinstanz ist die Bestellung des bisherigen Pflichtverteidigers aufzuheben und dem Beschuldigten ein neuer, von ihm bezeichneter Pflichtverteidiger zu bestellen, wenn er dies spätestens binnen einer Woche nach Beginn der Revisionsbegründungsfrist beantragt und der Bestellung des bezeichneten Verteidigers kein wichtiger Grund entgegensteht. </w:t>
      </w:r>
      <w:r>
        <w:rPr>
          <w:rStyle w:val="Satznummer"/>
        </w:rPr>
        <w:t>2</w:t>
      </w:r>
      <w:r>
        <w:t>Der Antrag ist bei dem Gericht zu stellen, dessen Urteil angefochten wird.</w:t>
      </w:r>
    </w:p>
    <w:p>
      <w:r>
        <w:t>(4) Beschlüsse nach den Absätzen 1 bis 3 sind mit der sofortigen Beschwerde anfechtbar.</w:t>
      </w:r>
    </w:p>
    <w:p>
      <w:pPr>
        <w:pStyle w:val="Heading3"/>
      </w:pPr>
      <w:bookmarkStart w:id="253" w:name="b252"/>
      <w:r>
        <w:t>§ 144 Zusätzliche Pflichtverteidiger</w:t>
      </w:r>
      <w:r>
        <w:t xml:space="preserve"> </w:t>
      </w:r>
      <w:r>
        <w:rPr>
          <w:rStyle w:val="Suchmarke"/>
        </w:rPr>
        <w:t>#144#</w:t>
      </w:r>
      <w:bookmarkEnd w:id="253"/>
    </w:p>
    <w:p>
      <w:r>
        <w:t xml:space="preserve">(1) In den Fällen der notwendigen Verteidigung können dem Beschuldigten zu seinem gewählten oder einem gemäß </w:t>
      </w:r>
      <w:hyperlink w:anchor="b247" w:history="1">
        <w:r>
          <w:rPr>
            <w:color w:val="0A3A8C"/>
            <w:u w:val="single"/>
          </w:rPr>
          <w:t xml:space="preserve">§ 141</w:t>
        </w:r>
      </w:hyperlink>
      <w:r>
        <w:t xml:space="preserve"> bestellten Verteidiger bis zu zwei Pflichtverteidiger zusätzlich bestellt werden, wenn dies zur Sicherung der zügigen Durchführung des Verfahrens, insbesondere wegen dessen Umfang oder Schwierigkeit, erforderlich ist.</w:t>
      </w:r>
    </w:p>
    <w:p>
      <w:r>
        <w:t xml:space="preserve">(2) </w:t>
      </w:r>
      <w:r>
        <w:rPr>
          <w:rStyle w:val="Satznummer"/>
        </w:rPr>
        <w:t>1</w:t>
      </w:r>
      <w:r>
        <w:t xml:space="preserve">Die Bestellung eines zusätzlichen Verteidigers ist aufzuheben, sobald seine Mitwirkung zur zügigen Durchführung des Verfahrens nicht mehr erforderlich ist. </w:t>
      </w:r>
      <w:r>
        <w:rPr>
          <w:rStyle w:val="Satznummer"/>
        </w:rPr>
        <w:t>2</w:t>
      </w:r>
      <w:hyperlink w:anchor="b249" w:history="1">
        <w:r>
          <w:rPr>
            <w:color w:val="0A3A8C"/>
            <w:u w:val="single"/>
          </w:rPr>
          <w:t xml:space="preserve">§ 142</w:t>
        </w:r>
      </w:hyperlink>
      <w:r>
        <w:t xml:space="preserve"> Absatz 5 bis 7 Satz 1 gilt entsprechend.</w:t>
      </w:r>
    </w:p>
    <w:p>
      <w:pPr>
        <w:pStyle w:val="Heading3"/>
      </w:pPr>
      <w:bookmarkStart w:id="254" w:name="b253"/>
      <w:r>
        <w:t>§ 145 Ausbleiben oder Weigerung des Pflichtverteidigers</w:t>
      </w:r>
      <w:r>
        <w:t xml:space="preserve"> </w:t>
      </w:r>
      <w:r>
        <w:rPr>
          <w:rStyle w:val="Suchmarke"/>
        </w:rPr>
        <w:t>#145#</w:t>
      </w:r>
      <w:bookmarkEnd w:id="254"/>
    </w:p>
    <w:p>
      <w:r>
        <w:t xml:space="preserve">(1) </w:t>
      </w:r>
      <w:r>
        <w:rPr>
          <w:rStyle w:val="Satznummer"/>
        </w:rPr>
        <w:t>1</w:t>
      </w:r>
      <w:r>
        <w:t xml:space="preserve">Wenn in einem Falle, in dem die Verteidigung notwendig ist, der Verteidiger in der Hauptverhandlung ausbleibt, sich unzeitig entfernt oder sich weigert, die Verteidigung zu führen, so hat der Vorsitzende dem Angeklagten sogleich einen anderen Verteidiger zu bestellen. </w:t>
      </w:r>
      <w:r>
        <w:rPr>
          <w:rStyle w:val="Satznummer"/>
        </w:rPr>
        <w:t>2</w:t>
      </w:r>
      <w:r>
        <w:t>Das Gericht kann jedoch auch eine Aussetzung der Verhandlung beschließen.</w:t>
      </w:r>
    </w:p>
    <w:p>
      <w:r>
        <w:t>(2) Wird der notwendige Verteidiger erst im Laufe der Hauptverhandlung bestellt, so kann das Gericht eine Aussetzung der Verhandlung beschließen.</w:t>
      </w:r>
    </w:p>
    <w:p>
      <w:r>
        <w:t>(3) Erklärt der neu bestellte Verteidiger, daß ihm die zur Vorbereitung der Verteidigung erforderliche Zeit nicht verbleiben würde, so ist die Verhandlung zu unterbrechen oder auszusetzen.</w:t>
      </w:r>
    </w:p>
    <w:p>
      <w:r>
        <w:t>(4) Wird durch die Schuld des Verteidigers eine Aussetzung erforderlich, so sind ihm die hierdurch verursachten Kosten aufzuerlegen.</w:t>
      </w:r>
    </w:p>
    <w:p>
      <w:pPr>
        <w:pStyle w:val="Heading3"/>
      </w:pPr>
      <w:bookmarkStart w:id="255" w:name="b254"/>
      <w:r>
        <w:t>§ 145a Zustellungen an den Verteidiger</w:t>
      </w:r>
      <w:r>
        <w:t xml:space="preserve"> </w:t>
      </w:r>
      <w:r>
        <w:rPr>
          <w:rStyle w:val="Suchmarke"/>
        </w:rPr>
        <w:t>#145a#</w:t>
      </w:r>
      <w:bookmarkEnd w:id="255"/>
    </w:p>
    <w:p>
      <w:r>
        <w:t xml:space="preserve">(1) </w:t>
      </w:r>
      <w:r>
        <w:rPr>
          <w:rStyle w:val="Satznummer"/>
        </w:rPr>
        <w:t>1</w:t>
      </w:r>
      <w:r>
        <w:t xml:space="preserve">Der gewählte Verteidiger, dessen Bevollmächtigung nachgewiesen ist, sowie der bestellte Verteidiger gelten als ermächtigt, Zustellungen und sonstige Mitteilungen für den Beschuldigten in Empfang zu nehmen. </w:t>
      </w:r>
      <w:r>
        <w:rPr>
          <w:rStyle w:val="Satznummer"/>
        </w:rPr>
        <w:t>2</w:t>
      </w:r>
      <w:r>
        <w:t xml:space="preserve">Zum Nachweis der Bevollmächtigung genügt die Übermittlung einer Kopie der Vollmacht durch den Verteidiger. </w:t>
      </w:r>
      <w:r>
        <w:rPr>
          <w:rStyle w:val="Satznummer"/>
        </w:rPr>
        <w:t>3</w:t>
      </w:r>
      <w:r>
        <w:t>Die Nachreichung der Vollmacht im Original kann verlangt werden; hierfür kann eine Frist bestimmt werden.</w:t>
      </w:r>
    </w:p>
    <w:p>
      <w:r>
        <w:t xml:space="preserve">(2) </w:t>
      </w:r>
      <w:r>
        <w:rPr>
          <w:rStyle w:val="Satznummer"/>
        </w:rPr>
        <w:t>1</w:t>
      </w:r>
      <w:r>
        <w:t xml:space="preserve">Eine Ladung des Beschuldigten darf an den Verteidiger nur zugestellt werden, wenn er in seiner nachgewiesenen Vollmacht ausdrücklich zur Empfangnahme von Ladungen ermächtigt ist. </w:t>
      </w:r>
      <w:r>
        <w:rPr>
          <w:rStyle w:val="Satznummer"/>
        </w:rPr>
        <w:t>2</w:t>
      </w:r>
      <w:hyperlink w:anchor="b201" w:history="1">
        <w:r>
          <w:rPr>
            <w:color w:val="0A3A8C"/>
            <w:u w:val="single"/>
          </w:rPr>
          <w:t xml:space="preserve">§ 116a</w:t>
        </w:r>
      </w:hyperlink>
      <w:r>
        <w:t xml:space="preserve"> Abs. 3 bleibt unberührt.</w:t>
      </w:r>
    </w:p>
    <w:p>
      <w:r>
        <w:t xml:space="preserve">(3) </w:t>
      </w:r>
      <w:r>
        <w:rPr>
          <w:rStyle w:val="Satznummer"/>
        </w:rPr>
        <w:t>1</w:t>
      </w:r>
      <w:r>
        <w:t xml:space="preserve">Wird eine Entscheidung dem Verteidiger nach Absatz 1 zugestellt, so wird der Beschuldigte hiervon unterrichtet; zugleich erhält er formlos eine Abschrift der Entscheidung. </w:t>
      </w:r>
      <w:r>
        <w:rPr>
          <w:rStyle w:val="Satznummer"/>
        </w:rPr>
        <w:t>2</w:t>
      </w:r>
      <w:r>
        <w:t>Wird eine Entscheidung dem Beschuldigten zugestellt, so wird der Verteidiger hiervon zugleich unterrichtet, auch wenn eine Vollmacht bei den Akten nicht vorliegt; dabei erhält er formlos eine Abschrift der Entscheidung.</w:t>
      </w:r>
    </w:p>
    <w:p>
      <w:pPr>
        <w:pStyle w:val="Heading3"/>
      </w:pPr>
      <w:bookmarkStart w:id="256" w:name="b255"/>
      <w:r>
        <w:t>§ 146 Verbot der Mehrfachverteidigung</w:t>
      </w:r>
      <w:r>
        <w:t xml:space="preserve"> </w:t>
      </w:r>
      <w:r>
        <w:rPr>
          <w:rStyle w:val="Suchmarke"/>
        </w:rPr>
        <w:t>#146#</w:t>
      </w:r>
      <w:bookmarkEnd w:id="256"/>
    </w:p>
    <w:p>
      <w:r>
        <w:rPr>
          <w:rStyle w:val="Satznummer"/>
        </w:rPr>
        <w:t>1</w:t>
      </w:r>
      <w:r>
        <w:t xml:space="preserve">Ein Verteidiger kann nicht gleichzeitig mehrere derselben Tat Beschuldigte verteidigen. </w:t>
      </w:r>
      <w:r>
        <w:rPr>
          <w:rStyle w:val="Satznummer"/>
        </w:rPr>
        <w:t>2</w:t>
      </w:r>
      <w:r>
        <w:t>In einem Verfahren kann er auch nicht gleichzeitig mehrere verschiedener Taten Beschuldigte verteidigen.</w:t>
      </w:r>
    </w:p>
    <w:p>
      <w:pPr>
        <w:pStyle w:val="Heading3"/>
      </w:pPr>
      <w:bookmarkStart w:id="257" w:name="b256"/>
      <w:r>
        <w:t>§ 146a Zurückweisung eines Wahlverteidigers</w:t>
      </w:r>
      <w:r>
        <w:t xml:space="preserve"> </w:t>
      </w:r>
      <w:r>
        <w:rPr>
          <w:rStyle w:val="Suchmarke"/>
        </w:rPr>
        <w:t>#146a#</w:t>
      </w:r>
      <w:bookmarkEnd w:id="257"/>
    </w:p>
    <w:p>
      <w:r>
        <w:t xml:space="preserve">(1) </w:t>
      </w:r>
      <w:r>
        <w:rPr>
          <w:rStyle w:val="Satznummer"/>
        </w:rPr>
        <w:t>1</w:t>
      </w:r>
      <w:r>
        <w:t xml:space="preserve">Ist jemand als Verteidiger gewählt worden, obwohl die Voraussetzungen des </w:t>
      </w:r>
      <w:hyperlink w:anchor="b239" w:history="1">
        <w:r>
          <w:rPr>
            <w:color w:val="0A3A8C"/>
            <w:u w:val="single"/>
          </w:rPr>
          <w:t xml:space="preserve">§ 137</w:t>
        </w:r>
      </w:hyperlink>
      <w:r>
        <w:t xml:space="preserve"> Abs. 1 Satz 2 oder des </w:t>
      </w:r>
      <w:hyperlink w:anchor="b255" w:history="1">
        <w:r>
          <w:rPr>
            <w:color w:val="0A3A8C"/>
            <w:u w:val="single"/>
          </w:rPr>
          <w:t xml:space="preserve">§ 146</w:t>
        </w:r>
      </w:hyperlink>
      <w:r>
        <w:t xml:space="preserve"> vorliegen, so ist er als Verteidiger zurückzuweisen, sobald dies erkennbar wird; gleiches gilt, wenn die Voraussetzungen des </w:t>
      </w:r>
      <w:hyperlink w:anchor="b255" w:history="1">
        <w:r>
          <w:rPr>
            <w:color w:val="0A3A8C"/>
            <w:u w:val="single"/>
          </w:rPr>
          <w:t xml:space="preserve">§ 146</w:t>
        </w:r>
      </w:hyperlink>
      <w:r>
        <w:t xml:space="preserve"> nach der Wahl eintreten. </w:t>
      </w:r>
      <w:r>
        <w:rPr>
          <w:rStyle w:val="Satznummer"/>
        </w:rPr>
        <w:t>2</w:t>
      </w:r>
      <w:r>
        <w:t xml:space="preserve">Zeigen in den Fällen des </w:t>
      </w:r>
      <w:hyperlink w:anchor="b239" w:history="1">
        <w:r>
          <w:rPr>
            <w:color w:val="0A3A8C"/>
            <w:u w:val="single"/>
          </w:rPr>
          <w:t xml:space="preserve">§ 137</w:t>
        </w:r>
      </w:hyperlink>
      <w:r>
        <w:t xml:space="preserve"> Abs. 1 Satz 2 mehrere Verteidiger gleichzeitig ihre Wahl an und wird dadurch die Höchstzahl der wählbaren Verteidiger überschritten, so sind sie alle zurückzuweisen. </w:t>
      </w:r>
      <w:r>
        <w:rPr>
          <w:rStyle w:val="Satznummer"/>
        </w:rPr>
        <w:t>3</w:t>
      </w:r>
      <w:r>
        <w:t>Über die Zurückweisung entscheidet das Gericht, bei dem das Verfahren anhängig ist oder das für das Hauptverfahren zuständig wäre.</w:t>
      </w:r>
    </w:p>
    <w:p>
      <w:r>
        <w:t xml:space="preserve">(2) Handlungen, die ein Verteidiger vor der Zurückweisung vorgenommen hat, sind nicht deshalb unwirksam, weil die Voraussetzungen des </w:t>
      </w:r>
      <w:hyperlink w:anchor="b239" w:history="1">
        <w:r>
          <w:rPr>
            <w:color w:val="0A3A8C"/>
            <w:u w:val="single"/>
          </w:rPr>
          <w:t xml:space="preserve">§ 137</w:t>
        </w:r>
      </w:hyperlink>
      <w:r>
        <w:t xml:space="preserve"> Abs. 1 Satz 2 oder des </w:t>
      </w:r>
      <w:hyperlink w:anchor="b255" w:history="1">
        <w:r>
          <w:rPr>
            <w:color w:val="0A3A8C"/>
            <w:u w:val="single"/>
          </w:rPr>
          <w:t xml:space="preserve">§ 146</w:t>
        </w:r>
      </w:hyperlink>
      <w:r>
        <w:t xml:space="preserve"> vorlagen.</w:t>
      </w:r>
    </w:p>
    <w:p>
      <w:pPr>
        <w:pStyle w:val="Heading3"/>
      </w:pPr>
      <w:bookmarkStart w:id="258" w:name="b257"/>
      <w:r>
        <w:t>§ 147 Akteneinsichtsrecht, Besichtigungsrecht; Auskunftsrecht des Beschuldigten</w:t>
      </w:r>
      <w:r>
        <w:t xml:space="preserve"> </w:t>
      </w:r>
      <w:r>
        <w:rPr>
          <w:rStyle w:val="Suchmarke"/>
        </w:rPr>
        <w:t>#147#</w:t>
      </w:r>
      <w:bookmarkEnd w:id="258"/>
    </w:p>
    <w:p>
      <w:r>
        <w:t>(1) Der Verteidiger ist befugt, die Akten, die dem Gericht vorliegen oder diesem im Falle der Erhebung der Anklage vorzulegen wären, einzusehen sowie amtlich verwahrte Beweisstücke zu besichtigen.</w:t>
      </w:r>
    </w:p>
    <w:p>
      <w:r>
        <w:t xml:space="preserve">(2) </w:t>
      </w:r>
      <w:r>
        <w:rPr>
          <w:rStyle w:val="Satznummer"/>
        </w:rPr>
        <w:t>1</w:t>
      </w:r>
      <w:r>
        <w:t xml:space="preserve">Ist der Abschluss der Ermittlungen noch nicht in den Akten vermerkt, kann dem Verteidiger die Einsicht in die Akten oder einzelne Aktenteile sowie die Besichtigung von amtlich verwahrten Beweisgegenständen versagt werden, soweit dies den Untersuchungszweck gefährden kann. </w:t>
      </w:r>
      <w:r>
        <w:rPr>
          <w:rStyle w:val="Satznummer"/>
        </w:rPr>
        <w:t>2</w:t>
      </w:r>
      <w:r>
        <w:t>Liegen die Voraussetzungen von Satz 1 vor und befindet sich der Beschuldigte in Untersuchungshaft oder ist diese im Fall der vorläufigen Festnahme beantragt, sind dem Verteidiger die für die Beurteilung der Rechtmäßigkeit der Freiheitsentziehung wesentlichen Informationen in geeigneter Weise zugänglich zu machen; in der Regel ist insoweit Akteneinsicht zu gewähren.</w:t>
      </w:r>
    </w:p>
    <w:p>
      <w:r>
        <w:t>(3) Die Einsicht in die Protokolle über die Vernehmung des Beschuldigten und über solche richterlichen Untersuchungshandlungen, bei denen dem Verteidiger die Anwesenheit gestattet worden ist oder hätte gestattet werden müssen, sowie in die Gutachten von Sachverständigen darf dem Verteidiger in keiner Lage des Verfahrens versagt werden.</w:t>
      </w:r>
    </w:p>
    <w:p>
      <w:r>
        <w:t xml:space="preserve">(4) </w:t>
      </w:r>
      <w:r>
        <w:rPr>
          <w:rStyle w:val="Satznummer"/>
        </w:rPr>
        <w:t>1</w:t>
      </w:r>
      <w:r>
        <w:t xml:space="preserve">Der Beschuldigte, der keinen Verteidiger hat, ist in entsprechender Anwendung der Absätze 1 bis 3 befugt, die Akten einzusehen und unter Aufsicht amtlich verwahrte Beweisstücke zu besichtigen, soweit der Untersuchungszweck auch in einem anderen Strafverfahren nicht gefährdet werden kann und überwiegende schutzwürdige Interessen Dritter nicht entgegenstehen. </w:t>
      </w:r>
      <w:r>
        <w:rPr>
          <w:rStyle w:val="Satznummer"/>
        </w:rPr>
        <w:t>2</w:t>
      </w:r>
      <w:r>
        <w:t>Werden die Akten nicht elektronisch geführt, können ihm an Stelle der Einsichtnahme in die Akten Kopien aus den Akten bereitgestellt werden.</w:t>
      </w:r>
    </w:p>
    <w:p>
      <w:r>
        <w:t xml:space="preserve">(5) </w:t>
      </w:r>
      <w:r>
        <w:rPr>
          <w:rStyle w:val="Satznummer"/>
        </w:rPr>
        <w:t>1</w:t>
      </w:r>
      <w:r>
        <w:t xml:space="preserve">Über die Gewährung der Akteneinsicht entscheidet im vorbereitenden Verfahren und nach rechtskräftigem Abschluss des Verfahrens die Staatsanwaltschaft, im Übrigen der Vorsitzende des mit der Sache befassten Gerichts. </w:t>
      </w:r>
      <w:r>
        <w:rPr>
          <w:rStyle w:val="Satznummer"/>
        </w:rPr>
        <w:t>2</w:t>
      </w:r>
      <w:r>
        <w:t xml:space="preserve">Versagt die Staatsanwaltschaft die Akteneinsicht, nachdem sie den Abschluss der Ermittlungen in den Akten vermerkt hat, versagt sie die Einsicht nach Absatz 3 oder befindet sich der Beschuldigte nicht auf freiem Fuß, so kann gerichtliche Entscheidung durch das nach </w:t>
      </w:r>
      <w:hyperlink w:anchor="b294" w:history="1">
        <w:r>
          <w:rPr>
            <w:color w:val="0A3A8C"/>
            <w:u w:val="single"/>
          </w:rPr>
          <w:t xml:space="preserve">§ 162</w:t>
        </w:r>
      </w:hyperlink>
      <w:r>
        <w:t xml:space="preserve"> zuständige Gericht beantragt werden. </w:t>
      </w:r>
      <w:r>
        <w:rPr>
          <w:rStyle w:val="Satznummer"/>
        </w:rPr>
        <w:t>3</w:t>
      </w:r>
      <w:r>
        <w:t xml:space="preserve">Die </w:t>
      </w:r>
      <w:hyperlink w:anchor="b447" w:history="1">
        <w:r>
          <w:rPr>
            <w:color w:val="0A3A8C"/>
            <w:u w:val="single"/>
          </w:rPr>
          <w:t xml:space="preserve">§§ 297</w:t>
        </w:r>
      </w:hyperlink>
      <w:r>
        <w:t xml:space="preserve"> bis </w:t>
      </w:r>
      <w:hyperlink w:anchor="b450" w:history="1">
        <w:r>
          <w:rPr>
            <w:color w:val="0A3A8C"/>
            <w:u w:val="single"/>
          </w:rPr>
          <w:t xml:space="preserve">300</w:t>
        </w:r>
      </w:hyperlink>
      <w:r>
        <w:t xml:space="preserve">, </w:t>
      </w:r>
      <w:hyperlink w:anchor="b452" w:history="1">
        <w:r>
          <w:rPr>
            <w:color w:val="0A3A8C"/>
            <w:u w:val="single"/>
          </w:rPr>
          <w:t xml:space="preserve">302</w:t>
        </w:r>
      </w:hyperlink>
      <w:r>
        <w:t xml:space="preserve">, </w:t>
      </w:r>
      <w:hyperlink w:anchor="b458" w:history="1">
        <w:r>
          <w:rPr>
            <w:color w:val="0A3A8C"/>
            <w:u w:val="single"/>
          </w:rPr>
          <w:t xml:space="preserve">306</w:t>
        </w:r>
      </w:hyperlink>
      <w:r>
        <w:t xml:space="preserve"> bis </w:t>
      </w:r>
      <w:hyperlink w:anchor="b461" w:history="1">
        <w:r>
          <w:rPr>
            <w:color w:val="0A3A8C"/>
            <w:u w:val="single"/>
          </w:rPr>
          <w:t xml:space="preserve">309</w:t>
        </w:r>
      </w:hyperlink>
      <w:r>
        <w:t xml:space="preserve">, </w:t>
      </w:r>
      <w:hyperlink w:anchor="b464" w:history="1">
        <w:r>
          <w:rPr>
            <w:color w:val="0A3A8C"/>
            <w:u w:val="single"/>
          </w:rPr>
          <w:t xml:space="preserve">311a</w:t>
        </w:r>
      </w:hyperlink>
      <w:r>
        <w:t xml:space="preserve"> und </w:t>
      </w:r>
      <w:hyperlink w:anchor="b702" w:history="1">
        <w:r>
          <w:rPr>
            <w:color w:val="0A3A8C"/>
            <w:u w:val="single"/>
          </w:rPr>
          <w:t xml:space="preserve">473a</w:t>
        </w:r>
      </w:hyperlink>
      <w:r>
        <w:t xml:space="preserve"> gelten entsprechend. </w:t>
      </w:r>
      <w:r>
        <w:rPr>
          <w:rStyle w:val="Satznummer"/>
        </w:rPr>
        <w:t>4</w:t>
      </w:r>
      <w:r>
        <w:t>Diese Entscheidungen werden nicht mit Gründen versehen, soweit durch deren Offenlegung der Untersuchungszweck gefährdet werden könnte.</w:t>
      </w:r>
    </w:p>
    <w:p>
      <w:r>
        <w:t xml:space="preserve">(6) </w:t>
      </w:r>
      <w:r>
        <w:rPr>
          <w:rStyle w:val="Satznummer"/>
        </w:rPr>
        <w:t>1</w:t>
      </w:r>
      <w:r>
        <w:t xml:space="preserve">Ist der Grund für die Versagung der Akteneinsicht nicht vorher entfallen, so hebt die Staatsanwaltschaft die Anordnung spätestens mit dem Abschluß der Ermittlungen auf. </w:t>
      </w:r>
      <w:r>
        <w:rPr>
          <w:rStyle w:val="Satznummer"/>
        </w:rPr>
        <w:t>2</w:t>
      </w:r>
      <w:r>
        <w:t>Dem Verteidiger oder dem Beschuldigten, der keinen Verteidiger hat, ist Mitteilung zu machen, sobald das Recht zur Akteneinsicht wieder uneingeschränkt besteht.</w:t>
      </w:r>
    </w:p>
    <w:p>
      <w:r>
        <w:t>(7) (weggefallen)</w:t>
      </w:r>
    </w:p>
    <w:p>
      <w:pPr>
        <w:pStyle w:val="Heading3"/>
      </w:pPr>
      <w:bookmarkStart w:id="259" w:name="b258"/>
      <w:r>
        <w:t>§ 148 Kommunikation des Beschuldigten mit dem Verteidiger</w:t>
      </w:r>
      <w:r>
        <w:t xml:space="preserve"> </w:t>
      </w:r>
      <w:r>
        <w:rPr>
          <w:rStyle w:val="Suchmarke"/>
        </w:rPr>
        <w:t>#148#</w:t>
      </w:r>
      <w:bookmarkEnd w:id="259"/>
    </w:p>
    <w:p>
      <w:r>
        <w:t>(1) Dem Beschuldigten ist, auch wenn er sich nicht auf freiem Fuß befindet, schriftlicher und mündlicher Verkehr mit dem Verteidiger gestattet.</w:t>
      </w:r>
    </w:p>
    <w:p>
      <w:r>
        <w:t xml:space="preserve">(2) </w:t>
      </w:r>
      <w:r>
        <w:rPr>
          <w:rStyle w:val="Satznummer"/>
        </w:rPr>
        <w:t>1</w:t>
      </w:r>
      <w:r>
        <w:t xml:space="preserve">Ist ein nicht auf freiem Fuß befindlicher Beschuldigter einer Tat nach § 129a, auch in Verbindung mit § 129b Abs. 1, des Strafgesetzbuches dringend verdächtig, soll das Gericht anordnen, dass im Verkehr mit Verteidigern Schriftstücke und andere Gegenstände zurückzuweisen sind, sofern sich der Absender nicht damit einverstanden erklärt, dass sie zunächst dem nach </w:t>
      </w:r>
      <w:hyperlink w:anchor="b259" w:history="1">
        <w:r>
          <w:rPr>
            <w:color w:val="0A3A8C"/>
            <w:u w:val="single"/>
          </w:rPr>
          <w:t xml:space="preserve">§ 148a</w:t>
        </w:r>
      </w:hyperlink>
      <w:r>
        <w:t xml:space="preserve"> zuständigen Gericht vorgelegt werden. </w:t>
      </w:r>
      <w:r>
        <w:rPr>
          <w:rStyle w:val="Satznummer"/>
        </w:rPr>
        <w:t>2</w:t>
      </w:r>
      <w:r>
        <w:t xml:space="preserve">Besteht kein Haftbefehl wegen einer Straftat nach § 129a, auch in Verbindung mit § 129b Abs. 1, des Strafgesetzbuches, trifft die Entscheidung das Gericht, das für den Erlass eines Haftbefehls zuständig wäre. </w:t>
      </w:r>
      <w:r>
        <w:rPr>
          <w:rStyle w:val="Satznummer"/>
        </w:rPr>
        <w:t>3</w:t>
      </w:r>
      <w:r>
        <w:t>Ist der schriftliche Verkehr nach Satz 1 zu überwachen, sind für Gespräche mit Verteidigern Vorrichtungen vorzusehen, die die Übergabe von Schriftstücken und anderen Gegenständen ausschließen.</w:t>
      </w:r>
    </w:p>
    <w:p>
      <w:pPr>
        <w:pStyle w:val="Heading3"/>
      </w:pPr>
      <w:bookmarkStart w:id="260" w:name="b259"/>
      <w:r>
        <w:t>§ 148a Durchführung von Überwachungsmaßnahmen</w:t>
      </w:r>
      <w:r>
        <w:t xml:space="preserve"> </w:t>
      </w:r>
      <w:r>
        <w:rPr>
          <w:rStyle w:val="Suchmarke"/>
        </w:rPr>
        <w:t>#148a#</w:t>
      </w:r>
      <w:bookmarkEnd w:id="260"/>
    </w:p>
    <w:p>
      <w:r>
        <w:t xml:space="preserve">(1) </w:t>
      </w:r>
      <w:r>
        <w:rPr>
          <w:rStyle w:val="Satznummer"/>
        </w:rPr>
        <w:t>1</w:t>
      </w:r>
      <w:r>
        <w:t xml:space="preserve">Für die Durchführung von Überwachungsmaßnahmen nach </w:t>
      </w:r>
      <w:hyperlink w:anchor="b258" w:history="1">
        <w:r>
          <w:rPr>
            <w:color w:val="0A3A8C"/>
            <w:u w:val="single"/>
          </w:rPr>
          <w:t xml:space="preserve">§ 148</w:t>
        </w:r>
      </w:hyperlink>
      <w:r>
        <w:t xml:space="preserve"> Abs. 2 ist der Richter bei dem Amtsgericht zuständig, in dessen Bezirk die Vollzugsanstalt liegt. </w:t>
      </w:r>
      <w:r>
        <w:rPr>
          <w:rStyle w:val="Satznummer"/>
        </w:rPr>
        <w:t>2</w:t>
      </w:r>
      <w:r>
        <w:t>Ist eine Anzeige nach § 138 des Strafgesetzbuches zu erstatten, so sind Schriftstücke oder andere Gegenstände, aus denen sich die Verpflichtung zur Anzeige ergibt, vorläufig in Verwahrung zu nehmen; die Vorschriften über die Beschlagnahme bleiben unberührt.</w:t>
      </w:r>
    </w:p>
    <w:p>
      <w:r>
        <w:t xml:space="preserve">(2) </w:t>
      </w:r>
      <w:r>
        <w:rPr>
          <w:rStyle w:val="Satznummer"/>
        </w:rPr>
        <w:t>1</w:t>
      </w:r>
      <w:r>
        <w:t xml:space="preserve">Der Richter, der mit Überwachungsmaßnahmen betraut ist, darf mit dem Gegenstand der Untersuchung weder befaßt sein noch befaßt werden. </w:t>
      </w:r>
      <w:r>
        <w:rPr>
          <w:rStyle w:val="Satznummer"/>
        </w:rPr>
        <w:t>2</w:t>
      </w:r>
      <w:r>
        <w:t>Der Richter hat über Kenntnisse, die er bei der Überwachung erlangt, Verschwiegenheit zu bewahren; § 138 des Strafgesetzbuches bleibt unberührt.</w:t>
      </w:r>
    </w:p>
    <w:p>
      <w:pPr>
        <w:pStyle w:val="Heading3"/>
      </w:pPr>
      <w:bookmarkStart w:id="261" w:name="b260"/>
      <w:r>
        <w:t>§ 149 Zulassung von Beiständen</w:t>
      </w:r>
      <w:r>
        <w:t xml:space="preserve"> </w:t>
      </w:r>
      <w:r>
        <w:rPr>
          <w:rStyle w:val="Suchmarke"/>
        </w:rPr>
        <w:t>#149#</w:t>
      </w:r>
      <w:bookmarkEnd w:id="261"/>
    </w:p>
    <w:p>
      <w:r>
        <w:t xml:space="preserve">(1) </w:t>
      </w:r>
      <w:r>
        <w:rPr>
          <w:rStyle w:val="Satznummer"/>
        </w:rPr>
        <w:t>1</w:t>
      </w:r>
      <w:r>
        <w:t xml:space="preserve">Der Ehegatte oder Lebenspartner eines Angeklagten ist in der Hauptverhandlung als Beistand zuzulassen und auf sein Verlangen zu hören. </w:t>
      </w:r>
      <w:r>
        <w:rPr>
          <w:rStyle w:val="Satznummer"/>
        </w:rPr>
        <w:t>2</w:t>
      </w:r>
      <w:r>
        <w:t>Zeit und Ort der Hauptverhandlung sollen ihm rechtzeitig mitgeteilt werden.</w:t>
      </w:r>
    </w:p>
    <w:p>
      <w:r>
        <w:t>(2) Dasselbe gilt von dem gesetzlichen Vertreter eines Angeklagten.</w:t>
      </w:r>
    </w:p>
    <w:p>
      <w:r>
        <w:t>(3) Im Vorverfahren unterliegt die Zulassung solcher Beistände dem richterlichen Ermessen.</w:t>
      </w:r>
    </w:p>
    <w:p>
      <w:pPr>
        <w:pStyle w:val="Heading3"/>
      </w:pPr>
      <w:bookmarkStart w:id="262" w:name="b261"/>
      <w:r>
        <w:t>§ 150 (weggefallen)</w:t>
      </w:r>
      <w:r>
        <w:t xml:space="preserve"> </w:t>
      </w:r>
      <w:r>
        <w:rPr>
          <w:rStyle w:val="Suchmarke"/>
        </w:rPr>
        <w:t>#150#</w:t>
      </w:r>
      <w:bookmarkEnd w:id="262"/>
    </w:p>
    <w:p>
      <w:pPr>
        <w:pStyle w:val="Heading1"/>
      </w:pPr>
      <w:bookmarkStart w:id="263" w:name="b262"/>
      <w:r>
        <w:t>Zweites Buch Verfahren im ersten Rechtszug</w:t>
      </w:r>
      <w:bookmarkEnd w:id="263"/>
    </w:p>
    <w:p>
      <w:pPr>
        <w:pStyle w:val="Heading2"/>
      </w:pPr>
      <w:bookmarkStart w:id="264" w:name="b263"/>
      <w:r>
        <w:t>Erster Abschnitt Öffentliche Klage</w:t>
      </w:r>
      <w:bookmarkEnd w:id="264"/>
    </w:p>
    <w:p>
      <w:pPr>
        <w:pStyle w:val="Heading3"/>
      </w:pPr>
      <w:bookmarkStart w:id="265" w:name="b264"/>
      <w:r>
        <w:t>§ 151 Anklagegrundsatz</w:t>
      </w:r>
      <w:r>
        <w:t xml:space="preserve"> </w:t>
      </w:r>
      <w:r>
        <w:rPr>
          <w:rStyle w:val="Suchmarke"/>
        </w:rPr>
        <w:t>#151#</w:t>
      </w:r>
      <w:bookmarkEnd w:id="265"/>
    </w:p>
    <w:p>
      <w:r>
        <w:t>Die Eröffnung einer gerichtlichen Untersuchung ist durch die Erhebung einer Klage bedingt.</w:t>
      </w:r>
    </w:p>
    <w:p>
      <w:pPr>
        <w:pStyle w:val="Heading3"/>
      </w:pPr>
      <w:bookmarkStart w:id="266" w:name="b265"/>
      <w:r>
        <w:t>§ 152 Anklagebehörde; Legalitätsgrundsatz</w:t>
      </w:r>
      <w:r>
        <w:t xml:space="preserve"> </w:t>
      </w:r>
      <w:r>
        <w:rPr>
          <w:rStyle w:val="Suchmarke"/>
        </w:rPr>
        <w:t>#152#</w:t>
      </w:r>
      <w:bookmarkEnd w:id="266"/>
    </w:p>
    <w:p>
      <w:r>
        <w:t>(1) Zur Erhebung der öffentlichen Klage ist die Staatsanwaltschaft berufen.</w:t>
      </w:r>
    </w:p>
    <w:p>
      <w:r>
        <w:t>(2) Sie ist, soweit nicht gesetzlich ein anderes bestimmt ist, verpflichtet, wegen aller verfolgbaren Straftaten einzuschreiten, sofern zureichende tatsächliche Anhaltspunkte vorliegen.</w:t>
      </w:r>
    </w:p>
    <w:p>
      <w:pPr>
        <w:pStyle w:val="Heading3"/>
      </w:pPr>
      <w:bookmarkStart w:id="267" w:name="b266"/>
      <w:r>
        <w:t>§ 152a Landesgesetzliche Vorschriften über die Strafverfolgung von Abgeordneten</w:t>
      </w:r>
      <w:r>
        <w:t xml:space="preserve"> </w:t>
      </w:r>
      <w:r>
        <w:rPr>
          <w:rStyle w:val="Suchmarke"/>
        </w:rPr>
        <w:t>#152a#</w:t>
      </w:r>
      <w:bookmarkEnd w:id="267"/>
    </w:p>
    <w:p>
      <w:r>
        <w:t>Landesgesetzliche Vorschriften über die Voraussetzungen, unter denen gegen Mitglieder eines Organs der Gesetzgebung eine Strafverfolgung eingeleitet oder fortgesetzt werden kann, sind auch für die anderen Länder der Bundesrepublik Deutschland und den Bund wirksam.</w:t>
      </w:r>
    </w:p>
    <w:p>
      <w:pPr>
        <w:pStyle w:val="Heading3"/>
      </w:pPr>
      <w:bookmarkStart w:id="268" w:name="b267"/>
      <w:r>
        <w:t>§ 153 Absehen von der Verfolgung bei Geringfügigkeit</w:t>
      </w:r>
      <w:r>
        <w:t xml:space="preserve"> </w:t>
      </w:r>
      <w:r>
        <w:rPr>
          <w:rStyle w:val="Suchmarke"/>
        </w:rPr>
        <w:t>#153#</w:t>
      </w:r>
      <w:bookmarkEnd w:id="268"/>
    </w:p>
    <w:p>
      <w:r>
        <w:t xml:space="preserve">(1) </w:t>
      </w:r>
      <w:r>
        <w:rPr>
          <w:rStyle w:val="Satznummer"/>
        </w:rPr>
        <w:t>1</w:t>
      </w:r>
      <w:r>
        <w:t xml:space="preserve">Hat das Verfahren ein Vergehen zum Gegenstand, so kann die Staatsanwaltschaft mit Zustimmung des für die Eröffnung des Hauptverfahrens zuständigen Gerichts von der Verfolgung absehen, wenn die Schuld des Täters als gering anzusehen wäre und kein öffentliches Interesse an der Verfolgung besteht. </w:t>
      </w:r>
      <w:r>
        <w:rPr>
          <w:rStyle w:val="Satznummer"/>
        </w:rPr>
        <w:t>2</w:t>
      </w:r>
      <w:r>
        <w:t>Der Zustimmung des Gerichtes bedarf es nicht bei einem Vergehen, das nicht mit einer im Mindestmaß erhöhten Strafe bedroht ist und bei dem die durch die Tat verursachten Folgen gering sind.</w:t>
      </w:r>
    </w:p>
    <w:p>
      <w:r>
        <w:t xml:space="preserve">(2) </w:t>
      </w:r>
      <w:r>
        <w:rPr>
          <w:rStyle w:val="Satznummer"/>
        </w:rPr>
        <w:t>1</w:t>
      </w:r>
      <w:r>
        <w:t xml:space="preserve">Ist die Klage bereits erhoben, so kann das Gericht in jeder Lage des Verfahrens unter den Voraussetzungen des Absatzes 1 mit Zustimmung der Staatsanwaltschaft und des Angeschuldigten das Verfahren einstellen. </w:t>
      </w:r>
      <w:r>
        <w:rPr>
          <w:rStyle w:val="Satznummer"/>
        </w:rPr>
        <w:t>2</w:t>
      </w:r>
      <w:r>
        <w:t xml:space="preserve">Der Zustimmung des Angeschuldigten bedarf es nicht, wenn die Hauptverhandlung aus den in </w:t>
      </w:r>
      <w:hyperlink w:anchor="b333" w:history="1">
        <w:r>
          <w:rPr>
            <w:color w:val="0A3A8C"/>
            <w:u w:val="single"/>
          </w:rPr>
          <w:t xml:space="preserve">§ 205</w:t>
        </w:r>
      </w:hyperlink>
      <w:r>
        <w:t xml:space="preserve"> angeführten Gründen nicht durchgeführt werden kann oder in den Fällen des </w:t>
      </w:r>
      <w:hyperlink w:anchor="b367" w:history="1">
        <w:r>
          <w:rPr>
            <w:color w:val="0A3A8C"/>
            <w:u w:val="single"/>
          </w:rPr>
          <w:t xml:space="preserve">§ 231</w:t>
        </w:r>
      </w:hyperlink>
      <w:r>
        <w:t xml:space="preserve"> Abs. 2 und der §§ 232 und 233 in seiner Abwesenheit durchgeführt wird. </w:t>
      </w:r>
      <w:r>
        <w:rPr>
          <w:rStyle w:val="Satznummer"/>
        </w:rPr>
        <w:t>3</w:t>
      </w:r>
      <w:r>
        <w:t xml:space="preserve">Die Entscheidung ergeht durch Beschluß. </w:t>
      </w:r>
      <w:r>
        <w:rPr>
          <w:rStyle w:val="Satznummer"/>
        </w:rPr>
        <w:t>4</w:t>
      </w:r>
      <w:r>
        <w:t>Der Beschluß ist nicht anfechtbar.</w:t>
      </w:r>
    </w:p>
    <w:p>
      <w:pPr>
        <w:pStyle w:val="Heading3"/>
      </w:pPr>
      <w:bookmarkStart w:id="269" w:name="b268"/>
      <w:r>
        <w:t>§ 153a Absehen von der Verfolgung unter Auflagen und Weisungen</w:t>
      </w:r>
      <w:r>
        <w:t xml:space="preserve"> </w:t>
      </w:r>
      <w:r>
        <w:rPr>
          <w:rStyle w:val="Suchmarke"/>
        </w:rPr>
        <w:t>#153a#</w:t>
      </w:r>
      <w:bookmarkEnd w:id="269"/>
    </w:p>
    <w:p>
      <w:r>
        <w:t xml:space="preserve">(1) </w:t>
      </w:r>
      <w:r>
        <w:rPr>
          <w:rStyle w:val="Satznummer"/>
        </w:rPr>
        <w:t>1</w:t>
      </w:r>
      <w:r>
        <w:t xml:space="preserve">Mit Zustimmung des für die Eröffnung des Hauptverfahrens zuständigen Gerichts und des Beschuldigten kann die Staatsanwaltschaft bei einem Vergehen vorläufig von der Erhebung der öffentlichen Klage absehen und zugleich dem Beschuldigten Auflagen und Weisungen erteilen, wenn diese geeignet sind, das öffentliche Interesse an der Strafverfolgung zu beseitigen, und die Schwere der Schuld nicht entgegensteht. </w:t>
      </w:r>
      <w:r>
        <w:rPr>
          <w:rStyle w:val="Satznummer"/>
        </w:rPr>
        <w:t>2</w:t>
      </w:r>
      <w:r>
        <w:t>Als Auflagen oder Weisungen kommen insbesondere in Betracht,</w:t>
      </w:r>
    </w:p>
    <w:p>
      <w:pPr>
        <w:tabs>
          <w:tab w:pos="567" w:val="left"/>
        </w:tabs>
        <w:ind w:left="567" w:hanging="567"/>
      </w:pPr>
      <w:r>
        <w:t>1.</w:t>
      </w:r>
      <w:r>
        <w:tab/>
      </w:r>
      <w:r>
        <w:t>zur Wiedergutmachung des durch die Tat verursachten Schadens eine bestimmte Leistung zu erbringen,</w:t>
      </w:r>
    </w:p>
    <w:p>
      <w:pPr>
        <w:tabs>
          <w:tab w:pos="567" w:val="left"/>
        </w:tabs>
        <w:ind w:left="567" w:hanging="567"/>
      </w:pPr>
      <w:r>
        <w:t>2.</w:t>
      </w:r>
      <w:r>
        <w:tab/>
      </w:r>
      <w:r>
        <w:t>einen Geldbetrag zugunsten einer gemeinnützigen Einrichtung oder der Staatskasse zu zahlen,</w:t>
      </w:r>
    </w:p>
    <w:p>
      <w:pPr>
        <w:tabs>
          <w:tab w:pos="567" w:val="left"/>
        </w:tabs>
        <w:ind w:left="567" w:hanging="567"/>
      </w:pPr>
      <w:r>
        <w:t>3.</w:t>
      </w:r>
      <w:r>
        <w:tab/>
      </w:r>
      <w:r>
        <w:t>sonst gemeinnützige Leistungen zu erbringen,</w:t>
      </w:r>
    </w:p>
    <w:p>
      <w:pPr>
        <w:tabs>
          <w:tab w:pos="567" w:val="left"/>
        </w:tabs>
        <w:ind w:left="567" w:hanging="567"/>
      </w:pPr>
      <w:r>
        <w:t>4.</w:t>
      </w:r>
      <w:r>
        <w:tab/>
      </w:r>
      <w:r>
        <w:t>Unterhaltspflichten in einer bestimmten Höhe nachzukommen,</w:t>
      </w:r>
    </w:p>
    <w:p>
      <w:pPr>
        <w:tabs>
          <w:tab w:pos="567" w:val="left"/>
        </w:tabs>
        <w:ind w:left="567" w:hanging="567"/>
      </w:pPr>
      <w:r>
        <w:t>5.</w:t>
      </w:r>
      <w:r>
        <w:tab/>
      </w:r>
      <w:r>
        <w:t>sich ernsthaft zu bemühen, einen Ausgleich mit dem Verletzten zu erreichen (Täter-Opfer-Ausgleich) und dabei seine Tat ganz oder zum überwiegenden Teil wieder gut zu machen oder deren Wiedergutmachung zu erstreben,</w:t>
      </w:r>
    </w:p>
    <w:p>
      <w:pPr>
        <w:tabs>
          <w:tab w:pos="567" w:val="left"/>
        </w:tabs>
        <w:ind w:left="567" w:hanging="567"/>
      </w:pPr>
      <w:r>
        <w:t>6.</w:t>
      </w:r>
      <w:r>
        <w:tab/>
      </w:r>
      <w:r>
        <w:t>an einem sozialen Trainingskurs teilzunehmen,</w:t>
      </w:r>
    </w:p>
    <w:p>
      <w:pPr>
        <w:tabs>
          <w:tab w:pos="567" w:val="left"/>
        </w:tabs>
        <w:ind w:left="567" w:hanging="567"/>
      </w:pPr>
      <w:r>
        <w:t>7.</w:t>
      </w:r>
      <w:r>
        <w:tab/>
      </w:r>
      <w:r>
        <w:t>an einem Aufbauseminar nach § 2b Abs. 2 Satz 2 oder an einem Fahreignungsseminar nach § 4a des Straßenverkehrsgesetzes teilzunehmen oder</w:t>
      </w:r>
    </w:p>
    <w:p>
      <w:pPr>
        <w:tabs>
          <w:tab w:pos="567" w:val="left"/>
        </w:tabs>
        <w:ind w:left="567" w:hanging="567"/>
      </w:pPr>
      <w:r>
        <w:t>8.</w:t>
      </w:r>
      <w:r>
        <w:tab/>
      </w:r>
      <w:r>
        <w:t>sich psychiatrisch, psycho- oder sozialtherapeutisch betreuen und behandeln zu lassen (Therapieweisung).</w:t>
      </w:r>
    </w:p>
    <w:p>
      <w:r>
        <w:rPr>
          <w:rStyle w:val="Satznummer"/>
        </w:rPr>
        <w:t>3</w:t>
      </w:r>
      <w:r>
        <w:t xml:space="preserve">Zur Erfüllung der Auflagen und Weisungen setzt die Staatsanwaltschaft dem Beschuldigten eine Frist, die in den Fällen des Satzes 2 Nummer 1 bis 3, 5 und 7 höchstens sechs Monate, in den Fällen des Satzes 2 Nummer 4, 6 und 8 höchstens ein Jahr beträgt. </w:t>
      </w:r>
      <w:r>
        <w:rPr>
          <w:rStyle w:val="Satznummer"/>
        </w:rPr>
        <w:t>4</w:t>
      </w:r>
      <w:r>
        <w:t xml:space="preserve">Die Staatsanwaltschaft kann Auflagen und Weisungen nachträglich aufheben und die Frist einmal für die Dauer von drei Monaten verlängern; mit Zustimmung des Beschuldigten kann sie auch Auflagen und Weisungen nachträglich auferlegen und ändern. </w:t>
      </w:r>
      <w:r>
        <w:rPr>
          <w:rStyle w:val="Satznummer"/>
        </w:rPr>
        <w:t>5</w:t>
      </w:r>
      <w:r>
        <w:t xml:space="preserve">Erfüllt der Beschuldigte die Auflagen und Weisungen, so kann die Tat nicht mehr als Vergehen verfolgt werden. </w:t>
      </w:r>
      <w:r>
        <w:rPr>
          <w:rStyle w:val="Satznummer"/>
        </w:rPr>
        <w:t>6</w:t>
      </w:r>
      <w:r>
        <w:t xml:space="preserve">Erfüllt der Beschuldigte die Auflagen und Weisungen nicht, so werden Leistungen, die er zu ihrer Erfüllung erbracht hat, nicht erstattet. </w:t>
      </w:r>
      <w:r>
        <w:rPr>
          <w:rStyle w:val="Satznummer"/>
        </w:rPr>
        <w:t>7</w:t>
      </w:r>
      <w:hyperlink w:anchor="b267" w:history="1">
        <w:r>
          <w:rPr>
            <w:color w:val="0A3A8C"/>
            <w:u w:val="single"/>
          </w:rPr>
          <w:t xml:space="preserve">§ 153</w:t>
        </w:r>
      </w:hyperlink>
      <w:r>
        <w:t xml:space="preserve"> Abs. 1 Satz 2 gilt in den Fällen des Satzes 2 Nummer 1 bis 6 entsprechend. </w:t>
      </w:r>
      <w:r>
        <w:rPr>
          <w:rStyle w:val="Satznummer"/>
        </w:rPr>
        <w:t>8</w:t>
      </w:r>
      <w:hyperlink w:anchor="b388" w:history="1">
        <w:r>
          <w:rPr>
            <w:color w:val="0A3A8C"/>
            <w:u w:val="single"/>
          </w:rPr>
          <w:t xml:space="preserve">§ 246a</w:t>
        </w:r>
      </w:hyperlink>
      <w:r>
        <w:t xml:space="preserve"> Absatz 2 gilt entsprechend.</w:t>
      </w:r>
    </w:p>
    <w:p>
      <w:r>
        <w:t xml:space="preserve">(2) </w:t>
      </w:r>
      <w:r>
        <w:rPr>
          <w:rStyle w:val="Satznummer"/>
        </w:rPr>
        <w:t>1</w:t>
      </w:r>
      <w:r>
        <w:t xml:space="preserve">Ist die Klage bereits erhoben, so kann das Gericht mit Zustimmung der Staatsanwaltschaft und des Angeschuldigten das Verfahren vorläufig einstellen und zugleich dem Angeschuldigten die in Absatz 1 Satz 1 und 2 bezeichneten Auflagen und Weisungen erteilen. </w:t>
      </w:r>
      <w:r>
        <w:rPr>
          <w:rStyle w:val="Satznummer"/>
        </w:rPr>
        <w:t>2</w:t>
      </w:r>
      <w:r>
        <w:t xml:space="preserve">Absatz 1 Satz 3 bis 6 und 8 gilt entsprechend. </w:t>
      </w:r>
      <w:r>
        <w:rPr>
          <w:rStyle w:val="Satznummer"/>
        </w:rPr>
        <w:t>3</w:t>
      </w:r>
      <w:r>
        <w:t xml:space="preserve">Die Entscheidung nach Satz 1 ergeht durch Beschluß. </w:t>
      </w:r>
      <w:r>
        <w:rPr>
          <w:rStyle w:val="Satznummer"/>
        </w:rPr>
        <w:t>4</w:t>
      </w:r>
      <w:r>
        <w:t xml:space="preserve">Der Beschluß ist nicht anfechtbar. </w:t>
      </w:r>
      <w:r>
        <w:rPr>
          <w:rStyle w:val="Satznummer"/>
        </w:rPr>
        <w:t>5</w:t>
      </w:r>
      <w:r>
        <w:t>Satz 4 gilt auch für eine Feststellung, daß gemäß Satz 1 erteilte Auflagen und Weisungen erfüllt worden sind.</w:t>
      </w:r>
    </w:p>
    <w:p>
      <w:r>
        <w:t>(3) Während des Laufes der für die Erfüllung der Auflagen und Weisungen gesetzten Frist ruht die Verjährung.</w:t>
      </w:r>
    </w:p>
    <w:p>
      <w:r>
        <w:t xml:space="preserve">(4) </w:t>
      </w:r>
      <w:r>
        <w:rPr>
          <w:rStyle w:val="Satznummer"/>
        </w:rPr>
        <w:t>1</w:t>
      </w:r>
      <w:hyperlink w:anchor="b283" w:history="1">
        <w:r>
          <w:rPr>
            <w:color w:val="0A3A8C"/>
            <w:u w:val="single"/>
          </w:rPr>
          <w:t xml:space="preserve">§ 155b</w:t>
        </w:r>
      </w:hyperlink>
      <w:r>
        <w:t xml:space="preserve"> findet im Fall des Absatzes 1 Satz 2 Nummer 6, auch in Verbindung mit Absatz 2, entsprechende Anwendung mit der Maßgabe, dass personenbezogene Daten aus dem Strafverfahren, die nicht den Beschuldigten betreffen, an die mit der Durchführung des sozialen Trainingskurses befasste Stelle nur übermittelt werden dürfen, soweit die betroffenen Personen in die Übermittlung eingewilligt haben. </w:t>
      </w:r>
      <w:r>
        <w:rPr>
          <w:rStyle w:val="Satznummer"/>
        </w:rPr>
        <w:t>2</w:t>
      </w:r>
      <w:r>
        <w:t>Satz 1 gilt entsprechend, wenn nach sonstigen strafrechtlichen Vorschriften die Weisung erteilt wird, an einem sozialen Trainingskurs teilzunehmen.</w:t>
      </w:r>
    </w:p>
    <w:p>
      <w:pPr>
        <w:pStyle w:val="Heading3"/>
      </w:pPr>
      <w:bookmarkStart w:id="270" w:name="b269"/>
      <w:r>
        <w:t>§ 153b Absehen von der Verfolgung bei möglichem Absehen von Strafe</w:t>
      </w:r>
      <w:r>
        <w:t xml:space="preserve"> </w:t>
      </w:r>
      <w:r>
        <w:rPr>
          <w:rStyle w:val="Suchmarke"/>
        </w:rPr>
        <w:t>#153b#</w:t>
      </w:r>
      <w:bookmarkEnd w:id="270"/>
    </w:p>
    <w:p>
      <w:r>
        <w:t>(1) Liegen die Voraussetzungen vor, unter denen das Gericht von Strafe absehen könnte, so kann die Staatsanwaltschaft mit Zustimmung des Gerichts, das für die Hauptverhandlung zuständig wäre, von der Erhebung der öffentlichen Klage absehen.</w:t>
      </w:r>
    </w:p>
    <w:p>
      <w:r>
        <w:t>(2) Ist die Klage bereits erhoben, so kann das Gericht bis zum Beginn der Hauptverhandlung mit Zustimmung der Staatsanwaltschaft und des Angeschuldigten das Verfahren einstellen.</w:t>
      </w:r>
    </w:p>
    <w:p>
      <w:pPr>
        <w:pStyle w:val="Heading3"/>
      </w:pPr>
      <w:bookmarkStart w:id="271" w:name="b270"/>
      <w:r>
        <w:t>§ 153c Absehen von der Verfolgung bei Auslandstaten</w:t>
      </w:r>
      <w:r>
        <w:t xml:space="preserve"> </w:t>
      </w:r>
      <w:r>
        <w:rPr>
          <w:rStyle w:val="Suchmarke"/>
        </w:rPr>
        <w:t>#153c#</w:t>
      </w:r>
      <w:bookmarkEnd w:id="271"/>
    </w:p>
    <w:p>
      <w:r>
        <w:t xml:space="preserve">(1) </w:t>
      </w:r>
      <w:r>
        <w:rPr>
          <w:rStyle w:val="Satznummer"/>
        </w:rPr>
        <w:t>1</w:t>
      </w:r>
      <w:r>
        <w:t>Die Staatsanwaltschaft kann von der Verfolgung von Straftaten absehen,</w:t>
      </w:r>
    </w:p>
    <w:p>
      <w:pPr>
        <w:tabs>
          <w:tab w:pos="567" w:val="left"/>
        </w:tabs>
        <w:ind w:left="567" w:hanging="567"/>
      </w:pPr>
      <w:r>
        <w:t>1.</w:t>
      </w:r>
      <w:r>
        <w:tab/>
      </w:r>
      <w:r>
        <w:t>die außerhalb des räumlichen Geltungsbereichs dieses Gesetzes begangen sind oder die ein Teilnehmer an einer außerhalb des räumlichen Geltungsbereichs dieses Gesetzes begangenen Handlung in diesem Bereich begangen hat,</w:t>
      </w:r>
    </w:p>
    <w:p>
      <w:pPr>
        <w:tabs>
          <w:tab w:pos="567" w:val="left"/>
        </w:tabs>
        <w:ind w:left="567" w:hanging="567"/>
      </w:pPr>
      <w:r>
        <w:t>2.</w:t>
      </w:r>
      <w:r>
        <w:tab/>
      </w:r>
      <w:r>
        <w:t>die ein Ausländer im Inland auf einem ausländischen Schiff oder Luftfahrzeug begangen hat,</w:t>
      </w:r>
    </w:p>
    <w:p>
      <w:pPr>
        <w:tabs>
          <w:tab w:pos="567" w:val="left"/>
        </w:tabs>
        <w:ind w:left="567" w:hanging="567"/>
      </w:pPr>
      <w:r>
        <w:t>3.</w:t>
      </w:r>
      <w:r>
        <w:tab/>
      </w:r>
      <w:r>
        <w:t xml:space="preserve">wenn in den Fällen der </w:t>
      </w:r>
      <w:hyperlink w:anchor="b222" w:history="1">
        <w:r>
          <w:rPr>
            <w:color w:val="0A3A8C"/>
            <w:u w:val="single"/>
          </w:rPr>
          <w:t xml:space="preserve">§§ 129</w:t>
        </w:r>
      </w:hyperlink>
      <w:r>
        <w:t xml:space="preserve"> und 129a, jeweils auch in Verbindung mit § 129b Abs. 1, des Strafgesetzbuches die Vereinigung nicht oder nicht überwiegend im Inland besteht und die im Inland begangenen Beteiligungshandlungen von untergeordneter Bedeutung sind oder sich auf die bloße Mitgliedschaft beschränken.</w:t>
      </w:r>
    </w:p>
    <w:p>
      <w:r>
        <w:rPr>
          <w:rStyle w:val="Satznummer"/>
        </w:rPr>
        <w:t>2</w:t>
      </w:r>
      <w:r>
        <w:t xml:space="preserve">Für Taten, die nach dem Völkerstrafgesetzbuch strafbar sind, gilt </w:t>
      </w:r>
      <w:hyperlink w:anchor="b273" w:history="1">
        <w:r>
          <w:rPr>
            <w:color w:val="0A3A8C"/>
            <w:u w:val="single"/>
          </w:rPr>
          <w:t xml:space="preserve">§ 153f</w:t>
        </w:r>
      </w:hyperlink>
      <w:r>
        <w:t>.</w:t>
      </w:r>
    </w:p>
    <w:p>
      <w:r>
        <w:t>(2) Die Staatsanwaltschaft kann von der Verfolgung einer Tat absehen, wenn wegen der Tat im Ausland schon eine Strafe gegen den Beschuldigten vollstreckt worden ist und die im Inland zu erwartende Strafe nach Anrechnung der ausländischen nicht ins Gewicht fiele oder der Beschuldigte wegen der Tat im Ausland rechtskräftig freigesprochen worden ist.</w:t>
      </w:r>
    </w:p>
    <w:p>
      <w:r>
        <w:t>(3) Die Staatsanwaltschaft kann auch von der Verfolgung von Straftaten absehen, die im räumlichen Geltungsbereich dieses Gesetzes durch eine außerhalb dieses Bereichs ausgeübte Tätigkeit begangen sind, wenn die Durchführung des Verfahrens die Gefahr eines schweren Nachteils für die Bundesrepublik Deutschland herbeiführen würde oder wenn der Verfolgung sonstige überwiegende öffentliche Interessen entgegenstehen.</w:t>
      </w:r>
    </w:p>
    <w:p>
      <w:r>
        <w:t>(4) Ist die Klage bereits erhoben, so kann die Staatsanwaltschaft in den Fällen des Absatzes 1 Nr. 1, 2 und des Absatzes 3 die Klage in jeder Lage des Verfahrens zurücknehmen und das Verfahren einstellen, wenn die Durchführung des Verfahrens die Gefahr eines schweren Nachteils für die Bundesrepublik Deutschland herbeiführen würde oder wenn der Verfolgung sonstige überwiegende öffentliche Interessen entgegenstehen.</w:t>
      </w:r>
    </w:p>
    <w:p>
      <w:r>
        <w:t>(5) Hat das Verfahren Straftaten der in § 74a Abs. 1 Nr. 2 bis 6 und § 120 Abs. 1 Nr. 2 bis 7 des Gerichtsverfassungsgesetzes bezeichneten Art zum Gegenstand, so stehen diese Befugnisse dem Generalbundesanwalt zu.</w:t>
      </w:r>
    </w:p>
    <w:p>
      <w:pPr>
        <w:pStyle w:val="Heading3"/>
      </w:pPr>
      <w:bookmarkStart w:id="272" w:name="b271"/>
      <w:r>
        <w:t>§ 153d Absehen von der Verfolgung bei Staatsschutzdelikten wegen überwiegender öffentlicher Interessen</w:t>
      </w:r>
      <w:r>
        <w:t xml:space="preserve"> </w:t>
      </w:r>
      <w:r>
        <w:rPr>
          <w:rStyle w:val="Suchmarke"/>
        </w:rPr>
        <w:t>#153d#</w:t>
      </w:r>
      <w:bookmarkEnd w:id="272"/>
    </w:p>
    <w:p>
      <w:r>
        <w:t>(1) Der Generalbundesanwalt kann von der Verfolgung von Straftaten der in § 74a Abs. 1 Nr. 2 bis 6 und in § 120 Abs. 1 Nr. 2 bis 7 des Gerichtsverfassungsgesetzes bezeichneten Art absehen, wenn die Durchführung des Verfahrens die Gefahr eines schweren Nachteils für die Bundesrepublik Deutschland herbeiführen würde oder wenn der Verfolgung sonstige überwiegende öffentliche Interessen entgegenstehen.</w:t>
      </w:r>
    </w:p>
    <w:p>
      <w:r>
        <w:t>(2) Ist die Klage bereits erhoben, so kann der Generalbundesanwalt unter den in Absatz 1 bezeichneten Voraussetzungen die Klage in jeder Lage des Verfahrens zurücknehmen und das Verfahren einstellen.</w:t>
      </w:r>
    </w:p>
    <w:p>
      <w:pPr>
        <w:pStyle w:val="Heading3"/>
      </w:pPr>
      <w:bookmarkStart w:id="273" w:name="b272"/>
      <w:r>
        <w:t>§ 153e Absehen von der Verfolgung bei Staatsschutzdelikten wegen tätiger Reue</w:t>
      </w:r>
      <w:r>
        <w:t xml:space="preserve"> </w:t>
      </w:r>
      <w:r>
        <w:rPr>
          <w:rStyle w:val="Suchmarke"/>
        </w:rPr>
        <w:t>#153e#</w:t>
      </w:r>
      <w:bookmarkEnd w:id="273"/>
    </w:p>
    <w:p>
      <w:r>
        <w:t xml:space="preserve">(1) </w:t>
      </w:r>
      <w:r>
        <w:rPr>
          <w:rStyle w:val="Satznummer"/>
        </w:rPr>
        <w:t>1</w:t>
      </w:r>
      <w:r>
        <w:t xml:space="preserve">Hat das Verfahren Straftaten der in § 74a Abs. 1 Nr. 2 bis 4 und in § 120 Abs. 1 Nr. 2 bis 7 des Gerichtsverfassungsgesetzes bezeichneten Art zum Gegenstand, so kann der Generalbundesanwalt mit Zustimmung des nach § 120 des Gerichtsverfassungsgesetzes zuständigen Oberlandesgerichts von der Verfolgung einer solchen Tat absehen, wenn der Täter nach der Tat, bevor ihm deren Entdeckung bekanntgeworden ist, dazu beigetragen hat, eine Gefahr für den Bestand oder die Sicherheit der Bundesrepublik Deutschland oder die verfassungsmäßige Ordnung abzuwenden. </w:t>
      </w:r>
      <w:r>
        <w:rPr>
          <w:rStyle w:val="Satznummer"/>
        </w:rPr>
        <w:t>2</w:t>
      </w:r>
      <w:r>
        <w:t>Dasselbe gilt, wenn der Täter einen solchen Beitrag dadurch geleistet hat, daß er nach der Tat sein mit ihr zusammenhängendes Wissen über Bestrebungen des Hochverrats, der Gefährdung des demokratischen Rechtsstaates oder des Landesverrats und der Gefährdung der äußeren Sicherheit einer Dienststelle offenbart hat.</w:t>
      </w:r>
    </w:p>
    <w:p>
      <w:r>
        <w:t>(2) Ist die Klage bereits erhoben, so kann das nach § 120 des Gerichtsverfassungsgesetzes zuständige Oberlandesgericht mit Zustimmung des Generalbundesanwalts das Verfahren unter den in Absatz 1 bezeichneten Voraussetzungen einstellen.</w:t>
      </w:r>
    </w:p>
    <w:p>
      <w:pPr>
        <w:pStyle w:val="Heading3"/>
      </w:pPr>
      <w:bookmarkStart w:id="274" w:name="b273"/>
      <w:r>
        <w:t>§ 153f Absehen von der Verfolgung bei Straftaten nach dem Völkerstrafgesetzbuch</w:t>
      </w:r>
      <w:r>
        <w:t xml:space="preserve"> </w:t>
      </w:r>
      <w:r>
        <w:rPr>
          <w:rStyle w:val="Suchmarke"/>
        </w:rPr>
        <w:t>#153f#</w:t>
      </w:r>
      <w:bookmarkEnd w:id="274"/>
    </w:p>
    <w:p>
      <w:r>
        <w:t xml:space="preserve">(1) </w:t>
      </w:r>
      <w:r>
        <w:rPr>
          <w:rStyle w:val="Satznummer"/>
        </w:rPr>
        <w:t>1</w:t>
      </w:r>
      <w:r>
        <w:t xml:space="preserve">Die Staatsanwaltschaft kann von der Verfolgung einer Tat, die nach den §§ 6 bis 15 des Völkerstrafgesetzbuches strafbar ist, in den Fällen des </w:t>
      </w:r>
      <w:hyperlink w:anchor="b270" w:history="1">
        <w:r>
          <w:rPr>
            <w:color w:val="0A3A8C"/>
            <w:u w:val="single"/>
          </w:rPr>
          <w:t xml:space="preserve">§ 153c</w:t>
        </w:r>
      </w:hyperlink>
      <w:r>
        <w:t xml:space="preserve"> Abs. 1 Nr. 1 und 2 absehen, wenn sich der Beschuldigte nicht im Inland aufhält und ein solcher Aufenthalt auch nicht zu erwarten ist. </w:t>
      </w:r>
      <w:r>
        <w:rPr>
          <w:rStyle w:val="Satznummer"/>
        </w:rPr>
        <w:t>2</w:t>
      </w:r>
      <w:r>
        <w:t>Ist in den Fällen des § 153c Abs. 1 Nr. 1 der Beschuldigte Deutscher, so gilt dies jedoch nur dann, wenn die Tat vor einem internationalen Gerichtshof oder durch einen Staat, auf dessen Gebiet die Tat begangen oder dessen Angehöriger durch die Tat verletzt wurde, verfolgt wird.</w:t>
      </w:r>
    </w:p>
    <w:p>
      <w:r>
        <w:t xml:space="preserve">(2) </w:t>
      </w:r>
      <w:r>
        <w:rPr>
          <w:rStyle w:val="Satznummer"/>
        </w:rPr>
        <w:t>1</w:t>
      </w:r>
      <w:r>
        <w:t xml:space="preserve">Die Staatsanwaltschaft kann insbesondere von der Verfolgung einer Tat, die nach den §§ 6 bis 12, 14 und 15 des Völkerstrafgesetzbuches strafbar ist, in den Fällen des </w:t>
      </w:r>
      <w:hyperlink w:anchor="b270" w:history="1">
        <w:r>
          <w:rPr>
            <w:color w:val="0A3A8C"/>
            <w:u w:val="single"/>
          </w:rPr>
          <w:t xml:space="preserve">§ 153c</w:t>
        </w:r>
      </w:hyperlink>
      <w:r>
        <w:t xml:space="preserve"> Abs. 1 Nr. 1 und 2 absehen, wenn</w:t>
      </w:r>
    </w:p>
    <w:p>
      <w:pPr>
        <w:tabs>
          <w:tab w:pos="567" w:val="left"/>
        </w:tabs>
        <w:ind w:left="567" w:hanging="567"/>
      </w:pPr>
      <w:r>
        <w:t>1.</w:t>
      </w:r>
      <w:r>
        <w:tab/>
      </w:r>
      <w:r>
        <w:t>kein Tatverdacht gegen einen Deutschen besteht,</w:t>
      </w:r>
    </w:p>
    <w:p>
      <w:pPr>
        <w:tabs>
          <w:tab w:pos="567" w:val="left"/>
        </w:tabs>
        <w:ind w:left="567" w:hanging="567"/>
      </w:pPr>
      <w:r>
        <w:t>2.</w:t>
      </w:r>
      <w:r>
        <w:tab/>
      </w:r>
      <w:r>
        <w:t>die Tat nicht gegen einen Deutschen begangen wurde,</w:t>
      </w:r>
    </w:p>
    <w:p>
      <w:pPr>
        <w:tabs>
          <w:tab w:pos="567" w:val="left"/>
        </w:tabs>
        <w:ind w:left="567" w:hanging="567"/>
      </w:pPr>
      <w:r>
        <w:t>3.</w:t>
      </w:r>
      <w:r>
        <w:tab/>
      </w:r>
      <w:r>
        <w:t>kein Tatverdächtiger sich im Inland aufhält und ein solcher Aufenthalt auch nicht zu erwarten ist und</w:t>
      </w:r>
    </w:p>
    <w:p>
      <w:pPr>
        <w:tabs>
          <w:tab w:pos="567" w:val="left"/>
        </w:tabs>
        <w:ind w:left="567" w:hanging="567"/>
      </w:pPr>
      <w:r>
        <w:t>4.</w:t>
      </w:r>
      <w:r>
        <w:tab/>
      </w:r>
      <w:r>
        <w:t>die Tat vor einem internationalen Gerichtshof oder durch einen Staat, auf dessen Gebiet die Tat begangen wurde, dessen Angehöriger der Tat verdächtig ist oder dessen Angehöriger durch die Tat verletzt wurde, verfolgt wird.</w:t>
      </w:r>
    </w:p>
    <w:p>
      <w:r>
        <w:rPr>
          <w:rStyle w:val="Satznummer"/>
        </w:rPr>
        <w:t>2</w:t>
      </w:r>
      <w:r>
        <w:t>Dasselbe gilt, wenn sich ein wegen einer im Ausland begangenen Tat beschuldigter Ausländer im Inland aufhält, aber die Voraussetzungen nach Satz 1 Nr. 2 und 4 erfüllt sind und die Überstellung an einen internationalen Gerichtshof oder die Auslieferung an den verfolgenden Staat zulässig und beabsichtigt ist.</w:t>
      </w:r>
    </w:p>
    <w:p>
      <w:r>
        <w:t>(3) Ist in den Fällen des Absatzes 1 oder 2 die öffentliche Klage bereits erhoben, so kann die Staatsanwaltschaft die Klage in jeder Lage des Verfahrens zurücknehmen und das Verfahren einstellen.</w:t>
      </w:r>
    </w:p>
    <w:p>
      <w:pPr>
        <w:pStyle w:val="Heading3"/>
      </w:pPr>
      <w:bookmarkStart w:id="275" w:name="b274"/>
      <w:r>
        <w:t>§ 154 Teileinstellung bei mehreren Taten</w:t>
      </w:r>
      <w:r>
        <w:t xml:space="preserve"> </w:t>
      </w:r>
      <w:r>
        <w:rPr>
          <w:rStyle w:val="Suchmarke"/>
        </w:rPr>
        <w:t>#154#</w:t>
      </w:r>
      <w:bookmarkEnd w:id="275"/>
    </w:p>
    <w:p>
      <w:r>
        <w:t>(1) Die Staatsanwaltschaft kann von der Verfolgung einer Tat absehen,</w:t>
      </w:r>
    </w:p>
    <w:p>
      <w:pPr>
        <w:tabs>
          <w:tab w:pos="567" w:val="left"/>
        </w:tabs>
        <w:ind w:left="567" w:hanging="567"/>
      </w:pPr>
      <w:r>
        <w:t>1.</w:t>
      </w:r>
      <w:r>
        <w:tab/>
      </w:r>
      <w:r>
        <w:t>wenn die Strafe oder die Maßregel der Besserung und Sicherung, zu der die Verfolgung führen kann, neben einer Strafe oder Maßregel der Besserung und Sicherung, die gegen den Beschuldigten wegen einer anderen Tat rechtskräftig verhängt worden ist oder die er wegen einer anderen Tat zu erwarten hat, nicht beträchtlich ins Gewicht fällt oder</w:t>
      </w:r>
    </w:p>
    <w:p>
      <w:pPr>
        <w:tabs>
          <w:tab w:pos="567" w:val="left"/>
        </w:tabs>
        <w:ind w:left="567" w:hanging="567"/>
      </w:pPr>
      <w:r>
        <w:t>2.</w:t>
      </w:r>
      <w:r>
        <w:tab/>
      </w:r>
      <w:r>
        <w:t>darüber hinaus, wenn ein Urteil wegen dieser Tat in angemessener Frist nicht zu erwarten ist und wenn eine Strafe oder Maßregel der Besserung und Sicherung, die gegen den Beschuldigten rechtskräftig verhängt worden ist oder die er wegen einer anderen Tat zu erwarten hat, zur Einwirkung auf den Täter und zur Verteidigung der Rechtsordnung ausreichend erscheint.</w:t>
      </w:r>
    </w:p>
    <w:p>
      <w:r>
        <w:t>(2) Ist die öffentliche Klage bereits erhoben, so kann das Gericht auf Antrag der Staatsanwaltschaft das Verfahren in jeder Lage vorläufig einstellen.</w:t>
      </w:r>
    </w:p>
    <w:p>
      <w:r>
        <w:t>(3) Ist das Verfahren mit Rücksicht auf eine wegen einer anderen Tat bereits rechtskräftig erkannten Strafe oder Maßregel der Besserung und Sicherung vorläufig eingestellt worden, so kann es, falls nicht inzwischen Verjährung eingetreten ist, wieder aufgenommen werden, wenn die rechtskräftig erkannte Strafe oder Maßregel der Besserung und Sicherung nachträglich wegfällt.</w:t>
      </w:r>
    </w:p>
    <w:p>
      <w:r>
        <w:t>(4) Ist das Verfahren mit Rücksicht auf eine wegen einer anderen Tat zu erwartende Strafe oder Maßregel der Besserung und Sicherung vorläufig eingestellt worden, so kann es, falls nicht inzwischen Verjährung eingetreten ist, binnen drei Monaten nach Rechtskraft des wegen der anderen Tat ergehenden Urteils wieder aufgenommen werden.</w:t>
      </w:r>
    </w:p>
    <w:p>
      <w:r>
        <w:t>(5) Hat das Gericht das Verfahren vorläufig eingestellt, so bedarf es zur Wiederaufnahme eines Gerichtsbeschlusses.</w:t>
      </w:r>
    </w:p>
    <w:p>
      <w:pPr>
        <w:pStyle w:val="Heading3"/>
      </w:pPr>
      <w:bookmarkStart w:id="276" w:name="b275"/>
      <w:r>
        <w:t>§ 154a Beschränkung der Verfolgung</w:t>
      </w:r>
      <w:r>
        <w:t xml:space="preserve"> </w:t>
      </w:r>
      <w:r>
        <w:rPr>
          <w:rStyle w:val="Suchmarke"/>
        </w:rPr>
        <w:t>#154a#</w:t>
      </w:r>
      <w:bookmarkEnd w:id="276"/>
    </w:p>
    <w:p>
      <w:r>
        <w:t xml:space="preserve">(1) </w:t>
      </w:r>
      <w:r>
        <w:rPr>
          <w:rStyle w:val="Satznummer"/>
        </w:rPr>
        <w:t>1</w:t>
      </w:r>
      <w:r>
        <w:t>Fallen einzelne abtrennbare Teile einer Tat oder einzelne von mehreren Gesetzesverletzungen, die durch dieselbe Tat begangen worden sind,</w:t>
      </w:r>
    </w:p>
    <w:p>
      <w:pPr>
        <w:tabs>
          <w:tab w:pos="567" w:val="left"/>
        </w:tabs>
        <w:ind w:left="567" w:hanging="567"/>
      </w:pPr>
      <w:r>
        <w:t>1.</w:t>
      </w:r>
      <w:r>
        <w:tab/>
      </w:r>
      <w:r>
        <w:t>für die zu erwartende Strafe oder Maßregel der Besserung und Sicherung oder</w:t>
      </w:r>
    </w:p>
    <w:p>
      <w:pPr>
        <w:tabs>
          <w:tab w:pos="567" w:val="left"/>
        </w:tabs>
        <w:ind w:left="567" w:hanging="567"/>
      </w:pPr>
      <w:r>
        <w:t>2.</w:t>
      </w:r>
      <w:r>
        <w:tab/>
      </w:r>
      <w:r>
        <w:t>neben einer Strafe oder Maßregel der Besserung und Sicherung, die gegen den Beschuldigten wegen einer anderen Tat rechtskräftig verhängt worden ist oder die er wegen einer anderen Tat zu erwarten hat,</w:t>
      </w:r>
    </w:p>
    <w:p>
      <w:r>
        <w:t xml:space="preserve">nicht beträchtlich ins Gewicht, so kann die Verfolgung auf die übrigen Teile der Tat oder die übrigen Gesetzesverletzungen beschränkt werden. </w:t>
      </w:r>
      <w:r>
        <w:rPr>
          <w:rStyle w:val="Satznummer"/>
        </w:rPr>
        <w:t>2</w:t>
      </w:r>
      <w:hyperlink w:anchor="b274" w:history="1">
        <w:r>
          <w:rPr>
            <w:color w:val="0A3A8C"/>
            <w:u w:val="single"/>
          </w:rPr>
          <w:t xml:space="preserve">§ 154</w:t>
        </w:r>
      </w:hyperlink>
      <w:r>
        <w:t xml:space="preserve"> Abs. 1 Nr. 2 gilt entsprechend. </w:t>
      </w:r>
      <w:r>
        <w:rPr>
          <w:rStyle w:val="Satznummer"/>
        </w:rPr>
        <w:t>3</w:t>
      </w:r>
      <w:r>
        <w:t>Die Beschränkung ist aktenkundig zu machen.</w:t>
      </w:r>
    </w:p>
    <w:p>
      <w:r>
        <w:t>(2) Nach Einreichung der Anklageschrift kann das Gericht in jeder Lage des Verfahrens mit Zustimmung der Staatsanwaltschaft die Beschränkung vornehmen.</w:t>
      </w:r>
    </w:p>
    <w:p>
      <w:r>
        <w:t xml:space="preserve">(3) </w:t>
      </w:r>
      <w:r>
        <w:rPr>
          <w:rStyle w:val="Satznummer"/>
        </w:rPr>
        <w:t>1</w:t>
      </w:r>
      <w:r>
        <w:t xml:space="preserve">Das Gericht kann in jeder Lage des Verfahrens ausgeschiedene Teile einer Tat oder Gesetzesverletzungen in das Verfahren wieder einbeziehen. </w:t>
      </w:r>
      <w:r>
        <w:rPr>
          <w:rStyle w:val="Satznummer"/>
        </w:rPr>
        <w:t>2</w:t>
      </w:r>
      <w:r>
        <w:t xml:space="preserve">Einem Antrag der Staatsanwaltschaft auf Einbeziehung ist zu entsprechen. </w:t>
      </w:r>
      <w:r>
        <w:rPr>
          <w:rStyle w:val="Satznummer"/>
        </w:rPr>
        <w:t>3</w:t>
      </w:r>
      <w:r>
        <w:t xml:space="preserve">Werden ausgeschiedene Teile einer Tat wieder einbezogen, so ist </w:t>
      </w:r>
      <w:hyperlink w:anchor="b412" w:history="1">
        <w:r>
          <w:rPr>
            <w:color w:val="0A3A8C"/>
            <w:u w:val="single"/>
          </w:rPr>
          <w:t xml:space="preserve">§ 265</w:t>
        </w:r>
      </w:hyperlink>
      <w:r>
        <w:t xml:space="preserve"> Abs. 4 entsprechend anzuwenden.</w:t>
      </w:r>
    </w:p>
    <w:p>
      <w:pPr>
        <w:pStyle w:val="Heading3"/>
      </w:pPr>
      <w:bookmarkStart w:id="277" w:name="b276"/>
      <w:r>
        <w:t>§ 154b Absehen von der Verfolgung bei Auslieferung und Ausweisung</w:t>
      </w:r>
      <w:r>
        <w:t xml:space="preserve"> </w:t>
      </w:r>
      <w:r>
        <w:rPr>
          <w:rStyle w:val="Suchmarke"/>
        </w:rPr>
        <w:t>#154b#</w:t>
      </w:r>
      <w:bookmarkEnd w:id="277"/>
    </w:p>
    <w:p>
      <w:r>
        <w:t>(1) Von der Erhebung der öffentlichen Klage kann abgesehen werden, wenn der Beschuldigte wegen der Tat einer ausländischen Regierung ausgeliefert wird.</w:t>
      </w:r>
    </w:p>
    <w:p>
      <w:r>
        <w:t>(2) Dasselbe gilt, wenn er wegen einer anderen Tat einer ausländischen Regierung ausgeliefert oder an einen internationalen Strafgerichtshof überstellt wird und die Strafe oder die Maßregel der Besserung und Sicherung, zu der die inländische Verfolgung führen kann, neben der Strafe oder der Maßregel der Besserung und Sicherung, die gegen ihn im Ausland rechtskräftig verhängt worden ist oder die er im Ausland zu erwarten hat, nicht ins Gewicht fällt.</w:t>
      </w:r>
    </w:p>
    <w:p>
      <w:r>
        <w:t>(3) Von der Erhebung der öffentlichen Klage kann auch abgesehen werden, wenn der Beschuldigte aus dem Geltungsbereich dieses Bundesgesetzes abgeschoben, zurückgeschoben oder zurückgewiesen wird.</w:t>
      </w:r>
    </w:p>
    <w:p>
      <w:r>
        <w:t xml:space="preserve">(4) </w:t>
      </w:r>
      <w:r>
        <w:rPr>
          <w:rStyle w:val="Satznummer"/>
        </w:rPr>
        <w:t>1</w:t>
      </w:r>
      <w:r>
        <w:t xml:space="preserve">Ist in den Fällen der Absätze 1 bis 3 die öffentliche Klage bereits erhoben, so stellt das Gericht auf Antrag der Staatsanwaltschaft das Verfahren vorläufig ein. </w:t>
      </w:r>
      <w:r>
        <w:rPr>
          <w:rStyle w:val="Satznummer"/>
        </w:rPr>
        <w:t>2</w:t>
      </w:r>
      <w:hyperlink w:anchor="b274" w:history="1">
        <w:r>
          <w:rPr>
            <w:color w:val="0A3A8C"/>
            <w:u w:val="single"/>
          </w:rPr>
          <w:t xml:space="preserve">§ 154</w:t>
        </w:r>
      </w:hyperlink>
      <w:r>
        <w:t xml:space="preserve"> Abs. 3 bis 5 gilt mit der Maßgabe entsprechend, daß die Frist in Absatz 4 ein Jahr beträgt.</w:t>
      </w:r>
    </w:p>
    <w:p>
      <w:pPr>
        <w:pStyle w:val="Heading3"/>
      </w:pPr>
      <w:bookmarkStart w:id="278" w:name="b277"/>
      <w:r>
        <w:t>§ 154c Absehen von der Verfolgung des Opfers einer Nötigung oder Erpressung</w:t>
      </w:r>
      <w:r>
        <w:t xml:space="preserve"> </w:t>
      </w:r>
      <w:r>
        <w:rPr>
          <w:rStyle w:val="Suchmarke"/>
        </w:rPr>
        <w:t>#154c#</w:t>
      </w:r>
      <w:bookmarkEnd w:id="278"/>
    </w:p>
    <w:p>
      <w:r>
        <w:t>(1) Ist eine Nötigung oder Erpressung (§§ 240, 253 des Strafgesetzbuches) durch die Drohung begangen worden, eine Straftat zu offenbaren, so kann die Staatsanwaltschaft von der Verfolgung der Tat, deren Offenbarung angedroht worden ist, absehen, wenn nicht wegen der Schwere der Tat eine Sühne unerläßlich ist.</w:t>
      </w:r>
    </w:p>
    <w:p>
      <w:r>
        <w:t>(2) Zeigt das Opfer einer Nötigung oder Erpressung oder eines Menschenhandels (§§ 240, 253, 232 des Strafgesetzbuches) diese Straftat an (</w:t>
      </w:r>
      <w:hyperlink w:anchor="b287" w:history="1">
        <w:r>
          <w:rPr>
            <w:color w:val="0A3A8C"/>
            <w:u w:val="single"/>
          </w:rPr>
          <w:t xml:space="preserve">§ 158</w:t>
        </w:r>
      </w:hyperlink>
      <w:r>
        <w:t>) und wird hierdurch bedingt ein vom Opfer begangenes Vergehen bekannt, so kann die Staatsanwaltschaft von der Verfolgung des Vergehens absehen, wenn nicht wegen der Schwere der Tat eine Sühne unerlässlich ist.</w:t>
      </w:r>
    </w:p>
    <w:p>
      <w:pPr>
        <w:pStyle w:val="Heading3"/>
      </w:pPr>
      <w:bookmarkStart w:id="279" w:name="b278"/>
      <w:r>
        <w:t>§ 154d Verfolgung bei zivil- oder verwaltungsrechtlicher Vorfrage</w:t>
      </w:r>
      <w:r>
        <w:t xml:space="preserve"> </w:t>
      </w:r>
      <w:r>
        <w:rPr>
          <w:rStyle w:val="Suchmarke"/>
        </w:rPr>
        <w:t>#154d#</w:t>
      </w:r>
      <w:bookmarkEnd w:id="279"/>
    </w:p>
    <w:p>
      <w:r>
        <w:rPr>
          <w:rStyle w:val="Satznummer"/>
        </w:rPr>
        <w:t>1</w:t>
      </w:r>
      <w:r>
        <w:t xml:space="preserve">Hängt die Erhebung der öffentlichen Klage wegen eines Vergehens von der Beurteilung einer Frage ab, die nach bürgerlichem Recht oder nach Verwaltungsrecht zu beurteilen ist, so kann die Staatsanwaltschaft zur Austragung der Frage im bürgerlichen Streitverfahren oder im Verwaltungsstreitverfahren eine Frist bestimmen. </w:t>
      </w:r>
      <w:r>
        <w:rPr>
          <w:rStyle w:val="Satznummer"/>
        </w:rPr>
        <w:t>2</w:t>
      </w:r>
      <w:r>
        <w:t xml:space="preserve">Hiervon ist der Anzeigende zu benachrichtigen. </w:t>
      </w:r>
      <w:r>
        <w:rPr>
          <w:rStyle w:val="Satznummer"/>
        </w:rPr>
        <w:t>3</w:t>
      </w:r>
      <w:r>
        <w:t>Nach fruchtlosem Ablauf der Frist kann die Staatsanwaltschaft das Verfahren einstellen.</w:t>
      </w:r>
    </w:p>
    <w:p>
      <w:pPr>
        <w:pStyle w:val="Heading3"/>
      </w:pPr>
      <w:bookmarkStart w:id="280" w:name="b279"/>
      <w:r>
        <w:t>§ 154e Absehen von der Verfolgung bei falscher Verdächtigung oder Beleidigung</w:t>
      </w:r>
      <w:r>
        <w:t xml:space="preserve"> </w:t>
      </w:r>
      <w:r>
        <w:rPr>
          <w:rStyle w:val="Suchmarke"/>
        </w:rPr>
        <w:t>#154e#</w:t>
      </w:r>
      <w:bookmarkEnd w:id="280"/>
    </w:p>
    <w:p>
      <w:r>
        <w:t>(1) Von der Erhebung der öffentlichen Klage wegen einer falschen Verdächtigung oder Beleidigung (§§ 164, 185 bis 188 des Strafgesetzbuches) soll abgesehen werden, solange wegen der angezeigten oder behaupteten Handlung ein Straf- oder Disziplinarverfahren anhängig ist.</w:t>
      </w:r>
    </w:p>
    <w:p>
      <w:r>
        <w:t>(2) Ist die öffentliche Klage oder eine Privatklage bereits erhoben, so stellt das Gericht das Verfahren bis zum Abschluß des Straf- oder Disziplinarverfahrens wegen der angezeigten oder behaupteten Handlung ein.</w:t>
      </w:r>
    </w:p>
    <w:p>
      <w:r>
        <w:t>(3) Bis zum Abschluß des Straf- oder Disziplinarverfahrens wegen der angezeigten oder behaupteten Handlung ruht die Verjährung der Verfolgung der falschen Verdächtigung oder Beleidigung.</w:t>
      </w:r>
    </w:p>
    <w:p>
      <w:pPr>
        <w:pStyle w:val="Heading3"/>
      </w:pPr>
      <w:bookmarkStart w:id="281" w:name="b280"/>
      <w:r>
        <w:t>§ 154f Einstellung des Verfahrens bei vorübergehenden Hindernissen</w:t>
      </w:r>
      <w:r>
        <w:t xml:space="preserve"> </w:t>
      </w:r>
      <w:r>
        <w:rPr>
          <w:rStyle w:val="Suchmarke"/>
        </w:rPr>
        <w:t>#154f#</w:t>
      </w:r>
      <w:bookmarkEnd w:id="281"/>
    </w:p>
    <w:p>
      <w:r>
        <w:t>Steht der Eröffnung oder Durchführung des Hauptverfahrens für längere Zeit die Abwesenheit des Beschuldigten oder ein anderes in seiner Person liegendes Hindernis entgegen und ist die öffentliche Klage noch nicht erhoben, so kann die Staatsanwaltschaft das Verfahren vorläufig einstellen, nachdem sie den Sachverhalt so weit wie möglich aufgeklärt und die Beweise so weit wie nötig gesichert hat.</w:t>
      </w:r>
    </w:p>
    <w:p>
      <w:pPr>
        <w:pStyle w:val="Heading3"/>
      </w:pPr>
      <w:bookmarkStart w:id="282" w:name="b281"/>
      <w:r>
        <w:t>§ 155 Umfang der gerichtlichen Untersuchung und Entscheidung</w:t>
      </w:r>
      <w:r>
        <w:t xml:space="preserve"> </w:t>
      </w:r>
      <w:r>
        <w:rPr>
          <w:rStyle w:val="Suchmarke"/>
        </w:rPr>
        <w:t>#155#</w:t>
      </w:r>
      <w:bookmarkEnd w:id="282"/>
    </w:p>
    <w:p>
      <w:r>
        <w:t>(1) Die Untersuchung und Entscheidung erstreckt sich nur auf die in der Klage bezeichnete Tat und auf die durch die Klage beschuldigten Personen.</w:t>
      </w:r>
    </w:p>
    <w:p>
      <w:r>
        <w:t>(2) Innerhalb dieser Grenzen sind die Gerichte zu einer selbständigen Tätigkeit berechtigt und verpflichtet; insbesondere sind sie bei Anwendung des Strafgesetzes an die gestellten Anträge nicht gebunden.</w:t>
      </w:r>
    </w:p>
    <w:p>
      <w:pPr>
        <w:pStyle w:val="Heading3"/>
      </w:pPr>
      <w:bookmarkStart w:id="283" w:name="b282"/>
      <w:r>
        <w:t>§ 155a Täter-Opfer-Ausgleich</w:t>
      </w:r>
      <w:r>
        <w:t xml:space="preserve"> </w:t>
      </w:r>
      <w:r>
        <w:rPr>
          <w:rStyle w:val="Suchmarke"/>
        </w:rPr>
        <w:t>#155a#</w:t>
      </w:r>
      <w:bookmarkEnd w:id="283"/>
    </w:p>
    <w:p>
      <w:r>
        <w:rPr>
          <w:rStyle w:val="Satznummer"/>
        </w:rPr>
        <w:t>1</w:t>
      </w:r>
      <w:r>
        <w:t xml:space="preserve">Die Staatsanwaltschaft und das Gericht sollen in jedem Stadium des Verfahrens die Möglichkeiten prüfen, einen Ausgleich zwischen Beschuldigtem und Verletztem zu erreichen. </w:t>
      </w:r>
      <w:r>
        <w:rPr>
          <w:rStyle w:val="Satznummer"/>
        </w:rPr>
        <w:t>2</w:t>
      </w:r>
      <w:r>
        <w:t xml:space="preserve">In geeigneten Fällen sollen sie darauf hinwirken. </w:t>
      </w:r>
      <w:r>
        <w:rPr>
          <w:rStyle w:val="Satznummer"/>
        </w:rPr>
        <w:t>3</w:t>
      </w:r>
      <w:r>
        <w:t>Gegen den ausdrücklichen Willen des Verletzten darf die Eignung nicht angenommen werden.</w:t>
      </w:r>
    </w:p>
    <w:p>
      <w:pPr>
        <w:pStyle w:val="Heading3"/>
      </w:pPr>
      <w:bookmarkStart w:id="284" w:name="b283"/>
      <w:r>
        <w:t>§ 155b Durchführung des Täter-Opfer-Ausgleichs</w:t>
      </w:r>
      <w:r>
        <w:t xml:space="preserve"> </w:t>
      </w:r>
      <w:r>
        <w:rPr>
          <w:rStyle w:val="Suchmarke"/>
        </w:rPr>
        <w:t>#155b#</w:t>
      </w:r>
      <w:bookmarkEnd w:id="284"/>
    </w:p>
    <w:p>
      <w:r>
        <w:t xml:space="preserve">(1) </w:t>
      </w:r>
      <w:r>
        <w:rPr>
          <w:rStyle w:val="Satznummer"/>
        </w:rPr>
        <w:t>1</w:t>
      </w:r>
      <w:r>
        <w:t xml:space="preserve">Die Staatsanwaltschaft und das Gericht können zum Zweck des Täter-Opfer-Ausgleichs oder der Schadenswiedergutmachung einer von ihnen mit der Durchführung beauftragten Stelle von Amts wegen oder auf deren Antrag die hierfür erforderlichen personenbezogenen Daten übermitteln. </w:t>
      </w:r>
      <w:r>
        <w:rPr>
          <w:rStyle w:val="Satznummer"/>
        </w:rPr>
        <w:t>2</w:t>
      </w:r>
      <w:r>
        <w:t xml:space="preserve">Der beauftragten Stelle kann Akteneinsicht gewährt werden, soweit die Erteilung von Auskünften einen unverhältnismäßigen Aufwand erfordern würde. </w:t>
      </w:r>
      <w:r>
        <w:rPr>
          <w:rStyle w:val="Satznummer"/>
        </w:rPr>
        <w:t>3</w:t>
      </w:r>
      <w:r>
        <w:t>Eine nicht-öffentliche Stelle ist darauf hinzuweisen, dass sie die übermittelten Daten nur für Zwecke des Täter-Opfer-Ausgleichs oder der Schadenswiedergutmachung verwenden darf.</w:t>
      </w:r>
    </w:p>
    <w:p>
      <w:r>
        <w:t xml:space="preserve">(2) </w:t>
      </w:r>
      <w:r>
        <w:rPr>
          <w:rStyle w:val="Satznummer"/>
        </w:rPr>
        <w:t>1</w:t>
      </w:r>
      <w:r>
        <w:t xml:space="preserve">Die beauftragte Stelle darf die nach Absatz 1 übermittelten personenbezogenen Daten nur verarbeiten, soweit dies für die Durchführung des Täter-Opfer-Ausgleichs oder der Schadenswiedergutmachung erforderlich ist und schutzwürdige Interessen der betroffenen Person nicht entgegenstehen. </w:t>
      </w:r>
      <w:r>
        <w:rPr>
          <w:rStyle w:val="Satznummer"/>
        </w:rPr>
        <w:t>2</w:t>
      </w:r>
      <w:r>
        <w:t xml:space="preserve">Sie darf personenbezogene Daten nur verarbeiten, soweit dies für die Durchführung des Täter-Opfer-Ausgleichs oder der Schadenswiedergutmachung erforderlich ist und die betroffene Person eingewilligt hat. </w:t>
      </w:r>
      <w:r>
        <w:rPr>
          <w:rStyle w:val="Satznummer"/>
        </w:rPr>
        <w:t>3</w:t>
      </w:r>
      <w:r>
        <w:t>Nach Abschluss ihrer Tätigkeit berichtet sie in dem erforderlichen Umfang der Staatsanwaltschaft oder dem Gericht.</w:t>
      </w:r>
    </w:p>
    <w:p>
      <w:r>
        <w:t>(3) Ist die beauftragte Stelle eine nichtöffentliche Stelle, finden die Vorschriften der Verordnung (EU) 2016/679 und des Bundesdatenschutzgesetzes auch dann Anwendung, wenn die personenbezogenen Daten nicht automatisiert verarbeitet werden und nicht in einem Dateisystem gespeichert sind oder gespeichert werden.</w:t>
      </w:r>
    </w:p>
    <w:p>
      <w:r>
        <w:t xml:space="preserve">(4) </w:t>
      </w:r>
      <w:r>
        <w:rPr>
          <w:rStyle w:val="Satznummer"/>
        </w:rPr>
        <w:t>1</w:t>
      </w:r>
      <w:r>
        <w:t xml:space="preserve">Die Unterlagen mit den in Absatz 2 Satz 1 und 2 bezeichneten personenbezogenen Daten sind von der beauftragten Stelle nach Ablauf eines Jahres seit Abschluss des Strafverfahrens zu vernichten. </w:t>
      </w:r>
      <w:r>
        <w:rPr>
          <w:rStyle w:val="Satznummer"/>
        </w:rPr>
        <w:t>2</w:t>
      </w:r>
      <w:r>
        <w:t>Die Staatsanwaltschaft oder das Gericht teilt der beauftragten Stelle unverzüglich von Amts wegen den Zeitpunkt des Verfahrensabschlusses mit.</w:t>
      </w:r>
    </w:p>
    <w:p>
      <w:pPr>
        <w:pStyle w:val="Heading3"/>
      </w:pPr>
      <w:bookmarkStart w:id="285" w:name="b284"/>
      <w:r>
        <w:t>§ 156 Anklagerücknahme</w:t>
      </w:r>
      <w:r>
        <w:t xml:space="preserve"> </w:t>
      </w:r>
      <w:r>
        <w:rPr>
          <w:rStyle w:val="Suchmarke"/>
        </w:rPr>
        <w:t>#156#</w:t>
      </w:r>
      <w:bookmarkEnd w:id="285"/>
    </w:p>
    <w:p>
      <w:r>
        <w:t>Die öffentliche Klage kann nach Eröffnung des Hauptverfahrens nicht zurückgenommen werden.</w:t>
      </w:r>
    </w:p>
    <w:p>
      <w:pPr>
        <w:pStyle w:val="Heading3"/>
      </w:pPr>
      <w:bookmarkStart w:id="286" w:name="b285"/>
      <w:r>
        <w:t>§ 157 Bezeichnung als Angeschuldigter oder Angeklagter</w:t>
      </w:r>
      <w:r>
        <w:t xml:space="preserve"> </w:t>
      </w:r>
      <w:r>
        <w:rPr>
          <w:rStyle w:val="Suchmarke"/>
        </w:rPr>
        <w:t>#157#</w:t>
      </w:r>
      <w:bookmarkEnd w:id="286"/>
    </w:p>
    <w:p>
      <w:r>
        <w:t>Im Sinne dieses Gesetzes ist</w:t>
      </w:r>
      <w:r>
        <w:br/>
      </w:r>
      <w:r>
        <w:t>Angeschuldigter der Beschuldigte, gegen den die öffentliche Klage erhoben ist,</w:t>
      </w:r>
      <w:r>
        <w:br/>
      </w:r>
      <w:r>
        <w:t>Angeklagter der Beschuldigte oder Angeschuldigte, gegen den die Eröffnung des Hauptverfahrens beschlossen ist.</w:t>
      </w:r>
    </w:p>
    <w:p>
      <w:pPr>
        <w:pStyle w:val="Heading2"/>
      </w:pPr>
      <w:bookmarkStart w:id="287" w:name="b286"/>
      <w:r>
        <w:t>Zweiter Abschnitt Vorbereitung der öffentlichen Klage</w:t>
      </w:r>
      <w:bookmarkEnd w:id="287"/>
    </w:p>
    <w:p>
      <w:pPr>
        <w:pStyle w:val="Heading3"/>
      </w:pPr>
      <w:bookmarkStart w:id="288" w:name="b287"/>
      <w:r>
        <w:t>§ 158 Strafanzeige; Strafantrag</w:t>
      </w:r>
      <w:r>
        <w:t xml:space="preserve"> </w:t>
      </w:r>
      <w:r>
        <w:rPr>
          <w:rStyle w:val="Suchmarke"/>
        </w:rPr>
        <w:t>#158#</w:t>
      </w:r>
      <w:bookmarkEnd w:id="288"/>
    </w:p>
    <w:p>
      <w:r>
        <w:t xml:space="preserve">(1) </w:t>
      </w:r>
      <w:r>
        <w:rPr>
          <w:rStyle w:val="Satznummer"/>
        </w:rPr>
        <w:t>1</w:t>
      </w:r>
      <w:r>
        <w:t xml:space="preserve">Die Anzeige einer Straftat und der Strafantrag können bei der Staatsanwaltschaft, den Behörden und Beamten des Polizeidienstes und den Amtsgerichten angebracht werden. </w:t>
      </w:r>
      <w:r>
        <w:rPr>
          <w:rStyle w:val="Satznummer"/>
        </w:rPr>
        <w:t>2</w:t>
      </w:r>
      <w:r>
        <w:t xml:space="preserve">Die Anzeige und der Strafantrag sind durch die aufnehmende Stelle zu protokollieren oder auf sonstige Weise zu dokumentieren. </w:t>
      </w:r>
      <w:r>
        <w:rPr>
          <w:rStyle w:val="Satznummer"/>
        </w:rPr>
        <w:t>3</w:t>
      </w:r>
      <w:r>
        <w:t xml:space="preserve">Dem Verletzten ist auf Antrag der Eingang seiner Anzeige schriftlich zu bestätigen. </w:t>
      </w:r>
      <w:r>
        <w:rPr>
          <w:rStyle w:val="Satznummer"/>
        </w:rPr>
        <w:t>4</w:t>
      </w:r>
      <w:r>
        <w:t xml:space="preserve">Die Bestätigung soll eine kurze Zusammenfassung der Angaben des Verletzten zu Tatzeit, Tatort und angezeigter Tat enthalten. </w:t>
      </w:r>
      <w:r>
        <w:rPr>
          <w:rStyle w:val="Satznummer"/>
        </w:rPr>
        <w:t>5</w:t>
      </w:r>
      <w:r>
        <w:t>Die Bestätigung kann versagt werden, soweit der Untersuchungszweck, auch in einem anderen Strafverfahren, gefährdet erscheint.</w:t>
      </w:r>
    </w:p>
    <w:p>
      <w:r>
        <w:t>(2) Bei Straftaten, deren Verfolgung nur auf Antrag eintritt, müssen die Identität und der Verfolgungswille der antragstellenden Person sichergestellt sein.</w:t>
      </w:r>
    </w:p>
    <w:p>
      <w:r>
        <w:t xml:space="preserve">(3) </w:t>
      </w:r>
      <w:r>
        <w:rPr>
          <w:rStyle w:val="Satznummer"/>
        </w:rPr>
        <w:t>1</w:t>
      </w:r>
      <w:r>
        <w:t xml:space="preserve">Zeigt ein im Inland wohnhafter Verletzter eine in einem anderen Mitgliedstaat der Europäischen Union begangene Straftat an, so übermittelt die Staatsanwaltschaft die Anzeige auf Antrag des Verletzten an die zuständige Strafverfolgungsbehörde des anderen Mitgliedstaats, wenn für die Tat das deutsche Strafrecht nicht gilt oder von der Verfolgung der Tat nach </w:t>
      </w:r>
      <w:hyperlink w:anchor="b270" w:history="1">
        <w:r>
          <w:rPr>
            <w:color w:val="0A3A8C"/>
            <w:u w:val="single"/>
          </w:rPr>
          <w:t xml:space="preserve">§ 153c</w:t>
        </w:r>
      </w:hyperlink>
      <w:r>
        <w:t xml:space="preserve"> Absatz 1 Satz 1 Nummer 1, auch in Verbindung mit </w:t>
      </w:r>
      <w:hyperlink w:anchor="b273" w:history="1">
        <w:r>
          <w:rPr>
            <w:color w:val="0A3A8C"/>
            <w:u w:val="single"/>
          </w:rPr>
          <w:t xml:space="preserve">§ 153f</w:t>
        </w:r>
      </w:hyperlink>
      <w:r>
        <w:t xml:space="preserve">, abgesehen wird. </w:t>
      </w:r>
      <w:r>
        <w:rPr>
          <w:rStyle w:val="Satznummer"/>
        </w:rPr>
        <w:t>2</w:t>
      </w:r>
      <w:r>
        <w:t>Von der Übermittlung kann abgesehen werden, wenn</w:t>
      </w:r>
    </w:p>
    <w:p>
      <w:pPr>
        <w:tabs>
          <w:tab w:pos="567" w:val="left"/>
        </w:tabs>
        <w:ind w:left="567" w:hanging="567"/>
      </w:pPr>
      <w:r>
        <w:t>1.</w:t>
      </w:r>
      <w:r>
        <w:tab/>
      </w:r>
      <w:r>
        <w:t>die Tat und die für ihre Verfolgung wesentlichen Umstände der zuständigen ausländischen Behörde bereits bekannt sind oder</w:t>
      </w:r>
    </w:p>
    <w:p>
      <w:pPr>
        <w:tabs>
          <w:tab w:pos="567" w:val="left"/>
        </w:tabs>
        <w:ind w:left="567" w:hanging="567"/>
      </w:pPr>
      <w:r>
        <w:t>2.</w:t>
      </w:r>
      <w:r>
        <w:tab/>
      </w:r>
      <w:r>
        <w:t>der Unrechtsgehalt der Tat gering ist und der verletzten Person die Anzeige im Ausland möglich gewesen wäre.</w:t>
      </w:r>
    </w:p>
    <w:p>
      <w:r>
        <w:t xml:space="preserve">(4) </w:t>
      </w:r>
      <w:r>
        <w:rPr>
          <w:rStyle w:val="Satznummer"/>
        </w:rPr>
        <w:t>1</w:t>
      </w:r>
      <w:r>
        <w:t xml:space="preserve">Ist der Verletzte der deutschen Sprache nicht mächtig, erhält er die notwendige Hilfe bei der Verständigung, um die Anzeige in einer ihm verständlichen Sprache anzubringen. </w:t>
      </w:r>
      <w:r>
        <w:rPr>
          <w:rStyle w:val="Satznummer"/>
        </w:rPr>
        <w:t>2</w:t>
      </w:r>
      <w:r>
        <w:t>Die schriftliche Anzeigebestätigung nach Absatz 1 Satz 3 und 4 ist dem Verletzten in diesen Fällen auf Antrag in eine ihm verständliche Sprache zu übersetzen; Absatz 1 Satz 5 bleibt unberührt.</w:t>
      </w:r>
    </w:p>
    <w:p>
      <w:pPr>
        <w:pStyle w:val="Heading3"/>
      </w:pPr>
      <w:bookmarkStart w:id="289" w:name="b288"/>
      <w:r>
        <w:t>§ 159 Anzeigepflicht bei Leichenfund und Verdacht auf unnatürlichen Tod</w:t>
      </w:r>
      <w:r>
        <w:t xml:space="preserve"> </w:t>
      </w:r>
      <w:r>
        <w:rPr>
          <w:rStyle w:val="Suchmarke"/>
        </w:rPr>
        <w:t>#159#</w:t>
      </w:r>
      <w:bookmarkEnd w:id="289"/>
    </w:p>
    <w:p>
      <w:r>
        <w:t>(1) Sind Anhaltspunkte dafür vorhanden, daß jemand eines nicht natürlichen Todes gestorben ist, oder wird der Leichnam eines Unbekannten gefunden, so sind die Polizei- und Gemeindebehörden zur sofortigen Anzeige an die Staatsanwaltschaft oder an das Amtsgericht verpflichtet.</w:t>
      </w:r>
    </w:p>
    <w:p>
      <w:r>
        <w:t>(2) Zur Bestattung ist die schriftliche Genehmigung der Staatsanwaltschaft erforderlich.</w:t>
      </w:r>
    </w:p>
    <w:p>
      <w:pPr>
        <w:pStyle w:val="Heading3"/>
      </w:pPr>
      <w:bookmarkStart w:id="290" w:name="b289"/>
      <w:r>
        <w:t>§ 160 Pflicht zur Sachverhaltsaufklärung</w:t>
      </w:r>
      <w:r>
        <w:t xml:space="preserve"> </w:t>
      </w:r>
      <w:r>
        <w:rPr>
          <w:rStyle w:val="Suchmarke"/>
        </w:rPr>
        <w:t>#160#</w:t>
      </w:r>
      <w:bookmarkEnd w:id="290"/>
    </w:p>
    <w:p>
      <w:r>
        <w:t>(1) Sobald die Staatsanwaltschaft durch eine Anzeige oder auf anderem Wege von dem Verdacht einer Straftat Kenntnis erhält, hat sie zu ihrer Entschließung darüber, ob die öffentliche Klage zu erheben ist, den Sachverhalt zu erforschen.</w:t>
      </w:r>
    </w:p>
    <w:p>
      <w:r>
        <w:t>(2) Die Staatsanwaltschaft hat nicht nur die zur Belastung, sondern auch die zur Entlastung dienenden Umstände zu ermitteln und für die Erhebung der Beweise Sorge zu tragen, deren Verlust zu besorgen ist.</w:t>
      </w:r>
    </w:p>
    <w:p>
      <w:r>
        <w:t xml:space="preserve">(3) </w:t>
      </w:r>
      <w:r>
        <w:rPr>
          <w:rStyle w:val="Satznummer"/>
        </w:rPr>
        <w:t>1</w:t>
      </w:r>
      <w:r>
        <w:t xml:space="preserve">Die Ermittlungen der Staatsanwaltschaft sollen sich auch auf die Umstände erstrecken, die für die Bestimmung der Rechtsfolgen der Tat von Bedeutung sind. </w:t>
      </w:r>
      <w:r>
        <w:rPr>
          <w:rStyle w:val="Satznummer"/>
        </w:rPr>
        <w:t>2</w:t>
      </w:r>
      <w:r>
        <w:t>Dazu kann sie sich der Gerichtshilfe bedienen.</w:t>
      </w:r>
    </w:p>
    <w:p>
      <w:r>
        <w:t>(4) Eine Maßnahme ist unzulässig, soweit besondere bundesgesetzliche oder entsprechende landesgesetzliche Verwendungsregelungen entgegenstehen.</w:t>
      </w:r>
    </w:p>
    <w:p>
      <w:pPr>
        <w:pStyle w:val="Heading3"/>
      </w:pPr>
      <w:bookmarkStart w:id="291" w:name="b290"/>
      <w:r>
        <w:t>§ 160a Maßnahmen bei zeugnisverweigerungsberechtigten Berufsgeheimnisträgern</w:t>
      </w:r>
      <w:r>
        <w:t xml:space="preserve"> </w:t>
      </w:r>
      <w:r>
        <w:rPr>
          <w:rStyle w:val="Suchmarke"/>
        </w:rPr>
        <w:t>#160a#</w:t>
      </w:r>
      <w:bookmarkEnd w:id="291"/>
    </w:p>
    <w:p>
      <w:r>
        <w:t xml:space="preserve">(1) </w:t>
      </w:r>
      <w:r>
        <w:rPr>
          <w:rStyle w:val="Satznummer"/>
        </w:rPr>
        <w:t>1</w:t>
      </w:r>
      <w:r>
        <w:t xml:space="preserve">Eine Ermittlungsmaßnahme, die sich gegen eine in </w:t>
      </w:r>
      <w:hyperlink w:anchor="b75" w:history="1">
        <w:r>
          <w:rPr>
            <w:color w:val="0A3A8C"/>
            <w:u w:val="single"/>
          </w:rPr>
          <w:t xml:space="preserve">§ 53</w:t>
        </w:r>
      </w:hyperlink>
      <w:r>
        <w:t xml:space="preserve"> Absatz 1 Satz 1 Nummer 1, 2 oder Nummer 4 genannte Person, einen Rechtsanwalt oder einen Kammerrechtsbeistand richtet und voraussichtlich Erkenntnisse erbringen würde, über die diese das Zeugnis verweigern dürfte, ist unzulässig. </w:t>
      </w:r>
      <w:r>
        <w:rPr>
          <w:rStyle w:val="Satznummer"/>
        </w:rPr>
        <w:t>2</w:t>
      </w:r>
      <w:r>
        <w:t xml:space="preserve">Dennoch erlangte Erkenntnisse dürfen nicht verwendet werden. </w:t>
      </w:r>
      <w:r>
        <w:rPr>
          <w:rStyle w:val="Satznummer"/>
        </w:rPr>
        <w:t>3</w:t>
      </w:r>
      <w:r>
        <w:t xml:space="preserve">Aufzeichnungen hierüber sind unverzüglich zu löschen. </w:t>
      </w:r>
      <w:r>
        <w:rPr>
          <w:rStyle w:val="Satznummer"/>
        </w:rPr>
        <w:t>4</w:t>
      </w:r>
      <w:r>
        <w:t xml:space="preserve">Die Tatsache ihrer Erlangung und der Löschung der Aufzeichnungen ist aktenkundig zu machen. </w:t>
      </w:r>
      <w:r>
        <w:rPr>
          <w:rStyle w:val="Satznummer"/>
        </w:rPr>
        <w:t>5</w:t>
      </w:r>
      <w:r>
        <w:t>Die Sätze 2 bis 4 gelten entsprechend, wenn durch eine Ermittlungsmaßnahme, die sich nicht gegen eine in Satz 1 in Bezug genommene Person richtet, von dieser Person Erkenntnisse erlangt werden, über die sie das Zeugnis verweigern dürfte.</w:t>
      </w:r>
    </w:p>
    <w:p>
      <w:r>
        <w:t xml:space="preserve">(2) </w:t>
      </w:r>
      <w:r>
        <w:rPr>
          <w:rStyle w:val="Satznummer"/>
        </w:rPr>
        <w:t>1</w:t>
      </w:r>
      <w:r>
        <w:t xml:space="preserve">Soweit durch eine Ermittlungsmaßnahme eine in </w:t>
      </w:r>
      <w:hyperlink w:anchor="b75" w:history="1">
        <w:r>
          <w:rPr>
            <w:color w:val="0A3A8C"/>
            <w:u w:val="single"/>
          </w:rPr>
          <w:t xml:space="preserve">§ 53</w:t>
        </w:r>
      </w:hyperlink>
      <w:r>
        <w:t xml:space="preserve"> Abs. 1 Satz 1 Nr. 3 bis 3b oder Nr. 5 genannte Person betroffen wäre und dadurch voraussichtlich Erkenntnisse erlangt würden, über die diese Person das Zeugnis verweigern dürfte, ist dies im Rahmen der Prüfung der Verhältnismäßigkeit besonders zu berücksichtigen; betrifft das Verfahren keine Straftat von erheblicher Bedeutung, ist in der Regel nicht von einem Überwiegen des Strafverfolgungsinteresses auszugehen. </w:t>
      </w:r>
      <w:r>
        <w:rPr>
          <w:rStyle w:val="Satznummer"/>
        </w:rPr>
        <w:t>2</w:t>
      </w:r>
      <w:r>
        <w:t xml:space="preserve">Soweit geboten, ist die Maßnahme zu unterlassen oder, soweit dies nach der Art der Maßnahme möglich ist, zu beschränken. </w:t>
      </w:r>
      <w:r>
        <w:rPr>
          <w:rStyle w:val="Satznummer"/>
        </w:rPr>
        <w:t>3</w:t>
      </w:r>
      <w:r>
        <w:t xml:space="preserve">Für die Verwertung von Erkenntnissen zu Beweiszwecken gilt Satz 1 entsprechend. </w:t>
      </w:r>
      <w:r>
        <w:rPr>
          <w:rStyle w:val="Satznummer"/>
        </w:rPr>
        <w:t>4</w:t>
      </w:r>
      <w:r>
        <w:t>Die Sätze 1 bis 3 gelten nicht für Rechtsanwälte und Kammerrechtsbeistände.</w:t>
      </w:r>
    </w:p>
    <w:p>
      <w:r>
        <w:t>(3) Die Absätze 1 und 2 sind entsprechend anzuwenden, soweit die in § 53a Genannten das Zeugnis verweigern dürften.</w:t>
      </w:r>
    </w:p>
    <w:p>
      <w:r>
        <w:t xml:space="preserve">(4) </w:t>
      </w:r>
      <w:r>
        <w:rPr>
          <w:rStyle w:val="Satznummer"/>
        </w:rPr>
        <w:t>1</w:t>
      </w:r>
      <w:r>
        <w:t xml:space="preserve">Die Absätze 1 bis 3 sind nicht anzuwenden, wenn bestimmte Tatsachen den Verdacht begründen, dass die zeugnisverweigerungsberechtigte Person an der Tat oder an einer Datenhehlerei, Begünstigung, Strafvereitelung oder Hehlerei beteiligt ist. </w:t>
      </w:r>
      <w:r>
        <w:rPr>
          <w:rStyle w:val="Satznummer"/>
        </w:rPr>
        <w:t>2</w:t>
      </w:r>
      <w:r>
        <w:t xml:space="preserve">Ist die Tat nur auf Antrag oder nur mit Ermächtigung verfolgbar, ist Satz 1 in den Fällen des </w:t>
      </w:r>
      <w:hyperlink w:anchor="b75" w:history="1">
        <w:r>
          <w:rPr>
            <w:color w:val="0A3A8C"/>
            <w:u w:val="single"/>
          </w:rPr>
          <w:t xml:space="preserve">§ 53</w:t>
        </w:r>
      </w:hyperlink>
      <w:r>
        <w:t xml:space="preserve"> Abs. 1 Satz 1 Nr. 5 anzuwenden, sobald und soweit der Strafantrag gestellt oder die Ermächtigung erteilt ist.</w:t>
      </w:r>
    </w:p>
    <w:p>
      <w:r>
        <w:t xml:space="preserve">(5) Die </w:t>
      </w:r>
      <w:hyperlink w:anchor="b136" w:history="1">
        <w:r>
          <w:rPr>
            <w:color w:val="0A3A8C"/>
            <w:u w:val="single"/>
          </w:rPr>
          <w:t xml:space="preserve">§§ 97</w:t>
        </w:r>
      </w:hyperlink>
      <w:r>
        <w:t xml:space="preserve">, </w:t>
      </w:r>
      <w:hyperlink w:anchor="b146" w:history="1">
        <w:r>
          <w:rPr>
            <w:color w:val="0A3A8C"/>
            <w:u w:val="single"/>
          </w:rPr>
          <w:t xml:space="preserve">100d</w:t>
        </w:r>
      </w:hyperlink>
      <w:r>
        <w:t xml:space="preserve"> Absatz 5 und </w:t>
      </w:r>
      <w:hyperlink w:anchor="b149" w:history="1">
        <w:r>
          <w:rPr>
            <w:color w:val="0A3A8C"/>
            <w:u w:val="single"/>
          </w:rPr>
          <w:t xml:space="preserve">§ 100g</w:t>
        </w:r>
      </w:hyperlink>
      <w:r>
        <w:t xml:space="preserve"> Absatz 4 bleiben unberührt.</w:t>
      </w:r>
    </w:p>
    <w:p>
      <w:pPr>
        <w:pStyle w:val="Heading3"/>
      </w:pPr>
      <w:bookmarkStart w:id="292" w:name="b291"/>
      <w:r>
        <w:t>§ 160b Erörterung des Verfahrensstands mit den Verfahrensbeteiligten</w:t>
      </w:r>
      <w:r>
        <w:t xml:space="preserve"> </w:t>
      </w:r>
      <w:r>
        <w:rPr>
          <w:rStyle w:val="Suchmarke"/>
        </w:rPr>
        <w:t>#160b#</w:t>
      </w:r>
      <w:bookmarkEnd w:id="292"/>
    </w:p>
    <w:p>
      <w:r>
        <w:rPr>
          <w:rStyle w:val="Satznummer"/>
        </w:rPr>
        <w:t>1</w:t>
      </w:r>
      <w:r>
        <w:t xml:space="preserve">Die Staatsanwaltschaft kann den Stand des Verfahrens mit den Verfahrensbeteiligten erörtern, soweit dies geeignet erscheint, das Verfahren zu fördern. </w:t>
      </w:r>
      <w:r>
        <w:rPr>
          <w:rStyle w:val="Satznummer"/>
        </w:rPr>
        <w:t>2</w:t>
      </w:r>
      <w:r>
        <w:t>Der wesentliche Inhalt dieser Erörterung ist aktenkundig zu machen.</w:t>
      </w:r>
    </w:p>
    <w:p>
      <w:pPr>
        <w:pStyle w:val="Heading3"/>
      </w:pPr>
      <w:bookmarkStart w:id="293" w:name="b292"/>
      <w:r>
        <w:t>§ 161 Allgemeine Ermittlungsbefugnis der Staatsanwaltschaft</w:t>
      </w:r>
      <w:r>
        <w:t xml:space="preserve"> </w:t>
      </w:r>
      <w:r>
        <w:rPr>
          <w:rStyle w:val="Suchmarke"/>
        </w:rPr>
        <w:t>#161#</w:t>
      </w:r>
      <w:bookmarkEnd w:id="293"/>
    </w:p>
    <w:p>
      <w:r>
        <w:t xml:space="preserve">(1) </w:t>
      </w:r>
      <w:r>
        <w:rPr>
          <w:rStyle w:val="Satznummer"/>
        </w:rPr>
        <w:t>1</w:t>
      </w:r>
      <w:r>
        <w:t xml:space="preserve">Zu dem in </w:t>
      </w:r>
      <w:hyperlink w:anchor="b289" w:history="1">
        <w:r>
          <w:rPr>
            <w:color w:val="0A3A8C"/>
            <w:u w:val="single"/>
          </w:rPr>
          <w:t xml:space="preserve">§ 160</w:t>
        </w:r>
      </w:hyperlink>
      <w:r>
        <w:t xml:space="preserve"> Abs. 1 bis 3 bezeichneten Zweck ist die Staatsanwaltschaft befugt, von allen Behörden Auskunft zu verlangen und Ermittlungen jeder Art entweder selbst vorzunehmen oder durch die Behörden und Beamten des Polizeidienstes vornehmen zu lassen, soweit nicht andere gesetzliche Vorschriften ihre Befugnisse besonders regeln. </w:t>
      </w:r>
      <w:r>
        <w:rPr>
          <w:rStyle w:val="Satznummer"/>
        </w:rPr>
        <w:t>2</w:t>
      </w:r>
      <w:r>
        <w:t>Die Behörden und Beamten des Polizeidienstes sind verpflichtet, dem Ersuchen oder Auftrag der Staatsanwaltschaft zu genügen, und in diesem Falle befugt, von allen Behörden Auskunft zu verlangen.</w:t>
      </w:r>
    </w:p>
    <w:p>
      <w:r>
        <w:t>(2) Soweit in diesem Gesetz die Löschung personenbezogener Daten ausdrücklich angeordnet wird, ist § 58 Absatz 3 des Bundesdatenschutzgesetzes nicht anzuwenden.</w:t>
      </w:r>
    </w:p>
    <w:p>
      <w:r>
        <w:t xml:space="preserve">(3) </w:t>
      </w:r>
      <w:r>
        <w:rPr>
          <w:rStyle w:val="Satznummer"/>
        </w:rPr>
        <w:t>1</w:t>
      </w:r>
      <w:r>
        <w:t xml:space="preserve">Ist eine Maßnahme nach diesem Gesetz nur bei Verdacht bestimmter Straftaten zulässig, so dürfen die auf Grund einer entsprechenden Maßnahme nach anderen Gesetzen erlangten personenbezogenen Daten ohne Einwilligung der von der Maßnahme betroffenen Personen zu Beweiszwecken im Strafverfahren nur zur Aufklärung solcher Straftaten verwendet werden, zu deren Aufklärung eine solche Maßnahme nach diesem Gesetz hätte angeordnet werden dürfen. </w:t>
      </w:r>
      <w:r>
        <w:rPr>
          <w:rStyle w:val="Satznummer"/>
        </w:rPr>
        <w:t>2</w:t>
      </w:r>
      <w:hyperlink w:anchor="b147" w:history="1">
        <w:r>
          <w:rPr>
            <w:color w:val="0A3A8C"/>
            <w:u w:val="single"/>
          </w:rPr>
          <w:t xml:space="preserve">§ 100e</w:t>
        </w:r>
      </w:hyperlink>
      <w:r>
        <w:t xml:space="preserve"> Absatz 6 Nummer 3 bleibt unberührt.</w:t>
      </w:r>
    </w:p>
    <w:p>
      <w:r>
        <w:t>(4) In oder aus einer Wohnung erlangte personenbezogene Daten aus einem Einsatz technischer Mittel zur Eigensicherung im Zuge nicht offener Ermittlungen auf polizeirechtlicher Grundlage dürfen unter Beachtung des Grundsatzes der Verhältnismäßigkeit zu Beweiszwecken nur verwendet werden (Artikel 13 Abs. 5 des Grundgesetzes), wenn das Amtsgericht (</w:t>
      </w:r>
      <w:hyperlink w:anchor="b294" w:history="1">
        <w:r>
          <w:rPr>
            <w:color w:val="0A3A8C"/>
            <w:u w:val="single"/>
          </w:rPr>
          <w:t xml:space="preserve">§ 162</w:t>
        </w:r>
      </w:hyperlink>
      <w:r>
        <w:t xml:space="preserve"> Abs. 1), in dessen Bezirk die anordnende Stelle ihren Sitz hat, die Rechtmäßigkeit der Maßnahme festgestellt hat; bei Gefahr im Verzug ist die richterliche Entscheidung unverzüglich nachzuholen.</w:t>
      </w:r>
    </w:p>
    <w:p>
      <w:pPr>
        <w:pStyle w:val="Heading3"/>
      </w:pPr>
      <w:bookmarkStart w:id="294" w:name="b293"/>
      <w:r>
        <w:t>§ 161a Vernehmung von Zeugen und Sachverständigen durch die Staatsanwaltschaft</w:t>
      </w:r>
      <w:r>
        <w:t xml:space="preserve"> </w:t>
      </w:r>
      <w:r>
        <w:rPr>
          <w:rStyle w:val="Suchmarke"/>
        </w:rPr>
        <w:t>#161a#</w:t>
      </w:r>
      <w:bookmarkEnd w:id="294"/>
    </w:p>
    <w:p>
      <w:r>
        <w:t xml:space="preserve">(1) </w:t>
      </w:r>
      <w:r>
        <w:rPr>
          <w:rStyle w:val="Satznummer"/>
        </w:rPr>
        <w:t>1</w:t>
      </w:r>
      <w:r>
        <w:t xml:space="preserve">Zeugen und Sachverständige sind verpflichtet, auf Ladung vor der Staatsanwaltschaft zu erscheinen und zur Sache auszusagen oder ihr Gutachten zu erstatten. </w:t>
      </w:r>
      <w:r>
        <w:rPr>
          <w:rStyle w:val="Satznummer"/>
        </w:rPr>
        <w:t>2</w:t>
      </w:r>
      <w:r>
        <w:t xml:space="preserve">Soweit nichts anderes bestimmt ist, gelten die Vorschriften des sechsten und siebenten Abschnitts des ersten Buches über Zeugen und Sachverständige entsprechend. </w:t>
      </w:r>
      <w:r>
        <w:rPr>
          <w:rStyle w:val="Satznummer"/>
        </w:rPr>
        <w:t>3</w:t>
      </w:r>
      <w:r>
        <w:t>Die eidliche Vernehmung bleibt dem Richter vorbehalten.</w:t>
      </w:r>
    </w:p>
    <w:p>
      <w:r>
        <w:t xml:space="preserve">(2) </w:t>
      </w:r>
      <w:r>
        <w:rPr>
          <w:rStyle w:val="Satznummer"/>
        </w:rPr>
        <w:t>1</w:t>
      </w:r>
      <w:r>
        <w:t xml:space="preserve">Bei unberechtigtem Ausbleiben oder unberechtigter Weigerung eines Zeugen oder Sachverständigen steht die Befugnis zu den in den </w:t>
      </w:r>
      <w:hyperlink w:anchor="b73" w:history="1">
        <w:r>
          <w:rPr>
            <w:color w:val="0A3A8C"/>
            <w:u w:val="single"/>
          </w:rPr>
          <w:t xml:space="preserve">§§ 51</w:t>
        </w:r>
      </w:hyperlink>
      <w:r>
        <w:t xml:space="preserve">, </w:t>
      </w:r>
      <w:hyperlink w:anchor="b97" w:history="1">
        <w:r>
          <w:rPr>
            <w:color w:val="0A3A8C"/>
            <w:u w:val="single"/>
          </w:rPr>
          <w:t xml:space="preserve">70</w:t>
        </w:r>
      </w:hyperlink>
      <w:r>
        <w:t xml:space="preserve"> und </w:t>
      </w:r>
      <w:hyperlink w:anchor="b105" w:history="1">
        <w:r>
          <w:rPr>
            <w:color w:val="0A3A8C"/>
            <w:u w:val="single"/>
          </w:rPr>
          <w:t xml:space="preserve">77</w:t>
        </w:r>
      </w:hyperlink>
      <w:r>
        <w:t xml:space="preserve"> vorgesehenen Maßregeln der Staatsanwaltschaft zu. </w:t>
      </w:r>
      <w:r>
        <w:rPr>
          <w:rStyle w:val="Satznummer"/>
        </w:rPr>
        <w:t>2</w:t>
      </w:r>
      <w:r>
        <w:t xml:space="preserve">Jedoch bleibt die Festsetzung der Haft dem nach </w:t>
      </w:r>
      <w:hyperlink w:anchor="b294" w:history="1">
        <w:r>
          <w:rPr>
            <w:color w:val="0A3A8C"/>
            <w:u w:val="single"/>
          </w:rPr>
          <w:t xml:space="preserve">§ 162</w:t>
        </w:r>
      </w:hyperlink>
      <w:r>
        <w:t xml:space="preserve"> zuständigen Gericht vorbehalten.</w:t>
      </w:r>
    </w:p>
    <w:p>
      <w:r>
        <w:t xml:space="preserve">(3) </w:t>
      </w:r>
      <w:r>
        <w:rPr>
          <w:rStyle w:val="Satznummer"/>
        </w:rPr>
        <w:t>1</w:t>
      </w:r>
      <w:r>
        <w:t xml:space="preserve">Gegen Entscheidungen der Staatsanwaltschaft nach Absatz 2 Satz 1 kann gerichtliche Entscheidung durch das nach </w:t>
      </w:r>
      <w:hyperlink w:anchor="b294" w:history="1">
        <w:r>
          <w:rPr>
            <w:color w:val="0A3A8C"/>
            <w:u w:val="single"/>
          </w:rPr>
          <w:t xml:space="preserve">§ 162</w:t>
        </w:r>
      </w:hyperlink>
      <w:r>
        <w:t xml:space="preserve"> zuständige Gericht beantragt werden. </w:t>
      </w:r>
      <w:r>
        <w:rPr>
          <w:rStyle w:val="Satznummer"/>
        </w:rPr>
        <w:t>2</w:t>
      </w:r>
      <w:r>
        <w:t xml:space="preserve">Gleiches gilt, wenn die Staatsanwaltschaft Entscheidungen im Sinne des </w:t>
      </w:r>
      <w:hyperlink w:anchor="b95" w:history="1">
        <w:r>
          <w:rPr>
            <w:color w:val="0A3A8C"/>
            <w:u w:val="single"/>
          </w:rPr>
          <w:t xml:space="preserve">§ 68b</w:t>
        </w:r>
      </w:hyperlink>
      <w:r>
        <w:t xml:space="preserve"> getroffen hat. </w:t>
      </w:r>
      <w:r>
        <w:rPr>
          <w:rStyle w:val="Satznummer"/>
        </w:rPr>
        <w:t>3</w:t>
      </w:r>
      <w:r>
        <w:t xml:space="preserve">Die </w:t>
      </w:r>
      <w:hyperlink w:anchor="b447" w:history="1">
        <w:r>
          <w:rPr>
            <w:color w:val="0A3A8C"/>
            <w:u w:val="single"/>
          </w:rPr>
          <w:t xml:space="preserve">§§ 297</w:t>
        </w:r>
      </w:hyperlink>
      <w:r>
        <w:t xml:space="preserve"> bis </w:t>
      </w:r>
      <w:hyperlink w:anchor="b450" w:history="1">
        <w:r>
          <w:rPr>
            <w:color w:val="0A3A8C"/>
            <w:u w:val="single"/>
          </w:rPr>
          <w:t xml:space="preserve">300</w:t>
        </w:r>
      </w:hyperlink>
      <w:r>
        <w:t xml:space="preserve">, </w:t>
      </w:r>
      <w:hyperlink w:anchor="b452" w:history="1">
        <w:r>
          <w:rPr>
            <w:color w:val="0A3A8C"/>
            <w:u w:val="single"/>
          </w:rPr>
          <w:t xml:space="preserve">302</w:t>
        </w:r>
      </w:hyperlink>
      <w:r>
        <w:t xml:space="preserve">, </w:t>
      </w:r>
      <w:hyperlink w:anchor="b458" w:history="1">
        <w:r>
          <w:rPr>
            <w:color w:val="0A3A8C"/>
            <w:u w:val="single"/>
          </w:rPr>
          <w:t xml:space="preserve">306</w:t>
        </w:r>
      </w:hyperlink>
      <w:r>
        <w:t xml:space="preserve"> bis </w:t>
      </w:r>
      <w:hyperlink w:anchor="b461" w:history="1">
        <w:r>
          <w:rPr>
            <w:color w:val="0A3A8C"/>
            <w:u w:val="single"/>
          </w:rPr>
          <w:t xml:space="preserve">309</w:t>
        </w:r>
      </w:hyperlink>
      <w:r>
        <w:t xml:space="preserve">, </w:t>
      </w:r>
      <w:hyperlink w:anchor="b464" w:history="1">
        <w:r>
          <w:rPr>
            <w:color w:val="0A3A8C"/>
            <w:u w:val="single"/>
          </w:rPr>
          <w:t xml:space="preserve">311a</w:t>
        </w:r>
      </w:hyperlink>
      <w:r>
        <w:t xml:space="preserve"> und </w:t>
      </w:r>
      <w:hyperlink w:anchor="b702" w:history="1">
        <w:r>
          <w:rPr>
            <w:color w:val="0A3A8C"/>
            <w:u w:val="single"/>
          </w:rPr>
          <w:t xml:space="preserve">473a</w:t>
        </w:r>
      </w:hyperlink>
      <w:r>
        <w:t xml:space="preserve"> gelten jeweils entsprechend. </w:t>
      </w:r>
      <w:r>
        <w:rPr>
          <w:rStyle w:val="Satznummer"/>
        </w:rPr>
        <w:t>4</w:t>
      </w:r>
      <w:r>
        <w:t>Gerichtliche Entscheidungen nach den Sätzen 1 und 2 sind unanfechtbar.</w:t>
      </w:r>
    </w:p>
    <w:p>
      <w:r>
        <w:t>(4) Ersucht eine Staatsanwaltschaft eine andere Staatsanwaltschaft um die Vernehmung eines Zeugen oder Sachverständigen, so stehen die Befugnisse nach Absatz 2 Satz 1 auch der ersuchten Staatsanwaltschaft zu.</w:t>
      </w:r>
    </w:p>
    <w:p>
      <w:r>
        <w:t>(5) § 185 Absatz 1 und 2 des Gerichtsverfassungsgesetzes gilt entsprechend.</w:t>
      </w:r>
    </w:p>
    <w:p>
      <w:pPr>
        <w:pStyle w:val="Heading3"/>
      </w:pPr>
      <w:bookmarkStart w:id="295" w:name="b294"/>
      <w:r>
        <w:t>§ 162 Ermittlungsrichter</w:t>
      </w:r>
      <w:r>
        <w:t xml:space="preserve"> </w:t>
      </w:r>
      <w:r>
        <w:rPr>
          <w:rStyle w:val="Suchmarke"/>
        </w:rPr>
        <w:t>#162#</w:t>
      </w:r>
      <w:bookmarkEnd w:id="295"/>
    </w:p>
    <w:p>
      <w:r>
        <w:t xml:space="preserve">(1) </w:t>
      </w:r>
      <w:r>
        <w:rPr>
          <w:rStyle w:val="Satznummer"/>
        </w:rPr>
        <w:t>1</w:t>
      </w:r>
      <w:r>
        <w:t xml:space="preserve">Erachtet die Staatsanwaltschaft die Vornahme einer gerichtlichen Untersuchungshandlung für erforderlich, so stellt sie ihre Anträge vor Erhebung der öffentlichen Klage bei dem Amtsgericht, in dessen Bezirk sie oder ihre den Antrag stellende Zweigstelle ihren Sitz hat. </w:t>
      </w:r>
      <w:r>
        <w:rPr>
          <w:rStyle w:val="Satznummer"/>
        </w:rPr>
        <w:t>2</w:t>
      </w:r>
      <w:r>
        <w:t xml:space="preserve">Hält sie daneben den Erlass eines Haft- oder Unterbringungsbefehls für erforderlich, so kann sie, unbeschadet der </w:t>
      </w:r>
      <w:hyperlink w:anchor="b215" w:history="1">
        <w:r>
          <w:rPr>
            <w:color w:val="0A3A8C"/>
            <w:u w:val="single"/>
          </w:rPr>
          <w:t xml:space="preserve">§§ 125</w:t>
        </w:r>
      </w:hyperlink>
      <w:r>
        <w:t xml:space="preserve">, </w:t>
      </w:r>
      <w:hyperlink w:anchor="b217" w:history="1">
        <w:r>
          <w:rPr>
            <w:color w:val="0A3A8C"/>
            <w:u w:val="single"/>
          </w:rPr>
          <w:t xml:space="preserve">126a</w:t>
        </w:r>
      </w:hyperlink>
      <w:r>
        <w:t xml:space="preserve">, auch einen solchen Antrag bei dem in Satz 1 bezeichneten Gericht stellen. </w:t>
      </w:r>
      <w:r>
        <w:rPr>
          <w:rStyle w:val="Satznummer"/>
        </w:rPr>
        <w:t>3</w:t>
      </w:r>
      <w:r>
        <w:t>Für gerichtliche Vernehmungen und Augenscheinnahmen ist das Amtsgericht zuständig, in dessen Bezirk diese Untersuchungshandlungen vorzunehmen sind, wenn die Staatsanwaltschaft dies zur Beschleunigung des Verfahrens oder zur Vermeidung von Belastungen Betroffener dort beantragt.</w:t>
      </w:r>
    </w:p>
    <w:p>
      <w:r>
        <w:t>(2) Das Gericht hat zu prüfen, ob die beantragte Handlung nach den Umständen des Falles gesetzlich zulässig ist.</w:t>
      </w:r>
    </w:p>
    <w:p>
      <w:r>
        <w:t xml:space="preserve">(3) </w:t>
      </w:r>
      <w:r>
        <w:rPr>
          <w:rStyle w:val="Satznummer"/>
        </w:rPr>
        <w:t>1</w:t>
      </w:r>
      <w:r>
        <w:t xml:space="preserve">Nach Erhebung der öffentlichen Klage ist das Gericht zuständig, das mit der Sache befasst ist. </w:t>
      </w:r>
      <w:r>
        <w:rPr>
          <w:rStyle w:val="Satznummer"/>
        </w:rPr>
        <w:t>2</w:t>
      </w:r>
      <w:r>
        <w:t xml:space="preserve">Während des Revisionsverfahrens ist das Gericht zuständig, dessen Urteil angefochten ist. </w:t>
      </w:r>
      <w:r>
        <w:rPr>
          <w:rStyle w:val="Satznummer"/>
        </w:rPr>
        <w:t>3</w:t>
      </w:r>
      <w:r>
        <w:t xml:space="preserve">Nach rechtskräftigem Abschluss des Verfahrens gelten die Absätze 1 und 2 entsprechend. </w:t>
      </w:r>
      <w:r>
        <w:rPr>
          <w:rStyle w:val="Satznummer"/>
        </w:rPr>
        <w:t>4</w:t>
      </w:r>
      <w:r>
        <w:t>Nach einem Antrag auf Wiederaufnahme ist das für die Entscheidungen im Wiederaufnahmeverfahren zuständige Gericht zuständig.</w:t>
      </w:r>
    </w:p>
    <w:p>
      <w:pPr>
        <w:pStyle w:val="Heading3"/>
      </w:pPr>
      <w:bookmarkStart w:id="296" w:name="b295"/>
      <w:r>
        <w:t>§ 163 Aufgaben der Polizei im Ermittlungsverfahren</w:t>
      </w:r>
      <w:r>
        <w:t xml:space="preserve"> </w:t>
      </w:r>
      <w:r>
        <w:rPr>
          <w:rStyle w:val="Suchmarke"/>
        </w:rPr>
        <w:t>#163#</w:t>
      </w:r>
      <w:bookmarkEnd w:id="296"/>
    </w:p>
    <w:p>
      <w:r>
        <w:t xml:space="preserve">(1) </w:t>
      </w:r>
      <w:r>
        <w:rPr>
          <w:rStyle w:val="Satznummer"/>
        </w:rPr>
        <w:t>1</w:t>
      </w:r>
      <w:r>
        <w:t xml:space="preserve">Die Behörden und Beamten des Polizeidienstes haben Straftaten zu erforschen und alle keinen Aufschub gestattenden Anordnungen zu treffen, um die Verdunkelung der Sache zu verhüten. </w:t>
      </w:r>
      <w:r>
        <w:rPr>
          <w:rStyle w:val="Satznummer"/>
        </w:rPr>
        <w:t>2</w:t>
      </w:r>
      <w:r>
        <w:t>Zu diesem Zweck sind sie befugt, alle Behörden um Auskunft zu ersuchen, bei Gefahr im Verzug auch, die Auskunft zu verlangen, sowie Ermittlungen jeder Art vorzunehmen, soweit nicht andere gesetzliche Vorschriften ihre Befugnisse besonders regeln.</w:t>
      </w:r>
    </w:p>
    <w:p>
      <w:r>
        <w:t xml:space="preserve">(2) </w:t>
      </w:r>
      <w:r>
        <w:rPr>
          <w:rStyle w:val="Satznummer"/>
        </w:rPr>
        <w:t>1</w:t>
      </w:r>
      <w:r>
        <w:t xml:space="preserve">Die Behörden und Beamten des Polizeidienstes übersenden ihre Verhandlungen ohne Verzug der Staatsanwaltschaft. </w:t>
      </w:r>
      <w:r>
        <w:rPr>
          <w:rStyle w:val="Satznummer"/>
        </w:rPr>
        <w:t>2</w:t>
      </w:r>
      <w:r>
        <w:t>Erscheint die schleunige Vornahme richterlicher Untersuchungshandlungen erforderlich, so kann die Übersendung unmittelbar an das Amtsgericht erfolgen.</w:t>
      </w:r>
    </w:p>
    <w:p>
      <w:r>
        <w:t xml:space="preserve">(3) </w:t>
      </w:r>
      <w:r>
        <w:rPr>
          <w:rStyle w:val="Satznummer"/>
        </w:rPr>
        <w:t>1</w:t>
      </w:r>
      <w:r>
        <w:t xml:space="preserve">Zeugen sind verpflichtet, auf Ladung vor Ermittlungspersonen der Staatsanwaltschaft zu erscheinen und zur Sache auszusagen, wenn der Ladung ein Auftrag der Staatsanwaltschaft zugrunde liegt. </w:t>
      </w:r>
      <w:r>
        <w:rPr>
          <w:rStyle w:val="Satznummer"/>
        </w:rPr>
        <w:t>2</w:t>
      </w:r>
      <w:r>
        <w:t xml:space="preserve">Soweit nichts anderes bestimmt ist, gelten die Vorschriften des Sechsten Abschnitts des Ersten Buches entsprechend. </w:t>
      </w:r>
      <w:r>
        <w:rPr>
          <w:rStyle w:val="Satznummer"/>
        </w:rPr>
        <w:t>3</w:t>
      </w:r>
      <w:r>
        <w:t>Die eidliche Vernehmung bleibt dem Gericht vorbehalten.</w:t>
      </w:r>
    </w:p>
    <w:p>
      <w:r>
        <w:t xml:space="preserve">(4) </w:t>
      </w:r>
      <w:r>
        <w:rPr>
          <w:rStyle w:val="Satznummer"/>
        </w:rPr>
        <w:t>1</w:t>
      </w:r>
      <w:r>
        <w:t>Die Staatsanwaltschaft entscheidet</w:t>
      </w:r>
    </w:p>
    <w:p>
      <w:pPr>
        <w:tabs>
          <w:tab w:pos="567" w:val="left"/>
        </w:tabs>
        <w:ind w:left="567" w:hanging="567"/>
      </w:pPr>
      <w:r>
        <w:t>1.</w:t>
      </w:r>
      <w:r>
        <w:tab/>
      </w:r>
      <w:r>
        <w:t>über die Zeugeneigenschaft oder das Vorliegen von Zeugnis- oder Auskunftsverweigerungsrechten, sofern insoweit Zweifel bestehen oder im Laufe der Vernehmung aufkommen,</w:t>
      </w:r>
    </w:p>
    <w:p>
      <w:pPr>
        <w:tabs>
          <w:tab w:pos="567" w:val="left"/>
        </w:tabs>
        <w:ind w:left="567" w:hanging="567"/>
      </w:pPr>
      <w:r>
        <w:t>2.</w:t>
      </w:r>
      <w:r>
        <w:tab/>
      </w:r>
      <w:r>
        <w:t xml:space="preserve">über eine Gestattung nach </w:t>
      </w:r>
      <w:hyperlink w:anchor="b93" w:history="1">
        <w:r>
          <w:rPr>
            <w:color w:val="0A3A8C"/>
            <w:u w:val="single"/>
          </w:rPr>
          <w:t xml:space="preserve">§ 68</w:t>
        </w:r>
      </w:hyperlink>
      <w:r>
        <w:t xml:space="preserve"> Absatz 3 Satz 1, Angaben zur Person nicht oder nur über eine frühere Identität zu machen,</w:t>
      </w:r>
    </w:p>
    <w:p>
      <w:pPr>
        <w:tabs>
          <w:tab w:pos="567" w:val="left"/>
        </w:tabs>
        <w:ind w:left="567" w:hanging="567"/>
      </w:pPr>
      <w:r>
        <w:t>3.</w:t>
      </w:r>
      <w:r>
        <w:tab/>
      </w:r>
      <w:r>
        <w:t xml:space="preserve">über die Beiordnung eines Zeugenbeistands nach </w:t>
      </w:r>
      <w:hyperlink w:anchor="b95" w:history="1">
        <w:r>
          <w:rPr>
            <w:color w:val="0A3A8C"/>
            <w:u w:val="single"/>
          </w:rPr>
          <w:t xml:space="preserve">§ 68b</w:t>
        </w:r>
      </w:hyperlink>
      <w:r>
        <w:t xml:space="preserve"> Absatz 2 und</w:t>
      </w:r>
    </w:p>
    <w:p>
      <w:pPr>
        <w:tabs>
          <w:tab w:pos="567" w:val="left"/>
        </w:tabs>
        <w:ind w:left="567" w:hanging="567"/>
      </w:pPr>
      <w:r>
        <w:t>4.</w:t>
      </w:r>
      <w:r>
        <w:tab/>
      </w:r>
      <w:r>
        <w:t xml:space="preserve">bei unberechtigtem Ausbleiben oder unberechtigter Weigerung des Zeugen über die Verhängung der in den </w:t>
      </w:r>
      <w:hyperlink w:anchor="b73" w:history="1">
        <w:r>
          <w:rPr>
            <w:color w:val="0A3A8C"/>
            <w:u w:val="single"/>
          </w:rPr>
          <w:t xml:space="preserve">§§ 51</w:t>
        </w:r>
      </w:hyperlink>
      <w:r>
        <w:t xml:space="preserve"> und </w:t>
      </w:r>
      <w:hyperlink w:anchor="b97" w:history="1">
        <w:r>
          <w:rPr>
            <w:color w:val="0A3A8C"/>
            <w:u w:val="single"/>
          </w:rPr>
          <w:t xml:space="preserve">70</w:t>
        </w:r>
      </w:hyperlink>
      <w:r>
        <w:t xml:space="preserve"> vorgesehenen Maßregeln; dabei bleibt die Festsetzung der Haft dem nach </w:t>
      </w:r>
      <w:hyperlink w:anchor="b294" w:history="1">
        <w:r>
          <w:rPr>
            <w:color w:val="0A3A8C"/>
            <w:u w:val="single"/>
          </w:rPr>
          <w:t xml:space="preserve">§ 162</w:t>
        </w:r>
      </w:hyperlink>
      <w:r>
        <w:t xml:space="preserve"> zuständigen Gericht vorbehalten.</w:t>
      </w:r>
    </w:p>
    <w:p>
      <w:r>
        <w:rPr>
          <w:rStyle w:val="Satznummer"/>
        </w:rPr>
        <w:t>2</w:t>
      </w:r>
      <w:r>
        <w:t>Im Übrigen trifft die erforderlichen Entscheidungen die die Vernehmung leitende Person.</w:t>
      </w:r>
    </w:p>
    <w:p>
      <w:r>
        <w:t xml:space="preserve">(5) </w:t>
      </w:r>
      <w:r>
        <w:rPr>
          <w:rStyle w:val="Satznummer"/>
        </w:rPr>
        <w:t>1</w:t>
      </w:r>
      <w:r>
        <w:t xml:space="preserve">Gegen Entscheidungen von Beamten des Polizeidienstes nach </w:t>
      </w:r>
      <w:hyperlink w:anchor="b95" w:history="1">
        <w:r>
          <w:rPr>
            <w:color w:val="0A3A8C"/>
            <w:u w:val="single"/>
          </w:rPr>
          <w:t xml:space="preserve">§ 68b</w:t>
        </w:r>
      </w:hyperlink>
      <w:r>
        <w:t xml:space="preserve"> Absatz 1 Satz 3 sowie gegen Entscheidungen der Staatsanwaltschaft nach Absatz 4 Satz 1 Nummer 3 und 4 kann gerichtliche Entscheidung durch das nach </w:t>
      </w:r>
      <w:hyperlink w:anchor="b294" w:history="1">
        <w:r>
          <w:rPr>
            <w:color w:val="0A3A8C"/>
            <w:u w:val="single"/>
          </w:rPr>
          <w:t xml:space="preserve">§ 162</w:t>
        </w:r>
      </w:hyperlink>
      <w:r>
        <w:t xml:space="preserve"> zuständige Gericht beantragt werden. </w:t>
      </w:r>
      <w:r>
        <w:rPr>
          <w:rStyle w:val="Satznummer"/>
        </w:rPr>
        <w:t>2</w:t>
      </w:r>
      <w:r>
        <w:t xml:space="preserve">Die </w:t>
      </w:r>
      <w:hyperlink w:anchor="b447" w:history="1">
        <w:r>
          <w:rPr>
            <w:color w:val="0A3A8C"/>
            <w:u w:val="single"/>
          </w:rPr>
          <w:t xml:space="preserve">§§ 297</w:t>
        </w:r>
      </w:hyperlink>
      <w:r>
        <w:t xml:space="preserve"> bis </w:t>
      </w:r>
      <w:hyperlink w:anchor="b450" w:history="1">
        <w:r>
          <w:rPr>
            <w:color w:val="0A3A8C"/>
            <w:u w:val="single"/>
          </w:rPr>
          <w:t xml:space="preserve">300</w:t>
        </w:r>
      </w:hyperlink>
      <w:r>
        <w:t xml:space="preserve">, </w:t>
      </w:r>
      <w:hyperlink w:anchor="b452" w:history="1">
        <w:r>
          <w:rPr>
            <w:color w:val="0A3A8C"/>
            <w:u w:val="single"/>
          </w:rPr>
          <w:t xml:space="preserve">302</w:t>
        </w:r>
      </w:hyperlink>
      <w:r>
        <w:t xml:space="preserve">, </w:t>
      </w:r>
      <w:hyperlink w:anchor="b458" w:history="1">
        <w:r>
          <w:rPr>
            <w:color w:val="0A3A8C"/>
            <w:u w:val="single"/>
          </w:rPr>
          <w:t xml:space="preserve">306</w:t>
        </w:r>
      </w:hyperlink>
      <w:r>
        <w:t xml:space="preserve"> bis </w:t>
      </w:r>
      <w:hyperlink w:anchor="b461" w:history="1">
        <w:r>
          <w:rPr>
            <w:color w:val="0A3A8C"/>
            <w:u w:val="single"/>
          </w:rPr>
          <w:t xml:space="preserve">309</w:t>
        </w:r>
      </w:hyperlink>
      <w:r>
        <w:t xml:space="preserve">, </w:t>
      </w:r>
      <w:hyperlink w:anchor="b464" w:history="1">
        <w:r>
          <w:rPr>
            <w:color w:val="0A3A8C"/>
            <w:u w:val="single"/>
          </w:rPr>
          <w:t xml:space="preserve">311a</w:t>
        </w:r>
      </w:hyperlink>
      <w:r>
        <w:t xml:space="preserve"> und </w:t>
      </w:r>
      <w:hyperlink w:anchor="b702" w:history="1">
        <w:r>
          <w:rPr>
            <w:color w:val="0A3A8C"/>
            <w:u w:val="single"/>
          </w:rPr>
          <w:t xml:space="preserve">473a</w:t>
        </w:r>
      </w:hyperlink>
      <w:r>
        <w:t xml:space="preserve"> gelten jeweils entsprechend. </w:t>
      </w:r>
      <w:r>
        <w:rPr>
          <w:rStyle w:val="Satznummer"/>
        </w:rPr>
        <w:t>3</w:t>
      </w:r>
      <w:r>
        <w:t>Gerichtliche Entscheidungen nach Satz 1 sind unanfechtbar.</w:t>
      </w:r>
    </w:p>
    <w:p>
      <w:r>
        <w:t xml:space="preserve">(6) </w:t>
      </w:r>
      <w:r>
        <w:rPr>
          <w:rStyle w:val="Satznummer"/>
        </w:rPr>
        <w:t>1</w:t>
      </w:r>
      <w:r>
        <w:t xml:space="preserve">Für die Belehrung des Sachverständigen durch Beamte des Polizeidienstes gelten </w:t>
      </w:r>
      <w:hyperlink w:anchor="b74" w:history="1">
        <w:r>
          <w:rPr>
            <w:color w:val="0A3A8C"/>
            <w:u w:val="single"/>
          </w:rPr>
          <w:t xml:space="preserve">§ 52</w:t>
        </w:r>
      </w:hyperlink>
      <w:r>
        <w:t xml:space="preserve"> Absatz 3 und </w:t>
      </w:r>
      <w:hyperlink w:anchor="b78" w:history="1">
        <w:r>
          <w:rPr>
            <w:color w:val="0A3A8C"/>
            <w:u w:val="single"/>
          </w:rPr>
          <w:t xml:space="preserve">§ 55</w:t>
        </w:r>
      </w:hyperlink>
      <w:r>
        <w:t xml:space="preserve"> Absatz 2 entsprechend. </w:t>
      </w:r>
      <w:r>
        <w:rPr>
          <w:rStyle w:val="Satznummer"/>
        </w:rPr>
        <w:t>2</w:t>
      </w:r>
      <w:r>
        <w:t xml:space="preserve">In den Fällen des </w:t>
      </w:r>
      <w:hyperlink w:anchor="b113" w:history="1">
        <w:r>
          <w:rPr>
            <w:color w:val="0A3A8C"/>
            <w:u w:val="single"/>
          </w:rPr>
          <w:t xml:space="preserve">§ 81c</w:t>
        </w:r>
      </w:hyperlink>
      <w:r>
        <w:t xml:space="preserve"> Absatz 3 Satz 1 und 2 gilt </w:t>
      </w:r>
      <w:hyperlink w:anchor="b74" w:history="1">
        <w:r>
          <w:rPr>
            <w:color w:val="0A3A8C"/>
            <w:u w:val="single"/>
          </w:rPr>
          <w:t xml:space="preserve">§ 52</w:t>
        </w:r>
      </w:hyperlink>
      <w:r>
        <w:t xml:space="preserve"> Absatz 3 auch bei Untersuchungen durch Beamte des Polizeidienstes sinngemäß.</w:t>
      </w:r>
    </w:p>
    <w:p>
      <w:r>
        <w:t>(7) § 185 Absatz 1 und 2 des Gerichtsverfassungsgesetzes gilt entsprechend.</w:t>
      </w:r>
    </w:p>
    <w:p>
      <w:pPr>
        <w:pStyle w:val="Heading3"/>
      </w:pPr>
      <w:bookmarkStart w:id="297" w:name="b296"/>
      <w:r>
        <w:t>§ 163a Vernehmung des Beschuldigten</w:t>
      </w:r>
      <w:r>
        <w:t xml:space="preserve"> </w:t>
      </w:r>
      <w:r>
        <w:rPr>
          <w:rStyle w:val="Suchmarke"/>
        </w:rPr>
        <w:t>#163a#</w:t>
      </w:r>
      <w:bookmarkEnd w:id="297"/>
    </w:p>
    <w:p>
      <w:r>
        <w:t xml:space="preserve">(1) </w:t>
      </w:r>
      <w:r>
        <w:rPr>
          <w:rStyle w:val="Satznummer"/>
        </w:rPr>
        <w:t>1</w:t>
      </w:r>
      <w:r>
        <w:t xml:space="preserve">Der Beschuldigte ist spätestens vor dem Abschluß der Ermittlungen zu vernehmen, es sei denn, daß das Verfahren zur Einstellung führt. </w:t>
      </w:r>
      <w:r>
        <w:rPr>
          <w:rStyle w:val="Satznummer"/>
        </w:rPr>
        <w:t>2</w:t>
      </w:r>
      <w:r>
        <w:t>In einfachen Sachen genügt es, daß ihm Gelegenheit gegeben wird, sich schriftlich zu äußern.</w:t>
      </w:r>
    </w:p>
    <w:p>
      <w:r>
        <w:t>(2) Beantragt der Beschuldigte zu seiner Entlastung die Aufnahme von Beweisen, so sind sie zu erheben, wenn sie von Bedeutung sind.</w:t>
      </w:r>
    </w:p>
    <w:p>
      <w:r>
        <w:t xml:space="preserve">(3) </w:t>
      </w:r>
      <w:r>
        <w:rPr>
          <w:rStyle w:val="Satznummer"/>
        </w:rPr>
        <w:t>1</w:t>
      </w:r>
      <w:r>
        <w:t xml:space="preserve">Der Beschuldigte ist verpflichtet, auf Ladung vor der Staatsanwaltschaft zu erscheinen. </w:t>
      </w:r>
      <w:r>
        <w:rPr>
          <w:rStyle w:val="Satznummer"/>
        </w:rPr>
        <w:t>2</w:t>
      </w:r>
      <w:r>
        <w:t xml:space="preserve">Die </w:t>
      </w:r>
      <w:hyperlink w:anchor="b233" w:history="1">
        <w:r>
          <w:rPr>
            <w:color w:val="0A3A8C"/>
            <w:u w:val="single"/>
          </w:rPr>
          <w:t xml:space="preserve">§§ 133</w:t>
        </w:r>
      </w:hyperlink>
      <w:r>
        <w:t xml:space="preserve"> bis </w:t>
      </w:r>
      <w:hyperlink w:anchor="b237" w:history="1">
        <w:r>
          <w:rPr>
            <w:color w:val="0A3A8C"/>
            <w:u w:val="single"/>
          </w:rPr>
          <w:t xml:space="preserve">136a</w:t>
        </w:r>
      </w:hyperlink>
      <w:r>
        <w:t xml:space="preserve"> und </w:t>
      </w:r>
      <w:hyperlink w:anchor="b310" w:history="1">
        <w:r>
          <w:rPr>
            <w:color w:val="0A3A8C"/>
            <w:u w:val="single"/>
          </w:rPr>
          <w:t xml:space="preserve">168c</w:t>
        </w:r>
      </w:hyperlink>
      <w:r>
        <w:t xml:space="preserve"> Abs. 1 und 5 gelten entsprechend. </w:t>
      </w:r>
      <w:r>
        <w:rPr>
          <w:rStyle w:val="Satznummer"/>
        </w:rPr>
        <w:t>3</w:t>
      </w:r>
      <w:r>
        <w:t xml:space="preserve">Über die Rechtmäßigkeit der Vorführung entscheidet auf Antrag des Beschuldigten das nach </w:t>
      </w:r>
      <w:hyperlink w:anchor="b294" w:history="1">
        <w:r>
          <w:rPr>
            <w:color w:val="0A3A8C"/>
            <w:u w:val="single"/>
          </w:rPr>
          <w:t xml:space="preserve">§ 162</w:t>
        </w:r>
      </w:hyperlink>
      <w:r>
        <w:t xml:space="preserve"> zuständige Gericht. </w:t>
      </w:r>
      <w:r>
        <w:rPr>
          <w:rStyle w:val="Satznummer"/>
        </w:rPr>
        <w:t>4</w:t>
      </w:r>
      <w:r>
        <w:t xml:space="preserve">Die </w:t>
      </w:r>
      <w:hyperlink w:anchor="b447" w:history="1">
        <w:r>
          <w:rPr>
            <w:color w:val="0A3A8C"/>
            <w:u w:val="single"/>
          </w:rPr>
          <w:t xml:space="preserve">§§ 297</w:t>
        </w:r>
      </w:hyperlink>
      <w:r>
        <w:t xml:space="preserve"> bis </w:t>
      </w:r>
      <w:hyperlink w:anchor="b450" w:history="1">
        <w:r>
          <w:rPr>
            <w:color w:val="0A3A8C"/>
            <w:u w:val="single"/>
          </w:rPr>
          <w:t xml:space="preserve">300</w:t>
        </w:r>
      </w:hyperlink>
      <w:r>
        <w:t xml:space="preserve">, </w:t>
      </w:r>
      <w:hyperlink w:anchor="b452" w:history="1">
        <w:r>
          <w:rPr>
            <w:color w:val="0A3A8C"/>
            <w:u w:val="single"/>
          </w:rPr>
          <w:t xml:space="preserve">302</w:t>
        </w:r>
      </w:hyperlink>
      <w:r>
        <w:t xml:space="preserve">, </w:t>
      </w:r>
      <w:hyperlink w:anchor="b458" w:history="1">
        <w:r>
          <w:rPr>
            <w:color w:val="0A3A8C"/>
            <w:u w:val="single"/>
          </w:rPr>
          <w:t xml:space="preserve">306</w:t>
        </w:r>
      </w:hyperlink>
      <w:r>
        <w:t xml:space="preserve"> bis </w:t>
      </w:r>
      <w:hyperlink w:anchor="b461" w:history="1">
        <w:r>
          <w:rPr>
            <w:color w:val="0A3A8C"/>
            <w:u w:val="single"/>
          </w:rPr>
          <w:t xml:space="preserve">309</w:t>
        </w:r>
      </w:hyperlink>
      <w:r>
        <w:t xml:space="preserve">, </w:t>
      </w:r>
      <w:hyperlink w:anchor="b464" w:history="1">
        <w:r>
          <w:rPr>
            <w:color w:val="0A3A8C"/>
            <w:u w:val="single"/>
          </w:rPr>
          <w:t xml:space="preserve">311a</w:t>
        </w:r>
      </w:hyperlink>
      <w:r>
        <w:t xml:space="preserve"> und </w:t>
      </w:r>
      <w:hyperlink w:anchor="b702" w:history="1">
        <w:r>
          <w:rPr>
            <w:color w:val="0A3A8C"/>
            <w:u w:val="single"/>
          </w:rPr>
          <w:t xml:space="preserve">473a</w:t>
        </w:r>
      </w:hyperlink>
      <w:r>
        <w:t xml:space="preserve"> gelten entsprechend. </w:t>
      </w:r>
      <w:r>
        <w:rPr>
          <w:rStyle w:val="Satznummer"/>
        </w:rPr>
        <w:t>5</w:t>
      </w:r>
      <w:r>
        <w:t>Die Entscheidung des Gerichts ist unanfechtbar.</w:t>
      </w:r>
    </w:p>
    <w:p>
      <w:r>
        <w:t xml:space="preserve">(4) </w:t>
      </w:r>
      <w:r>
        <w:rPr>
          <w:rStyle w:val="Satznummer"/>
        </w:rPr>
        <w:t>1</w:t>
      </w:r>
      <w:r>
        <w:t xml:space="preserve">Bei der Vernehmung des Beschuldigten durch Beamte des Polizeidienstes ist dem Beschuldigten zu eröffnen, welche Tat ihm zur Last gelegt wird. </w:t>
      </w:r>
      <w:r>
        <w:rPr>
          <w:rStyle w:val="Satznummer"/>
        </w:rPr>
        <w:t>2</w:t>
      </w:r>
      <w:r>
        <w:t xml:space="preserve">Im übrigen sind bei der Vernehmung des Beschuldigten durch Beamte des Polizeidienstes </w:t>
      </w:r>
      <w:hyperlink w:anchor="b236" w:history="1">
        <w:r>
          <w:rPr>
            <w:color w:val="0A3A8C"/>
            <w:u w:val="single"/>
          </w:rPr>
          <w:t xml:space="preserve">§ 136</w:t>
        </w:r>
      </w:hyperlink>
      <w:r>
        <w:t xml:space="preserve"> Absatz 1 Satz 2 bis 6, Absatz 2 bis 5 und </w:t>
      </w:r>
      <w:hyperlink w:anchor="b237" w:history="1">
        <w:r>
          <w:rPr>
            <w:color w:val="0A3A8C"/>
            <w:u w:val="single"/>
          </w:rPr>
          <w:t xml:space="preserve">§ 136a</w:t>
        </w:r>
      </w:hyperlink>
      <w:r>
        <w:t xml:space="preserve"> anzuwenden. </w:t>
      </w:r>
      <w:r>
        <w:rPr>
          <w:rStyle w:val="Satznummer"/>
        </w:rPr>
        <w:t>3</w:t>
      </w:r>
      <w:hyperlink w:anchor="b310" w:history="1">
        <w:r>
          <w:rPr>
            <w:color w:val="0A3A8C"/>
            <w:u w:val="single"/>
          </w:rPr>
          <w:t xml:space="preserve">§ 168c</w:t>
        </w:r>
      </w:hyperlink>
      <w:r>
        <w:t xml:space="preserve"> Absatz 1 und 5 gilt für den Verteidiger entsprechend.</w:t>
      </w:r>
    </w:p>
    <w:p>
      <w:r>
        <w:t>(5) Die §§ 186 und 187 Absatz 1 bis 3 sowie § 189 Absatz 4 des Gerichtsverfassungsgesetzes gelten entsprechend.</w:t>
      </w:r>
    </w:p>
    <w:p>
      <w:pPr>
        <w:pStyle w:val="Heading3"/>
      </w:pPr>
      <w:bookmarkStart w:id="298" w:name="b297"/>
      <w:r>
        <w:t>§ 163b Maßnahmen zur Identitätsfeststellung</w:t>
      </w:r>
      <w:r>
        <w:t xml:space="preserve"> </w:t>
      </w:r>
      <w:r>
        <w:rPr>
          <w:rStyle w:val="Suchmarke"/>
        </w:rPr>
        <w:t>#163b#</w:t>
      </w:r>
      <w:bookmarkEnd w:id="298"/>
    </w:p>
    <w:p>
      <w:r>
        <w:t xml:space="preserve">(1) </w:t>
      </w:r>
      <w:r>
        <w:rPr>
          <w:rStyle w:val="Satznummer"/>
        </w:rPr>
        <w:t>1</w:t>
      </w:r>
      <w:r>
        <w:t xml:space="preserve">Ist jemand einer Straftat verdächtig, so können die Staatsanwaltschaft und die Beamten des Polizeidienstes die zur Feststellung seiner Identität erforderlichen Maßnahmen treffen; </w:t>
      </w:r>
      <w:hyperlink w:anchor="b296" w:history="1">
        <w:r>
          <w:rPr>
            <w:color w:val="0A3A8C"/>
            <w:u w:val="single"/>
          </w:rPr>
          <w:t xml:space="preserve">§ 163a</w:t>
        </w:r>
      </w:hyperlink>
      <w:r>
        <w:t xml:space="preserve"> Abs. 4 Satz 1 gilt entsprechend. </w:t>
      </w:r>
      <w:r>
        <w:rPr>
          <w:rStyle w:val="Satznummer"/>
        </w:rPr>
        <w:t>2</w:t>
      </w:r>
      <w:r>
        <w:t xml:space="preserve">Der Verdächtige darf festgehalten werden, wenn die Identität sonst nicht oder nur unter erheblichen Schwierigkeiten festgestellt werden kann. </w:t>
      </w:r>
      <w:r>
        <w:rPr>
          <w:rStyle w:val="Satznummer"/>
        </w:rPr>
        <w:t>3</w:t>
      </w:r>
      <w:r>
        <w:t>Unter den Voraussetzungen von Satz 2 sind auch die Durchsuchung der Person des Verdächtigen und der von ihm mitgeführten Sachen sowie die Durchführung erkennungsdienstlicher Maßnahmen zulässig.</w:t>
      </w:r>
    </w:p>
    <w:p>
      <w:r>
        <w:t xml:space="preserve">(2) </w:t>
      </w:r>
      <w:r>
        <w:rPr>
          <w:rStyle w:val="Satznummer"/>
        </w:rPr>
        <w:t>1</w:t>
      </w:r>
      <w:r>
        <w:t xml:space="preserve">Wenn und soweit dies zur Aufklärung einer Straftat geboten ist, kann auch die Identität einer Person festgestellt werden, die einer Straftat nicht verdächtig ist; </w:t>
      </w:r>
      <w:hyperlink w:anchor="b96" w:history="1">
        <w:r>
          <w:rPr>
            <w:color w:val="0A3A8C"/>
            <w:u w:val="single"/>
          </w:rPr>
          <w:t xml:space="preserve">§ 69</w:t>
        </w:r>
      </w:hyperlink>
      <w:r>
        <w:t xml:space="preserve"> Abs. 1 Satz 2 gilt entsprechend. </w:t>
      </w:r>
      <w:r>
        <w:rPr>
          <w:rStyle w:val="Satznummer"/>
        </w:rPr>
        <w:t>2</w:t>
      </w:r>
      <w:r>
        <w:t>Maßnahmen der in Absatz 1 Satz 2 bezeichneten Art dürfen nicht getroffen werden, wenn sie zur Bedeutung der Sache außer Verhältnis stehen; Maßnahmen der in Absatz 1 Satz 3 bezeichneten Art dürfen nicht gegen den Willen der betroffenen Person getroffen werden.</w:t>
      </w:r>
    </w:p>
    <w:p>
      <w:pPr>
        <w:pStyle w:val="Heading3"/>
      </w:pPr>
      <w:bookmarkStart w:id="299" w:name="b298"/>
      <w:r>
        <w:t>§ 163c Freiheitsentziehung zur Identitätsfeststellung</w:t>
      </w:r>
      <w:r>
        <w:t xml:space="preserve"> </w:t>
      </w:r>
      <w:r>
        <w:rPr>
          <w:rStyle w:val="Suchmarke"/>
        </w:rPr>
        <w:t>#163c#</w:t>
      </w:r>
      <w:bookmarkEnd w:id="299"/>
    </w:p>
    <w:p>
      <w:r>
        <w:t xml:space="preserve">(1) </w:t>
      </w:r>
      <w:r>
        <w:rPr>
          <w:rStyle w:val="Satznummer"/>
        </w:rPr>
        <w:t>1</w:t>
      </w:r>
      <w:r>
        <w:t xml:space="preserve">Eine von einer Maßnahme nach </w:t>
      </w:r>
      <w:hyperlink w:anchor="b297" w:history="1">
        <w:r>
          <w:rPr>
            <w:color w:val="0A3A8C"/>
            <w:u w:val="single"/>
          </w:rPr>
          <w:t xml:space="preserve">§ 163b</w:t>
        </w:r>
      </w:hyperlink>
      <w:r>
        <w:t xml:space="preserve"> betroffene Person darf in keinem Fall länger als zur Feststellung ihrer Identität unerläßlich festgehalten werden. </w:t>
      </w:r>
      <w:r>
        <w:rPr>
          <w:rStyle w:val="Satznummer"/>
        </w:rPr>
        <w:t>2</w:t>
      </w:r>
      <w:r>
        <w:t xml:space="preserve">Die festgehaltene Person ist unverzüglich dem Richter bei dem Amtsgericht, in dessen Bezirk sie ergriffen worden ist, zum Zwecke der Entscheidung über Zulässigkeit und Fortdauer der Freiheitsentziehung vorzuführen, es sei denn, daß die Herbeiführung der richterlichen Entscheidung voraussichtlich längere Zeit in Anspruch nehmen würde, als zur Feststellung der Identität notwendig wäre. </w:t>
      </w:r>
      <w:r>
        <w:rPr>
          <w:rStyle w:val="Satznummer"/>
        </w:rPr>
        <w:t>3</w:t>
      </w:r>
      <w:r>
        <w:t xml:space="preserve">Die </w:t>
      </w:r>
      <w:hyperlink w:anchor="b193" w:history="1">
        <w:r>
          <w:rPr>
            <w:color w:val="0A3A8C"/>
            <w:u w:val="single"/>
          </w:rPr>
          <w:t xml:space="preserve">§§ 114a</w:t>
        </w:r>
      </w:hyperlink>
      <w:r>
        <w:t xml:space="preserve"> bis </w:t>
      </w:r>
      <w:hyperlink w:anchor="b195" w:history="1">
        <w:r>
          <w:rPr>
            <w:color w:val="0A3A8C"/>
            <w:u w:val="single"/>
          </w:rPr>
          <w:t xml:space="preserve">114c</w:t>
        </w:r>
      </w:hyperlink>
      <w:r>
        <w:t xml:space="preserve"> gelten entsprechend.</w:t>
      </w:r>
    </w:p>
    <w:p>
      <w:r>
        <w:t>(2) Eine Freiheitsentziehung zum Zwecke der Feststellung der Identität darf die Dauer von insgesamt zwölf Stunden nicht überschreiten.</w:t>
      </w:r>
    </w:p>
    <w:p>
      <w:r>
        <w:t xml:space="preserve">(3) Ist die Identität festgestellt, so sind in den Fällen des </w:t>
      </w:r>
      <w:hyperlink w:anchor="b297" w:history="1">
        <w:r>
          <w:rPr>
            <w:color w:val="0A3A8C"/>
            <w:u w:val="single"/>
          </w:rPr>
          <w:t xml:space="preserve">§ 163b</w:t>
        </w:r>
      </w:hyperlink>
      <w:r>
        <w:t xml:space="preserve"> Abs. 2 die im Zusammenhang mit der Feststellung angefallenen Unterlagen zu vernichten.</w:t>
      </w:r>
    </w:p>
    <w:p>
      <w:pPr>
        <w:pStyle w:val="Heading3"/>
      </w:pPr>
      <w:bookmarkStart w:id="300" w:name="b299"/>
      <w:r>
        <w:t>§ 163d Speicherung und Abgleich von Daten aus Kontrollen</w:t>
      </w:r>
      <w:r>
        <w:t xml:space="preserve"> </w:t>
      </w:r>
      <w:r>
        <w:rPr>
          <w:rStyle w:val="Suchmarke"/>
        </w:rPr>
        <w:t>#163d#</w:t>
      </w:r>
      <w:bookmarkEnd w:id="300"/>
    </w:p>
    <w:p>
      <w:r>
        <w:t xml:space="preserve">(1) </w:t>
      </w:r>
      <w:r>
        <w:rPr>
          <w:rStyle w:val="Satznummer"/>
        </w:rPr>
        <w:t>1</w:t>
      </w:r>
      <w:r>
        <w:t>Begründen bestimmte Tatsachen den Verdacht, daß</w:t>
      </w:r>
    </w:p>
    <w:p>
      <w:pPr>
        <w:tabs>
          <w:tab w:pos="567" w:val="left"/>
        </w:tabs>
        <w:ind w:left="567" w:hanging="567"/>
      </w:pPr>
      <w:r>
        <w:t>1.</w:t>
      </w:r>
      <w:r>
        <w:tab/>
      </w:r>
      <w:r>
        <w:t xml:space="preserve">eine der in </w:t>
      </w:r>
      <w:hyperlink w:anchor="b170" w:history="1">
        <w:r>
          <w:rPr>
            <w:color w:val="0A3A8C"/>
            <w:u w:val="single"/>
          </w:rPr>
          <w:t xml:space="preserve">§ 111</w:t>
        </w:r>
      </w:hyperlink>
      <w:r>
        <w:t xml:space="preserve"> bezeichneten Straftaten oder</w:t>
      </w:r>
    </w:p>
    <w:p>
      <w:pPr>
        <w:tabs>
          <w:tab w:pos="567" w:val="left"/>
        </w:tabs>
        <w:ind w:left="567" w:hanging="567"/>
      </w:pPr>
      <w:r>
        <w:t>2.</w:t>
      </w:r>
      <w:r>
        <w:tab/>
      </w:r>
      <w:r>
        <w:t xml:space="preserve">eine der in </w:t>
      </w:r>
      <w:hyperlink w:anchor="b143" w:history="1">
        <w:r>
          <w:rPr>
            <w:color w:val="0A3A8C"/>
            <w:u w:val="single"/>
          </w:rPr>
          <w:t xml:space="preserve">§ 100a</w:t>
        </w:r>
      </w:hyperlink>
      <w:r>
        <w:t xml:space="preserve"> Abs. 2 Nr. 6 bis 9 und 11 bezeichneten Straftaten</w:t>
      </w:r>
    </w:p>
    <w:p>
      <w:r>
        <w:t xml:space="preserve">begangen worden ist, so dürfen die anläßlich einer grenzpolizeilichen Kontrolle, im Falle der Nummer 1 auch die bei einer Personenkontrolle nach </w:t>
      </w:r>
      <w:hyperlink w:anchor="b170" w:history="1">
        <w:r>
          <w:rPr>
            <w:color w:val="0A3A8C"/>
            <w:u w:val="single"/>
          </w:rPr>
          <w:t xml:space="preserve">§ 111</w:t>
        </w:r>
      </w:hyperlink>
      <w:r>
        <w:t xml:space="preserve"> anfallenden Daten über die Identität von Personen sowie Umstände, die für die Aufklärung der Straftat oder für die Ergreifung des Täters von Bedeutung sein können, in einem Dateisystem gespeichert werden, wenn Tatsachen die Annahme rechtfertigen, daß die Auswertung der Daten zur Ergreifung des Täters oder zur Aufklärung der Straftat führen kann und die Maßnahme nicht außer Verhältnis zur Bedeutung der Sache steht. </w:t>
      </w:r>
      <w:r>
        <w:rPr>
          <w:rStyle w:val="Satznummer"/>
        </w:rPr>
        <w:t>2</w:t>
      </w:r>
      <w:r>
        <w:t xml:space="preserve">Dies gilt auch, wenn im Falle des Satzes 1 Pässe und Personalausweise automatisch gelesen werden. </w:t>
      </w:r>
      <w:r>
        <w:rPr>
          <w:rStyle w:val="Satznummer"/>
        </w:rPr>
        <w:t>3</w:t>
      </w:r>
      <w:r>
        <w:t>Die Übermittlung der Daten ist nur an Strafverfolgungsbehörden zulässig.</w:t>
      </w:r>
    </w:p>
    <w:p>
      <w:r>
        <w:t xml:space="preserve">(2) </w:t>
      </w:r>
      <w:r>
        <w:rPr>
          <w:rStyle w:val="Satznummer"/>
        </w:rPr>
        <w:t>1</w:t>
      </w:r>
      <w:r>
        <w:t xml:space="preserve">Maßnahmen der in Absatz 1 bezeichneten Art dürfen nur durch den Richter, bei Gefahr im Verzug auch durch die Staatsanwaltschaft und ihre Ermittlungspersonen (§ 152 des Gerichtsverfassungsgesetzes) angeordnet werden. </w:t>
      </w:r>
      <w:r>
        <w:rPr>
          <w:rStyle w:val="Satznummer"/>
        </w:rPr>
        <w:t>2</w:t>
      </w:r>
      <w:r>
        <w:t xml:space="preserve">Hat die Staatsanwaltschaft oder eine ihrer Ermittlungspersonen die Anordnung getroffen, so beantragt die Staatsanwaltschaft unverzüglich die richterliche Bestätigung der Anordnung. </w:t>
      </w:r>
      <w:r>
        <w:rPr>
          <w:rStyle w:val="Satznummer"/>
        </w:rPr>
        <w:t>3</w:t>
      </w:r>
      <w:hyperlink w:anchor="b147" w:history="1">
        <w:r>
          <w:rPr>
            <w:color w:val="0A3A8C"/>
            <w:u w:val="single"/>
          </w:rPr>
          <w:t xml:space="preserve">§ 100e</w:t>
        </w:r>
      </w:hyperlink>
      <w:r>
        <w:t xml:space="preserve"> Absatz 1 Satz 3 gilt entsprechend.</w:t>
      </w:r>
    </w:p>
    <w:p>
      <w:r>
        <w:t xml:space="preserve">(3) </w:t>
      </w:r>
      <w:r>
        <w:rPr>
          <w:rStyle w:val="Satznummer"/>
        </w:rPr>
        <w:t>1</w:t>
      </w:r>
      <w:r>
        <w:t xml:space="preserve">Die Anordnung ergeht schriftlich. </w:t>
      </w:r>
      <w:r>
        <w:rPr>
          <w:rStyle w:val="Satznummer"/>
        </w:rPr>
        <w:t>2</w:t>
      </w:r>
      <w:r>
        <w:t xml:space="preserve">Sie muß die Personen, deren Daten gespeichert werden sollen, nach bestimmten Merkmalen oder Eigenschaften so genau bezeichnen, wie dies nach der zur Zeit der Anordnung vorhandenen Kenntnis von dem oder den Tatverdächtigen möglich ist. </w:t>
      </w:r>
      <w:r>
        <w:rPr>
          <w:rStyle w:val="Satznummer"/>
        </w:rPr>
        <w:t>3</w:t>
      </w:r>
      <w:r>
        <w:t xml:space="preserve">Art und Dauer der Maßnahmen sind festzulegen. </w:t>
      </w:r>
      <w:r>
        <w:rPr>
          <w:rStyle w:val="Satznummer"/>
        </w:rPr>
        <w:t>4</w:t>
      </w:r>
      <w:r>
        <w:t xml:space="preserve">Die Anordnung ist räumlich zu begrenzen und auf höchstens drei Monate zu befristen. </w:t>
      </w:r>
      <w:r>
        <w:rPr>
          <w:rStyle w:val="Satznummer"/>
        </w:rPr>
        <w:t>5</w:t>
      </w:r>
      <w:r>
        <w:t>Eine einmalige Verlängerung um nicht mehr als drei weitere Monate ist zulässig, soweit die in Absatz 1 bezeichneten Voraussetzungen fortbestehen.</w:t>
      </w:r>
    </w:p>
    <w:p>
      <w:r>
        <w:t xml:space="preserve">(4) </w:t>
      </w:r>
      <w:r>
        <w:rPr>
          <w:rStyle w:val="Satznummer"/>
        </w:rPr>
        <w:t>1</w:t>
      </w:r>
      <w:r>
        <w:t xml:space="preserve">Liegen die Voraussetzungen für den Erlaß der Anordnung nicht mehr vor oder ist der Zweck der sich aus der Anordnung ergebenden Maßnahmen erreicht, so sind diese unverzüglich zu beenden. </w:t>
      </w:r>
      <w:r>
        <w:rPr>
          <w:rStyle w:val="Satznummer"/>
        </w:rPr>
        <w:t>2</w:t>
      </w:r>
      <w:r>
        <w:t xml:space="preserve">Die durch die Maßnahmen erlangten personenbezogenen Daten sind unverzüglich zu löschen, sobald sie für das Strafverfahren nicht oder nicht mehr benötigt werden; eine Speicherung, die die Laufzeit der Maßnahmen (Absatz 3) um mehr als drei Monate überschreitet, ist unzulässig. </w:t>
      </w:r>
      <w:r>
        <w:rPr>
          <w:rStyle w:val="Satznummer"/>
        </w:rPr>
        <w:t>3</w:t>
      </w:r>
      <w:r>
        <w:t>Über die Löschung ist die Staatsanwaltschaft zu unterrichten.</w:t>
      </w:r>
    </w:p>
    <w:p>
      <w:r>
        <w:t>(5) (weggefallen)</w:t>
      </w:r>
    </w:p>
    <w:p>
      <w:pPr>
        <w:pStyle w:val="Heading3"/>
      </w:pPr>
      <w:bookmarkStart w:id="301" w:name="b300"/>
      <w:r>
        <w:t>§ 163e Ausschreibung zur Beobachtung bei polizeilichen Kontrollen</w:t>
      </w:r>
      <w:r>
        <w:t xml:space="preserve"> </w:t>
      </w:r>
      <w:r>
        <w:rPr>
          <w:rStyle w:val="Suchmarke"/>
        </w:rPr>
        <w:t>#163e#</w:t>
      </w:r>
      <w:bookmarkEnd w:id="301"/>
    </w:p>
    <w:p>
      <w:r>
        <w:t xml:space="preserve">(1) </w:t>
      </w:r>
      <w:r>
        <w:rPr>
          <w:rStyle w:val="Satznummer"/>
        </w:rPr>
        <w:t>1</w:t>
      </w:r>
      <w:r>
        <w:t xml:space="preserve">Die Ausschreibung zur Beobachtung anläßlich von polizeilichen Kontrollen, die die Feststellung der Personalien zulassen, kann angeordnet werden, wenn zureichende tatsächliche Anhaltspunkte dafür vorliegen, daß eine Straftat von erheblicher Bedeutung begangen wurde. </w:t>
      </w:r>
      <w:r>
        <w:rPr>
          <w:rStyle w:val="Satznummer"/>
        </w:rPr>
        <w:t>2</w:t>
      </w:r>
      <w:r>
        <w:t xml:space="preserve">Die Anordnung darf sich nur gegen den Beschuldigten richten und nur dann getroffen werden, wenn die Erforschung des Sachverhalts oder die Ermittlung des Aufenthaltsortes des Täters auf andere Weise erheblich weniger erfolgversprechend oder wesentlich erschwert wäre. </w:t>
      </w:r>
      <w:r>
        <w:rPr>
          <w:rStyle w:val="Satznummer"/>
        </w:rPr>
        <w:t>3</w:t>
      </w:r>
      <w:r>
        <w:t>Gegen andere Personen ist die Maßnahme zulässig, wenn auf Grund bestimmter Tatsachen anzunehmen ist, daß sie mit dem Täter in Verbindung stehen oder eine solche Verbindung hergestellt wird, daß die Maßnahme zur Erforschung des Sachverhalts oder zur Ermittlung des Aufenthaltsortes des Täters führen wird und dies auf andere Weise erheblich weniger erfolgversprechend oder wesentlich erschwert wäre.</w:t>
      </w:r>
    </w:p>
    <w:p>
      <w:r>
        <w:t>(2) Das Kennzeichen eines Kraftfahrzeuges, die Identifizierungsnummer oder äußere Kennzeichnung eines Wasserfahrzeuges, Luftfahrzeuges oder eines Containers kann ausgeschrieben werden, wenn das Fahrzeug auf eine nach Absatz 1 ausgeschriebene Person zugelassen ist oder das Fahrzeug oder der Container von ihr oder einer bisher namentlich nicht bekannten Person genutzt wird, die einer Straftat von erheblicher Bedeutung verdächtig ist.</w:t>
      </w:r>
    </w:p>
    <w:p>
      <w:r>
        <w:t>(3) Im Falle eines Antreffens können auch personenbezogene Daten eines Begleiters der ausgeschriebenen Person, des Führers eines nach Absatz 2 ausgeschriebenen Fahrzeuges oder des Nutzers eines nach Absatz 2 ausgeschriebenen Containers gemeldet werden.</w:t>
      </w:r>
    </w:p>
    <w:p>
      <w:r>
        <w:t xml:space="preserve">(4) </w:t>
      </w:r>
      <w:r>
        <w:rPr>
          <w:rStyle w:val="Satznummer"/>
        </w:rPr>
        <w:t>1</w:t>
      </w:r>
      <w:r>
        <w:t xml:space="preserve">Die Ausschreibung zur polizeilichen Beobachtung darf nur durch das Gericht angeordnet werden. </w:t>
      </w:r>
      <w:r>
        <w:rPr>
          <w:rStyle w:val="Satznummer"/>
        </w:rPr>
        <w:t>2</w:t>
      </w:r>
      <w:r>
        <w:t xml:space="preserve">Bei Gefahr im Verzug kann die Anordnung auch durch die Staatsanwaltschaft getroffen werden. </w:t>
      </w:r>
      <w:r>
        <w:rPr>
          <w:rStyle w:val="Satznummer"/>
        </w:rPr>
        <w:t>3</w:t>
      </w:r>
      <w:r>
        <w:t xml:space="preserve">Hat die Staatsanwaltschaft die Anordnung getroffen, so beantragt sie unverzüglich die gerichtliche Bestätigung der Anordnung. </w:t>
      </w:r>
      <w:r>
        <w:rPr>
          <w:rStyle w:val="Satznummer"/>
        </w:rPr>
        <w:t>4</w:t>
      </w:r>
      <w:hyperlink w:anchor="b147" w:history="1">
        <w:r>
          <w:rPr>
            <w:color w:val="0A3A8C"/>
            <w:u w:val="single"/>
          </w:rPr>
          <w:t xml:space="preserve">§ 100e</w:t>
        </w:r>
      </w:hyperlink>
      <w:r>
        <w:t xml:space="preserve"> Absatz 1 Satz 3 gilt entsprechend. </w:t>
      </w:r>
      <w:r>
        <w:rPr>
          <w:rStyle w:val="Satznummer"/>
        </w:rPr>
        <w:t>5</w:t>
      </w:r>
      <w:r>
        <w:t xml:space="preserve">Die Anordnung ist auf höchstens ein Jahr zu befristen. </w:t>
      </w:r>
      <w:r>
        <w:rPr>
          <w:rStyle w:val="Satznummer"/>
        </w:rPr>
        <w:t>6</w:t>
      </w:r>
      <w:r>
        <w:t>Eine Verlängerung um jeweils nicht mehr als drei Monate ist zulässig, soweit die Voraussetzungen der Anordnung fortbestehen.</w:t>
      </w:r>
    </w:p>
    <w:p>
      <w:pPr>
        <w:pStyle w:val="Heading3"/>
      </w:pPr>
      <w:bookmarkStart w:id="302" w:name="b301"/>
      <w:r>
        <w:t>§ 163f Längerfristige Observation</w:t>
      </w:r>
      <w:r>
        <w:t xml:space="preserve"> </w:t>
      </w:r>
      <w:r>
        <w:rPr>
          <w:rStyle w:val="Suchmarke"/>
        </w:rPr>
        <w:t>#163f#</w:t>
      </w:r>
      <w:bookmarkEnd w:id="302"/>
    </w:p>
    <w:p>
      <w:r>
        <w:t xml:space="preserve">(1) </w:t>
      </w:r>
      <w:r>
        <w:rPr>
          <w:rStyle w:val="Satznummer"/>
        </w:rPr>
        <w:t>1</w:t>
      </w:r>
      <w:r>
        <w:t>Liegen zureichende tatsächliche Anhaltspunkte dafür vor, dass eine Straftat von erheblicher Bedeutung begangen worden ist, so darf eine planmäßig angelegte Beobachtung des Beschuldigten angeordnet werden, die</w:t>
      </w:r>
    </w:p>
    <w:p>
      <w:pPr>
        <w:tabs>
          <w:tab w:pos="567" w:val="left"/>
        </w:tabs>
        <w:ind w:left="567" w:hanging="567"/>
      </w:pPr>
      <w:r>
        <w:t>1.</w:t>
      </w:r>
      <w:r>
        <w:tab/>
      </w:r>
      <w:r>
        <w:t>durchgehend länger als 24 Stunden dauern oder</w:t>
      </w:r>
    </w:p>
    <w:p>
      <w:pPr>
        <w:tabs>
          <w:tab w:pos="567" w:val="left"/>
        </w:tabs>
        <w:ind w:left="567" w:hanging="567"/>
      </w:pPr>
      <w:r>
        <w:t>2.</w:t>
      </w:r>
      <w:r>
        <w:tab/>
      </w:r>
      <w:r>
        <w:t>an mehr als zwei Tagen stattfinden</w:t>
      </w:r>
    </w:p>
    <w:p>
      <w:r>
        <w:t>soll (längerfristige Observation).</w:t>
      </w:r>
      <w:r>
        <w:br/>
      </w:r>
      <w:r>
        <w:rPr>
          <w:rStyle w:val="Satznummer"/>
        </w:rPr>
        <w:t>2</w:t>
      </w:r>
      <w:r>
        <w:t xml:space="preserve">Die Maßnahme darf nur angeordnet werden, wenn die Erforschung des Sachverhalts oder die Ermittlung des Aufenthaltsortes des Täters auf andere Weise erheblich weniger Erfolg versprechend oder wesentlich erschwert wäre. </w:t>
      </w:r>
      <w:r>
        <w:rPr>
          <w:rStyle w:val="Satznummer"/>
        </w:rPr>
        <w:t>3</w:t>
      </w:r>
      <w:r>
        <w:t>Gegen andere Personen ist die Maßnahme zulässig, wenn auf Grund bestimmter Tatsachen anzunehmen ist, dass sie mit dem Täter in Verbindung stehen oder eine solche Verbindung hergestellt wird, dass die Maßnahme zur Erforschung des Sachverhalts oder zur Ermittlung des Aufenthaltsortes des Täters führen wird und dies auf andere Weise erheblich weniger Erfolg versprechend oder wesentlich erschwert wäre.</w:t>
      </w:r>
    </w:p>
    <w:p>
      <w:r>
        <w:t xml:space="preserve">(2) </w:t>
      </w:r>
      <w:r>
        <w:rPr>
          <w:rStyle w:val="Satznummer"/>
        </w:rPr>
        <w:t>1</w:t>
      </w:r>
      <w:r>
        <w:t xml:space="preserve">Die Maßnahme darf auch durchgeführt werden, wenn Dritte unvermeidbar betroffen werden. </w:t>
      </w:r>
      <w:r>
        <w:rPr>
          <w:rStyle w:val="Satznummer"/>
        </w:rPr>
        <w:t>2</w:t>
      </w:r>
      <w:hyperlink w:anchor="b146" w:history="1">
        <w:r>
          <w:rPr>
            <w:color w:val="0A3A8C"/>
            <w:u w:val="single"/>
          </w:rPr>
          <w:t xml:space="preserve">§ 100d</w:t>
        </w:r>
      </w:hyperlink>
      <w:r>
        <w:t xml:space="preserve"> Absatz 1 und 2 gilt entsprechend.</w:t>
      </w:r>
    </w:p>
    <w:p>
      <w:r>
        <w:t xml:space="preserve">(3) </w:t>
      </w:r>
      <w:r>
        <w:rPr>
          <w:rStyle w:val="Satznummer"/>
        </w:rPr>
        <w:t>1</w:t>
      </w:r>
      <w:r>
        <w:t xml:space="preserve">Die Maßnahme darf nur durch das Gericht, bei Gefahr im Verzug auch durch die Staatsanwaltschaft und ihre Ermittlungspersonen (§ 152 des Gerichtsverfassungsgesetzes) angeordnet werden. </w:t>
      </w:r>
      <w:r>
        <w:rPr>
          <w:rStyle w:val="Satznummer"/>
        </w:rPr>
        <w:t>2</w:t>
      </w:r>
      <w:r>
        <w:t xml:space="preserve">Die Anordnung der Staatsanwaltschaft oder ihrer Ermittlungspersonen tritt außer Kraft, wenn sie nicht binnen drei Werktagen von dem Gericht bestätigt wird. </w:t>
      </w:r>
      <w:r>
        <w:rPr>
          <w:rStyle w:val="Satznummer"/>
        </w:rPr>
        <w:t>3</w:t>
      </w:r>
      <w:hyperlink w:anchor="b147" w:history="1">
        <w:r>
          <w:rPr>
            <w:color w:val="0A3A8C"/>
            <w:u w:val="single"/>
          </w:rPr>
          <w:t xml:space="preserve">§ 100e</w:t>
        </w:r>
      </w:hyperlink>
      <w:r>
        <w:t xml:space="preserve"> Absatz 1 Satz 4 und 5, Absatz 3 Satz 1 gilt entsprechend.</w:t>
      </w:r>
    </w:p>
    <w:p>
      <w:r>
        <w:t>(4) (weggefallen)</w:t>
      </w:r>
    </w:p>
    <w:p>
      <w:pPr>
        <w:pStyle w:val="Heading3"/>
      </w:pPr>
      <w:bookmarkStart w:id="303" w:name="b302"/>
      <w:r>
        <w:t>§ 163g Automatische Kennzeichenerfassung</w:t>
      </w:r>
      <w:r>
        <w:t xml:space="preserve"> </w:t>
      </w:r>
      <w:r>
        <w:rPr>
          <w:rStyle w:val="Suchmarke"/>
        </w:rPr>
        <w:t>#163g#</w:t>
      </w:r>
      <w:bookmarkEnd w:id="303"/>
    </w:p>
    <w:p>
      <w:r>
        <w:t xml:space="preserve">(1) </w:t>
      </w:r>
      <w:r>
        <w:rPr>
          <w:rStyle w:val="Satznummer"/>
        </w:rPr>
        <w:t>1</w:t>
      </w:r>
      <w:r>
        <w:t xml:space="preserve">Örtlich begrenzt dürfen im öffentlichen Verkehrsraum ohne das Wissen der betroffenen Personen Kennzeichen von Kraftfahrzeugen sowie Ort, Datum, Uhrzeit und Fahrtrichtung durch den Einsatz technischer Mittel automatisch erhoben werden, wenn zureichende tatsächliche Anhaltspunkte dafür vorliegen, dass eine Straftat von erheblicher Bedeutung begangen worden ist, und die Annahme gerechtfertigt ist, dass diese Maßnahme zur Ermittlung der Identität oder des Aufenthaltsorts des Beschuldigten führen kann. </w:t>
      </w:r>
      <w:r>
        <w:rPr>
          <w:rStyle w:val="Satznummer"/>
        </w:rPr>
        <w:t>2</w:t>
      </w:r>
      <w:r>
        <w:t>Die automatische Datenerhebung darf nur vorübergehend und nicht flächendeckend erfolgen.</w:t>
      </w:r>
    </w:p>
    <w:p>
      <w:r>
        <w:t xml:space="preserve">(2) </w:t>
      </w:r>
      <w:r>
        <w:rPr>
          <w:rStyle w:val="Satznummer"/>
        </w:rPr>
        <w:t>1</w:t>
      </w:r>
      <w:r>
        <w:t>Die nach Absatz 1 erhobenen Kennzeichen von Kraftfahrzeugen dürfen automatisch abgeglichen werden mit Kennzeichen von Kraftfahrzeugen,</w:t>
      </w:r>
    </w:p>
    <w:p>
      <w:pPr>
        <w:tabs>
          <w:tab w:pos="567" w:val="left"/>
        </w:tabs>
        <w:ind w:left="567" w:hanging="567"/>
      </w:pPr>
      <w:r>
        <w:t>1.</w:t>
      </w:r>
      <w:r>
        <w:tab/>
      </w:r>
      <w:r>
        <w:t>die auf den Beschuldigten zugelassen sind oder von ihm genutzt werden oder</w:t>
      </w:r>
    </w:p>
    <w:p>
      <w:pPr>
        <w:tabs>
          <w:tab w:pos="567" w:val="left"/>
        </w:tabs>
        <w:ind w:left="567" w:hanging="567"/>
      </w:pPr>
      <w:r>
        <w:t>2.</w:t>
      </w:r>
      <w:r>
        <w:tab/>
      </w:r>
      <w:r>
        <w:t>die auf andere Personen als den Beschuldigten zugelassen sind oder von ihnen genutzt werden, wenn aufgrund bestimmter Tatsachen anzunehmen ist, dass sie mit dem Beschuldigten in Verbindung stehen oder eine solche Verbindung hergestellt wird, und die Ermittlung des Aufenthaltsortes des Beschuldigten auf andere Weise erheblich weniger erfolgversprechend oder wesentlich erschwert wäre.</w:t>
      </w:r>
    </w:p>
    <w:p>
      <w:r>
        <w:rPr>
          <w:rStyle w:val="Satznummer"/>
        </w:rPr>
        <w:t>2</w:t>
      </w:r>
      <w:r>
        <w:t xml:space="preserve">Der automatische Abgleich hat unverzüglich nach der automatischen Datenerhebung nach Absatz 1 zu erfolgen. </w:t>
      </w:r>
      <w:r>
        <w:rPr>
          <w:rStyle w:val="Satznummer"/>
        </w:rPr>
        <w:t>3</w:t>
      </w:r>
      <w:r>
        <w:t xml:space="preserve">Im Trefferfall ist unverzüglich die Übereinstimmung zwischen den nach Absatz 1 erhobenen Kennzeichen und den in Satz 1 bezeichneten weiteren Kennzeichen manuell zu überprüfen. </w:t>
      </w:r>
      <w:r>
        <w:rPr>
          <w:rStyle w:val="Satznummer"/>
        </w:rPr>
        <w:t>4</w:t>
      </w:r>
      <w:r>
        <w:t>Wenn kein Treffer vorliegt oder die manuelle Überprüfung den Treffer nicht bestätigt, sind die nach Absatz 1 erhobenen Daten sofort und spurenlos zu löschen.</w:t>
      </w:r>
    </w:p>
    <w:p>
      <w:r>
        <w:t xml:space="preserve">(3) </w:t>
      </w:r>
      <w:r>
        <w:rPr>
          <w:rStyle w:val="Satznummer"/>
        </w:rPr>
        <w:t>1</w:t>
      </w:r>
      <w:r>
        <w:t xml:space="preserve">Die Anordnung der Maßnahmen nach den Absätzen 1 und 2 ergeht schriftlich durch die Staatsanwaltschaft. </w:t>
      </w:r>
      <w:r>
        <w:rPr>
          <w:rStyle w:val="Satznummer"/>
        </w:rPr>
        <w:t>2</w:t>
      </w:r>
      <w:r>
        <w:t xml:space="preserve">Sie muss das Vorliegen der Voraussetzungen der Maßnahmen darlegen und diejenigen Kennzeichen, mit denen die automatisch erhobenen Daten nach Absatz 2 Satz 1 abgeglichen werden sollen, genau bezeichnen. </w:t>
      </w:r>
      <w:r>
        <w:rPr>
          <w:rStyle w:val="Satznummer"/>
        </w:rPr>
        <w:t>3</w:t>
      </w:r>
      <w:r>
        <w:t xml:space="preserve">Die örtliche Begrenzung im öffentlichen Verkehrsraum (Absatz 1 Satz 1) ist zu benennen und die Anordnung ist zu befristen. </w:t>
      </w:r>
      <w:r>
        <w:rPr>
          <w:rStyle w:val="Satznummer"/>
        </w:rPr>
        <w:t>4</w:t>
      </w:r>
      <w:r>
        <w:t>Bei Gefahr im Verzug darf die Anordnung auch mündlich und durch die Ermittlungspersonen der Staatsanwaltschaft (§ 152 des Gerichtsverfassungsgesetzes) ergehen; in diesem Fall sind die schriftlichen Darlegungen nach den Sätzen 2 und 3 binnen drei Tagen vom Anordnenden nachzuholen.</w:t>
      </w:r>
    </w:p>
    <w:p>
      <w:r>
        <w:t>(4) Liegen die Voraussetzungen der Anordnung nicht mehr vor oder ist der Zweck der Maßnahmen erreicht, sind diese unverzüglich zu beenden.</w:t>
      </w:r>
    </w:p>
    <w:p>
      <w:pPr>
        <w:pStyle w:val="Heading3"/>
      </w:pPr>
      <w:bookmarkStart w:id="304" w:name="b303"/>
      <w:r>
        <w:t>§ 164 Festnahme von Störern</w:t>
      </w:r>
      <w:r>
        <w:t xml:space="preserve"> </w:t>
      </w:r>
      <w:r>
        <w:rPr>
          <w:rStyle w:val="Suchmarke"/>
        </w:rPr>
        <w:t>#164#</w:t>
      </w:r>
      <w:bookmarkEnd w:id="304"/>
    </w:p>
    <w:p>
      <w:r>
        <w:t>Bei Amtshandlungen an Ort und Stelle ist der Beamte, der sie leitet, befugt, Personen, die seine amtliche Tätigkeit vorsätzlich stören oder sich den von ihm innerhalb seiner Zuständigkeit getroffenen Anordnungen widersetzen, festnehmen und bis zur Beendigung seiner Amtsverrichtungen, jedoch nicht über den nächstfolgenden Tag hinaus, festhalten zu lassen.</w:t>
      </w:r>
    </w:p>
    <w:p>
      <w:pPr>
        <w:pStyle w:val="Heading3"/>
      </w:pPr>
      <w:bookmarkStart w:id="305" w:name="b304"/>
      <w:r>
        <w:t>§ 165 Richterliche Untersuchungshandlungen bei Gefahr im Verzug</w:t>
      </w:r>
      <w:r>
        <w:t xml:space="preserve"> </w:t>
      </w:r>
      <w:r>
        <w:rPr>
          <w:rStyle w:val="Suchmarke"/>
        </w:rPr>
        <w:t>#165#</w:t>
      </w:r>
      <w:bookmarkEnd w:id="305"/>
    </w:p>
    <w:p>
      <w:r>
        <w:t>Bei Gefahr im Verzug kann der Richter die erforderlichen Untersuchungshandlungen auch ohne Antrag vornehmen, wenn ein Staatsanwalt nicht erreichbar ist.</w:t>
      </w:r>
    </w:p>
    <w:p>
      <w:pPr>
        <w:pStyle w:val="Heading3"/>
      </w:pPr>
      <w:bookmarkStart w:id="306" w:name="b305"/>
      <w:r>
        <w:t>§ 166 Beweisanträge des Beschuldigten bei richterlichen Vernehmungen</w:t>
      </w:r>
      <w:r>
        <w:t xml:space="preserve"> </w:t>
      </w:r>
      <w:r>
        <w:rPr>
          <w:rStyle w:val="Suchmarke"/>
        </w:rPr>
        <w:t>#166#</w:t>
      </w:r>
      <w:bookmarkEnd w:id="306"/>
    </w:p>
    <w:p>
      <w:r>
        <w:t>(1) Wird der Beschuldigte von dem Richter vernommen und beantragt er bei dieser Vernehmung zu seiner Entlastung einzelne Beweiserhebungen, so hat der Richter diese, soweit er sie für erheblich erachtet, vorzunehmen, wenn der Verlust der Beweise zu besorgen ist oder die Beweiserhebung die Freilassung des Beschuldigten begründen kann.</w:t>
      </w:r>
    </w:p>
    <w:p>
      <w:r>
        <w:t>(2) Der Richter kann, wenn die Beweiserhebung in einem anderen Amtsbezirk vorzunehmen ist, den Richter des letzteren um ihre Vornahme ersuchen.</w:t>
      </w:r>
    </w:p>
    <w:p>
      <w:pPr>
        <w:pStyle w:val="Heading3"/>
      </w:pPr>
      <w:bookmarkStart w:id="307" w:name="b306"/>
      <w:r>
        <w:t>§ 167 Weitere Verfügung der Staatsanwaltschaft</w:t>
      </w:r>
      <w:r>
        <w:t xml:space="preserve"> </w:t>
      </w:r>
      <w:r>
        <w:rPr>
          <w:rStyle w:val="Suchmarke"/>
        </w:rPr>
        <w:t>#167#</w:t>
      </w:r>
      <w:bookmarkEnd w:id="307"/>
    </w:p>
    <w:p>
      <w:r>
        <w:t xml:space="preserve">In den Fällen der </w:t>
      </w:r>
      <w:hyperlink w:anchor="b304" w:history="1">
        <w:r>
          <w:rPr>
            <w:color w:val="0A3A8C"/>
            <w:u w:val="single"/>
          </w:rPr>
          <w:t xml:space="preserve">§§ 165</w:t>
        </w:r>
      </w:hyperlink>
      <w:r>
        <w:t xml:space="preserve"> und </w:t>
      </w:r>
      <w:hyperlink w:anchor="b305" w:history="1">
        <w:r>
          <w:rPr>
            <w:color w:val="0A3A8C"/>
            <w:u w:val="single"/>
          </w:rPr>
          <w:t xml:space="preserve">166</w:t>
        </w:r>
      </w:hyperlink>
      <w:r>
        <w:t xml:space="preserve"> gebührt der Staatsanwaltschaft die weitere Verfügung.</w:t>
      </w:r>
    </w:p>
    <w:p>
      <w:pPr>
        <w:pStyle w:val="Heading3"/>
      </w:pPr>
      <w:bookmarkStart w:id="308" w:name="b307"/>
      <w:r>
        <w:t>§ 168 Protokoll über richterliche Untersuchungshandlungen</w:t>
      </w:r>
      <w:r>
        <w:t xml:space="preserve"> </w:t>
      </w:r>
      <w:r>
        <w:rPr>
          <w:rStyle w:val="Suchmarke"/>
        </w:rPr>
        <w:t>#168#</w:t>
      </w:r>
      <w:bookmarkEnd w:id="308"/>
    </w:p>
    <w:p>
      <w:r>
        <w:rPr>
          <w:rStyle w:val="Satznummer"/>
        </w:rPr>
        <w:t>1</w:t>
      </w:r>
      <w:r>
        <w:t xml:space="preserve">Über jede richterliche Untersuchungshandlung ist ein Protokoll aufzunehmen. </w:t>
      </w:r>
      <w:r>
        <w:rPr>
          <w:rStyle w:val="Satznummer"/>
        </w:rPr>
        <w:t>2</w:t>
      </w:r>
      <w:r>
        <w:t xml:space="preserve">Für die Protokollführung ist ein Urkundsbeamter der Geschäftsstelle zuzuziehen; hiervon kann der Richter absehen, wenn er die Zuziehung eines Protokollführers nicht für erforderlich hält. </w:t>
      </w:r>
      <w:r>
        <w:rPr>
          <w:rStyle w:val="Satznummer"/>
        </w:rPr>
        <w:t>3</w:t>
      </w:r>
      <w:r>
        <w:t xml:space="preserve">In dringenden Fällen kann der Richter eine von ihm zu vereidigende Person als Protokollführer zuziehen. </w:t>
      </w:r>
      <w:r>
        <w:rPr>
          <w:rStyle w:val="Satznummer"/>
        </w:rPr>
        <w:t>4</w:t>
      </w:r>
      <w:r>
        <w:t>Das Protokoll ist von dem Richter und, sofern ein solcher zugezogen wurde, dem Protokollführer zu unterschreiben.</w:t>
      </w:r>
    </w:p>
    <w:p>
      <w:pPr>
        <w:pStyle w:val="Heading3"/>
      </w:pPr>
      <w:bookmarkStart w:id="309" w:name="b308"/>
      <w:r>
        <w:t>§ 168a Art der Protokollierung; Aufzeichnungen</w:t>
      </w:r>
      <w:r>
        <w:t xml:space="preserve"> </w:t>
      </w:r>
      <w:r>
        <w:rPr>
          <w:rStyle w:val="Suchmarke"/>
        </w:rPr>
        <w:t>#168a#</w:t>
      </w:r>
      <w:bookmarkEnd w:id="309"/>
    </w:p>
    <w:p>
      <w:r>
        <w:t xml:space="preserve">(1) </w:t>
      </w:r>
      <w:r>
        <w:rPr>
          <w:rStyle w:val="Satznummer"/>
        </w:rPr>
        <w:t>1</w:t>
      </w:r>
      <w:r>
        <w:t xml:space="preserve">Das Protokoll muß Ort und Tag der Verhandlung sowie die Namen der mitwirkenden und beteiligten Personen angeben und ersehen lassen, ob die wesentlichen Förmlichkeiten des Verfahrens beachtet sind. </w:t>
      </w:r>
      <w:r>
        <w:rPr>
          <w:rStyle w:val="Satznummer"/>
        </w:rPr>
        <w:t>2</w:t>
      </w:r>
      <w:hyperlink w:anchor="b93" w:history="1">
        <w:r>
          <w:rPr>
            <w:color w:val="0A3A8C"/>
            <w:u w:val="single"/>
          </w:rPr>
          <w:t xml:space="preserve">§ 68</w:t>
        </w:r>
      </w:hyperlink>
      <w:r>
        <w:t xml:space="preserve"> Abs. 2, 3 bleibt unberührt.</w:t>
      </w:r>
    </w:p>
    <w:p>
      <w:r>
        <w:t xml:space="preserve">(2) </w:t>
      </w:r>
      <w:r>
        <w:rPr>
          <w:rStyle w:val="Satznummer"/>
        </w:rPr>
        <w:t>1</w:t>
      </w:r>
      <w:r>
        <w:t xml:space="preserve">Das Protokoll kann in Form einer wörtlichen Wiedergabe der Verhandlung (Wortprotokoll) oder in Form einer Zusammenfassung ihres Inhalts (Inhaltsprotokoll) sowohl während der Verhandlung als auch nach ihrer Beendigung erstellt werden. </w:t>
      </w:r>
      <w:r>
        <w:rPr>
          <w:rStyle w:val="Satznummer"/>
        </w:rPr>
        <w:t>2</w:t>
      </w:r>
      <w:r>
        <w:t xml:space="preserve">Die Verhandlung kann wörtlich oder in Form einer Zusammenfassung ihres Inhalts (zusammenfassende Aufzeichnung) aufgezeichnet werden. </w:t>
      </w:r>
      <w:r>
        <w:rPr>
          <w:rStyle w:val="Satznummer"/>
        </w:rPr>
        <w:t>3</w:t>
      </w:r>
      <w:r>
        <w:t>Der Nachweis der Unrichtigkeit des Protokolls anhand der Aufzeichnung ist zulässig.</w:t>
      </w:r>
    </w:p>
    <w:p>
      <w:r>
        <w:t>(3) Wird das Protokoll während der Verhandlung erstellt oder wird die Verhandlung in Form einer Zusammenfassung ihres Inhalts aufgezeichnet, so ist das Protokoll oder die zusammenfassende Aufzeichnung den an der Verhandlung beteiligten Personen, soweit es sie betrifft, zur Genehmigung auf einem Bildschirm anzuzeigen, vorzulesen, abzuspielen oder zur Durchsicht vorzulegen, es sei denn, sie verzichten darauf.</w:t>
      </w:r>
    </w:p>
    <w:p>
      <w:r>
        <w:t>(4) Wird das Protokoll nach Beendigung der Verhandlung als Inhaltsprotokoll erstellt, so ist es den an der Verhandlung beteiligten Personen, soweit es sie betrifft, zur Genehmigung zu übermitteln, es sei denn, sie verzichten darauf.</w:t>
      </w:r>
    </w:p>
    <w:p>
      <w:r>
        <w:t>(5) Wird das Protokoll nach Beendigung der Verhandlung durch die wörtliche Übertragung einer Aufzeichnung erstellt, so versieht die Person, welche die Übertragung hergestellt oder eine maschinelle Übertragung überprüft hat, diese mit ihrem Namen und dem Zusatz, dass die Richtigkeit der Übertragung bestätigt wird.</w:t>
      </w:r>
    </w:p>
    <w:p>
      <w:r>
        <w:t xml:space="preserve">(6) </w:t>
      </w:r>
      <w:r>
        <w:rPr>
          <w:rStyle w:val="Satznummer"/>
        </w:rPr>
        <w:t>1</w:t>
      </w:r>
      <w:r>
        <w:t xml:space="preserve">Die Art der Protokollierung und der Aufzeichnung, die Genehmigung des Protokolls oder einer zusammenfassenden Aufzeichnung, Einwendungen dagegen sowie ein Verzicht auf die Vorlage zur Genehmigung sind im Protokoll zu vermerken oder sonst aktenkundig zu machen. </w:t>
      </w:r>
      <w:r>
        <w:rPr>
          <w:rStyle w:val="Satznummer"/>
        </w:rPr>
        <w:t>2</w:t>
      </w:r>
      <w:r>
        <w:t xml:space="preserve">Aufzeichnungen sind zu den Akten zu nehmen, bei der Geschäftsstelle mit den Akten aufzubewahren oder in anderer Weise zu speichern. </w:t>
      </w:r>
      <w:r>
        <w:rPr>
          <w:rStyle w:val="Satznummer"/>
        </w:rPr>
        <w:t>3</w:t>
      </w:r>
      <w:r>
        <w:t xml:space="preserve">Sie können gelöscht werden, wenn das Verfahren rechtskräftig abgeschlossen oder sonst beendet ist; </w:t>
      </w:r>
      <w:hyperlink w:anchor="b82" w:history="1">
        <w:r>
          <w:rPr>
            <w:color w:val="0A3A8C"/>
            <w:u w:val="single"/>
          </w:rPr>
          <w:t xml:space="preserve">§ 58a</w:t>
        </w:r>
      </w:hyperlink>
      <w:r>
        <w:t xml:space="preserve"> Absatz 2 Satz 2 und </w:t>
      </w:r>
      <w:hyperlink w:anchor="b236" w:history="1">
        <w:r>
          <w:rPr>
            <w:color w:val="0A3A8C"/>
            <w:u w:val="single"/>
          </w:rPr>
          <w:t xml:space="preserve">§ 136</w:t>
        </w:r>
      </w:hyperlink>
      <w:r>
        <w:t xml:space="preserve"> Absatz 4 Satz 3 bleiben unberührt. </w:t>
      </w:r>
      <w:r>
        <w:rPr>
          <w:rStyle w:val="Satznummer"/>
        </w:rPr>
        <w:t>4</w:t>
      </w:r>
      <w:r>
        <w:t>Die Art der Aufbewahrung oder Speicherung und die Löschung sind aktenkundig zu machen.</w:t>
      </w:r>
    </w:p>
    <w:p>
      <w:pPr>
        <w:pStyle w:val="Heading3"/>
      </w:pPr>
      <w:bookmarkStart w:id="310" w:name="b309"/>
      <w:r>
        <w:t>§ 168b Protokoll über ermittlungsbehördliche Untersuchungshandlungen</w:t>
      </w:r>
      <w:r>
        <w:t xml:space="preserve"> </w:t>
      </w:r>
      <w:r>
        <w:rPr>
          <w:rStyle w:val="Suchmarke"/>
        </w:rPr>
        <w:t>#168b#</w:t>
      </w:r>
      <w:bookmarkEnd w:id="310"/>
    </w:p>
    <w:p>
      <w:r>
        <w:t>(1) Das Ergebnis der Untersuchungshandlungen der Ermittlungsbehörden ist aktenkundig zu machen.</w:t>
      </w:r>
    </w:p>
    <w:p>
      <w:r>
        <w:t xml:space="preserve">(2) </w:t>
      </w:r>
      <w:r>
        <w:rPr>
          <w:rStyle w:val="Satznummer"/>
        </w:rPr>
        <w:t>1</w:t>
      </w:r>
      <w:r>
        <w:t xml:space="preserve">Über die Vernehmung des Beschuldigten, der Zeugen und Sachverständigen soll ein Protokoll nach </w:t>
      </w:r>
      <w:hyperlink w:anchor="b308" w:history="1">
        <w:r>
          <w:rPr>
            <w:color w:val="0A3A8C"/>
            <w:u w:val="single"/>
          </w:rPr>
          <w:t xml:space="preserve">§ 168a</w:t>
        </w:r>
      </w:hyperlink>
      <w:r>
        <w:t xml:space="preserve"> aufgenommen werden, soweit dies ohne erhebliche Verzögerung der Ermittlungen geschehen kann. </w:t>
      </w:r>
      <w:r>
        <w:rPr>
          <w:rStyle w:val="Satznummer"/>
        </w:rPr>
        <w:t>2</w:t>
      </w:r>
      <w:r>
        <w:t>Wird über die Vernehmung des Beschuldigten kein Protokoll gefertigt, ist die Teilnahme seines Verteidigers an der Vernehmung aktenkundig zu machen.</w:t>
      </w:r>
    </w:p>
    <w:p>
      <w:r>
        <w:t xml:space="preserve">(3) </w:t>
      </w:r>
      <w:r>
        <w:rPr>
          <w:rStyle w:val="Satznummer"/>
        </w:rPr>
        <w:t>1</w:t>
      </w:r>
      <w:r>
        <w:t xml:space="preserve">Die in </w:t>
      </w:r>
      <w:hyperlink w:anchor="b296" w:history="1">
        <w:r>
          <w:rPr>
            <w:color w:val="0A3A8C"/>
            <w:u w:val="single"/>
          </w:rPr>
          <w:t xml:space="preserve">§ 163a</w:t>
        </w:r>
      </w:hyperlink>
      <w:r>
        <w:t xml:space="preserve"> vorgeschriebenen Belehrungen des Beschuldigten vor seiner Vernehmung sowie die in </w:t>
      </w:r>
      <w:hyperlink w:anchor="b81" w:history="1">
        <w:r>
          <w:rPr>
            <w:color w:val="0A3A8C"/>
            <w:u w:val="single"/>
          </w:rPr>
          <w:t xml:space="preserve">§ 58</w:t>
        </w:r>
      </w:hyperlink>
      <w:r>
        <w:t xml:space="preserve"> Absatz 2 Satz 5 vorgeschriebene Belehrung vor einer Gegenüberstellung sind zu dokumentieren. </w:t>
      </w:r>
      <w:r>
        <w:rPr>
          <w:rStyle w:val="Satznummer"/>
        </w:rPr>
        <w:t>2</w:t>
      </w:r>
      <w:r>
        <w:t xml:space="preserve">Dies gilt auch für die Entscheidung des Beschuldigten darüber, ob er vor seiner Vernehmung einen von ihm zu wählenden Verteidiger befragen möchte, und für das Einverständnis des Beschuldigten gemäß </w:t>
      </w:r>
      <w:hyperlink w:anchor="b248" w:history="1">
        <w:r>
          <w:rPr>
            <w:color w:val="0A3A8C"/>
            <w:u w:val="single"/>
          </w:rPr>
          <w:t xml:space="preserve">§ 141a</w:t>
        </w:r>
      </w:hyperlink>
      <w:r>
        <w:t xml:space="preserve"> Satz 1.</w:t>
      </w:r>
    </w:p>
    <w:p>
      <w:pPr>
        <w:pStyle w:val="Heading3"/>
      </w:pPr>
      <w:bookmarkStart w:id="311" w:name="b310"/>
      <w:r>
        <w:t>§ 168c Anwesenheitsrecht bei richterlichen Vernehmungen</w:t>
      </w:r>
      <w:r>
        <w:t xml:space="preserve"> </w:t>
      </w:r>
      <w:r>
        <w:rPr>
          <w:rStyle w:val="Suchmarke"/>
        </w:rPr>
        <w:t>#168c#</w:t>
      </w:r>
      <w:bookmarkEnd w:id="311"/>
    </w:p>
    <w:p>
      <w:r>
        <w:t xml:space="preserve">(1) </w:t>
      </w:r>
      <w:r>
        <w:rPr>
          <w:rStyle w:val="Satznummer"/>
        </w:rPr>
        <w:t>1</w:t>
      </w:r>
      <w:r>
        <w:t xml:space="preserve">Bei der richterlichen Vernehmung des Beschuldigten ist der Staatsanwaltschaft und dem Verteidiger die Anwesenheit gestattet. </w:t>
      </w:r>
      <w:r>
        <w:rPr>
          <w:rStyle w:val="Satznummer"/>
        </w:rPr>
        <w:t>2</w:t>
      </w:r>
      <w:r>
        <w:t xml:space="preserve">Diesen ist nach der Vernehmung Gelegenheit zu geben, sich dazu zu erklären oder Fragen an den Beschuldigten zu stellen. </w:t>
      </w:r>
      <w:r>
        <w:rPr>
          <w:rStyle w:val="Satznummer"/>
        </w:rPr>
        <w:t>3</w:t>
      </w:r>
      <w:r>
        <w:t>Ungeeignete oder nicht zur Sache gehörende Fragen oder Erklärungen können zurückgewiesen werden.</w:t>
      </w:r>
    </w:p>
    <w:p>
      <w:r>
        <w:t xml:space="preserve">(2) </w:t>
      </w:r>
      <w:r>
        <w:rPr>
          <w:rStyle w:val="Satznummer"/>
        </w:rPr>
        <w:t>1</w:t>
      </w:r>
      <w:r>
        <w:t xml:space="preserve">Bei der richterlichen Vernehmung eines Zeugen oder Sachverständigen ist der Staatsanwaltschaft, dem Beschuldigten und dem Verteidiger die Anwesenheit gestattet. </w:t>
      </w:r>
      <w:r>
        <w:rPr>
          <w:rStyle w:val="Satznummer"/>
        </w:rPr>
        <w:t>2</w:t>
      </w:r>
      <w:r>
        <w:t xml:space="preserve">Diesen ist nach der Vernehmung Gelegenheit zu geben, sich dazu zu erklären oder Fragen an die vernommene Person zu stellen. </w:t>
      </w:r>
      <w:r>
        <w:rPr>
          <w:rStyle w:val="Satznummer"/>
        </w:rPr>
        <w:t>3</w:t>
      </w:r>
      <w:r>
        <w:t xml:space="preserve">Ungeeignete oder nicht zur Sache gehörende Fragen oder Erklärungen können zurückgewiesen werden. </w:t>
      </w:r>
      <w:r>
        <w:rPr>
          <w:rStyle w:val="Satznummer"/>
        </w:rPr>
        <w:t>4</w:t>
      </w:r>
      <w:hyperlink w:anchor="b382" w:history="1">
        <w:r>
          <w:rPr>
            <w:color w:val="0A3A8C"/>
            <w:u w:val="single"/>
          </w:rPr>
          <w:t xml:space="preserve">§ 241a</w:t>
        </w:r>
      </w:hyperlink>
      <w:r>
        <w:t xml:space="preserve"> gilt entsprechend.</w:t>
      </w:r>
    </w:p>
    <w:p>
      <w:r>
        <w:t xml:space="preserve">(3) </w:t>
      </w:r>
      <w:r>
        <w:rPr>
          <w:rStyle w:val="Satznummer"/>
        </w:rPr>
        <w:t>1</w:t>
      </w:r>
      <w:r>
        <w:t xml:space="preserve">Der Richter kann einen Beschuldigten von der Anwesenheit bei der Verhandlung ausschließen, wenn dessen Anwesenheit den Untersuchungszweck gefährden würde. </w:t>
      </w:r>
      <w:r>
        <w:rPr>
          <w:rStyle w:val="Satznummer"/>
        </w:rPr>
        <w:t>2</w:t>
      </w:r>
      <w:r>
        <w:t>Dies gilt namentlich dann, wenn zu befürchten ist, daß ein Zeuge in Gegenwart des Beschuldigten nicht die Wahrheit sagen werde.</w:t>
      </w:r>
    </w:p>
    <w:p>
      <w:r>
        <w:t>(4) Hat ein nicht in Freiheit befindlicher Beschuldigter einen Verteidiger, so steht ihm ein Anspruch auf Anwesenheit nur bei solchen Terminen zu, die an der Gerichtsstelle des Ortes abgehalten werden, wo er in Haft ist.</w:t>
      </w:r>
    </w:p>
    <w:p>
      <w:r>
        <w:t xml:space="preserve">(5) </w:t>
      </w:r>
      <w:r>
        <w:rPr>
          <w:rStyle w:val="Satznummer"/>
        </w:rPr>
        <w:t>1</w:t>
      </w:r>
      <w:r>
        <w:t xml:space="preserve">Von den Terminen sind die zur Anwesenheit Berechtigten vorher zu benachrichtigen. </w:t>
      </w:r>
      <w:r>
        <w:rPr>
          <w:rStyle w:val="Satznummer"/>
        </w:rPr>
        <w:t>2</w:t>
      </w:r>
      <w:r>
        <w:t xml:space="preserve">In den Fällen des Absatzes 2 unterbleibt die Benachrichtigung, soweit sie den Untersuchungserfolg gefährden würde. </w:t>
      </w:r>
      <w:r>
        <w:rPr>
          <w:rStyle w:val="Satznummer"/>
        </w:rPr>
        <w:t>3</w:t>
      </w:r>
      <w:r>
        <w:t>Auf die Verlegung eines Termins wegen Verhinderung haben die zur Anwesenheit Berechtigten keinen Anspruch.</w:t>
      </w:r>
    </w:p>
    <w:p>
      <w:pPr>
        <w:pStyle w:val="Heading3"/>
      </w:pPr>
      <w:bookmarkStart w:id="312" w:name="b311"/>
      <w:r>
        <w:t>§ 168d Anwesenheitsrecht bei Einnahme eines richterlichen Augenscheins</w:t>
      </w:r>
      <w:r>
        <w:t xml:space="preserve"> </w:t>
      </w:r>
      <w:r>
        <w:rPr>
          <w:rStyle w:val="Suchmarke"/>
        </w:rPr>
        <w:t>#168d#</w:t>
      </w:r>
      <w:bookmarkEnd w:id="312"/>
    </w:p>
    <w:p>
      <w:r>
        <w:t xml:space="preserve">(1) </w:t>
      </w:r>
      <w:r>
        <w:rPr>
          <w:rStyle w:val="Satznummer"/>
        </w:rPr>
        <w:t>1</w:t>
      </w:r>
      <w:r>
        <w:t xml:space="preserve">Bei der Einnahme eines richterlichen Augenscheins ist der Staatsanwaltschaft, dem Beschuldigten und dem Verteidiger die Anwesenheit bei der Verhandlung gestattet. </w:t>
      </w:r>
      <w:r>
        <w:rPr>
          <w:rStyle w:val="Satznummer"/>
        </w:rPr>
        <w:t>2</w:t>
      </w:r>
      <w:hyperlink w:anchor="b310" w:history="1">
        <w:r>
          <w:rPr>
            <w:color w:val="0A3A8C"/>
            <w:u w:val="single"/>
          </w:rPr>
          <w:t xml:space="preserve">§ 168c</w:t>
        </w:r>
      </w:hyperlink>
      <w:r>
        <w:t xml:space="preserve"> Abs. 3 Satz 1, Abs. 4 und 5 gilt entsprechend.</w:t>
      </w:r>
    </w:p>
    <w:p>
      <w:r>
        <w:t xml:space="preserve">(2) </w:t>
      </w:r>
      <w:r>
        <w:rPr>
          <w:rStyle w:val="Satznummer"/>
        </w:rPr>
        <w:t>1</w:t>
      </w:r>
      <w:r>
        <w:t xml:space="preserve">Werden bei der Einnahme eines richterlichen Augenscheins Sachverständige zugezogen, so kann der Beschuldigte beantragen, daß die von ihm für die Hauptverhandlung vorzuschlagenden Sachverständigen zu dem Termin geladen werden, und, wenn der Richter den Antrag ablehnt, sie selbst laden lassen. </w:t>
      </w:r>
      <w:r>
        <w:rPr>
          <w:rStyle w:val="Satznummer"/>
        </w:rPr>
        <w:t>2</w:t>
      </w:r>
      <w:r>
        <w:t>Den vom Beschuldigten benannten Sachverständigen ist die Teilnahme am Augenschein und an den erforderlichen Untersuchungen insoweit gestattet, als dadurch die Tätigkeit der vom Richter bestellten Sachverständigen nicht behindert wird.</w:t>
      </w:r>
    </w:p>
    <w:p>
      <w:pPr>
        <w:pStyle w:val="Heading3"/>
      </w:pPr>
      <w:bookmarkStart w:id="313" w:name="b312"/>
      <w:r>
        <w:t>§ 168e Vernehmung von Zeugen getrennt von Anwesenheitsberechtigten</w:t>
      </w:r>
      <w:r>
        <w:t xml:space="preserve"> </w:t>
      </w:r>
      <w:r>
        <w:rPr>
          <w:rStyle w:val="Suchmarke"/>
        </w:rPr>
        <w:t>#168e#</w:t>
      </w:r>
      <w:bookmarkEnd w:id="313"/>
    </w:p>
    <w:p>
      <w:r>
        <w:rPr>
          <w:rStyle w:val="Satznummer"/>
        </w:rPr>
        <w:t>1</w:t>
      </w:r>
      <w:r>
        <w:t xml:space="preserve">Besteht die dringende Gefahr eines schwerwiegenden Nachteils für das Wohl des Zeugen, wenn er in Gegenwart der Anwesenheitsberechtigten vernommen wird, und kann sie nicht in anderer Weise abgewendet werden, so soll der Richter die Vernehmung von den Anwesenheitsberechtigten getrennt durchführen. </w:t>
      </w:r>
      <w:r>
        <w:rPr>
          <w:rStyle w:val="Satznummer"/>
        </w:rPr>
        <w:t>2</w:t>
      </w:r>
      <w:r>
        <w:t xml:space="preserve">Die Vernehmung wird diesen zeitgleich in Bild und Ton übertragen. </w:t>
      </w:r>
      <w:r>
        <w:rPr>
          <w:rStyle w:val="Satznummer"/>
        </w:rPr>
        <w:t>3</w:t>
      </w:r>
      <w:r>
        <w:t xml:space="preserve">Die Mitwirkungsbefugnisse der Anwesenheitsberechtigten bleiben im übrigen unberührt. </w:t>
      </w:r>
      <w:r>
        <w:rPr>
          <w:rStyle w:val="Satznummer"/>
        </w:rPr>
        <w:t>4</w:t>
      </w:r>
      <w:r>
        <w:t xml:space="preserve">Die </w:t>
      </w:r>
      <w:hyperlink w:anchor="b82" w:history="1">
        <w:r>
          <w:rPr>
            <w:color w:val="0A3A8C"/>
            <w:u w:val="single"/>
          </w:rPr>
          <w:t xml:space="preserve">§§ 58a</w:t>
        </w:r>
      </w:hyperlink>
      <w:r>
        <w:t xml:space="preserve"> und </w:t>
      </w:r>
      <w:hyperlink w:anchor="b382" w:history="1">
        <w:r>
          <w:rPr>
            <w:color w:val="0A3A8C"/>
            <w:u w:val="single"/>
          </w:rPr>
          <w:t xml:space="preserve">241a</w:t>
        </w:r>
      </w:hyperlink>
      <w:r>
        <w:t xml:space="preserve"> finden entsprechende Anwendung. </w:t>
      </w:r>
      <w:r>
        <w:rPr>
          <w:rStyle w:val="Satznummer"/>
        </w:rPr>
        <w:t>5</w:t>
      </w:r>
      <w:r>
        <w:t>Die Entscheidung nach Satz 1 ist unanfechtbar.</w:t>
      </w:r>
    </w:p>
    <w:p>
      <w:pPr>
        <w:pStyle w:val="Heading3"/>
      </w:pPr>
      <w:bookmarkStart w:id="314" w:name="b313"/>
      <w:r>
        <w:t>§ 169 Ermittlungsrichter des Oberlandesgerichts und des Bundesgerichtshofes</w:t>
      </w:r>
      <w:r>
        <w:t xml:space="preserve"> </w:t>
      </w:r>
      <w:r>
        <w:rPr>
          <w:rStyle w:val="Suchmarke"/>
        </w:rPr>
        <w:t>#169#</w:t>
      </w:r>
      <w:bookmarkEnd w:id="314"/>
    </w:p>
    <w:p>
      <w:r>
        <w:t xml:space="preserve">(1) </w:t>
      </w:r>
      <w:r>
        <w:rPr>
          <w:rStyle w:val="Satznummer"/>
        </w:rPr>
        <w:t>1</w:t>
      </w:r>
      <w:r>
        <w:t xml:space="preserve">In Sachen, die nach den §§ 120 oder 120b des Gerichtsverfassungsgesetzes zur Zuständigkeit des Oberlandesgerichts im ersten Rechtszug gehören, können die im vorbereitenden Verfahren dem Richter beim Amtsgericht obliegenden Geschäfte auch durch Ermittlungsrichter dieses Oberlandesgerichts wahrgenommen werden. </w:t>
      </w:r>
      <w:r>
        <w:rPr>
          <w:rStyle w:val="Satznummer"/>
        </w:rPr>
        <w:t>2</w:t>
      </w:r>
      <w:r>
        <w:t>Führt der Generalbundesanwalt die Ermittlungen, so sind an deren Stelle Ermittlungsrichter des Bundesgerichtshofes zuständig.</w:t>
      </w:r>
    </w:p>
    <w:p>
      <w:r>
        <w:t>(2) Der für eine Sache zuständige Ermittlungsrichter des Oberlandesgerichts kann Untersuchungshandlungen auch dann anordnen, wenn sie nicht im Bezirk dieses Gerichts vorzunehmen sind.</w:t>
      </w:r>
    </w:p>
    <w:p>
      <w:pPr>
        <w:pStyle w:val="Heading3"/>
      </w:pPr>
      <w:bookmarkStart w:id="315" w:name="b314"/>
      <w:r>
        <w:t>§ 169a Vermerk über den Abschluss der Ermittlungen</w:t>
      </w:r>
      <w:r>
        <w:t xml:space="preserve"> </w:t>
      </w:r>
      <w:r>
        <w:rPr>
          <w:rStyle w:val="Suchmarke"/>
        </w:rPr>
        <w:t>#169a#</w:t>
      </w:r>
      <w:bookmarkEnd w:id="315"/>
    </w:p>
    <w:p>
      <w:r>
        <w:t>Erwägt die Staatsanwaltschaft, die öffentliche Klage zu erheben, so vermerkt sie den Abschluß der Ermittlungen in den Akten.</w:t>
      </w:r>
    </w:p>
    <w:p>
      <w:pPr>
        <w:pStyle w:val="Heading3"/>
      </w:pPr>
      <w:bookmarkStart w:id="316" w:name="b315"/>
      <w:r>
        <w:t>§ 170 Entscheidung über eine Anklageerhebung</w:t>
      </w:r>
      <w:r>
        <w:t xml:space="preserve"> </w:t>
      </w:r>
      <w:r>
        <w:rPr>
          <w:rStyle w:val="Suchmarke"/>
        </w:rPr>
        <w:t>#170#</w:t>
      </w:r>
      <w:bookmarkEnd w:id="316"/>
    </w:p>
    <w:p>
      <w:r>
        <w:t>(1) Bieten die Ermittlungen genügenden Anlaß zur Erhebung der öffentlichen Klage, so erhebt die Staatsanwaltschaft sie durch Einreichung einer Anklageschrift bei dem zuständigen Gericht.</w:t>
      </w:r>
    </w:p>
    <w:p>
      <w:r>
        <w:t xml:space="preserve">(2) </w:t>
      </w:r>
      <w:r>
        <w:rPr>
          <w:rStyle w:val="Satznummer"/>
        </w:rPr>
        <w:t>1</w:t>
      </w:r>
      <w:r>
        <w:t xml:space="preserve">Andernfalls stellt die Staatsanwaltschaft das Verfahren ein. </w:t>
      </w:r>
      <w:r>
        <w:rPr>
          <w:rStyle w:val="Satznummer"/>
        </w:rPr>
        <w:t>2</w:t>
      </w:r>
      <w:r>
        <w:t>Hiervon setzt sie den Beschuldigten in Kenntnis, wenn er als solcher vernommen worden ist oder ein Haftbefehl gegen ihn erlassen war; dasselbe gilt, wenn er um einen Bescheid gebeten hat oder wenn ein besonderes Interesse an der Bekanntgabe ersichtlich ist.</w:t>
      </w:r>
    </w:p>
    <w:p>
      <w:pPr>
        <w:pStyle w:val="Heading3"/>
      </w:pPr>
      <w:bookmarkStart w:id="317" w:name="b316"/>
      <w:r>
        <w:t>§ 171 Einstellungsbescheid</w:t>
      </w:r>
      <w:r>
        <w:t xml:space="preserve"> </w:t>
      </w:r>
      <w:r>
        <w:rPr>
          <w:rStyle w:val="Suchmarke"/>
        </w:rPr>
        <w:t>#171#</w:t>
      </w:r>
      <w:bookmarkEnd w:id="317"/>
    </w:p>
    <w:p>
      <w:r>
        <w:rPr>
          <w:rStyle w:val="Satznummer"/>
        </w:rPr>
        <w:t>1</w:t>
      </w:r>
      <w:r>
        <w:t xml:space="preserve">Gibt die Staatsanwaltschaft einem Antrag auf Erhebung der öffentlichen Klage keine Folge oder verfügt sie nach dem Abschluß der Ermittlungen die Einstellung des Verfahrens, so hat sie den Antragsteller unter Angabe der Gründe zu bescheiden. </w:t>
      </w:r>
      <w:r>
        <w:rPr>
          <w:rStyle w:val="Satznummer"/>
        </w:rPr>
        <w:t>2</w:t>
      </w:r>
      <w:r>
        <w:t>In dem Bescheid ist der Antragsteller, der zugleich der Verletzte ist, über die Möglichkeit der Anfechtung und die dafür vorgesehene Frist (</w:t>
      </w:r>
      <w:hyperlink w:anchor="b317" w:history="1">
        <w:r>
          <w:rPr>
            <w:color w:val="0A3A8C"/>
            <w:u w:val="single"/>
          </w:rPr>
          <w:t xml:space="preserve">§ 172</w:t>
        </w:r>
      </w:hyperlink>
      <w:r>
        <w:t xml:space="preserve"> Abs. 1) zu belehren. </w:t>
      </w:r>
      <w:r>
        <w:rPr>
          <w:rStyle w:val="Satznummer"/>
        </w:rPr>
        <w:t>3</w:t>
      </w:r>
      <w:r>
        <w:t>§ 187 Absatz 1 Satz 1 und Absatz 2 des Gerichtsverfassungsgesetzes gilt entsprechend für Verletzte, die nach § 395 der Strafprozessordnung berechtigt wären, sich der öffentlichen Klage mit der Nebenklage anzuschließen, soweit sie einen Antrag auf Übersetzung stellen.</w:t>
      </w:r>
    </w:p>
    <w:p>
      <w:pPr>
        <w:pStyle w:val="Heading3"/>
      </w:pPr>
      <w:bookmarkStart w:id="318" w:name="b317"/>
      <w:r>
        <w:t>§ 172 Beschwerde des Verletzten; Klageerzwingungsverfahren</w:t>
      </w:r>
      <w:r>
        <w:t xml:space="preserve"> </w:t>
      </w:r>
      <w:r>
        <w:rPr>
          <w:rStyle w:val="Suchmarke"/>
        </w:rPr>
        <w:t>#172#</w:t>
      </w:r>
      <w:bookmarkEnd w:id="318"/>
    </w:p>
    <w:p>
      <w:r>
        <w:t xml:space="preserve">(1) </w:t>
      </w:r>
      <w:r>
        <w:rPr>
          <w:rStyle w:val="Satznummer"/>
        </w:rPr>
        <w:t>1</w:t>
      </w:r>
      <w:r>
        <w:t xml:space="preserve">Ist der Antragsteller zugleich der Verletzte, so steht ihm gegen den Bescheid nach </w:t>
      </w:r>
      <w:hyperlink w:anchor="b316" w:history="1">
        <w:r>
          <w:rPr>
            <w:color w:val="0A3A8C"/>
            <w:u w:val="single"/>
          </w:rPr>
          <w:t xml:space="preserve">§ 171</w:t>
        </w:r>
      </w:hyperlink>
      <w:r>
        <w:t xml:space="preserve"> binnen zwei Wochen nach der Bekanntmachung die Beschwerde an den vorgesetzten Beamten der Staatsanwaltschaft zu. </w:t>
      </w:r>
      <w:r>
        <w:rPr>
          <w:rStyle w:val="Satznummer"/>
        </w:rPr>
        <w:t>2</w:t>
      </w:r>
      <w:r>
        <w:t xml:space="preserve">Durch die Einlegung der Beschwerde bei der Staatsanwaltschaft wird die Frist gewahrt. </w:t>
      </w:r>
      <w:r>
        <w:rPr>
          <w:rStyle w:val="Satznummer"/>
        </w:rPr>
        <w:t>3</w:t>
      </w:r>
      <w:r>
        <w:t xml:space="preserve">Sie läuft nicht, wenn die Belehrung nach </w:t>
      </w:r>
      <w:hyperlink w:anchor="b316" w:history="1">
        <w:r>
          <w:rPr>
            <w:color w:val="0A3A8C"/>
            <w:u w:val="single"/>
          </w:rPr>
          <w:t xml:space="preserve">§ 171</w:t>
        </w:r>
      </w:hyperlink>
      <w:r>
        <w:t xml:space="preserve"> Satz 2 unterblieben ist.</w:t>
      </w:r>
    </w:p>
    <w:p>
      <w:r>
        <w:t xml:space="preserve">(2) </w:t>
      </w:r>
      <w:r>
        <w:rPr>
          <w:rStyle w:val="Satznummer"/>
        </w:rPr>
        <w:t>1</w:t>
      </w:r>
      <w:r>
        <w:t xml:space="preserve">Gegen den ablehnenden Bescheid des vorgesetzten Beamten der Staatsanwaltschaft kann der Antragsteller binnen einem Monat nach der Bekanntmachung gerichtliche Entscheidung beantragen. </w:t>
      </w:r>
      <w:r>
        <w:rPr>
          <w:rStyle w:val="Satznummer"/>
        </w:rPr>
        <w:t>2</w:t>
      </w:r>
      <w:r>
        <w:t xml:space="preserve">Hierüber und über die dafür vorgesehene Form ist er zu belehren; die Frist läuft nicht, wenn die Belehrung unterblieben ist. </w:t>
      </w:r>
      <w:r>
        <w:rPr>
          <w:rStyle w:val="Satznummer"/>
        </w:rPr>
        <w:t>3</w:t>
      </w:r>
      <w:r>
        <w:t xml:space="preserve">Der Antrag ist nicht zulässig, wenn das Verfahren ausschließlich eine Straftat zum Gegenstand hat, die vom Verletzten im Wege der Privatklage verfolgt werden kann, oder wenn die Staatsanwaltschaft nach § 153 Abs. 1, § 153a Abs. 1 Satz 1, 7 oder § 153b Abs. 1 von der Verfolgung der Tat abgesehen hat; dasselbe gilt in den Fällen der </w:t>
      </w:r>
      <w:hyperlink w:anchor="b270" w:history="1">
        <w:r>
          <w:rPr>
            <w:color w:val="0A3A8C"/>
            <w:u w:val="single"/>
          </w:rPr>
          <w:t xml:space="preserve">§§ 153c</w:t>
        </w:r>
      </w:hyperlink>
      <w:r>
        <w:t xml:space="preserve"> bis </w:t>
      </w:r>
      <w:hyperlink w:anchor="b274" w:history="1">
        <w:r>
          <w:rPr>
            <w:color w:val="0A3A8C"/>
            <w:u w:val="single"/>
          </w:rPr>
          <w:t xml:space="preserve">154</w:t>
        </w:r>
      </w:hyperlink>
      <w:r>
        <w:t xml:space="preserve"> Abs. 1 sowie der </w:t>
      </w:r>
      <w:hyperlink w:anchor="b276" w:history="1">
        <w:r>
          <w:rPr>
            <w:color w:val="0A3A8C"/>
            <w:u w:val="single"/>
          </w:rPr>
          <w:t xml:space="preserve">§§ 154b</w:t>
        </w:r>
      </w:hyperlink>
      <w:r>
        <w:t xml:space="preserve"> und </w:t>
      </w:r>
      <w:hyperlink w:anchor="b277" w:history="1">
        <w:r>
          <w:rPr>
            <w:color w:val="0A3A8C"/>
            <w:u w:val="single"/>
          </w:rPr>
          <w:t xml:space="preserve">154c</w:t>
        </w:r>
      </w:hyperlink>
      <w:r>
        <w:t>.</w:t>
      </w:r>
    </w:p>
    <w:p>
      <w:r>
        <w:t xml:space="preserve">(3) </w:t>
      </w:r>
      <w:r>
        <w:rPr>
          <w:rStyle w:val="Satznummer"/>
        </w:rPr>
        <w:t>1</w:t>
      </w:r>
      <w:r>
        <w:t xml:space="preserve">Der Antrag auf gerichtliche Entscheidung muß die Tatsachen, welche die Erhebung der öffentlichen Klage begründen sollen, und die Beweismittel angeben. </w:t>
      </w:r>
      <w:r>
        <w:rPr>
          <w:rStyle w:val="Satznummer"/>
        </w:rPr>
        <w:t>2</w:t>
      </w:r>
      <w:r>
        <w:t xml:space="preserve">Er muß von einem Rechtsanwalt unterzeichnet sein; für die Prozeßkostenhilfe gelten dieselben Vorschriften wie in bürgerlichen Rechtsstreitigkeiten. </w:t>
      </w:r>
      <w:r>
        <w:rPr>
          <w:rStyle w:val="Satznummer"/>
        </w:rPr>
        <w:t>3</w:t>
      </w:r>
      <w:r>
        <w:t>Der Antrag ist bei dem für die Entscheidung zuständigen Gericht einzureichen.</w:t>
      </w:r>
    </w:p>
    <w:p>
      <w:r>
        <w:t xml:space="preserve">(4) </w:t>
      </w:r>
      <w:r>
        <w:rPr>
          <w:rStyle w:val="Satznummer"/>
        </w:rPr>
        <w:t>1</w:t>
      </w:r>
      <w:r>
        <w:t xml:space="preserve">Zur Entscheidung über den Antrag ist das Oberlandesgericht zuständig. </w:t>
      </w:r>
      <w:r>
        <w:rPr>
          <w:rStyle w:val="Satznummer"/>
        </w:rPr>
        <w:t>2</w:t>
      </w:r>
      <w:r>
        <w:t>Die §§ 120 und 120b des Gerichtsverfassungsgesetzes sind sinngemäß anzuwenden.</w:t>
      </w:r>
    </w:p>
    <w:p>
      <w:pPr>
        <w:pStyle w:val="Heading3"/>
      </w:pPr>
      <w:bookmarkStart w:id="319" w:name="b318"/>
      <w:r>
        <w:t>§ 173 Verfahren des Gerichts nach Antragstellung</w:t>
      </w:r>
      <w:r>
        <w:t xml:space="preserve"> </w:t>
      </w:r>
      <w:r>
        <w:rPr>
          <w:rStyle w:val="Suchmarke"/>
        </w:rPr>
        <w:t>#173#</w:t>
      </w:r>
      <w:bookmarkEnd w:id="319"/>
    </w:p>
    <w:p>
      <w:r>
        <w:t>(1) Auf Verlangen des Gerichts hat ihm die Staatsanwaltschaft die bisher von ihr geführten Verhandlungen vorzulegen.</w:t>
      </w:r>
    </w:p>
    <w:p>
      <w:r>
        <w:t>(2) Das Gericht kann den Antrag unter Bestimmung einer Frist dem Beschuldigten zur Erklärung mitteilen.</w:t>
      </w:r>
    </w:p>
    <w:p>
      <w:r>
        <w:t>(3) Das Gericht kann zur Vorbereitung seiner Entscheidung Ermittlungen anordnen und mit ihrer Vornahme einen beauftragten oder ersuchten Richter betrauen.</w:t>
      </w:r>
    </w:p>
    <w:p>
      <w:pPr>
        <w:pStyle w:val="Heading3"/>
      </w:pPr>
      <w:bookmarkStart w:id="320" w:name="b319"/>
      <w:r>
        <w:t>§ 174 Verwerfung des Antrags</w:t>
      </w:r>
      <w:r>
        <w:t xml:space="preserve"> </w:t>
      </w:r>
      <w:r>
        <w:rPr>
          <w:rStyle w:val="Suchmarke"/>
        </w:rPr>
        <w:t>#174#</w:t>
      </w:r>
      <w:bookmarkEnd w:id="320"/>
    </w:p>
    <w:p>
      <w:r>
        <w:t>(1) Ergibt sich kein genügender Anlaß zur Erhebung der öffentlichen Klage, so verwirft das Gericht den Antrag und setzt den Antragsteller, die Staatsanwaltschaft und den Beschuldigten von der Verwerfung in Kenntnis.</w:t>
      </w:r>
    </w:p>
    <w:p>
      <w:r>
        <w:t>(2) Ist der Antrag verworfen, so kann die öffentliche Klage nur auf Grund neuer Tatsachen oder Beweismittel erhoben werden.</w:t>
      </w:r>
    </w:p>
    <w:p>
      <w:pPr>
        <w:pStyle w:val="Heading3"/>
      </w:pPr>
      <w:bookmarkStart w:id="321" w:name="b320"/>
      <w:r>
        <w:t>§ 175 Anordnung der Anklageerhebung</w:t>
      </w:r>
      <w:r>
        <w:t xml:space="preserve"> </w:t>
      </w:r>
      <w:r>
        <w:rPr>
          <w:rStyle w:val="Suchmarke"/>
        </w:rPr>
        <w:t>#175#</w:t>
      </w:r>
      <w:bookmarkEnd w:id="321"/>
    </w:p>
    <w:p>
      <w:r>
        <w:rPr>
          <w:rStyle w:val="Satznummer"/>
        </w:rPr>
        <w:t>1</w:t>
      </w:r>
      <w:r>
        <w:t xml:space="preserve">Erachtet das Gericht nach Anhörung des Beschuldigten den Antrag für begründet, so beschließt es die Erhebung der öffentlichen Klage. </w:t>
      </w:r>
      <w:r>
        <w:rPr>
          <w:rStyle w:val="Satznummer"/>
        </w:rPr>
        <w:t>2</w:t>
      </w:r>
      <w:r>
        <w:t>Die Durchführung dieses Beschlusses liegt der Staatsanwaltschaft ob.</w:t>
      </w:r>
    </w:p>
    <w:p>
      <w:pPr>
        <w:pStyle w:val="Heading3"/>
      </w:pPr>
      <w:bookmarkStart w:id="322" w:name="b321"/>
      <w:r>
        <w:t>§ 176 Sicherheitsleistung durch den Antragsteller</w:t>
      </w:r>
      <w:r>
        <w:t xml:space="preserve"> </w:t>
      </w:r>
      <w:r>
        <w:rPr>
          <w:rStyle w:val="Suchmarke"/>
        </w:rPr>
        <w:t>#176#</w:t>
      </w:r>
      <w:bookmarkEnd w:id="322"/>
    </w:p>
    <w:p>
      <w:r>
        <w:t xml:space="preserve">(1) </w:t>
      </w:r>
      <w:r>
        <w:rPr>
          <w:rStyle w:val="Satznummer"/>
        </w:rPr>
        <w:t>1</w:t>
      </w:r>
      <w:r>
        <w:t xml:space="preserve">Durch Beschluß des Gerichts kann dem Antragsteller vor der Entscheidung über den Antrag die Leistung einer Sicherheit für die Kosten auferlegt werden, die durch das Verfahren über den Antrag voraussichtlich der Staatskasse und dem Beschuldigten erwachsen. </w:t>
      </w:r>
      <w:r>
        <w:rPr>
          <w:rStyle w:val="Satznummer"/>
        </w:rPr>
        <w:t>2</w:t>
      </w:r>
      <w:r>
        <w:t xml:space="preserve">Die Sicherheitsleistung ist durch Hinterlegung in barem Geld oder in Wertpapieren zu bewirken. </w:t>
      </w:r>
      <w:r>
        <w:rPr>
          <w:rStyle w:val="Satznummer"/>
        </w:rPr>
        <w:t>3</w:t>
      </w:r>
      <w:r>
        <w:t xml:space="preserve">Davon abweichende Regelungen in einer auf Grund des Gesetzes über den Zahlungsverkehr mit Gerichten und Justizbehörden erlassenen Rechtsverordnung bleiben unberührt. </w:t>
      </w:r>
      <w:r>
        <w:rPr>
          <w:rStyle w:val="Satznummer"/>
        </w:rPr>
        <w:t>4</w:t>
      </w:r>
      <w:r>
        <w:t xml:space="preserve">Die Höhe der zu leistenden Sicherheit wird vom Gericht nach freiem Ermessen festgesetzt. </w:t>
      </w:r>
      <w:r>
        <w:rPr>
          <w:rStyle w:val="Satznummer"/>
        </w:rPr>
        <w:t>5</w:t>
      </w:r>
      <w:r>
        <w:t>Es hat zugleich eine Frist zu bestimmen, binnen welcher die Sicherheit zu leisten ist.</w:t>
      </w:r>
    </w:p>
    <w:p>
      <w:r>
        <w:t>(2) Wird die Sicherheit in der bestimmten Frist nicht geleistet, so hat das Gericht den Antrag für zurückgenommen zu erklären.</w:t>
      </w:r>
    </w:p>
    <w:p>
      <w:pPr>
        <w:pStyle w:val="Heading3"/>
      </w:pPr>
      <w:bookmarkStart w:id="323" w:name="b322"/>
      <w:r>
        <w:t>§ 177 Kosten</w:t>
      </w:r>
      <w:r>
        <w:t xml:space="preserve"> </w:t>
      </w:r>
      <w:r>
        <w:rPr>
          <w:rStyle w:val="Suchmarke"/>
        </w:rPr>
        <w:t>#177#</w:t>
      </w:r>
      <w:bookmarkEnd w:id="323"/>
    </w:p>
    <w:p>
      <w:r>
        <w:t>Die durch das Verfahren über den Antrag veranlaßten Kosten sind in den Fällen der §§ 174 und 176 Abs. 2 dem Antragsteller aufzuerlegen.</w:t>
      </w:r>
    </w:p>
    <w:p>
      <w:pPr>
        <w:pStyle w:val="Heading2"/>
      </w:pPr>
      <w:bookmarkStart w:id="324" w:name="b323"/>
      <w:r>
        <w:t>Dritter Abschnitt (weggefallen)</w:t>
      </w:r>
      <w:bookmarkEnd w:id="324"/>
    </w:p>
    <w:p>
      <w:pPr>
        <w:pStyle w:val="Heading2"/>
      </w:pPr>
      <w:bookmarkStart w:id="325" w:name="b324"/>
      <w:r>
        <w:t>Vierter Abschnitt Entscheidung über die Eröffnung des Hauptverfahrens</w:t>
      </w:r>
      <w:bookmarkEnd w:id="325"/>
    </w:p>
    <w:p>
      <w:pPr>
        <w:pStyle w:val="Heading3"/>
      </w:pPr>
      <w:bookmarkStart w:id="326" w:name="b325"/>
      <w:r>
        <w:t>§ 198 (weggefallen)</w:t>
      </w:r>
      <w:r>
        <w:t xml:space="preserve"> </w:t>
      </w:r>
      <w:r>
        <w:rPr>
          <w:rStyle w:val="Suchmarke"/>
        </w:rPr>
        <w:t>#198#</w:t>
      </w:r>
      <w:bookmarkEnd w:id="326"/>
    </w:p>
    <w:p>
      <w:pPr>
        <w:pStyle w:val="Heading3"/>
      </w:pPr>
      <w:bookmarkStart w:id="327" w:name="b326"/>
      <w:r>
        <w:t>§ 199 Entscheidung über die Eröffnung des Hauptverfahrens</w:t>
      </w:r>
      <w:r>
        <w:t xml:space="preserve"> </w:t>
      </w:r>
      <w:r>
        <w:rPr>
          <w:rStyle w:val="Suchmarke"/>
        </w:rPr>
        <w:t>#199#</w:t>
      </w:r>
      <w:bookmarkEnd w:id="327"/>
    </w:p>
    <w:p>
      <w:r>
        <w:t>(1) Das für die Hauptverhandlung zuständige Gericht entscheidet darüber, ob das Hauptverfahren zu eröffnen oder das Verfahren vorläufig einzustellen ist.</w:t>
      </w:r>
    </w:p>
    <w:p>
      <w:r>
        <w:t xml:space="preserve">(2) </w:t>
      </w:r>
      <w:r>
        <w:rPr>
          <w:rStyle w:val="Satznummer"/>
        </w:rPr>
        <w:t>1</w:t>
      </w:r>
      <w:r>
        <w:t xml:space="preserve">Die Anklageschrift enthält den Antrag, das Hauptverfahren zu eröffnen. </w:t>
      </w:r>
      <w:r>
        <w:rPr>
          <w:rStyle w:val="Satznummer"/>
        </w:rPr>
        <w:t>2</w:t>
      </w:r>
      <w:r>
        <w:t>Mit ihr werden die Akten dem Gericht vorgelegt.</w:t>
      </w:r>
    </w:p>
    <w:p>
      <w:pPr>
        <w:pStyle w:val="Heading3"/>
      </w:pPr>
      <w:bookmarkStart w:id="328" w:name="b327"/>
      <w:r>
        <w:t>§ 200 Inhalt der Anklageschrift</w:t>
      </w:r>
      <w:r>
        <w:t xml:space="preserve"> </w:t>
      </w:r>
      <w:r>
        <w:rPr>
          <w:rStyle w:val="Suchmarke"/>
        </w:rPr>
        <w:t>#200#</w:t>
      </w:r>
      <w:bookmarkEnd w:id="328"/>
    </w:p>
    <w:p>
      <w:r>
        <w:t xml:space="preserve">(1) </w:t>
      </w:r>
      <w:r>
        <w:rPr>
          <w:rStyle w:val="Satznummer"/>
        </w:rPr>
        <w:t>1</w:t>
      </w:r>
      <w:r>
        <w:t xml:space="preserve">Die Anklageschrift hat den Angeschuldigten, die Tat, die ihm zur Last gelegt wird, Zeit und Ort ihrer Begehung, die gesetzlichen Merkmale der Straftat und die anzuwendenden Strafvorschriften zu bezeichnen (Anklagesatz). </w:t>
      </w:r>
      <w:r>
        <w:rPr>
          <w:rStyle w:val="Satznummer"/>
        </w:rPr>
        <w:t>2</w:t>
      </w:r>
      <w:r>
        <w:t xml:space="preserve">In ihr sind ferner die Beweismittel, das Gericht, vor dem die Hauptverhandlung stattfinden soll, und der Verteidiger anzugeben. </w:t>
      </w:r>
      <w:r>
        <w:rPr>
          <w:rStyle w:val="Satznummer"/>
        </w:rPr>
        <w:t>3</w:t>
      </w:r>
      <w:r>
        <w:t xml:space="preserve">Bei der Benennung von Zeugen ist nicht deren vollständige Anschrift, sondern nur deren Wohn- oder Aufenthaltsort anzugeben. </w:t>
      </w:r>
      <w:r>
        <w:rPr>
          <w:rStyle w:val="Satznummer"/>
        </w:rPr>
        <w:t>4</w:t>
      </w:r>
      <w:r>
        <w:t xml:space="preserve">In den Fällen des </w:t>
      </w:r>
      <w:hyperlink w:anchor="b93" w:history="1">
        <w:r>
          <w:rPr>
            <w:color w:val="0A3A8C"/>
            <w:u w:val="single"/>
          </w:rPr>
          <w:t xml:space="preserve">§ 68</w:t>
        </w:r>
      </w:hyperlink>
      <w:r>
        <w:t xml:space="preserve"> Absatz 1 Satz 3, Absatz 2 Satz 1 genügt die Angabe des Namens des Zeugen. </w:t>
      </w:r>
      <w:r>
        <w:rPr>
          <w:rStyle w:val="Satznummer"/>
        </w:rPr>
        <w:t>5</w:t>
      </w:r>
      <w:r>
        <w:t>Wird ein Zeuge benannt, dessen Identität ganz oder teilweise nicht offenbart werden soll, so ist dies anzugeben; für die Geheimhaltung des Wohn- oder Aufenthaltsortes des Zeugen gilt dies entsprechend.</w:t>
      </w:r>
    </w:p>
    <w:p>
      <w:r>
        <w:t xml:space="preserve">(2) </w:t>
      </w:r>
      <w:r>
        <w:rPr>
          <w:rStyle w:val="Satznummer"/>
        </w:rPr>
        <w:t>1</w:t>
      </w:r>
      <w:r>
        <w:t xml:space="preserve">In der Anklageschrift wird auch das wesentliche Ergebnis der Ermittlungen dargestellt. </w:t>
      </w:r>
      <w:r>
        <w:rPr>
          <w:rStyle w:val="Satznummer"/>
        </w:rPr>
        <w:t>2</w:t>
      </w:r>
      <w:r>
        <w:t>Davon kann abgesehen werden, wenn Anklage beim Strafrichter erhoben wird.</w:t>
      </w:r>
    </w:p>
    <w:p>
      <w:pPr>
        <w:pStyle w:val="Heading3"/>
      </w:pPr>
      <w:bookmarkStart w:id="329" w:name="b328"/>
      <w:r>
        <w:t>§ 201 Übermittlung der Anklageschrift</w:t>
      </w:r>
      <w:r>
        <w:t xml:space="preserve"> </w:t>
      </w:r>
      <w:r>
        <w:rPr>
          <w:rStyle w:val="Suchmarke"/>
        </w:rPr>
        <w:t>#201#</w:t>
      </w:r>
      <w:bookmarkEnd w:id="329"/>
    </w:p>
    <w:p>
      <w:r>
        <w:t xml:space="preserve">(1) </w:t>
      </w:r>
      <w:r>
        <w:rPr>
          <w:rStyle w:val="Satznummer"/>
        </w:rPr>
        <w:t>1</w:t>
      </w:r>
      <w:r>
        <w:t xml:space="preserve">Der Vorsitzende des Gerichts teilt die Anklageschrift dem Angeschuldigten mit und fordert ihn zugleich auf, innerhalb einer zu bestimmenden Frist zu erklären, ob er die Vornahme einzelner Beweiserhebungen vor der Entscheidung über die Eröffnung des Hauptverfahrens beantragen oder Einwendungen gegen die Eröffnung des Hauptverfahrens vorbringen wolle. </w:t>
      </w:r>
      <w:r>
        <w:rPr>
          <w:rStyle w:val="Satznummer"/>
        </w:rPr>
        <w:t>2</w:t>
      </w:r>
      <w:r>
        <w:t xml:space="preserve">Die Anklageschrift ist auch dem Nebenkläger und dem Nebenklagebefugten, der dies beantragt hat, zu übersenden; </w:t>
      </w:r>
      <w:hyperlink w:anchor="b254" w:history="1">
        <w:r>
          <w:rPr>
            <w:color w:val="0A3A8C"/>
            <w:u w:val="single"/>
          </w:rPr>
          <w:t xml:space="preserve">§ 145a</w:t>
        </w:r>
      </w:hyperlink>
      <w:r>
        <w:t xml:space="preserve"> Absatz 1 und 3 gilt entsprechend.</w:t>
      </w:r>
    </w:p>
    <w:p>
      <w:r>
        <w:t xml:space="preserve">(2) </w:t>
      </w:r>
      <w:r>
        <w:rPr>
          <w:rStyle w:val="Satznummer"/>
        </w:rPr>
        <w:t>1</w:t>
      </w:r>
      <w:r>
        <w:t xml:space="preserve">Über Anträge und Einwendungen beschließt das Gericht. </w:t>
      </w:r>
      <w:r>
        <w:rPr>
          <w:rStyle w:val="Satznummer"/>
        </w:rPr>
        <w:t>2</w:t>
      </w:r>
      <w:r>
        <w:t>Die Entscheidung ist unanfechtbar.</w:t>
      </w:r>
    </w:p>
    <w:p>
      <w:pPr>
        <w:pStyle w:val="Heading3"/>
      </w:pPr>
      <w:bookmarkStart w:id="330" w:name="b329"/>
      <w:r>
        <w:t>§ 202 Anordnung ergänzender Beweiserhebungen</w:t>
      </w:r>
      <w:r>
        <w:t xml:space="preserve"> </w:t>
      </w:r>
      <w:r>
        <w:rPr>
          <w:rStyle w:val="Suchmarke"/>
        </w:rPr>
        <w:t>#202#</w:t>
      </w:r>
      <w:bookmarkEnd w:id="330"/>
    </w:p>
    <w:p>
      <w:r>
        <w:rPr>
          <w:rStyle w:val="Satznummer"/>
        </w:rPr>
        <w:t>1</w:t>
      </w:r>
      <w:r>
        <w:t xml:space="preserve">Bevor das Gericht über die Eröffnung des Hauptverfahrens entscheidet, kann es zur besseren Aufklärung der Sache einzelne Beweiserhebungen anordnen. </w:t>
      </w:r>
      <w:r>
        <w:rPr>
          <w:rStyle w:val="Satznummer"/>
        </w:rPr>
        <w:t>2</w:t>
      </w:r>
      <w:r>
        <w:t>Der Beschluß ist nicht anfechtbar.</w:t>
      </w:r>
    </w:p>
    <w:p>
      <w:pPr>
        <w:pStyle w:val="Heading3"/>
      </w:pPr>
      <w:bookmarkStart w:id="331" w:name="b330"/>
      <w:r>
        <w:t>§ 202a Erörterung des Verfahrensstands mit den Verfahrensbeteiligten</w:t>
      </w:r>
      <w:r>
        <w:t xml:space="preserve"> </w:t>
      </w:r>
      <w:r>
        <w:rPr>
          <w:rStyle w:val="Suchmarke"/>
        </w:rPr>
        <w:t>#202a#</w:t>
      </w:r>
      <w:bookmarkEnd w:id="331"/>
    </w:p>
    <w:p>
      <w:r>
        <w:rPr>
          <w:rStyle w:val="Satznummer"/>
        </w:rPr>
        <w:t>1</w:t>
      </w:r>
      <w:r>
        <w:t xml:space="preserve">Erwägt das Gericht die Eröffnung des Hauptverfahrens, kann es den Stand des Verfahrens mit den Verfahrensbeteiligten erörtern, soweit dies geeignet erscheint, das Verfahren zu fördern. </w:t>
      </w:r>
      <w:r>
        <w:rPr>
          <w:rStyle w:val="Satznummer"/>
        </w:rPr>
        <w:t>2</w:t>
      </w:r>
      <w:r>
        <w:t>Der wesentliche Inhalt dieser Erörterung ist aktenkundig zu machen.</w:t>
      </w:r>
    </w:p>
    <w:p>
      <w:pPr>
        <w:pStyle w:val="Heading3"/>
      </w:pPr>
      <w:bookmarkStart w:id="332" w:name="b331"/>
      <w:r>
        <w:t>§ 203 Eröffnungsbeschluss</w:t>
      </w:r>
      <w:r>
        <w:t xml:space="preserve"> </w:t>
      </w:r>
      <w:r>
        <w:rPr>
          <w:rStyle w:val="Suchmarke"/>
        </w:rPr>
        <w:t>#203#</w:t>
      </w:r>
      <w:bookmarkEnd w:id="332"/>
    </w:p>
    <w:p>
      <w:r>
        <w:t>Das Gericht beschließt die Eröffnung des Hauptverfahrens, wenn nach den Ergebnissen des vorbereitenden Verfahrens der Angeschuldigte einer Straftat hinreichend verdächtig erscheint.</w:t>
      </w:r>
    </w:p>
    <w:p>
      <w:pPr>
        <w:pStyle w:val="Heading3"/>
      </w:pPr>
      <w:bookmarkStart w:id="333" w:name="b332"/>
      <w:r>
        <w:t>§ 204 Nichteröffnungsbeschluss</w:t>
      </w:r>
      <w:r>
        <w:t xml:space="preserve"> </w:t>
      </w:r>
      <w:r>
        <w:rPr>
          <w:rStyle w:val="Suchmarke"/>
        </w:rPr>
        <w:t>#204#</w:t>
      </w:r>
      <w:bookmarkEnd w:id="333"/>
    </w:p>
    <w:p>
      <w:r>
        <w:t>(1) Beschließt das Gericht, das Hauptverfahren nicht zu eröffnen, so muß aus dem Beschluß hervorgehen, ob er auf tatsächlichen oder auf Rechtsgründen beruht.</w:t>
      </w:r>
    </w:p>
    <w:p>
      <w:r>
        <w:t>(2) Der Beschluß ist dem Angeschuldigten bekanntzumachen.</w:t>
      </w:r>
    </w:p>
    <w:p>
      <w:pPr>
        <w:pStyle w:val="Heading3"/>
      </w:pPr>
      <w:bookmarkStart w:id="334" w:name="b333"/>
      <w:r>
        <w:t>§ 205 Einstellung des Verfahrens bei vorübergehenden Hindernissen</w:t>
      </w:r>
      <w:r>
        <w:t xml:space="preserve"> </w:t>
      </w:r>
      <w:r>
        <w:rPr>
          <w:rStyle w:val="Suchmarke"/>
        </w:rPr>
        <w:t>#205#</w:t>
      </w:r>
      <w:bookmarkEnd w:id="334"/>
    </w:p>
    <w:p>
      <w:r>
        <w:rPr>
          <w:rStyle w:val="Satznummer"/>
        </w:rPr>
        <w:t>1</w:t>
      </w:r>
      <w:r>
        <w:t xml:space="preserve">Steht der Hauptverhandlung für längere Zeit die Abwesenheit des Angeschuldigten oder ein anderes in seiner Person liegendes Hindernis entgegen, so kann das Gericht das Verfahren durch Beschluß vorläufig einstellen. </w:t>
      </w:r>
      <w:r>
        <w:rPr>
          <w:rStyle w:val="Satznummer"/>
        </w:rPr>
        <w:t>2</w:t>
      </w:r>
      <w:r>
        <w:t>Der Vorsitzende sichert, soweit nötig, die Beweise.</w:t>
      </w:r>
    </w:p>
    <w:p>
      <w:pPr>
        <w:pStyle w:val="Heading3"/>
      </w:pPr>
      <w:bookmarkStart w:id="335" w:name="b334"/>
      <w:r>
        <w:t>§ 206 Keine Bindung an Anträge</w:t>
      </w:r>
      <w:r>
        <w:t xml:space="preserve"> </w:t>
      </w:r>
      <w:r>
        <w:rPr>
          <w:rStyle w:val="Suchmarke"/>
        </w:rPr>
        <w:t>#206#</w:t>
      </w:r>
      <w:bookmarkEnd w:id="335"/>
    </w:p>
    <w:p>
      <w:r>
        <w:t>Das Gericht ist bei der Beschlußfassung an die Anträge der Staatsanwaltschaft nicht gebunden.</w:t>
      </w:r>
    </w:p>
    <w:p>
      <w:pPr>
        <w:pStyle w:val="Heading3"/>
      </w:pPr>
      <w:bookmarkStart w:id="336" w:name="b335"/>
      <w:r>
        <w:t>§ 206a Einstellung des Verfahrens bei Verfahrenshindernis</w:t>
      </w:r>
      <w:r>
        <w:t xml:space="preserve"> </w:t>
      </w:r>
      <w:r>
        <w:rPr>
          <w:rStyle w:val="Suchmarke"/>
        </w:rPr>
        <w:t>#206a#</w:t>
      </w:r>
      <w:bookmarkEnd w:id="336"/>
    </w:p>
    <w:p>
      <w:r>
        <w:t>(1) Stellt sich nach Eröffnung des Hauptverfahrens ein Verfahrenshindernis heraus, so kann das Gericht außerhalb der Hauptverhandlung das Verfahren durch Beschluß einstellen.</w:t>
      </w:r>
    </w:p>
    <w:p>
      <w:r>
        <w:t>(2) Der Beschluß ist mit sofortiger Beschwerde anfechtbar.</w:t>
      </w:r>
    </w:p>
    <w:p>
      <w:pPr>
        <w:pStyle w:val="Heading3"/>
      </w:pPr>
      <w:bookmarkStart w:id="337" w:name="b336"/>
      <w:r>
        <w:t>§ 206b Einstellung des Verfahrens wegen Gesetzesänderung</w:t>
      </w:r>
      <w:r>
        <w:t xml:space="preserve"> </w:t>
      </w:r>
      <w:r>
        <w:rPr>
          <w:rStyle w:val="Suchmarke"/>
        </w:rPr>
        <w:t>#206b#</w:t>
      </w:r>
      <w:bookmarkEnd w:id="337"/>
    </w:p>
    <w:p>
      <w:r>
        <w:rPr>
          <w:rStyle w:val="Satznummer"/>
        </w:rPr>
        <w:t>1</w:t>
      </w:r>
      <w:r>
        <w:t xml:space="preserve">Wird ein Strafgesetz, das bei Beendigung der Tat gilt, vor der Entscheidung geändert und hat ein gerichtlich anhängiges Strafverfahren eine Tat zum Gegenstand, die nach dem bisherigen Recht strafbar war, nach dem neuen Recht aber nicht mehr strafbar ist, so stellt das Gericht außerhalb der Hauptverhandlung das Verfahren durch Beschluß ein. </w:t>
      </w:r>
      <w:r>
        <w:rPr>
          <w:rStyle w:val="Satznummer"/>
        </w:rPr>
        <w:t>2</w:t>
      </w:r>
      <w:r>
        <w:t>Der Beschluß ist mit sofortiger Beschwerde anfechtbar.</w:t>
      </w:r>
    </w:p>
    <w:p>
      <w:pPr>
        <w:pStyle w:val="Heading3"/>
      </w:pPr>
      <w:bookmarkStart w:id="338" w:name="b337"/>
      <w:r>
        <w:t>§ 207 Inhalt des Eröffnungsbeschlusses</w:t>
      </w:r>
      <w:r>
        <w:t xml:space="preserve"> </w:t>
      </w:r>
      <w:r>
        <w:rPr>
          <w:rStyle w:val="Suchmarke"/>
        </w:rPr>
        <w:t>#207#</w:t>
      </w:r>
      <w:bookmarkEnd w:id="338"/>
    </w:p>
    <w:p>
      <w:r>
        <w:t>(1) In dem Beschluß, durch den das Hauptverfahren eröffnet wird, läßt das Gericht die Anklage zur Hauptverhandlung zu und bezeichnet das Gericht, vor dem die Hauptverhandlung stattfinden soll.</w:t>
      </w:r>
    </w:p>
    <w:p>
      <w:r>
        <w:t>(2) Das Gericht legt in dem Beschluß dar, mit welchen Änderungen es die Anklage zur Hauptverhandlung zuläßt, wenn</w:t>
      </w:r>
    </w:p>
    <w:p>
      <w:pPr>
        <w:tabs>
          <w:tab w:pos="567" w:val="left"/>
        </w:tabs>
        <w:ind w:left="567" w:hanging="567"/>
      </w:pPr>
      <w:r>
        <w:t>1.</w:t>
      </w:r>
      <w:r>
        <w:tab/>
      </w:r>
      <w:r>
        <w:t>wegen mehrerer Taten Anklage erhoben ist und wegen einzelner von ihnen die Eröffnung des Hauptverfahrens abgelehnt wird,</w:t>
      </w:r>
    </w:p>
    <w:p>
      <w:pPr>
        <w:tabs>
          <w:tab w:pos="567" w:val="left"/>
        </w:tabs>
        <w:ind w:left="567" w:hanging="567"/>
      </w:pPr>
      <w:r>
        <w:t>2.</w:t>
      </w:r>
      <w:r>
        <w:tab/>
      </w:r>
      <w:r>
        <w:t xml:space="preserve">die Verfolgung nach </w:t>
      </w:r>
      <w:hyperlink w:anchor="b275" w:history="1">
        <w:r>
          <w:rPr>
            <w:color w:val="0A3A8C"/>
            <w:u w:val="single"/>
          </w:rPr>
          <w:t xml:space="preserve">§ 154a</w:t>
        </w:r>
      </w:hyperlink>
      <w:r>
        <w:t xml:space="preserve"> auf einzelne abtrennbare Teile einer Tat beschränkt wird oder solche Teile in das Verfahren wieder einbezogen werden,</w:t>
      </w:r>
    </w:p>
    <w:p>
      <w:pPr>
        <w:tabs>
          <w:tab w:pos="567" w:val="left"/>
        </w:tabs>
        <w:ind w:left="567" w:hanging="567"/>
      </w:pPr>
      <w:r>
        <w:t>3.</w:t>
      </w:r>
      <w:r>
        <w:tab/>
      </w:r>
      <w:r>
        <w:t>die Tat rechtlich abweichend von der Anklageschrift gewürdigt wird oder</w:t>
      </w:r>
    </w:p>
    <w:p>
      <w:pPr>
        <w:tabs>
          <w:tab w:pos="567" w:val="left"/>
        </w:tabs>
        <w:ind w:left="567" w:hanging="567"/>
      </w:pPr>
      <w:r>
        <w:t>4.</w:t>
      </w:r>
      <w:r>
        <w:tab/>
      </w:r>
      <w:r>
        <w:t xml:space="preserve">die Verfolgung nach </w:t>
      </w:r>
      <w:hyperlink w:anchor="b275" w:history="1">
        <w:r>
          <w:rPr>
            <w:color w:val="0A3A8C"/>
            <w:u w:val="single"/>
          </w:rPr>
          <w:t xml:space="preserve">§ 154a</w:t>
        </w:r>
      </w:hyperlink>
      <w:r>
        <w:t xml:space="preserve"> auf einzelne von mehreren Gesetzesverletzungen, die durch dieselbe Straftat begangen worden sind, beschränkt wird oder solche Gesetzesverletzungen in das Verfahren wieder einbezogen werden.</w:t>
      </w:r>
    </w:p>
    <w:p>
      <w:r>
        <w:t xml:space="preserve">(3) </w:t>
      </w:r>
      <w:r>
        <w:rPr>
          <w:rStyle w:val="Satznummer"/>
        </w:rPr>
        <w:t>1</w:t>
      </w:r>
      <w:r>
        <w:t xml:space="preserve">In den Fällen des Absatzes 2 Nr. 1 und 2 reicht die Staatsanwaltschaft eine dem Beschluß entsprechende neue Anklageschrift ein. </w:t>
      </w:r>
      <w:r>
        <w:rPr>
          <w:rStyle w:val="Satznummer"/>
        </w:rPr>
        <w:t>2</w:t>
      </w:r>
      <w:r>
        <w:t>Von der Darstellung des wesentlichen Ergebnisses der Ermittlungen kann abgesehen werden.</w:t>
      </w:r>
    </w:p>
    <w:p>
      <w:r>
        <w:t>(4) Das Gericht beschließt zugleich von Amts wegen über die Anordnung oder Fortdauer der Untersuchungshaft oder der einstweiligen Unterbringung.</w:t>
      </w:r>
    </w:p>
    <w:p>
      <w:pPr>
        <w:pStyle w:val="Heading3"/>
      </w:pPr>
      <w:bookmarkStart w:id="339" w:name="b338"/>
      <w:r>
        <w:t>§ 208 (weggefallen)</w:t>
      </w:r>
      <w:r>
        <w:t xml:space="preserve"> </w:t>
      </w:r>
      <w:r>
        <w:rPr>
          <w:rStyle w:val="Suchmarke"/>
        </w:rPr>
        <w:t>#208#</w:t>
      </w:r>
      <w:bookmarkEnd w:id="339"/>
    </w:p>
    <w:p>
      <w:pPr>
        <w:pStyle w:val="Heading3"/>
      </w:pPr>
      <w:bookmarkStart w:id="340" w:name="b339"/>
      <w:r>
        <w:t>§ 209 Eröffnungszuständigkeit</w:t>
      </w:r>
      <w:r>
        <w:t xml:space="preserve"> </w:t>
      </w:r>
      <w:r>
        <w:rPr>
          <w:rStyle w:val="Suchmarke"/>
        </w:rPr>
        <w:t>#209#</w:t>
      </w:r>
      <w:bookmarkEnd w:id="340"/>
    </w:p>
    <w:p>
      <w:r>
        <w:t>(1) Hält das Gericht, bei dem die Anklage eingereicht ist, die Zuständigkeit eines Gerichts niedrigerer Ordnung in seinem Bezirk für begründet, so eröffnet es das Hauptverfahren vor diesem Gericht.</w:t>
      </w:r>
    </w:p>
    <w:p>
      <w:r>
        <w:t>(2) Hält das Gericht, bei dem die Anklage eingereicht ist, die Zuständigkeit eines Gerichts höherer Ordnung, zu dessen Bezirk es gehört, für begründet, so legt es die Akten durch Vermittlung der Staatsanwaltschaft diesem zur Entscheidung vor.</w:t>
      </w:r>
    </w:p>
    <w:p>
      <w:pPr>
        <w:pStyle w:val="Heading3"/>
      </w:pPr>
      <w:bookmarkStart w:id="341" w:name="b340"/>
      <w:r>
        <w:t>§ 209a Besondere funktionelle Zuständigkeiten</w:t>
      </w:r>
      <w:r>
        <w:t xml:space="preserve"> </w:t>
      </w:r>
      <w:r>
        <w:rPr>
          <w:rStyle w:val="Suchmarke"/>
        </w:rPr>
        <w:t>#209a#</w:t>
      </w:r>
      <w:bookmarkEnd w:id="341"/>
    </w:p>
    <w:p>
      <w:r>
        <w:t xml:space="preserve">Im Sinne des </w:t>
      </w:r>
      <w:hyperlink w:anchor="b5" w:history="1">
        <w:r>
          <w:rPr>
            <w:color w:val="0A3A8C"/>
            <w:u w:val="single"/>
          </w:rPr>
          <w:t xml:space="preserve">§ 4</w:t>
        </w:r>
      </w:hyperlink>
      <w:r>
        <w:t xml:space="preserve"> Abs. 2, des </w:t>
      </w:r>
      <w:hyperlink w:anchor="b339" w:history="1">
        <w:r>
          <w:rPr>
            <w:color w:val="0A3A8C"/>
            <w:u w:val="single"/>
          </w:rPr>
          <w:t xml:space="preserve">§ 209</w:t>
        </w:r>
      </w:hyperlink>
      <w:r>
        <w:t xml:space="preserve"> sowie des </w:t>
      </w:r>
      <w:hyperlink w:anchor="b341" w:history="1">
        <w:r>
          <w:rPr>
            <w:color w:val="0A3A8C"/>
            <w:u w:val="single"/>
          </w:rPr>
          <w:t xml:space="preserve">§ 210</w:t>
        </w:r>
      </w:hyperlink>
      <w:r>
        <w:t xml:space="preserve"> Abs. 2 stehen</w:t>
      </w:r>
    </w:p>
    <w:p>
      <w:pPr>
        <w:tabs>
          <w:tab w:pos="567" w:val="left"/>
        </w:tabs>
        <w:ind w:left="567" w:hanging="567"/>
      </w:pPr>
      <w:r>
        <w:t>1.</w:t>
      </w:r>
      <w:r>
        <w:tab/>
      </w:r>
      <w:r>
        <w:t xml:space="preserve">die besonderen Strafkammern nach </w:t>
      </w:r>
      <w:hyperlink w:anchor="b102" w:history="1">
        <w:r>
          <w:rPr>
            <w:color w:val="0A3A8C"/>
            <w:u w:val="single"/>
          </w:rPr>
          <w:t xml:space="preserve">§ 74</w:t>
        </w:r>
      </w:hyperlink>
      <w:r>
        <w:t xml:space="preserve"> Abs. 2 sowie den §§ 74a und 74c des Gerichtsverfassungsgesetzes für ihren Bezirk gegenüber den allgemeinen Strafkammern und untereinander in der in § 74e des Gerichtsverfassungsgesetzes bezeichneten Rangfolge und</w:t>
      </w:r>
    </w:p>
    <w:p>
      <w:pPr>
        <w:tabs>
          <w:tab w:pos="567" w:val="left"/>
        </w:tabs>
        <w:ind w:left="567" w:hanging="567"/>
      </w:pPr>
      <w:r>
        <w:t>2.</w:t>
      </w:r>
      <w:r>
        <w:tab/>
      </w:r>
      <w:r>
        <w:t>die Jugendgerichte für die Entscheidung, ob Sachen</w:t>
      </w:r>
    </w:p>
    <w:p>
      <w:pPr>
        <w:tabs>
          <w:tab w:pos="1134" w:val="left"/>
        </w:tabs>
        <w:ind w:left="1134" w:hanging="567"/>
      </w:pPr>
      <w:r>
        <w:t>a)</w:t>
      </w:r>
      <w:r>
        <w:tab/>
      </w:r>
      <w:r>
        <w:t>nach § 33 Abs. 1, § 103 Abs. 2 Satz 1 und § 107 des Jugendgerichtsgesetzes oder</w:t>
      </w:r>
    </w:p>
    <w:p>
      <w:pPr>
        <w:tabs>
          <w:tab w:pos="1134" w:val="left"/>
        </w:tabs>
        <w:ind w:left="1134" w:hanging="567"/>
      </w:pPr>
      <w:r>
        <w:t>b)</w:t>
      </w:r>
      <w:r>
        <w:tab/>
      </w:r>
      <w:r>
        <w:t>als Jugendschutzsachen (§ 26 Abs. 1 Satz 1, § 74b Satz 1 des Gerichtsverfassungsgesetzes)</w:t>
      </w:r>
    </w:p>
    <w:p>
      <w:pPr>
        <w:ind w:left="567"/>
      </w:pPr>
      <w:r>
        <w:t>vor die Jugendgerichte gehören, gegenüber den für allgemeine Strafsachen zuständigen Gerichten gleicher Ordnung</w:t>
      </w:r>
    </w:p>
    <w:p>
      <w:r>
        <w:t>Gerichten höherer Ordnung gleich.</w:t>
      </w:r>
    </w:p>
    <w:p>
      <w:pPr>
        <w:pStyle w:val="Heading3"/>
      </w:pPr>
      <w:bookmarkStart w:id="342" w:name="b341"/>
      <w:r>
        <w:t>§ 210 Rechtsmittel gegen den Eröffnungs- oder Ablehnungsbeschluss</w:t>
      </w:r>
      <w:r>
        <w:t xml:space="preserve"> </w:t>
      </w:r>
      <w:r>
        <w:rPr>
          <w:rStyle w:val="Suchmarke"/>
        </w:rPr>
        <w:t>#210#</w:t>
      </w:r>
      <w:bookmarkEnd w:id="342"/>
    </w:p>
    <w:p>
      <w:r>
        <w:t>(1) Der Beschluß, durch den das Hauptverfahren eröffnet worden ist, kann von dem Angeklagten nicht angefochten werden.</w:t>
      </w:r>
    </w:p>
    <w:p>
      <w:r>
        <w:t>(2) Gegen den Beschluß, durch den die Eröffnung des Hauptverfahrens abgelehnt oder abweichend von dem Antrag der Staatsanwaltschaft die Verweisung an ein Gericht niederer Ordnung ausgesprochen worden ist, steht der Staatsanwaltschaft sofortige Beschwerde zu.</w:t>
      </w:r>
    </w:p>
    <w:p>
      <w:r>
        <w:t xml:space="preserve">(3) </w:t>
      </w:r>
      <w:r>
        <w:rPr>
          <w:rStyle w:val="Satznummer"/>
        </w:rPr>
        <w:t>1</w:t>
      </w:r>
      <w:r>
        <w:t xml:space="preserve">Gibt das Beschwerdegericht der Beschwerde statt, so kann es zugleich bestimmen, daß die Hauptverhandlung vor einer anderen Kammer des Gerichts, das den Beschluß nach Absatz 2 erlassen hat, oder vor einem zu demselben Land gehörenden benachbarten Gericht gleicher Ordnung stattzufinden hat. </w:t>
      </w:r>
      <w:r>
        <w:rPr>
          <w:rStyle w:val="Satznummer"/>
        </w:rPr>
        <w:t>2</w:t>
      </w:r>
      <w:r>
        <w:t>In Verfahren, in denen ein Oberlandesgericht im ersten Rechtszug entschieden hat, kann der Bundesgerichtshof bestimmen, daß die Hauptverhandlung vor einem anderen Senat dieses Gerichts stattzufinden hat.</w:t>
      </w:r>
    </w:p>
    <w:p>
      <w:pPr>
        <w:pStyle w:val="Heading3"/>
      </w:pPr>
      <w:bookmarkStart w:id="343" w:name="b342"/>
      <w:r>
        <w:t>§ 211 Wiederaufnahme nach Ablehnungsbeschluss</w:t>
      </w:r>
      <w:r>
        <w:t xml:space="preserve"> </w:t>
      </w:r>
      <w:r>
        <w:rPr>
          <w:rStyle w:val="Suchmarke"/>
        </w:rPr>
        <w:t>#211#</w:t>
      </w:r>
      <w:bookmarkEnd w:id="343"/>
    </w:p>
    <w:p>
      <w:r>
        <w:t>Ist die Eröffnung des Hauptverfahrens durch einen nicht mehr anfechtbaren Beschluß abgelehnt, so kann die Klage nur auf Grund neuer Tatsachen oder Beweismittel wieder aufgenommen werden.</w:t>
      </w:r>
    </w:p>
    <w:p>
      <w:pPr>
        <w:pStyle w:val="Heading2"/>
      </w:pPr>
      <w:bookmarkStart w:id="344" w:name="b343"/>
      <w:r>
        <w:t>Fünfter Abschnitt Vorbereitung der Hauptverhandlung</w:t>
      </w:r>
      <w:bookmarkEnd w:id="344"/>
    </w:p>
    <w:p>
      <w:pPr>
        <w:pStyle w:val="Heading3"/>
      </w:pPr>
      <w:bookmarkStart w:id="345" w:name="b344"/>
      <w:r>
        <w:t>§ 212 Erörterung des Verfahrensstands mit den Verfahrensbeteiligten</w:t>
      </w:r>
      <w:r>
        <w:t xml:space="preserve"> </w:t>
      </w:r>
      <w:r>
        <w:rPr>
          <w:rStyle w:val="Suchmarke"/>
        </w:rPr>
        <w:t>#212#</w:t>
      </w:r>
      <w:bookmarkEnd w:id="345"/>
    </w:p>
    <w:p>
      <w:r>
        <w:t xml:space="preserve">Nach Eröffnung des Hauptverfahrens gilt </w:t>
      </w:r>
      <w:hyperlink w:anchor="b330" w:history="1">
        <w:r>
          <w:rPr>
            <w:color w:val="0A3A8C"/>
            <w:u w:val="single"/>
          </w:rPr>
          <w:t xml:space="preserve">§ 202a</w:t>
        </w:r>
      </w:hyperlink>
      <w:r>
        <w:t xml:space="preserve"> entsprechend.</w:t>
      </w:r>
    </w:p>
    <w:p>
      <w:pPr>
        <w:pStyle w:val="Heading3"/>
      </w:pPr>
      <w:bookmarkStart w:id="346" w:name="b345"/>
      <w:r>
        <w:t>§ 213 Bestimmung eines Termins zur Hauptverhandlung</w:t>
      </w:r>
      <w:r>
        <w:t xml:space="preserve"> </w:t>
      </w:r>
      <w:r>
        <w:rPr>
          <w:rStyle w:val="Suchmarke"/>
        </w:rPr>
        <w:t>#213#</w:t>
      </w:r>
      <w:bookmarkEnd w:id="346"/>
    </w:p>
    <w:p>
      <w:r>
        <w:t>(1) Der Termin zur Hauptverhandlung wird von dem Vorsitzenden des Gerichts anberaumt.</w:t>
      </w:r>
    </w:p>
    <w:p>
      <w:r>
        <w:t>(2) In besonders umfangreichen erstinstanzlichen Verfahren vor dem Land- oder Oberlandesgericht, in denen die Hauptverhandlung voraussichtlich länger als zehn Tage dauern wird, soll der Vorsitzende den äußeren Ablauf der Hauptverhandlung vor der Terminbestimmung mit dem Verteidiger, der Staatsanwaltschaft und dem Nebenklägervertreter abstimmen.</w:t>
      </w:r>
    </w:p>
    <w:p>
      <w:pPr>
        <w:pStyle w:val="Heading3"/>
      </w:pPr>
      <w:bookmarkStart w:id="347" w:name="b346"/>
      <w:r>
        <w:t>§ 214 Ladungen durch den Vorsitzenden; Herbeischaffung der Beweismittel</w:t>
      </w:r>
      <w:r>
        <w:t xml:space="preserve"> </w:t>
      </w:r>
      <w:r>
        <w:rPr>
          <w:rStyle w:val="Suchmarke"/>
        </w:rPr>
        <w:t>#214#</w:t>
      </w:r>
      <w:bookmarkEnd w:id="347"/>
    </w:p>
    <w:p>
      <w:r>
        <w:t xml:space="preserve">(1) </w:t>
      </w:r>
      <w:r>
        <w:rPr>
          <w:rStyle w:val="Satznummer"/>
        </w:rPr>
        <w:t>1</w:t>
      </w:r>
      <w:r>
        <w:t xml:space="preserve">Die zur Hauptverhandlung erforderlichen Ladungen ordnet der Vorsitzende an. </w:t>
      </w:r>
      <w:r>
        <w:rPr>
          <w:rStyle w:val="Satznummer"/>
        </w:rPr>
        <w:t>2</w:t>
      </w:r>
      <w:r>
        <w:t xml:space="preserve">Zugleich veranlasst er die nach </w:t>
      </w:r>
      <w:hyperlink w:anchor="b565" w:history="1">
        <w:r>
          <w:rPr>
            <w:color w:val="0A3A8C"/>
            <w:u w:val="single"/>
          </w:rPr>
          <w:t xml:space="preserve">§ 397</w:t>
        </w:r>
      </w:hyperlink>
      <w:r>
        <w:t xml:space="preserve"> Absatz 2 Satz 3, </w:t>
      </w:r>
      <w:hyperlink w:anchor="b582" w:history="1">
        <w:r>
          <w:rPr>
            <w:color w:val="0A3A8C"/>
            <w:u w:val="single"/>
          </w:rPr>
          <w:t xml:space="preserve">§ 406d</w:t>
        </w:r>
      </w:hyperlink>
      <w:r>
        <w:t xml:space="preserve"> Absatz 1 und </w:t>
      </w:r>
      <w:hyperlink w:anchor="b586" w:history="1">
        <w:r>
          <w:rPr>
            <w:color w:val="0A3A8C"/>
            <w:u w:val="single"/>
          </w:rPr>
          <w:t xml:space="preserve">§ 406h</w:t>
        </w:r>
      </w:hyperlink>
      <w:r>
        <w:t xml:space="preserve"> Absatz 2 Satz 2 erforderlichen Benachrichtigungen vom Termin; </w:t>
      </w:r>
      <w:hyperlink w:anchor="b582" w:history="1">
        <w:r>
          <w:rPr>
            <w:color w:val="0A3A8C"/>
            <w:u w:val="single"/>
          </w:rPr>
          <w:t xml:space="preserve">§ 406d</w:t>
        </w:r>
      </w:hyperlink>
      <w:r>
        <w:t xml:space="preserve"> Absatz 4 gilt entsprechend. </w:t>
      </w:r>
      <w:r>
        <w:rPr>
          <w:rStyle w:val="Satznummer"/>
        </w:rPr>
        <w:t>3</w:t>
      </w:r>
      <w:r>
        <w:t>Die Geschäftsstelle sorgt dafür, dass die Ladungen bewirkt und die Mitteilungen versandt werden.</w:t>
      </w:r>
    </w:p>
    <w:p>
      <w:r>
        <w:t>(2) Ist anzunehmen, daß sich die Hauptverhandlung auf längere Zeit erstreckt, so soll der Vorsitzende die Ladung sämtlicher oder einzelner Zeugen und Sachverständigen zu einem späteren Zeitpunkt als dem Beginn der Hauptverhandlung anordnen.</w:t>
      </w:r>
    </w:p>
    <w:p>
      <w:r>
        <w:t>(3) Der Staatsanwaltschaft steht das Recht der unmittelbaren Ladung weiterer Personen zu.</w:t>
      </w:r>
    </w:p>
    <w:p>
      <w:r>
        <w:t xml:space="preserve">(4) </w:t>
      </w:r>
      <w:r>
        <w:rPr>
          <w:rStyle w:val="Satznummer"/>
        </w:rPr>
        <w:t>1</w:t>
      </w:r>
      <w:r>
        <w:t xml:space="preserve">Die Staatsanwaltschaft bewirkt die Herbeischaffung der als Beweismittel dienenden Gegenstände. </w:t>
      </w:r>
      <w:r>
        <w:rPr>
          <w:rStyle w:val="Satznummer"/>
        </w:rPr>
        <w:t>2</w:t>
      </w:r>
      <w:r>
        <w:t>Diese kann auch vom Gericht bewirkt werden.</w:t>
      </w:r>
    </w:p>
    <w:p>
      <w:pPr>
        <w:pStyle w:val="Heading3"/>
      </w:pPr>
      <w:bookmarkStart w:id="348" w:name="b347"/>
      <w:r>
        <w:t>§ 215 Zustellung des Eröffnungsbeschlusses</w:t>
      </w:r>
      <w:r>
        <w:t xml:space="preserve"> </w:t>
      </w:r>
      <w:r>
        <w:rPr>
          <w:rStyle w:val="Suchmarke"/>
        </w:rPr>
        <w:t>#215#</w:t>
      </w:r>
      <w:bookmarkEnd w:id="348"/>
    </w:p>
    <w:p>
      <w:r>
        <w:rPr>
          <w:rStyle w:val="Satznummer"/>
        </w:rPr>
        <w:t>1</w:t>
      </w:r>
      <w:r>
        <w:t xml:space="preserve">Der Beschluß über die Eröffnung des Hauptverfahrens ist dem Angeklagten spätestens mit der Ladung zuzustellen. </w:t>
      </w:r>
      <w:r>
        <w:rPr>
          <w:rStyle w:val="Satznummer"/>
        </w:rPr>
        <w:t>2</w:t>
      </w:r>
      <w:r>
        <w:t xml:space="preserve">Entsprechendes gilt in den Fällen des </w:t>
      </w:r>
      <w:hyperlink w:anchor="b337" w:history="1">
        <w:r>
          <w:rPr>
            <w:color w:val="0A3A8C"/>
            <w:u w:val="single"/>
          </w:rPr>
          <w:t xml:space="preserve">§ 207</w:t>
        </w:r>
      </w:hyperlink>
      <w:r>
        <w:t xml:space="preserve"> Abs. 3 für die nachgereichte Anklageschrift.</w:t>
      </w:r>
    </w:p>
    <w:p>
      <w:pPr>
        <w:pStyle w:val="Heading3"/>
      </w:pPr>
      <w:bookmarkStart w:id="349" w:name="b348"/>
      <w:r>
        <w:t>§ 216 Ladung des Angeklagten</w:t>
      </w:r>
      <w:r>
        <w:t xml:space="preserve"> </w:t>
      </w:r>
      <w:r>
        <w:rPr>
          <w:rStyle w:val="Suchmarke"/>
        </w:rPr>
        <w:t>#216#</w:t>
      </w:r>
      <w:bookmarkEnd w:id="349"/>
    </w:p>
    <w:p>
      <w:r>
        <w:t xml:space="preserve">(1) </w:t>
      </w:r>
      <w:r>
        <w:rPr>
          <w:rStyle w:val="Satznummer"/>
        </w:rPr>
        <w:t>1</w:t>
      </w:r>
      <w:r>
        <w:t xml:space="preserve">Die Ladung eines auf freiem Fuß befindlichen Angeklagten geschieht schriftlich unter der Warnung, daß im Falle seines unentschuldigten Ausbleibens seine Verhaftung oder Vorführung erfolgen werde. </w:t>
      </w:r>
      <w:r>
        <w:rPr>
          <w:rStyle w:val="Satznummer"/>
        </w:rPr>
        <w:t>2</w:t>
      </w:r>
      <w:r>
        <w:t xml:space="preserve">Die Warnung kann in den Fällen des </w:t>
      </w:r>
      <w:hyperlink w:anchor="b371" w:history="1">
        <w:r>
          <w:rPr>
            <w:color w:val="0A3A8C"/>
            <w:u w:val="single"/>
          </w:rPr>
          <w:t xml:space="preserve">§ 232</w:t>
        </w:r>
      </w:hyperlink>
      <w:r>
        <w:t xml:space="preserve"> unterbleiben.</w:t>
      </w:r>
    </w:p>
    <w:p>
      <w:r>
        <w:t xml:space="preserve">(2) </w:t>
      </w:r>
      <w:r>
        <w:rPr>
          <w:rStyle w:val="Satznummer"/>
        </w:rPr>
        <w:t>1</w:t>
      </w:r>
      <w:r>
        <w:t xml:space="preserve">Der nicht auf freiem Fuß befindliche Angeklagte wird durch Bekanntmachung des Termins zur Hauptverhandlung gemäß </w:t>
      </w:r>
      <w:hyperlink w:anchor="b52" w:history="1">
        <w:r>
          <w:rPr>
            <w:color w:val="0A3A8C"/>
            <w:u w:val="single"/>
          </w:rPr>
          <w:t xml:space="preserve">§ 35</w:t>
        </w:r>
      </w:hyperlink>
      <w:r>
        <w:t xml:space="preserve"> geladen. </w:t>
      </w:r>
      <w:r>
        <w:rPr>
          <w:rStyle w:val="Satznummer"/>
        </w:rPr>
        <w:t>2</w:t>
      </w:r>
      <w:r>
        <w:t>Dabei ist der Angeklagte zu befragen, ob und welche Anträge er zu seiner Verteidigung für die Hauptverhandlung zu stellen habe.</w:t>
      </w:r>
    </w:p>
    <w:p>
      <w:pPr>
        <w:pStyle w:val="Heading3"/>
      </w:pPr>
      <w:bookmarkStart w:id="350" w:name="b349"/>
      <w:r>
        <w:t>§ 217 Ladungsfrist</w:t>
      </w:r>
      <w:r>
        <w:t xml:space="preserve"> </w:t>
      </w:r>
      <w:r>
        <w:rPr>
          <w:rStyle w:val="Suchmarke"/>
        </w:rPr>
        <w:t>#217#</w:t>
      </w:r>
      <w:bookmarkEnd w:id="350"/>
    </w:p>
    <w:p>
      <w:r>
        <w:t>(1) Zwischen der Zustellung der Ladung (</w:t>
      </w:r>
      <w:hyperlink w:anchor="b348" w:history="1">
        <w:r>
          <w:rPr>
            <w:color w:val="0A3A8C"/>
            <w:u w:val="single"/>
          </w:rPr>
          <w:t xml:space="preserve">§ 216</w:t>
        </w:r>
      </w:hyperlink>
      <w:r>
        <w:t>) und dem Tag der Hauptverhandlung muß eine Frist von mindestens einer Woche liegen.</w:t>
      </w:r>
    </w:p>
    <w:p>
      <w:r>
        <w:t>(2) Ist die Frist nicht eingehalten worden, so kann der Angeklagte bis zum Beginn seiner Vernehmung zur Sache die Aussetzung der Verhandlung verlangen.</w:t>
      </w:r>
    </w:p>
    <w:p>
      <w:r>
        <w:t>(3) Der Angeklagte kann auf die Einhaltung der Frist verzichten.</w:t>
      </w:r>
    </w:p>
    <w:p>
      <w:pPr>
        <w:pStyle w:val="Heading3"/>
      </w:pPr>
      <w:bookmarkStart w:id="351" w:name="b350"/>
      <w:r>
        <w:t>§ 218 Ladung des Verteidigers</w:t>
      </w:r>
      <w:r>
        <w:t xml:space="preserve"> </w:t>
      </w:r>
      <w:r>
        <w:rPr>
          <w:rStyle w:val="Suchmarke"/>
        </w:rPr>
        <w:t>#218#</w:t>
      </w:r>
      <w:bookmarkEnd w:id="351"/>
    </w:p>
    <w:p>
      <w:r>
        <w:rPr>
          <w:rStyle w:val="Satznummer"/>
        </w:rPr>
        <w:t>1</w:t>
      </w:r>
      <w:r>
        <w:t xml:space="preserve">Neben dem Angeklagten ist der bestellte Verteidiger stets, der gewählte Verteidiger dann zu laden, wenn die Wahl dem Gericht angezeigt worden ist. </w:t>
      </w:r>
      <w:r>
        <w:rPr>
          <w:rStyle w:val="Satznummer"/>
        </w:rPr>
        <w:t>2</w:t>
      </w:r>
      <w:hyperlink w:anchor="b349" w:history="1">
        <w:r>
          <w:rPr>
            <w:color w:val="0A3A8C"/>
            <w:u w:val="single"/>
          </w:rPr>
          <w:t xml:space="preserve">§ 217</w:t>
        </w:r>
      </w:hyperlink>
      <w:r>
        <w:t xml:space="preserve"> gilt entsprechend.</w:t>
      </w:r>
    </w:p>
    <w:p>
      <w:pPr>
        <w:pStyle w:val="Heading3"/>
      </w:pPr>
      <w:bookmarkStart w:id="352" w:name="b351"/>
      <w:r>
        <w:t>§ 219 Beweisanträge des Angeklagten</w:t>
      </w:r>
      <w:r>
        <w:t xml:space="preserve"> </w:t>
      </w:r>
      <w:r>
        <w:rPr>
          <w:rStyle w:val="Suchmarke"/>
        </w:rPr>
        <w:t>#219#</w:t>
      </w:r>
      <w:bookmarkEnd w:id="352"/>
    </w:p>
    <w:p>
      <w:r>
        <w:t xml:space="preserve">(1) </w:t>
      </w:r>
      <w:r>
        <w:rPr>
          <w:rStyle w:val="Satznummer"/>
        </w:rPr>
        <w:t>1</w:t>
      </w:r>
      <w:r>
        <w:t xml:space="preserve">Beweisanträge hat der Angeklagte bei dem Vorsitzenden des Gerichts zu stellen. </w:t>
      </w:r>
      <w:r>
        <w:rPr>
          <w:rStyle w:val="Satznummer"/>
        </w:rPr>
        <w:t>2</w:t>
      </w:r>
      <w:r>
        <w:t>Die hierauf ergehende Verfügung ist ihm bekanntzumachen.</w:t>
      </w:r>
    </w:p>
    <w:p>
      <w:r>
        <w:t>(2) Beweisanträge des Angeklagten sind, soweit ihnen stattgegeben ist, der Staatsanwaltschaft mitzuteilen.</w:t>
      </w:r>
    </w:p>
    <w:p>
      <w:pPr>
        <w:pStyle w:val="Heading3"/>
      </w:pPr>
      <w:bookmarkStart w:id="353" w:name="b352"/>
      <w:r>
        <w:t>§ 220 Unmittelbare Ladung durch den Angeklagten</w:t>
      </w:r>
      <w:r>
        <w:t xml:space="preserve"> </w:t>
      </w:r>
      <w:r>
        <w:rPr>
          <w:rStyle w:val="Suchmarke"/>
        </w:rPr>
        <w:t>#220#</w:t>
      </w:r>
      <w:bookmarkEnd w:id="353"/>
    </w:p>
    <w:p>
      <w:r>
        <w:t xml:space="preserve">(1) </w:t>
      </w:r>
      <w:r>
        <w:rPr>
          <w:rStyle w:val="Satznummer"/>
        </w:rPr>
        <w:t>1</w:t>
      </w:r>
      <w:r>
        <w:t xml:space="preserve">Lehnt der Vorsitzende den Antrag auf Ladung einer Person ab, so kann der Angeklagte sie unmittelbar laden lassen. </w:t>
      </w:r>
      <w:r>
        <w:rPr>
          <w:rStyle w:val="Satznummer"/>
        </w:rPr>
        <w:t>2</w:t>
      </w:r>
      <w:r>
        <w:t>Hierzu ist er auch ohne vorgängigen Antrag befugt.</w:t>
      </w:r>
    </w:p>
    <w:p>
      <w:r>
        <w:t>(2) Eine unmittelbar geladene Person ist nur dann zum Erscheinen verpflichtet, wenn ihr bei der Ladung die gesetzliche Entschädigung für Reisekosten und Versäumnis bar dargeboten oder deren Hinterlegung bei der Geschäftsstelle nachgewiesen wird.</w:t>
      </w:r>
    </w:p>
    <w:p>
      <w:r>
        <w:t>(3) Ergibt sich in der Hauptverhandlung, daß die Vernehmung einer unmittelbar geladenen Person zur Aufklärung der Sache dienlich war, so hat das Gericht auf Antrag anzuordnen, daß ihr die gesetzliche Entschädigung aus der Staatskasse zu gewähren ist.</w:t>
      </w:r>
    </w:p>
    <w:p>
      <w:pPr>
        <w:pStyle w:val="Heading3"/>
      </w:pPr>
      <w:bookmarkStart w:id="354" w:name="b353"/>
      <w:r>
        <w:t>§ 221 Herbeischaffung von Beweismitteln von Amts wegen</w:t>
      </w:r>
      <w:r>
        <w:t xml:space="preserve"> </w:t>
      </w:r>
      <w:r>
        <w:rPr>
          <w:rStyle w:val="Suchmarke"/>
        </w:rPr>
        <w:t>#221#</w:t>
      </w:r>
      <w:bookmarkEnd w:id="354"/>
    </w:p>
    <w:p>
      <w:r>
        <w:t>Der Vorsitzende des Gerichts kann auch von Amts wegen die Herbeischaffung weiterer als Beweismittel dienender Gegenstände anordnen.</w:t>
      </w:r>
    </w:p>
    <w:p>
      <w:pPr>
        <w:pStyle w:val="Heading3"/>
      </w:pPr>
      <w:bookmarkStart w:id="355" w:name="b354"/>
      <w:r>
        <w:t>§ 222 Namhaftmachung von Zeugen und Sachverständigen</w:t>
      </w:r>
      <w:r>
        <w:t xml:space="preserve"> </w:t>
      </w:r>
      <w:r>
        <w:rPr>
          <w:rStyle w:val="Suchmarke"/>
        </w:rPr>
        <w:t>#222#</w:t>
      </w:r>
      <w:bookmarkEnd w:id="355"/>
    </w:p>
    <w:p>
      <w:r>
        <w:t xml:space="preserve">(1) </w:t>
      </w:r>
      <w:r>
        <w:rPr>
          <w:rStyle w:val="Satznummer"/>
        </w:rPr>
        <w:t>1</w:t>
      </w:r>
      <w:r>
        <w:t xml:space="preserve">Das Gericht hat die geladenen Zeugen und Sachverständigen der Staatsanwaltschaft und dem Angeklagten rechtzeitig namhaft zu machen. </w:t>
      </w:r>
      <w:r>
        <w:rPr>
          <w:rStyle w:val="Satznummer"/>
        </w:rPr>
        <w:t>2</w:t>
      </w:r>
      <w:r>
        <w:t xml:space="preserve">Macht die Staatsanwaltschaft von ihrem Recht nach § 214 Abs. 3 Gebrauch, so hat sie die geladenen Zeugen und Sachverständigen dem Gericht und dem Angeklagten rechtzeitig namhaft zu machen. </w:t>
      </w:r>
      <w:r>
        <w:rPr>
          <w:rStyle w:val="Satznummer"/>
        </w:rPr>
        <w:t>3</w:t>
      </w:r>
      <w:hyperlink w:anchor="b327" w:history="1">
        <w:r>
          <w:rPr>
            <w:color w:val="0A3A8C"/>
            <w:u w:val="single"/>
          </w:rPr>
          <w:t xml:space="preserve">§ 200</w:t>
        </w:r>
      </w:hyperlink>
      <w:r>
        <w:t xml:space="preserve"> Abs. 1 Satz 3 bis 5 gilt sinngemäß.</w:t>
      </w:r>
    </w:p>
    <w:p>
      <w:r>
        <w:t>(2) Der Angeklagte hat die von ihm unmittelbar geladenen oder zur Hauptverhandlung zu stellenden Zeugen und Sachverständigen rechtzeitig dem Gericht und der Staatsanwaltschaft namhaft zu machen und ihre vollständige Anschrift anzugeben.</w:t>
      </w:r>
    </w:p>
    <w:p>
      <w:pPr>
        <w:pStyle w:val="Heading3"/>
      </w:pPr>
      <w:bookmarkStart w:id="356" w:name="b355"/>
      <w:r>
        <w:t>§ 222a Mitteilung der Besetzung des Gerichts</w:t>
      </w:r>
      <w:r>
        <w:t xml:space="preserve"> </w:t>
      </w:r>
      <w:r>
        <w:rPr>
          <w:rStyle w:val="Suchmarke"/>
        </w:rPr>
        <w:t>#222a#</w:t>
      </w:r>
      <w:bookmarkEnd w:id="356"/>
    </w:p>
    <w:p>
      <w:r>
        <w:t xml:space="preserve">(1) </w:t>
      </w:r>
      <w:r>
        <w:rPr>
          <w:rStyle w:val="Satznummer"/>
        </w:rPr>
        <w:t>1</w:t>
      </w:r>
      <w:r>
        <w:t xml:space="preserve">Findet die Hauptverhandlung im ersten Rechtszug vor dem Landgericht oder dem Oberlandesgericht statt, so ist spätestens zu Beginn der Hauptverhandlung die Besetzung des Gerichts unter Hervorhebung des Vorsitzenden und hinzugezogener Ergänzungsrichter und Ergänzungsschöffen mitzuteilen. </w:t>
      </w:r>
      <w:r>
        <w:rPr>
          <w:rStyle w:val="Satznummer"/>
        </w:rPr>
        <w:t>2</w:t>
      </w:r>
      <w:r>
        <w:t xml:space="preserve">Die Besetzung kann auf Anordnung des Vorsitzenden schon vor der Hauptverhandlung mitgeteilt werden; die Mitteilung ist zuzustellen. </w:t>
      </w:r>
      <w:r>
        <w:rPr>
          <w:rStyle w:val="Satznummer"/>
        </w:rPr>
        <w:t>3</w:t>
      </w:r>
      <w:r>
        <w:t>Ändert sich die mitgeteilte Besetzung, so ist dies spätestens zu Beginn der Hauptverhandlung mitzuteilen.</w:t>
      </w:r>
    </w:p>
    <w:p>
      <w:r>
        <w:t xml:space="preserve">(2) Ist die Mitteilung der Besetzung oder einer Besetzungsänderung später als eine Woche vor Beginn der Hauptverhandlung zugestellt oder erst zu Beginn der Hauptverhandlung bekanntgemacht worden, so kann das Gericht auf Antrag des Angeklagten, des Verteidigers oder der Staatsanwaltschaft die Hauptverhandlung zur Prüfung der Besetzung unterbrechen, wenn dies spätestens bis zum Beginn der Vernehmung des ersten Angeklagten zur Sache verlangt wird und absehbar ist, dass die Hauptverhandlung vor Ablauf der in </w:t>
      </w:r>
      <w:hyperlink w:anchor="b356" w:history="1">
        <w:r>
          <w:rPr>
            <w:color w:val="0A3A8C"/>
            <w:u w:val="single"/>
          </w:rPr>
          <w:t xml:space="preserve">§ 222b</w:t>
        </w:r>
      </w:hyperlink>
      <w:r>
        <w:t xml:space="preserve"> Absatz 1 Satz 1 genannten Frist beendet sein könnte.</w:t>
      </w:r>
    </w:p>
    <w:p>
      <w:r>
        <w:t>(3) In die für die Besetzung maßgebenden Unterlagen kann für den Angeklagten nur sein Verteidiger oder ein Rechtsanwalt, für den Nebenkläger nur ein Rechtsanwalt Einsicht nehmen.</w:t>
      </w:r>
    </w:p>
    <w:p>
      <w:pPr>
        <w:pStyle w:val="Heading3"/>
      </w:pPr>
      <w:bookmarkStart w:id="357" w:name="b356"/>
      <w:r>
        <w:t>§ 222b Besetzungseinwand</w:t>
      </w:r>
      <w:r>
        <w:t xml:space="preserve"> </w:t>
      </w:r>
      <w:r>
        <w:rPr>
          <w:rStyle w:val="Suchmarke"/>
        </w:rPr>
        <w:t>#222b#</w:t>
      </w:r>
      <w:bookmarkEnd w:id="357"/>
    </w:p>
    <w:p>
      <w:r>
        <w:t xml:space="preserve">(1) </w:t>
      </w:r>
      <w:r>
        <w:rPr>
          <w:rStyle w:val="Satznummer"/>
        </w:rPr>
        <w:t>1</w:t>
      </w:r>
      <w:r>
        <w:t xml:space="preserve">Ist die Besetzung des Gerichts nach </w:t>
      </w:r>
      <w:hyperlink w:anchor="b355" w:history="1">
        <w:r>
          <w:rPr>
            <w:color w:val="0A3A8C"/>
            <w:u w:val="single"/>
          </w:rPr>
          <w:t xml:space="preserve">§ 222a</w:t>
        </w:r>
      </w:hyperlink>
      <w:r>
        <w:t xml:space="preserve"> mitgeteilt worden, so kann der Einwand, daß das Gericht vorschriftswidrig besetzt sei, nur innerhalb einer Woche nach Zustellung der Besetzungsmitteilung oder, soweit eine Zustellung nicht erfolgt ist, ihrer Bekanntmachung in der Hauptverhandlung geltend gemacht werden. </w:t>
      </w:r>
      <w:r>
        <w:rPr>
          <w:rStyle w:val="Satznummer"/>
        </w:rPr>
        <w:t>2</w:t>
      </w:r>
      <w:r>
        <w:t xml:space="preserve">Die Tatsachen, aus denen sich die vorschriftswidrige Besetzung ergeben soll, sind dabei anzugeben. </w:t>
      </w:r>
      <w:r>
        <w:rPr>
          <w:rStyle w:val="Satznummer"/>
        </w:rPr>
        <w:t>3</w:t>
      </w:r>
      <w:r>
        <w:t xml:space="preserve">Alle Beanstandungen sind gleichzeitig vorzubringen. </w:t>
      </w:r>
      <w:r>
        <w:rPr>
          <w:rStyle w:val="Satznummer"/>
        </w:rPr>
        <w:t>4</w:t>
      </w:r>
      <w:r>
        <w:t xml:space="preserve">Außerhalb der Hauptverhandlung ist der Einwand schriftlich geltend zu machen; </w:t>
      </w:r>
      <w:hyperlink w:anchor="b501" w:history="1">
        <w:r>
          <w:rPr>
            <w:color w:val="0A3A8C"/>
            <w:u w:val="single"/>
          </w:rPr>
          <w:t xml:space="preserve">§ 345</w:t>
        </w:r>
      </w:hyperlink>
      <w:r>
        <w:t xml:space="preserve"> Abs. 2 und für den Nebenkläger </w:t>
      </w:r>
      <w:hyperlink w:anchor="b557" w:history="1">
        <w:r>
          <w:rPr>
            <w:color w:val="0A3A8C"/>
            <w:u w:val="single"/>
          </w:rPr>
          <w:t xml:space="preserve">§ 390</w:t>
        </w:r>
      </w:hyperlink>
      <w:r>
        <w:t xml:space="preserve"> Abs. 2 gelten entsprechend.</w:t>
      </w:r>
    </w:p>
    <w:p>
      <w:r>
        <w:t xml:space="preserve">(2) </w:t>
      </w:r>
      <w:r>
        <w:rPr>
          <w:rStyle w:val="Satznummer"/>
        </w:rPr>
        <w:t>1</w:t>
      </w:r>
      <w:r>
        <w:t xml:space="preserve">Über den Einwand entscheidet das Gericht in der für Entscheidungen außerhalb der Hauptverhandlung vorgeschriebenen Besetzung. </w:t>
      </w:r>
      <w:r>
        <w:rPr>
          <w:rStyle w:val="Satznummer"/>
        </w:rPr>
        <w:t>2</w:t>
      </w:r>
      <w:r>
        <w:t xml:space="preserve">Hält es den Einwand für begründet, so stellt es fest, daß es nicht vorschriftsmäßig besetzt ist. </w:t>
      </w:r>
      <w:r>
        <w:rPr>
          <w:rStyle w:val="Satznummer"/>
        </w:rPr>
        <w:t>3</w:t>
      </w:r>
      <w:r>
        <w:t xml:space="preserve">Führt ein Einwand zu einer Änderung der Besetzung, so ist auf die neue Besetzung </w:t>
      </w:r>
      <w:hyperlink w:anchor="b355" w:history="1">
        <w:r>
          <w:rPr>
            <w:color w:val="0A3A8C"/>
            <w:u w:val="single"/>
          </w:rPr>
          <w:t xml:space="preserve">§ 222a</w:t>
        </w:r>
      </w:hyperlink>
      <w:r>
        <w:t xml:space="preserve"> nicht anzuwenden.</w:t>
      </w:r>
    </w:p>
    <w:p>
      <w:r>
        <w:t xml:space="preserve">(3) </w:t>
      </w:r>
      <w:r>
        <w:rPr>
          <w:rStyle w:val="Satznummer"/>
        </w:rPr>
        <w:t>1</w:t>
      </w:r>
      <w:r>
        <w:t xml:space="preserve">Hält das Gericht den Einwand für nicht begründet, so ist er spätestens vor Ablauf von drei Tagen dem Rechtsmittelgericht vorzulegen. </w:t>
      </w:r>
      <w:r>
        <w:rPr>
          <w:rStyle w:val="Satznummer"/>
        </w:rPr>
        <w:t>2</w:t>
      </w:r>
      <w:r>
        <w:t xml:space="preserve">Die Entscheidung des Rechtsmittelgerichts ergeht ohne mündliche Verhandlung. </w:t>
      </w:r>
      <w:r>
        <w:rPr>
          <w:rStyle w:val="Satznummer"/>
        </w:rPr>
        <w:t>3</w:t>
      </w:r>
      <w:r>
        <w:t xml:space="preserve">Den Verfahrensbeteiligten ist zuvor Gelegenheit zur Stellungnahme einzuräumen. </w:t>
      </w:r>
      <w:r>
        <w:rPr>
          <w:rStyle w:val="Satznummer"/>
        </w:rPr>
        <w:t>4</w:t>
      </w:r>
      <w:r>
        <w:t>Erachtet das Rechtsmittelgericht den Einwand für begründet, stellt es fest, dass das Gericht nicht vorschriftsmäßig besetzt ist.</w:t>
      </w:r>
    </w:p>
    <w:p>
      <w:pPr>
        <w:pStyle w:val="Heading3"/>
      </w:pPr>
      <w:bookmarkStart w:id="358" w:name="b357"/>
      <w:r>
        <w:t>§ 223 Vernehmungen durch beauftragte oder ersuchte Richter</w:t>
      </w:r>
      <w:r>
        <w:t xml:space="preserve"> </w:t>
      </w:r>
      <w:r>
        <w:rPr>
          <w:rStyle w:val="Suchmarke"/>
        </w:rPr>
        <w:t>#223#</w:t>
      </w:r>
      <w:bookmarkEnd w:id="358"/>
    </w:p>
    <w:p>
      <w:r>
        <w:t>(1) Wenn dem Erscheinen eines Zeugen oder Sachverständigen in der Hauptverhandlung für eine längere oder ungewisse Zeit Krankheit oder Gebrechlichkeit oder andere nicht zu beseitigende Hindernisse entgegenstehen, so kann das Gericht seine Vernehmung durch einen beauftragten oder ersuchten Richter anordnen.</w:t>
      </w:r>
    </w:p>
    <w:p>
      <w:r>
        <w:t>(2) Dasselbe gilt, wenn einem Zeugen oder Sachverständigen das Erscheinen wegen großer Entfernung nicht zugemutet werden kann.</w:t>
      </w:r>
    </w:p>
    <w:p>
      <w:r>
        <w:t>(3) (weggefallen)</w:t>
      </w:r>
    </w:p>
    <w:p>
      <w:pPr>
        <w:pStyle w:val="Heading3"/>
      </w:pPr>
      <w:bookmarkStart w:id="359" w:name="b358"/>
      <w:r>
        <w:t>§ 224 Benachrichtigung der Beteiligten über den Termin</w:t>
      </w:r>
      <w:r>
        <w:t xml:space="preserve"> </w:t>
      </w:r>
      <w:r>
        <w:rPr>
          <w:rStyle w:val="Suchmarke"/>
        </w:rPr>
        <w:t>#224#</w:t>
      </w:r>
      <w:bookmarkEnd w:id="359"/>
    </w:p>
    <w:p>
      <w:r>
        <w:t xml:space="preserve">(1) </w:t>
      </w:r>
      <w:r>
        <w:rPr>
          <w:rStyle w:val="Satznummer"/>
        </w:rPr>
        <w:t>1</w:t>
      </w:r>
      <w:r>
        <w:t xml:space="preserve">Von den zum Zweck dieser Vernehmung anberaumten Terminen sind die Staatsanwaltschaft, der Angeklagte und der Verteidiger vorher zu benachrichtigen; ihrer Anwesenheit bei der Vernehmung bedarf es nicht. </w:t>
      </w:r>
      <w:r>
        <w:rPr>
          <w:rStyle w:val="Satznummer"/>
        </w:rPr>
        <w:t>2</w:t>
      </w:r>
      <w:r>
        <w:t xml:space="preserve">Die Benachrichtigung unterbleibt, wenn sie den Untersuchungserfolg gefährden würde. </w:t>
      </w:r>
      <w:r>
        <w:rPr>
          <w:rStyle w:val="Satznummer"/>
        </w:rPr>
        <w:t>3</w:t>
      </w:r>
      <w:r>
        <w:t>Das aufgenommene Protokoll ist der Staatsanwaltschaft und dem Verteidiger vorzulegen.</w:t>
      </w:r>
    </w:p>
    <w:p>
      <w:r>
        <w:t>(2) Hat ein nicht in Freiheit befindlicher Angeklagter einen Verteidiger, so steht ihm ein Anspruch auf Anwesenheit nur bei solchen Terminen zu, die an der Gerichtsstelle des Ortes abgehalten werden, wo er in Haft ist.</w:t>
      </w:r>
    </w:p>
    <w:p>
      <w:pPr>
        <w:pStyle w:val="Heading3"/>
      </w:pPr>
      <w:bookmarkStart w:id="360" w:name="b359"/>
      <w:r>
        <w:t>§ 225 Einnahme des richterlichen Augenscheins durch beauftragte oder ersuchte Richter</w:t>
      </w:r>
      <w:r>
        <w:t xml:space="preserve"> </w:t>
      </w:r>
      <w:r>
        <w:rPr>
          <w:rStyle w:val="Suchmarke"/>
        </w:rPr>
        <w:t>#225#</w:t>
      </w:r>
      <w:bookmarkEnd w:id="360"/>
    </w:p>
    <w:p>
      <w:r>
        <w:t xml:space="preserve">Ist zur Vorbereitung der Hauptverhandlung noch ein richterlicher Augenschein einzunehmen, so sind die Vorschriften des </w:t>
      </w:r>
      <w:hyperlink w:anchor="b358" w:history="1">
        <w:r>
          <w:rPr>
            <w:color w:val="0A3A8C"/>
            <w:u w:val="single"/>
          </w:rPr>
          <w:t xml:space="preserve">§ 224</w:t>
        </w:r>
      </w:hyperlink>
      <w:r>
        <w:t xml:space="preserve"> anzuwenden.</w:t>
      </w:r>
    </w:p>
    <w:p>
      <w:pPr>
        <w:pStyle w:val="Heading3"/>
      </w:pPr>
      <w:bookmarkStart w:id="361" w:name="b360"/>
      <w:r>
        <w:t>§ 225a Zuständigkeitsänderung vor der Hauptverhandlung</w:t>
      </w:r>
      <w:r>
        <w:t xml:space="preserve"> </w:t>
      </w:r>
      <w:r>
        <w:rPr>
          <w:rStyle w:val="Suchmarke"/>
        </w:rPr>
        <w:t>#225a#</w:t>
      </w:r>
      <w:bookmarkEnd w:id="361"/>
    </w:p>
    <w:p>
      <w:r>
        <w:t xml:space="preserve">(1) </w:t>
      </w:r>
      <w:r>
        <w:rPr>
          <w:rStyle w:val="Satznummer"/>
        </w:rPr>
        <w:t>1</w:t>
      </w:r>
      <w:r>
        <w:t xml:space="preserve">Hält ein Gericht vor Beginn einer Hauptverhandlung die sachliche Zuständigkeit eines Gerichts höherer Ordnung für begründet, so legt es die Akten durch Vermittlung der Staatsanwaltschaft diesem vor; § 209a Nr. 2 Buchstabe a gilt entsprechend. </w:t>
      </w:r>
      <w:r>
        <w:rPr>
          <w:rStyle w:val="Satznummer"/>
        </w:rPr>
        <w:t>2</w:t>
      </w:r>
      <w:r>
        <w:t>Das Gericht, dem die Sache vorgelegt worden ist, entscheidet durch Beschluß darüber, ob es die Sache übernimmt.</w:t>
      </w:r>
    </w:p>
    <w:p>
      <w:r>
        <w:t xml:space="preserve">(2) </w:t>
      </w:r>
      <w:r>
        <w:rPr>
          <w:rStyle w:val="Satznummer"/>
        </w:rPr>
        <w:t>1</w:t>
      </w:r>
      <w:r>
        <w:t xml:space="preserve">Werden die Akten von einem Strafrichter oder einem Schöffengericht einem Gericht höherer Ordnung vorgelegt, so kann der Angeklagte innerhalb einer bei der Vorlage zu bestimmenden Frist die Vornahme einzelner Beweiserhebungen beantragen. </w:t>
      </w:r>
      <w:r>
        <w:rPr>
          <w:rStyle w:val="Satznummer"/>
        </w:rPr>
        <w:t>2</w:t>
      </w:r>
      <w:r>
        <w:t>Über den Antrag entscheidet der Vorsitzende des Gerichts, dem die Sache vorgelegt worden ist.</w:t>
      </w:r>
    </w:p>
    <w:p>
      <w:r>
        <w:t xml:space="preserve">(3) </w:t>
      </w:r>
      <w:r>
        <w:rPr>
          <w:rStyle w:val="Satznummer"/>
        </w:rPr>
        <w:t>1</w:t>
      </w:r>
      <w:r>
        <w:t xml:space="preserve">In dem Übernahmebeschluß sind der Angeklagte und das Gericht, vor dem die Hauptverhandlung stattfinden soll, zu bezeichnen. </w:t>
      </w:r>
      <w:r>
        <w:rPr>
          <w:rStyle w:val="Satznummer"/>
        </w:rPr>
        <w:t>2</w:t>
      </w:r>
      <w:hyperlink w:anchor="b337" w:history="1">
        <w:r>
          <w:rPr>
            <w:color w:val="0A3A8C"/>
            <w:u w:val="single"/>
          </w:rPr>
          <w:t xml:space="preserve">§ 207</w:t>
        </w:r>
      </w:hyperlink>
      <w:r>
        <w:t xml:space="preserve"> Abs. 2 Nr. 2 bis 4, Abs. 3 und 4 gilt entsprechend. </w:t>
      </w:r>
      <w:r>
        <w:rPr>
          <w:rStyle w:val="Satznummer"/>
        </w:rPr>
        <w:t>3</w:t>
      </w:r>
      <w:r>
        <w:t xml:space="preserve">Die Anfechtbarkeit des Beschlusses bestimmt sich nach </w:t>
      </w:r>
      <w:hyperlink w:anchor="b341" w:history="1">
        <w:r>
          <w:rPr>
            <w:color w:val="0A3A8C"/>
            <w:u w:val="single"/>
          </w:rPr>
          <w:t xml:space="preserve">§ 210</w:t>
        </w:r>
      </w:hyperlink>
      <w:r>
        <w:t>.</w:t>
      </w:r>
    </w:p>
    <w:p>
      <w:r>
        <w:t xml:space="preserve">(4) </w:t>
      </w:r>
      <w:r>
        <w:rPr>
          <w:rStyle w:val="Satznummer"/>
        </w:rPr>
        <w:t>1</w:t>
      </w:r>
      <w:r>
        <w:t xml:space="preserve">Nach den Absätzen 1 bis 3 ist auch zu verfahren, wenn das Gericht vor Beginn der Hauptverhandlung einen Einwand des Angeklagten nach </w:t>
      </w:r>
      <w:hyperlink w:anchor="b8" w:history="1">
        <w:r>
          <w:rPr>
            <w:color w:val="0A3A8C"/>
            <w:u w:val="single"/>
          </w:rPr>
          <w:t xml:space="preserve">§ 6a</w:t>
        </w:r>
      </w:hyperlink>
      <w:r>
        <w:t xml:space="preserve"> für begründet hält und eine besondere Strafkammer zuständig wäre, der nach § 74e des Gerichtsverfassungsgesetzes der Vorrang zukommt. </w:t>
      </w:r>
      <w:r>
        <w:rPr>
          <w:rStyle w:val="Satznummer"/>
        </w:rPr>
        <w:t>2</w:t>
      </w:r>
      <w:r>
        <w:t xml:space="preserve">Kommt dem Gericht, das die Zuständigkeit einer anderen Strafkammer für begründet hält, vor dieser nach § 74e des Gerichtsverfassungsgesetzes der Vorrang zu, so verweist es die Sache an diese mit bindender Wirkung; die Anfechtbarkeit des Verweisungsbeschlusses bestimmt sich nach </w:t>
      </w:r>
      <w:hyperlink w:anchor="b341" w:history="1">
        <w:r>
          <w:rPr>
            <w:color w:val="0A3A8C"/>
            <w:u w:val="single"/>
          </w:rPr>
          <w:t xml:space="preserve">§ 210</w:t>
        </w:r>
      </w:hyperlink>
      <w:r>
        <w:t>.</w:t>
      </w:r>
    </w:p>
    <w:p>
      <w:pPr>
        <w:pStyle w:val="Heading2"/>
      </w:pPr>
      <w:bookmarkStart w:id="362" w:name="b361"/>
      <w:r>
        <w:t>Sechster Abschnitt Hauptverhandlung</w:t>
      </w:r>
      <w:bookmarkEnd w:id="362"/>
    </w:p>
    <w:p>
      <w:pPr>
        <w:pStyle w:val="Heading3"/>
      </w:pPr>
      <w:bookmarkStart w:id="363" w:name="b362"/>
      <w:r>
        <w:t>§ 226 Ununterbrochene Gegenwart</w:t>
      </w:r>
      <w:r>
        <w:t xml:space="preserve"> </w:t>
      </w:r>
      <w:r>
        <w:rPr>
          <w:rStyle w:val="Suchmarke"/>
        </w:rPr>
        <w:t>#226#</w:t>
      </w:r>
      <w:bookmarkEnd w:id="363"/>
    </w:p>
    <w:p>
      <w:r>
        <w:t>(1) Die Hauptverhandlung erfolgt in ununterbrochener Gegenwart der zur Urteilsfindung berufenen Personen sowie der Staatsanwaltschaft und eines Urkundsbeamten der Geschäftsstelle.</w:t>
      </w:r>
    </w:p>
    <w:p>
      <w:r>
        <w:t xml:space="preserve">(2) </w:t>
      </w:r>
      <w:r>
        <w:rPr>
          <w:rStyle w:val="Satznummer"/>
        </w:rPr>
        <w:t>1</w:t>
      </w:r>
      <w:r>
        <w:t xml:space="preserve">Der Strafrichter kann in der Hauptverhandlung von der Hinzuziehung eines Urkundsbeamten der Geschäftsstelle absehen. </w:t>
      </w:r>
      <w:r>
        <w:rPr>
          <w:rStyle w:val="Satznummer"/>
        </w:rPr>
        <w:t>2</w:t>
      </w:r>
      <w:r>
        <w:t>Die Entscheidung ist unanfechtbar.</w:t>
      </w:r>
    </w:p>
    <w:p>
      <w:pPr>
        <w:pStyle w:val="Heading3"/>
      </w:pPr>
      <w:bookmarkStart w:id="364" w:name="b363"/>
      <w:r>
        <w:t>§ 227 Mehrere Staatsanwälte und Verteidiger</w:t>
      </w:r>
      <w:r>
        <w:t xml:space="preserve"> </w:t>
      </w:r>
      <w:r>
        <w:rPr>
          <w:rStyle w:val="Suchmarke"/>
        </w:rPr>
        <w:t>#227#</w:t>
      </w:r>
      <w:bookmarkEnd w:id="364"/>
    </w:p>
    <w:p>
      <w:r>
        <w:t>Es können mehrere Beamte der Staatsanwaltschaft und mehrere Verteidiger in der Hauptverhandlung mitwirken und ihre Verrichtungen unter sich teilen.</w:t>
      </w:r>
    </w:p>
    <w:p>
      <w:pPr>
        <w:pStyle w:val="Heading3"/>
      </w:pPr>
      <w:bookmarkStart w:id="365" w:name="b364"/>
      <w:r>
        <w:t>§ 228 Aussetzung und Unterbrechung</w:t>
      </w:r>
      <w:r>
        <w:t xml:space="preserve"> </w:t>
      </w:r>
      <w:r>
        <w:rPr>
          <w:rStyle w:val="Suchmarke"/>
        </w:rPr>
        <w:t>#228#</w:t>
      </w:r>
      <w:bookmarkEnd w:id="365"/>
    </w:p>
    <w:p>
      <w:r>
        <w:t xml:space="preserve">(1) </w:t>
      </w:r>
      <w:r>
        <w:rPr>
          <w:rStyle w:val="Satznummer"/>
        </w:rPr>
        <w:t>1</w:t>
      </w:r>
      <w:r>
        <w:t xml:space="preserve">Über die Aussetzung einer Hauptverhandlung oder deren Unterbrechung nach </w:t>
      </w:r>
      <w:hyperlink w:anchor="b365" w:history="1">
        <w:r>
          <w:rPr>
            <w:color w:val="0A3A8C"/>
            <w:u w:val="single"/>
          </w:rPr>
          <w:t xml:space="preserve">§ 229</w:t>
        </w:r>
      </w:hyperlink>
      <w:r>
        <w:t xml:space="preserve"> Abs. 2 entscheidet das Gericht. </w:t>
      </w:r>
      <w:r>
        <w:rPr>
          <w:rStyle w:val="Satznummer"/>
        </w:rPr>
        <w:t>2</w:t>
      </w:r>
      <w:r>
        <w:t>Kürzere Unterbrechungen ordnet der Vorsitzende an.</w:t>
      </w:r>
    </w:p>
    <w:p>
      <w:r>
        <w:t xml:space="preserve">(2) Eine Verhinderung des Verteidigers gibt, unbeschadet der Vorschrift des </w:t>
      </w:r>
      <w:hyperlink w:anchor="b253" w:history="1">
        <w:r>
          <w:rPr>
            <w:color w:val="0A3A8C"/>
            <w:u w:val="single"/>
          </w:rPr>
          <w:t xml:space="preserve">§ 145</w:t>
        </w:r>
      </w:hyperlink>
      <w:r>
        <w:t>, dem Angeklagten kein Recht, die Aussetzung der Verhandlung zu verlangen.</w:t>
      </w:r>
    </w:p>
    <w:p>
      <w:r>
        <w:t xml:space="preserve">(3) Ist die Frist des </w:t>
      </w:r>
      <w:hyperlink w:anchor="b349" w:history="1">
        <w:r>
          <w:rPr>
            <w:color w:val="0A3A8C"/>
            <w:u w:val="single"/>
          </w:rPr>
          <w:t xml:space="preserve">§ 217</w:t>
        </w:r>
      </w:hyperlink>
      <w:r>
        <w:t xml:space="preserve"> Abs. 1 nicht eingehalten worden, so soll der Vorsitzende den Angeklagten mit der Befugnis, Aussetzung der Verhandlung zu verlangen, bekanntmachen.</w:t>
      </w:r>
    </w:p>
    <w:p>
      <w:pPr>
        <w:pStyle w:val="Heading3"/>
      </w:pPr>
      <w:bookmarkStart w:id="366" w:name="b365"/>
      <w:r>
        <w:t>§ 229 Höchstdauer einer Unterbrechung</w:t>
      </w:r>
      <w:r>
        <w:t xml:space="preserve"> </w:t>
      </w:r>
      <w:r>
        <w:rPr>
          <w:rStyle w:val="Suchmarke"/>
        </w:rPr>
        <w:t>#229#</w:t>
      </w:r>
      <w:bookmarkEnd w:id="366"/>
    </w:p>
    <w:p>
      <w:r>
        <w:t>(1) Eine Hauptverhandlung darf bis zu drei Wochen unterbrochen werden.</w:t>
      </w:r>
    </w:p>
    <w:p>
      <w:r>
        <w:t>(2) Eine Hauptverhandlung darf auch bis zu einem Monat unterbrochen werden, wenn sie davor jeweils an mindestens zehn Tagen stattgefunden hat.</w:t>
      </w:r>
    </w:p>
    <w:p>
      <w:r>
        <w:t xml:space="preserve">(3) </w:t>
      </w:r>
      <w:r>
        <w:rPr>
          <w:rStyle w:val="Satznummer"/>
        </w:rPr>
        <w:t>1</w:t>
      </w:r>
      <w:r>
        <w:t>Hat eine Hauptverhandlung bereits an mindestens zehn Tagen stattgefunden, so ist der Lauf der in den Absätzen 1 und 2 genannten Fristen gehemmt, solange</w:t>
      </w:r>
    </w:p>
    <w:p>
      <w:pPr>
        <w:tabs>
          <w:tab w:pos="567" w:val="left"/>
        </w:tabs>
        <w:ind w:left="567" w:hanging="567"/>
      </w:pPr>
      <w:r>
        <w:t>1.</w:t>
      </w:r>
      <w:r>
        <w:tab/>
      </w:r>
      <w:r>
        <w:t>ein Angeklagter oder eine zur Urteilsfindung berufene Person wegen Krankheit oder</w:t>
      </w:r>
    </w:p>
    <w:p>
      <w:pPr>
        <w:tabs>
          <w:tab w:pos="567" w:val="left"/>
        </w:tabs>
        <w:ind w:left="567" w:hanging="567"/>
      </w:pPr>
      <w:r>
        <w:t>2.</w:t>
      </w:r>
      <w:r>
        <w:tab/>
      </w:r>
      <w:r>
        <w:t>eine zur Urteilsfindung berufene Person wegen gesetzlichen Mutterschutzes oder der Inanspruchnahme von Elternzeit</w:t>
      </w:r>
    </w:p>
    <w:p>
      <w:r>
        <w:t xml:space="preserve">nicht zu der Hauptverhandlung erscheinen kann, längstens jedoch für zwei Monate. </w:t>
      </w:r>
      <w:r>
        <w:rPr>
          <w:rStyle w:val="Satznummer"/>
        </w:rPr>
        <w:t>2</w:t>
      </w:r>
      <w:r>
        <w:t xml:space="preserve">Die in den Absätzen 1 und 2 genannten Fristen enden frühestens zehn Tage nach Ablauf der Hemmung. </w:t>
      </w:r>
      <w:r>
        <w:rPr>
          <w:rStyle w:val="Satznummer"/>
        </w:rPr>
        <w:t>3</w:t>
      </w:r>
      <w:r>
        <w:t>Beginn und Ende der Hemmung stellt das Gericht durch unanfechtbaren Beschluß fest.</w:t>
      </w:r>
    </w:p>
    <w:p>
      <w:r>
        <w:t xml:space="preserve">(4) </w:t>
      </w:r>
      <w:r>
        <w:rPr>
          <w:rStyle w:val="Satznummer"/>
        </w:rPr>
        <w:t>1</w:t>
      </w:r>
      <w:r>
        <w:t xml:space="preserve">Wird die Hauptverhandlung nicht spätestens am Tage nach Ablauf der in den vorstehenden Absätzen bezeichneten Frist fortgesetzt, so ist mit ihr von neuem zu beginnen. </w:t>
      </w:r>
      <w:r>
        <w:rPr>
          <w:rStyle w:val="Satznummer"/>
        </w:rPr>
        <w:t>2</w:t>
      </w:r>
      <w:r>
        <w:t>Ist der Tag nach Ablauf der Frist ein Sonntag, ein allgemeiner Feiertag oder ein Sonnabend, so kann die Hauptverhandlung am nächsten Werktag fortgesetzt werden.</w:t>
      </w:r>
    </w:p>
    <w:p>
      <w:r>
        <w:t xml:space="preserve">(5) </w:t>
      </w:r>
      <w:r>
        <w:rPr>
          <w:rStyle w:val="Satznummer"/>
        </w:rPr>
        <w:t>1</w:t>
      </w:r>
      <w:r>
        <w:t xml:space="preserve">Ist dem Gericht wegen einer vorübergehenden technischen Störung die Fortsetzung der Hauptverhandlung am Tag nach Ablauf der in den vorstehenden Absätzen bezeichneten Frist oder im Fall des Absatzes 4 Satz 2 am nächsten Werktag unmöglich, ist es abweichend von Absatz 4 Satz 1 zulässig, die Hauptverhandlung unverzüglich nach der Beseitigung der technischen Störung, spätestens aber innerhalb von zehn Tagen nach Fristablauf fortzusetzen. </w:t>
      </w:r>
      <w:r>
        <w:rPr>
          <w:rStyle w:val="Satznummer"/>
        </w:rPr>
        <w:t>2</w:t>
      </w:r>
      <w:r>
        <w:t>Das Vorliegen einer technischen Störung im Sinne des Satzes 1 stellt das Gericht durch unanfechtbaren Beschluss fest.</w:t>
      </w:r>
    </w:p>
    <w:p>
      <w:pPr>
        <w:pStyle w:val="Heading3"/>
      </w:pPr>
      <w:bookmarkStart w:id="367" w:name="b366"/>
      <w:r>
        <w:t>§ 230 Ausbleiben des Angeklagten</w:t>
      </w:r>
      <w:r>
        <w:t xml:space="preserve"> </w:t>
      </w:r>
      <w:r>
        <w:rPr>
          <w:rStyle w:val="Suchmarke"/>
        </w:rPr>
        <w:t>#230#</w:t>
      </w:r>
      <w:bookmarkEnd w:id="367"/>
    </w:p>
    <w:p>
      <w:r>
        <w:t>(1) Gegen einen ausgebliebenen Angeklagten findet eine Hauptverhandlung nicht statt.</w:t>
      </w:r>
    </w:p>
    <w:p>
      <w:r>
        <w:t>(2) Ist das Ausbleiben des Angeklagten nicht genügend entschuldigt, so ist die Vorführung anzuordnen oder ein Haftbefehl zu erlassen, soweit dies zur Durchführung der Hauptverhandlung geboten ist.</w:t>
      </w:r>
    </w:p>
    <w:p>
      <w:pPr>
        <w:pStyle w:val="Heading3"/>
      </w:pPr>
      <w:bookmarkStart w:id="368" w:name="b367"/>
      <w:r>
        <w:t>§ 231 Anwesenheitspflicht des Angeklagten</w:t>
      </w:r>
      <w:r>
        <w:t xml:space="preserve"> </w:t>
      </w:r>
      <w:r>
        <w:rPr>
          <w:rStyle w:val="Suchmarke"/>
        </w:rPr>
        <w:t>#231#</w:t>
      </w:r>
      <w:bookmarkEnd w:id="368"/>
    </w:p>
    <w:p>
      <w:r>
        <w:t xml:space="preserve">(1) </w:t>
      </w:r>
      <w:r>
        <w:rPr>
          <w:rStyle w:val="Satznummer"/>
        </w:rPr>
        <w:t>1</w:t>
      </w:r>
      <w:r>
        <w:t xml:space="preserve">Der erschienene Angeklagte darf sich aus der Verhandlung nicht entfernen. </w:t>
      </w:r>
      <w:r>
        <w:rPr>
          <w:rStyle w:val="Satznummer"/>
        </w:rPr>
        <w:t>2</w:t>
      </w:r>
      <w:r>
        <w:t>Der Vorsitzende kann die geeigneten Maßregeln treffen, um die Entfernung zu verhindern; auch kann er den Angeklagten während einer Unterbrechung der Verhandlung in Gewahrsam halten lassen.</w:t>
      </w:r>
    </w:p>
    <w:p>
      <w:r>
        <w:t>(2) Entfernt der Angeklagte sich dennoch oder bleibt er bei der Fortsetzung einer unterbrochenen Hauptverhandlung aus, so kann diese in seiner Abwesenheit zu Ende geführt werden, wenn er über die Anklage schon vernommen war, das Gericht seine fernere Anwesenheit nicht für erforderlich erachtet und er in der Ladung darauf hingewiesen worden ist, dass die Verhandlung in diesen Fällen in seiner Abwesenheit zu Ende geführt werden kann.</w:t>
      </w:r>
    </w:p>
    <w:p>
      <w:pPr>
        <w:pStyle w:val="Heading3"/>
      </w:pPr>
      <w:bookmarkStart w:id="369" w:name="b368"/>
      <w:r>
        <w:t>§ 231a Herbeiführung der Verhandlungsunfähigkeit durch den Angeklagten</w:t>
      </w:r>
      <w:r>
        <w:t xml:space="preserve"> </w:t>
      </w:r>
      <w:r>
        <w:rPr>
          <w:rStyle w:val="Suchmarke"/>
        </w:rPr>
        <w:t>#231a#</w:t>
      </w:r>
      <w:bookmarkEnd w:id="369"/>
    </w:p>
    <w:p>
      <w:r>
        <w:t xml:space="preserve">(1) </w:t>
      </w:r>
      <w:r>
        <w:rPr>
          <w:rStyle w:val="Satznummer"/>
        </w:rPr>
        <w:t>1</w:t>
      </w:r>
      <w:r>
        <w:t xml:space="preserve">Hat sich der Angeklagte vorsätzlich und schuldhaft in einen seine Verhandlungsfähigkeit ausschließenden Zustand versetzt und verhindert er dadurch wissentlich die ordnungsmäßige Durchführung oder Fortsetzung der Hauptverhandlung in seiner Gegenwart, so wird die Hauptverhandlung, wenn er noch nicht über die Anklage vernommen war, in seiner Abwesenheit durchgeführt oder fortgesetzt, soweit das Gericht seine Anwesenheit nicht für unerläßlich hält. </w:t>
      </w:r>
      <w:r>
        <w:rPr>
          <w:rStyle w:val="Satznummer"/>
        </w:rPr>
        <w:t>2</w:t>
      </w:r>
      <w:r>
        <w:t>Nach Satz 1 ist nur zu verfahren, wenn der Angeklagte nach Eröffnung des Hauptverfahrens Gelegenheit gehabt hat, sich vor dem Gericht oder einem beauftragten Richter zur Anklage zu äußern.</w:t>
      </w:r>
    </w:p>
    <w:p>
      <w:r>
        <w:t>(2) Sobald der Angeklagte wieder verhandlungsfähig ist, hat ihn der Vorsitzende, solange mit der Verkündung des Urteils noch nicht begonnen worden ist, von dem wesentlichen Inhalt dessen zu unterrichten, was in seiner Abwesenheit verhandelt worden ist.</w:t>
      </w:r>
    </w:p>
    <w:p>
      <w:r>
        <w:t xml:space="preserve">(3) </w:t>
      </w:r>
      <w:r>
        <w:rPr>
          <w:rStyle w:val="Satznummer"/>
        </w:rPr>
        <w:t>1</w:t>
      </w:r>
      <w:r>
        <w:t xml:space="preserve">Die Verhandlung in Abwesenheit des Angeklagten nach Absatz 1 beschließt das Gericht nach Anhörung eines Arztes als Sachverständigen. </w:t>
      </w:r>
      <w:r>
        <w:rPr>
          <w:rStyle w:val="Satznummer"/>
        </w:rPr>
        <w:t>2</w:t>
      </w:r>
      <w:r>
        <w:t xml:space="preserve">Der Beschluß kann bereits vor Beginn der Hauptverhandlung gefaßt werden. </w:t>
      </w:r>
      <w:r>
        <w:rPr>
          <w:rStyle w:val="Satznummer"/>
        </w:rPr>
        <w:t>3</w:t>
      </w:r>
      <w:r>
        <w:t xml:space="preserve">Gegen den Beschluß ist sofortige Beschwerde zulässig; sie hat aufschiebende Wirkung. </w:t>
      </w:r>
      <w:r>
        <w:rPr>
          <w:rStyle w:val="Satznummer"/>
        </w:rPr>
        <w:t>4</w:t>
      </w:r>
      <w:r>
        <w:t xml:space="preserve">Eine bereits begonnene Hauptverhandlung ist bis zur Entscheidung über die sofortige Beschwerde zu unterbrechen; die Unterbrechung darf, auch wenn die Voraussetzungen des </w:t>
      </w:r>
      <w:hyperlink w:anchor="b365" w:history="1">
        <w:r>
          <w:rPr>
            <w:color w:val="0A3A8C"/>
            <w:u w:val="single"/>
          </w:rPr>
          <w:t xml:space="preserve">§ 229</w:t>
        </w:r>
      </w:hyperlink>
      <w:r>
        <w:t xml:space="preserve"> Abs. 2 nicht vorliegen, bis zu dreißig Tagen dauern.</w:t>
      </w:r>
    </w:p>
    <w:p>
      <w:r>
        <w:t>(4) Dem Angeklagten, der keinen Verteidiger hat, ist ein Verteidiger zu bestellen, sobald eine Verhandlung ohne den Angeklagten nach Absatz 1 in Betracht kommt.</w:t>
      </w:r>
    </w:p>
    <w:p>
      <w:pPr>
        <w:pStyle w:val="Heading3"/>
      </w:pPr>
      <w:bookmarkStart w:id="370" w:name="b369"/>
      <w:r>
        <w:t>§ 231b Fortsetzung nach Entfernung des Angeklagten zur Aufrechterhaltung der Ordnung</w:t>
      </w:r>
      <w:r>
        <w:t xml:space="preserve"> </w:t>
      </w:r>
      <w:r>
        <w:rPr>
          <w:rStyle w:val="Suchmarke"/>
        </w:rPr>
        <w:t>#231b#</w:t>
      </w:r>
      <w:bookmarkEnd w:id="370"/>
    </w:p>
    <w:p>
      <w:r>
        <w:t xml:space="preserve">(1) </w:t>
      </w:r>
      <w:r>
        <w:rPr>
          <w:rStyle w:val="Satznummer"/>
        </w:rPr>
        <w:t>1</w:t>
      </w:r>
      <w:r>
        <w:t xml:space="preserve">Wird der Angeklagte wegen ordnungswidrigen Benehmens aus dem Sitzungszimmer entfernt oder zur Haft abgeführt (§ 177 des Gerichtsverfassungsgesetzes), so kann in seiner Abwesenheit verhandelt werden, wenn das Gericht seine fernere Anwesenheit nicht für unerläßlich hält und solange zu befürchten ist, daß die Anwesenheit des Angeklagten den Ablauf der Hauptverhandlung in schwerwiegender Weise beeinträchtigen würde. </w:t>
      </w:r>
      <w:r>
        <w:rPr>
          <w:rStyle w:val="Satznummer"/>
        </w:rPr>
        <w:t>2</w:t>
      </w:r>
      <w:r>
        <w:t>Dem Angeklagten ist in jedem Fall Gelegenheit zu geben, sich zur Anklage zu äußern.</w:t>
      </w:r>
    </w:p>
    <w:p>
      <w:r>
        <w:t xml:space="preserve">(2) Sobald der Angeklagte wieder vorgelassen ist, ist nach </w:t>
      </w:r>
      <w:hyperlink w:anchor="b368" w:history="1">
        <w:r>
          <w:rPr>
            <w:color w:val="0A3A8C"/>
            <w:u w:val="single"/>
          </w:rPr>
          <w:t xml:space="preserve">§ 231a</w:t>
        </w:r>
      </w:hyperlink>
      <w:r>
        <w:t xml:space="preserve"> Abs. 2 zu verfahren.</w:t>
      </w:r>
    </w:p>
    <w:p>
      <w:pPr>
        <w:pStyle w:val="Heading3"/>
      </w:pPr>
      <w:bookmarkStart w:id="371" w:name="b370"/>
      <w:r>
        <w:t>§ 231c Beurlaubung einzelner Angeklagter und ihrer Pflichtverteidiger</w:t>
      </w:r>
      <w:r>
        <w:t xml:space="preserve"> </w:t>
      </w:r>
      <w:r>
        <w:rPr>
          <w:rStyle w:val="Suchmarke"/>
        </w:rPr>
        <w:t>#231c#</w:t>
      </w:r>
      <w:bookmarkEnd w:id="371"/>
    </w:p>
    <w:p>
      <w:r>
        <w:rPr>
          <w:rStyle w:val="Satznummer"/>
        </w:rPr>
        <w:t>1</w:t>
      </w:r>
      <w:r>
        <w:t xml:space="preserve">Findet die Hauptverhandlung gegen mehrere Angeklagte statt, so kann durch Gerichtsbeschluß einzelnen Angeklagten, im Falle der notwendigen Verteidigung auch ihren Verteidigern, auf Antrag gestattet werden, sich während einzelner Teile der Verhandlung zu entfernen, wenn sie von diesen Verhandlungsteilen nicht betroffen sind. </w:t>
      </w:r>
      <w:r>
        <w:rPr>
          <w:rStyle w:val="Satznummer"/>
        </w:rPr>
        <w:t>2</w:t>
      </w:r>
      <w:r>
        <w:t xml:space="preserve">In dem Beschluß sind die Verhandlungsteile zu bezeichnen, für die die Erlaubnis gilt. </w:t>
      </w:r>
      <w:r>
        <w:rPr>
          <w:rStyle w:val="Satznummer"/>
        </w:rPr>
        <w:t>3</w:t>
      </w:r>
      <w:r>
        <w:t>Die Erlaubnis kann jederzeit widerrufen werden.</w:t>
      </w:r>
    </w:p>
    <w:p>
      <w:pPr>
        <w:pStyle w:val="Heading3"/>
      </w:pPr>
      <w:bookmarkStart w:id="372" w:name="b371"/>
      <w:r>
        <w:t>§ 232 Durchführung der Hauptverhandlung trotz Ausbleibens des Angeklagten</w:t>
      </w:r>
      <w:r>
        <w:t xml:space="preserve"> </w:t>
      </w:r>
      <w:r>
        <w:rPr>
          <w:rStyle w:val="Suchmarke"/>
        </w:rPr>
        <w:t>#232#</w:t>
      </w:r>
      <w:bookmarkEnd w:id="372"/>
    </w:p>
    <w:p>
      <w:r>
        <w:t xml:space="preserve">(1) </w:t>
      </w:r>
      <w:r>
        <w:rPr>
          <w:rStyle w:val="Satznummer"/>
        </w:rPr>
        <w:t>1</w:t>
      </w:r>
      <w:r>
        <w:t xml:space="preserve">Die Hauptverhandlung kann ohne den Angeklagten durchgeführt werden, wenn er ordnungsgemäß geladen und in der Ladung darauf hingewiesen worden ist, daß in seiner Abwesenheit verhandelt werden kann, und wenn nur Geldstrafe bis zu einhundertachtzig Tagessätzen, Verwarnung mit Strafvorbehalt, Fahrverbot, Einziehung, Vernichtung oder Unbrauchbarmachung, allein oder nebeneinander, zu erwarten ist. </w:t>
      </w:r>
      <w:r>
        <w:rPr>
          <w:rStyle w:val="Satznummer"/>
        </w:rPr>
        <w:t>2</w:t>
      </w:r>
      <w:r>
        <w:t xml:space="preserve">Eine höhere Strafe oder eine Maßregel der Besserung und Sicherung darf in diesem Verfahren nicht verhängt werden. </w:t>
      </w:r>
      <w:r>
        <w:rPr>
          <w:rStyle w:val="Satznummer"/>
        </w:rPr>
        <w:t>3</w:t>
      </w:r>
      <w:r>
        <w:t>Die Entziehung der Fahrerlaubnis ist zulässig, wenn der Angeklagte in der Ladung auf diese Möglichkeit hingewiesen worden ist.</w:t>
      </w:r>
    </w:p>
    <w:p>
      <w:r>
        <w:t>(2) Auf Grund einer Ladung durch öffentliche Bekanntmachung findet die Hauptverhandlung ohne den Angeklagten nicht statt.</w:t>
      </w:r>
    </w:p>
    <w:p>
      <w:r>
        <w:t>(3) Das Protokoll über eine richterliche Vernehmung des Angeklagten wird in der Hauptverhandlung verlesen.</w:t>
      </w:r>
    </w:p>
    <w:p>
      <w:r>
        <w:t>(4) Das in Abwesenheit des Angeklagten ergehende Urteil muß ihm mit den Urteilsgründen durch Übergabe zugestellt werden, wenn es nicht nach § 145a Abs. 1 dem Verteidiger zugestellt wird.</w:t>
      </w:r>
    </w:p>
    <w:p>
      <w:pPr>
        <w:pStyle w:val="Heading3"/>
      </w:pPr>
      <w:bookmarkStart w:id="373" w:name="b372"/>
      <w:r>
        <w:t>§ 233 Entbindung des Angeklagten von der Pflicht zum Erscheinen</w:t>
      </w:r>
      <w:r>
        <w:t xml:space="preserve"> </w:t>
      </w:r>
      <w:r>
        <w:rPr>
          <w:rStyle w:val="Suchmarke"/>
        </w:rPr>
        <w:t>#233#</w:t>
      </w:r>
      <w:bookmarkEnd w:id="373"/>
    </w:p>
    <w:p>
      <w:r>
        <w:t xml:space="preserve">(1) </w:t>
      </w:r>
      <w:r>
        <w:rPr>
          <w:rStyle w:val="Satznummer"/>
        </w:rPr>
        <w:t>1</w:t>
      </w:r>
      <w:r>
        <w:t xml:space="preserve">Der Angeklagte kann auf seinen Antrag von der Verpflichtung zum Erscheinen in der Hauptverhandlung entbunden werden, wenn nur Freiheitsstrafe bis zu sechs Monaten, Geldstrafe bis zu einhundertachtzig Tagessätzen, Verwarnung mit Strafvorbehalt, Fahrverbot, Einziehung, Vernichtung oder Unbrauchbarmachung, allein oder nebeneinander, zu erwarten ist. </w:t>
      </w:r>
      <w:r>
        <w:rPr>
          <w:rStyle w:val="Satznummer"/>
        </w:rPr>
        <w:t>2</w:t>
      </w:r>
      <w:r>
        <w:t xml:space="preserve">Eine höhere Strafe oder eine Maßregel der Besserung und Sicherung darf in seiner Abwesenheit nicht verhängt werden. </w:t>
      </w:r>
      <w:r>
        <w:rPr>
          <w:rStyle w:val="Satznummer"/>
        </w:rPr>
        <w:t>3</w:t>
      </w:r>
      <w:r>
        <w:t>Die Entziehung der Fahrerlaubnis ist zulässig.</w:t>
      </w:r>
    </w:p>
    <w:p>
      <w:r>
        <w:t xml:space="preserve">(2) </w:t>
      </w:r>
      <w:r>
        <w:rPr>
          <w:rStyle w:val="Satznummer"/>
        </w:rPr>
        <w:t>1</w:t>
      </w:r>
      <w:r>
        <w:t xml:space="preserve">Wird der Angeklagte von der Verpflichtung zum Erscheinen in der Hauptverhandlung entbunden, so muß er durch einen beauftragten oder ersuchten Richter über die Anklage vernommen werden. </w:t>
      </w:r>
      <w:r>
        <w:rPr>
          <w:rStyle w:val="Satznummer"/>
        </w:rPr>
        <w:t>2</w:t>
      </w:r>
      <w:r>
        <w:t xml:space="preserve">Dabei wird er über die bei Verhandlung in seiner Abwesenheit zulässigen Rechtsfolgen belehrt sowie befragt, ob er seinen Antrag auf Befreiung vom Erscheinen in der Hauptverhandlung aufrechterhalte. </w:t>
      </w:r>
      <w:r>
        <w:rPr>
          <w:rStyle w:val="Satznummer"/>
        </w:rPr>
        <w:t>3</w:t>
      </w:r>
      <w:r>
        <w:t>Statt eines Ersuchens oder einer Beauftragung nach Satz 1 kann außerhalb der Hauptverhandlung auch das Gericht die Vernehmung über die Anklage in der Weise durchführen, dass sich der Angeklagte an einem anderen Ort als das Gericht aufhält und die Vernehmung zeitgleich in Bild und Ton an den Ort, an dem sich der Angeklagte aufhält, und in das Sitzungszimmer übertragen wird.</w:t>
      </w:r>
    </w:p>
    <w:p>
      <w:r>
        <w:t xml:space="preserve">(3) </w:t>
      </w:r>
      <w:r>
        <w:rPr>
          <w:rStyle w:val="Satznummer"/>
        </w:rPr>
        <w:t>1</w:t>
      </w:r>
      <w:r>
        <w:t xml:space="preserve">Von dem zum Zweck der Vernehmung anberaumten Termin sind die Staatsanwaltschaft und der Verteidiger zu benachrichtigen; ihrer Anwesenheit bei der Vernehmung bedarf es nicht. </w:t>
      </w:r>
      <w:r>
        <w:rPr>
          <w:rStyle w:val="Satznummer"/>
        </w:rPr>
        <w:t>2</w:t>
      </w:r>
      <w:r>
        <w:t>Das Protokoll über die Vernehmung ist in der Hauptverhandlung zu verlesen.</w:t>
      </w:r>
    </w:p>
    <w:p>
      <w:pPr>
        <w:pStyle w:val="Heading3"/>
      </w:pPr>
      <w:bookmarkStart w:id="374" w:name="b373"/>
      <w:r>
        <w:t>§ 234 Vertretung des abwesenden Angeklagten</w:t>
      </w:r>
      <w:r>
        <w:t xml:space="preserve"> </w:t>
      </w:r>
      <w:r>
        <w:rPr>
          <w:rStyle w:val="Suchmarke"/>
        </w:rPr>
        <w:t>#234#</w:t>
      </w:r>
      <w:bookmarkEnd w:id="374"/>
    </w:p>
    <w:p>
      <w:r>
        <w:t>Soweit die Hauptverhandlung ohne Anwesenheit des Angeklagten stattfinden kann, ist er befugt, sich durch einen Verteidiger mit nachgewiesener Vertretungsvollmacht vertreten zu lassen.</w:t>
      </w:r>
    </w:p>
    <w:p>
      <w:pPr>
        <w:pStyle w:val="Heading3"/>
      </w:pPr>
      <w:bookmarkStart w:id="375" w:name="b374"/>
      <w:r>
        <w:t>§ 234a Befugnisse des Verteidigers bei Vertretung des abwesenden Angeklagten</w:t>
      </w:r>
      <w:r>
        <w:t xml:space="preserve"> </w:t>
      </w:r>
      <w:r>
        <w:rPr>
          <w:rStyle w:val="Suchmarke"/>
        </w:rPr>
        <w:t>#234a#</w:t>
      </w:r>
      <w:bookmarkEnd w:id="375"/>
    </w:p>
    <w:p>
      <w:r>
        <w:t xml:space="preserve">Findet die Hauptverhandlung ohne Anwesenheit des Angeklagten statt, so genügt es, wenn die nach </w:t>
      </w:r>
      <w:hyperlink w:anchor="b412" w:history="1">
        <w:r>
          <w:rPr>
            <w:color w:val="0A3A8C"/>
            <w:u w:val="single"/>
          </w:rPr>
          <w:t xml:space="preserve">§ 265</w:t>
        </w:r>
      </w:hyperlink>
      <w:r>
        <w:t xml:space="preserve"> Abs. 1 und 2 erforderlichen Hinweise dem Verteidiger gegeben werden; das Einverständnis des Angeklagten nach </w:t>
      </w:r>
      <w:hyperlink w:anchor="b386" w:history="1">
        <w:r>
          <w:rPr>
            <w:color w:val="0A3A8C"/>
            <w:u w:val="single"/>
          </w:rPr>
          <w:t xml:space="preserve">§ 245</w:t>
        </w:r>
      </w:hyperlink>
      <w:r>
        <w:t xml:space="preserve"> Abs. 1 Satz 2 und nach </w:t>
      </w:r>
      <w:hyperlink w:anchor="b394" w:history="1">
        <w:r>
          <w:rPr>
            <w:color w:val="0A3A8C"/>
            <w:u w:val="single"/>
          </w:rPr>
          <w:t xml:space="preserve">§ 251</w:t>
        </w:r>
      </w:hyperlink>
      <w:r>
        <w:t xml:space="preserve"> Abs. 1 Nr. 1, Abs. 2 Nr. 3 ist nicht erforderlich, wenn ein Verteidiger an der Hauptverhandlung teilnimmt.</w:t>
      </w:r>
    </w:p>
    <w:p>
      <w:pPr>
        <w:pStyle w:val="Heading3"/>
      </w:pPr>
      <w:bookmarkStart w:id="376" w:name="b375"/>
      <w:r>
        <w:t>§ 235 Wiedereinsetzung in den vorigen Stand bei Verhandlung ohne den Angeklagten</w:t>
      </w:r>
      <w:r>
        <w:t xml:space="preserve"> </w:t>
      </w:r>
      <w:r>
        <w:rPr>
          <w:rStyle w:val="Suchmarke"/>
        </w:rPr>
        <w:t>#235#</w:t>
      </w:r>
      <w:bookmarkEnd w:id="376"/>
    </w:p>
    <w:p>
      <w:r>
        <w:rPr>
          <w:rStyle w:val="Satznummer"/>
        </w:rPr>
        <w:t>1</w:t>
      </w:r>
      <w:r>
        <w:t xml:space="preserve">Hat die Hauptverhandlung gemäß </w:t>
      </w:r>
      <w:hyperlink w:anchor="b371" w:history="1">
        <w:r>
          <w:rPr>
            <w:color w:val="0A3A8C"/>
            <w:u w:val="single"/>
          </w:rPr>
          <w:t xml:space="preserve">§ 232</w:t>
        </w:r>
      </w:hyperlink>
      <w:r>
        <w:t xml:space="preserve"> ohne den Angeklagten stattgefunden, so kann er gegen das Urteil binnen einer Woche nach seiner Zustellung die Wiedereinsetzung in den vorigen Stand unter den gleichen Voraussetzungen wie gegen die Versäumung einer Frist nachsuchen; hat er von der Ladung zur Hauptverhandlung keine Kenntnis erlangt, so kann er stets die Wiedereinsetzung in den vorigen Stand beanspruchen. </w:t>
      </w:r>
      <w:r>
        <w:rPr>
          <w:rStyle w:val="Satznummer"/>
        </w:rPr>
        <w:t>2</w:t>
      </w:r>
      <w:r>
        <w:t>Hierüber ist der Angeklagte bei der Zustellung des Urteils zu belehren.</w:t>
      </w:r>
    </w:p>
    <w:p>
      <w:pPr>
        <w:pStyle w:val="Heading3"/>
      </w:pPr>
      <w:bookmarkStart w:id="377" w:name="b376"/>
      <w:r>
        <w:t>§ 236 Anordnung des persönlichen Erscheinens des Angeklagten</w:t>
      </w:r>
      <w:r>
        <w:t xml:space="preserve"> </w:t>
      </w:r>
      <w:r>
        <w:rPr>
          <w:rStyle w:val="Suchmarke"/>
        </w:rPr>
        <w:t>#236#</w:t>
      </w:r>
      <w:bookmarkEnd w:id="377"/>
    </w:p>
    <w:p>
      <w:r>
        <w:t>Das Gericht ist stets befugt, das persönliche Erscheinen des Angeklagten anzuordnen und durch einen Vorführungsbefehl oder Haftbefehl zu erzwingen.</w:t>
      </w:r>
    </w:p>
    <w:p>
      <w:pPr>
        <w:pStyle w:val="Heading3"/>
      </w:pPr>
      <w:bookmarkStart w:id="378" w:name="b377"/>
      <w:r>
        <w:t>§ 237 Verbindung mehrerer Strafsachen</w:t>
      </w:r>
      <w:r>
        <w:t xml:space="preserve"> </w:t>
      </w:r>
      <w:r>
        <w:rPr>
          <w:rStyle w:val="Suchmarke"/>
        </w:rPr>
        <w:t>#237#</w:t>
      </w:r>
      <w:bookmarkEnd w:id="378"/>
    </w:p>
    <w:p>
      <w:r>
        <w:t xml:space="preserve">Das Gericht kann im Falle eines Zusammenhangs zwischen mehreren bei ihm anhängigen Strafsachen ihre Verbindung zum Zwecke gleichzeitiger Verhandlung anordnen, auch wenn dieser Zusammenhang nicht der in </w:t>
      </w:r>
      <w:hyperlink w:anchor="b4" w:history="1">
        <w:r>
          <w:rPr>
            <w:color w:val="0A3A8C"/>
            <w:u w:val="single"/>
          </w:rPr>
          <w:t xml:space="preserve">§ 3</w:t>
        </w:r>
      </w:hyperlink>
      <w:r>
        <w:t xml:space="preserve"> bezeichnete ist.</w:t>
      </w:r>
    </w:p>
    <w:p>
      <w:pPr>
        <w:pStyle w:val="Heading3"/>
      </w:pPr>
      <w:bookmarkStart w:id="379" w:name="b378"/>
      <w:r>
        <w:t>§ 238 Verhandlungsleitung</w:t>
      </w:r>
      <w:r>
        <w:t xml:space="preserve"> </w:t>
      </w:r>
      <w:r>
        <w:rPr>
          <w:rStyle w:val="Suchmarke"/>
        </w:rPr>
        <w:t>#238#</w:t>
      </w:r>
      <w:bookmarkEnd w:id="379"/>
    </w:p>
    <w:p>
      <w:r>
        <w:t>(1) Die Leitung der Verhandlung, die Vernehmung des Angeklagten und die Aufnahme des Beweises erfolgt durch den Vorsitzenden.</w:t>
      </w:r>
    </w:p>
    <w:p>
      <w:r>
        <w:t>(2) Wird eine auf die Sachleitung bezügliche Anordnung des Vorsitzenden von einer bei der Verhandlung beteiligten Person als unzulässig beanstandet, so entscheidet das Gericht.</w:t>
      </w:r>
    </w:p>
    <w:p>
      <w:pPr>
        <w:pStyle w:val="Heading3"/>
      </w:pPr>
      <w:bookmarkStart w:id="380" w:name="b379"/>
      <w:r>
        <w:t>§ 239 Kreuzverhör</w:t>
      </w:r>
      <w:r>
        <w:t xml:space="preserve"> </w:t>
      </w:r>
      <w:r>
        <w:rPr>
          <w:rStyle w:val="Suchmarke"/>
        </w:rPr>
        <w:t>#239#</w:t>
      </w:r>
      <w:bookmarkEnd w:id="380"/>
    </w:p>
    <w:p>
      <w:r>
        <w:t xml:space="preserve">(1) </w:t>
      </w:r>
      <w:r>
        <w:rPr>
          <w:rStyle w:val="Satznummer"/>
        </w:rPr>
        <w:t>1</w:t>
      </w:r>
      <w:r>
        <w:t xml:space="preserve">Die Vernehmung der von der Staatsanwaltschaft und dem Angeklagten benannten Zeugen und Sachverständigen ist der Staatsanwaltschaft und dem Verteidiger auf deren übereinstimmenden Antrag von dem Vorsitzenden zu überlassen. </w:t>
      </w:r>
      <w:r>
        <w:rPr>
          <w:rStyle w:val="Satznummer"/>
        </w:rPr>
        <w:t>2</w:t>
      </w:r>
      <w:r>
        <w:t>Bei den von der Staatsanwaltschaft benannten Zeugen und Sachverständigen hat diese, bei den von dem Angeklagten benannten der Verteidiger in erster Reihe das Recht zur Vernehmung.</w:t>
      </w:r>
    </w:p>
    <w:p>
      <w:r>
        <w:t>(2) Der Vorsitzende hat auch nach dieser Vernehmung die ihm zur weiteren Aufklärung der Sache erforderlich scheinenden Fragen an die Zeugen und Sachverständigen zu richten.</w:t>
      </w:r>
    </w:p>
    <w:p>
      <w:pPr>
        <w:pStyle w:val="Heading3"/>
      </w:pPr>
      <w:bookmarkStart w:id="381" w:name="b380"/>
      <w:r>
        <w:t>§ 240 Fragerecht</w:t>
      </w:r>
      <w:r>
        <w:t xml:space="preserve"> </w:t>
      </w:r>
      <w:r>
        <w:rPr>
          <w:rStyle w:val="Suchmarke"/>
        </w:rPr>
        <w:t>#240#</w:t>
      </w:r>
      <w:bookmarkEnd w:id="381"/>
    </w:p>
    <w:p>
      <w:r>
        <w:t>(1) Der Vorsitzende hat den beisitzenden Richtern auf Verlangen zu gestatten, Fragen an den Angeklagten, die Zeugen und die Sachverständigen zu stellen.</w:t>
      </w:r>
    </w:p>
    <w:p>
      <w:r>
        <w:t xml:space="preserve">(2) </w:t>
      </w:r>
      <w:r>
        <w:rPr>
          <w:rStyle w:val="Satznummer"/>
        </w:rPr>
        <w:t>1</w:t>
      </w:r>
      <w:r>
        <w:t xml:space="preserve">Dasselbe hat der Vorsitzende der Staatsanwaltschaft, dem Angeklagten und dem Verteidiger sowie den Schöffen zu gestatten. </w:t>
      </w:r>
      <w:r>
        <w:rPr>
          <w:rStyle w:val="Satznummer"/>
        </w:rPr>
        <w:t>2</w:t>
      </w:r>
      <w:r>
        <w:t>Die unmittelbare Befragung eines Angeklagten durch einen Mitangeklagten ist unzulässig.</w:t>
      </w:r>
    </w:p>
    <w:p>
      <w:pPr>
        <w:pStyle w:val="Heading3"/>
      </w:pPr>
      <w:bookmarkStart w:id="382" w:name="b381"/>
      <w:r>
        <w:t>§ 241 Zurückweisung von Fragen durch den Vorsitzenden</w:t>
      </w:r>
      <w:r>
        <w:t xml:space="preserve"> </w:t>
      </w:r>
      <w:r>
        <w:rPr>
          <w:rStyle w:val="Suchmarke"/>
        </w:rPr>
        <w:t>#241#</w:t>
      </w:r>
      <w:bookmarkEnd w:id="382"/>
    </w:p>
    <w:p>
      <w:r>
        <w:t xml:space="preserve">(1) Dem, welcher im Falle des </w:t>
      </w:r>
      <w:hyperlink w:anchor="b379" w:history="1">
        <w:r>
          <w:rPr>
            <w:color w:val="0A3A8C"/>
            <w:u w:val="single"/>
          </w:rPr>
          <w:t xml:space="preserve">§ 239</w:t>
        </w:r>
      </w:hyperlink>
      <w:r>
        <w:t xml:space="preserve"> Abs. 1 die Befugnis der Vernehmung mißbraucht, kann sie von dem Vorsitzenden entzogen werden.</w:t>
      </w:r>
    </w:p>
    <w:p>
      <w:r>
        <w:t xml:space="preserve">(2) In den Fällen des </w:t>
      </w:r>
      <w:hyperlink w:anchor="b379" w:history="1">
        <w:r>
          <w:rPr>
            <w:color w:val="0A3A8C"/>
            <w:u w:val="single"/>
          </w:rPr>
          <w:t xml:space="preserve">§ 239</w:t>
        </w:r>
      </w:hyperlink>
      <w:r>
        <w:t xml:space="preserve"> Abs. 1 und des </w:t>
      </w:r>
      <w:hyperlink w:anchor="b380" w:history="1">
        <w:r>
          <w:rPr>
            <w:color w:val="0A3A8C"/>
            <w:u w:val="single"/>
          </w:rPr>
          <w:t xml:space="preserve">§ 240</w:t>
        </w:r>
      </w:hyperlink>
      <w:r>
        <w:t xml:space="preserve"> Abs. 2 kann der Vorsitzende ungeeignete oder nicht zur Sache gehörende Fragen zurückweisen.</w:t>
      </w:r>
    </w:p>
    <w:p>
      <w:pPr>
        <w:pStyle w:val="Heading3"/>
      </w:pPr>
      <w:bookmarkStart w:id="383" w:name="b382"/>
      <w:r>
        <w:t>§ 241a Vernehmung minderjähriger Zeugen durch den Vorsitzenden</w:t>
      </w:r>
      <w:r>
        <w:t xml:space="preserve"> </w:t>
      </w:r>
      <w:r>
        <w:rPr>
          <w:rStyle w:val="Suchmarke"/>
        </w:rPr>
        <w:t>#241a#</w:t>
      </w:r>
      <w:bookmarkEnd w:id="383"/>
    </w:p>
    <w:p>
      <w:r>
        <w:t>(1) Die Vernehmung von Zeugen unter 18 Jahren wird allein von dem Vorsitzenden durchgeführt.</w:t>
      </w:r>
    </w:p>
    <w:p>
      <w:r>
        <w:t xml:space="preserve">(2) </w:t>
      </w:r>
      <w:r>
        <w:rPr>
          <w:rStyle w:val="Satznummer"/>
        </w:rPr>
        <w:t>1</w:t>
      </w:r>
      <w:r>
        <w:t xml:space="preserve">Die in </w:t>
      </w:r>
      <w:hyperlink w:anchor="b380" w:history="1">
        <w:r>
          <w:rPr>
            <w:color w:val="0A3A8C"/>
            <w:u w:val="single"/>
          </w:rPr>
          <w:t xml:space="preserve">§ 240</w:t>
        </w:r>
      </w:hyperlink>
      <w:r>
        <w:t xml:space="preserve"> Abs. 1 und Abs. 2 Satz 1 bezeichneten Personen können verlangen, daß der Vorsitzende den Zeugen weitere Fragen stellt. </w:t>
      </w:r>
      <w:r>
        <w:rPr>
          <w:rStyle w:val="Satznummer"/>
        </w:rPr>
        <w:t>2</w:t>
      </w:r>
      <w:r>
        <w:t>Der Vorsitzende kann diesen Personen eine unmittelbare Befragung der Zeugen gestatten, wenn nach pflichtgemäßem Ermessen ein Nachteil für das Wohl der Zeugen nicht zu befürchten ist.</w:t>
      </w:r>
    </w:p>
    <w:p>
      <w:r>
        <w:t xml:space="preserve">(3) </w:t>
      </w:r>
      <w:hyperlink w:anchor="b381" w:history="1">
        <w:r>
          <w:rPr>
            <w:color w:val="0A3A8C"/>
            <w:u w:val="single"/>
          </w:rPr>
          <w:t xml:space="preserve">§ 241</w:t>
        </w:r>
      </w:hyperlink>
      <w:r>
        <w:t xml:space="preserve"> Abs. 2 gilt entsprechend.</w:t>
      </w:r>
    </w:p>
    <w:p>
      <w:pPr>
        <w:pStyle w:val="Heading3"/>
      </w:pPr>
      <w:bookmarkStart w:id="384" w:name="b383"/>
      <w:r>
        <w:t>§ 242 Entscheidung über die Zulässigkeit von Fragen</w:t>
      </w:r>
      <w:r>
        <w:t xml:space="preserve"> </w:t>
      </w:r>
      <w:r>
        <w:rPr>
          <w:rStyle w:val="Suchmarke"/>
        </w:rPr>
        <w:t>#242#</w:t>
      </w:r>
      <w:bookmarkEnd w:id="384"/>
    </w:p>
    <w:p>
      <w:r>
        <w:t>Zweifel über die Zulässigkeit einer Frage entscheidet in allen Fällen das Gericht.</w:t>
      </w:r>
    </w:p>
    <w:p>
      <w:pPr>
        <w:pStyle w:val="Heading3"/>
      </w:pPr>
      <w:bookmarkStart w:id="385" w:name="b384"/>
      <w:r>
        <w:t>§ 243 Gang der Hauptverhandlung</w:t>
      </w:r>
      <w:r>
        <w:t xml:space="preserve"> </w:t>
      </w:r>
      <w:r>
        <w:rPr>
          <w:rStyle w:val="Suchmarke"/>
        </w:rPr>
        <w:t>#243#</w:t>
      </w:r>
      <w:bookmarkEnd w:id="385"/>
    </w:p>
    <w:p>
      <w:r>
        <w:t xml:space="preserve">(1) </w:t>
      </w:r>
      <w:r>
        <w:rPr>
          <w:rStyle w:val="Satznummer"/>
        </w:rPr>
        <w:t>1</w:t>
      </w:r>
      <w:r>
        <w:t xml:space="preserve">Die Hauptverhandlung beginnt mit dem Aufruf der Sache. </w:t>
      </w:r>
      <w:r>
        <w:rPr>
          <w:rStyle w:val="Satznummer"/>
        </w:rPr>
        <w:t>2</w:t>
      </w:r>
      <w:r>
        <w:t>Der Vorsitzende stellt fest, ob der Angeklagte und der Verteidiger anwesend und die Beweismittel herbeigeschafft, insbesondere die geladenen Zeugen und Sachverständigen erschienen sind.</w:t>
      </w:r>
    </w:p>
    <w:p>
      <w:r>
        <w:t xml:space="preserve">(2) </w:t>
      </w:r>
      <w:r>
        <w:rPr>
          <w:rStyle w:val="Satznummer"/>
        </w:rPr>
        <w:t>1</w:t>
      </w:r>
      <w:r>
        <w:t xml:space="preserve">Die Zeugen verlassen den Sitzungssaal. </w:t>
      </w:r>
      <w:r>
        <w:rPr>
          <w:rStyle w:val="Satznummer"/>
        </w:rPr>
        <w:t>2</w:t>
      </w:r>
      <w:r>
        <w:t>Der Vorsitzende vernimmt den Angeklagten über seine persönlichen Verhältnisse.</w:t>
      </w:r>
    </w:p>
    <w:p>
      <w:r>
        <w:t xml:space="preserve">(3) </w:t>
      </w:r>
      <w:r>
        <w:rPr>
          <w:rStyle w:val="Satznummer"/>
        </w:rPr>
        <w:t>1</w:t>
      </w:r>
      <w:r>
        <w:t xml:space="preserve">Darauf verliest der Staatsanwalt den Anklagesatz. </w:t>
      </w:r>
      <w:r>
        <w:rPr>
          <w:rStyle w:val="Satznummer"/>
        </w:rPr>
        <w:t>2</w:t>
      </w:r>
      <w:r>
        <w:t xml:space="preserve">Dabei legt er in den Fällen des </w:t>
      </w:r>
      <w:hyperlink w:anchor="b337" w:history="1">
        <w:r>
          <w:rPr>
            <w:color w:val="0A3A8C"/>
            <w:u w:val="single"/>
          </w:rPr>
          <w:t xml:space="preserve">§ 207</w:t>
        </w:r>
      </w:hyperlink>
      <w:r>
        <w:t xml:space="preserve"> Abs. 3 die neue Anklageschrift zugrunde. </w:t>
      </w:r>
      <w:r>
        <w:rPr>
          <w:rStyle w:val="Satznummer"/>
        </w:rPr>
        <w:t>3</w:t>
      </w:r>
      <w:r>
        <w:t xml:space="preserve">In den Fällen des </w:t>
      </w:r>
      <w:hyperlink w:anchor="b337" w:history="1">
        <w:r>
          <w:rPr>
            <w:color w:val="0A3A8C"/>
            <w:u w:val="single"/>
          </w:rPr>
          <w:t xml:space="preserve">§ 207</w:t>
        </w:r>
      </w:hyperlink>
      <w:r>
        <w:t xml:space="preserve"> Abs. 2 Nr. 3 trägt der Staatsanwalt den Anklagesatz mit der dem Eröffnungsbeschluß zugrunde liegenden rechtlichen Würdigung vor; außerdem kann er seine abweichende Rechtsauffassung äußern. </w:t>
      </w:r>
      <w:r>
        <w:rPr>
          <w:rStyle w:val="Satznummer"/>
        </w:rPr>
        <w:t>4</w:t>
      </w:r>
      <w:r>
        <w:t xml:space="preserve">In den Fällen des </w:t>
      </w:r>
      <w:hyperlink w:anchor="b337" w:history="1">
        <w:r>
          <w:rPr>
            <w:color w:val="0A3A8C"/>
            <w:u w:val="single"/>
          </w:rPr>
          <w:t xml:space="preserve">§ 207</w:t>
        </w:r>
      </w:hyperlink>
      <w:r>
        <w:t xml:space="preserve"> Abs. 2 Nr. 4 berücksichtigt er die Änderungen, die das Gericht bei der Zulassung der Anklage zur Hauptverhandlung beschlossen hat.</w:t>
      </w:r>
    </w:p>
    <w:p>
      <w:r>
        <w:t xml:space="preserve">(4) </w:t>
      </w:r>
      <w:r>
        <w:rPr>
          <w:rStyle w:val="Satznummer"/>
        </w:rPr>
        <w:t>1</w:t>
      </w:r>
      <w:r>
        <w:t xml:space="preserve">Der Vorsitzende teilt mit, ob Erörterungen nach den </w:t>
      </w:r>
      <w:hyperlink w:anchor="b330" w:history="1">
        <w:r>
          <w:rPr>
            <w:color w:val="0A3A8C"/>
            <w:u w:val="single"/>
          </w:rPr>
          <w:t xml:space="preserve">§§ 202a</w:t>
        </w:r>
      </w:hyperlink>
      <w:r>
        <w:t xml:space="preserve">, </w:t>
      </w:r>
      <w:hyperlink w:anchor="b344" w:history="1">
        <w:r>
          <w:rPr>
            <w:color w:val="0A3A8C"/>
            <w:u w:val="single"/>
          </w:rPr>
          <w:t xml:space="preserve">212</w:t>
        </w:r>
      </w:hyperlink>
      <w:r>
        <w:t xml:space="preserve"> stattgefunden haben, wenn deren Gegenstand die Möglichkeit einer Verständigung (</w:t>
      </w:r>
      <w:hyperlink w:anchor="b404" w:history="1">
        <w:r>
          <w:rPr>
            <w:color w:val="0A3A8C"/>
            <w:u w:val="single"/>
          </w:rPr>
          <w:t xml:space="preserve">§ 257c</w:t>
        </w:r>
      </w:hyperlink>
      <w:r>
        <w:t xml:space="preserve">) gewesen ist und wenn ja, deren wesentlichen Inhalt. </w:t>
      </w:r>
      <w:r>
        <w:rPr>
          <w:rStyle w:val="Satznummer"/>
        </w:rPr>
        <w:t>2</w:t>
      </w:r>
      <w:r>
        <w:t>Diese Pflicht gilt auch im weiteren Verlauf der Hauptverhandlung, soweit sich Änderungen gegenüber der Mitteilung zu Beginn der Hauptverhandlung ergeben haben.</w:t>
      </w:r>
    </w:p>
    <w:p>
      <w:r>
        <w:t xml:space="preserve">(5) </w:t>
      </w:r>
      <w:r>
        <w:rPr>
          <w:rStyle w:val="Satznummer"/>
        </w:rPr>
        <w:t>1</w:t>
      </w:r>
      <w:r>
        <w:t xml:space="preserve">Sodann wird der Angeklagte darauf hingewiesen, daß es ihm freistehe, sich zu der Anklage zu äußern oder nicht zur Sache auszusagen. </w:t>
      </w:r>
      <w:r>
        <w:rPr>
          <w:rStyle w:val="Satznummer"/>
        </w:rPr>
        <w:t>2</w:t>
      </w:r>
      <w:r>
        <w:t xml:space="preserve">Ist der Angeklagte zur Äußerung bereit, so wird er nach Maßgabe des § 136 Abs. 2 zur Sache vernommen. </w:t>
      </w:r>
      <w:r>
        <w:rPr>
          <w:rStyle w:val="Satznummer"/>
        </w:rPr>
        <w:t>3</w:t>
      </w:r>
      <w:r>
        <w:t xml:space="preserve">Auf Antrag erhält der Verteidiger in besonders umfangreichen erstinstanzlichen Verfahren vor dem Land- oder Oberlandesgericht, in denen die Hauptverhandlung voraussichtlich länger als zehn Tage dauern wird, Gelegenheit, vor der Vernehmung des Angeklagten für diesen eine Erklärung zur Anklage abzugeben, die den Schlussvortrag nicht vorwegnehmen darf. </w:t>
      </w:r>
      <w:r>
        <w:rPr>
          <w:rStyle w:val="Satznummer"/>
        </w:rPr>
        <w:t>4</w:t>
      </w:r>
      <w:r>
        <w:t xml:space="preserve">Der Vorsitzende kann dem Verteidiger aufgeben, die weitere Erklärung schriftlich einzureichen, wenn ansonsten der Verfahrensablauf erheblich verzögert würde; </w:t>
      </w:r>
      <w:hyperlink w:anchor="b392" w:history="1">
        <w:r>
          <w:rPr>
            <w:color w:val="0A3A8C"/>
            <w:u w:val="single"/>
          </w:rPr>
          <w:t xml:space="preserve">§ 249</w:t>
        </w:r>
      </w:hyperlink>
      <w:r>
        <w:t xml:space="preserve"> Absatz 2 Satz 1 gilt entsprechend. </w:t>
      </w:r>
      <w:r>
        <w:rPr>
          <w:rStyle w:val="Satznummer"/>
        </w:rPr>
        <w:t>5</w:t>
      </w:r>
      <w:r>
        <w:t xml:space="preserve">Vorstrafen des Angeklagten sollen nur insoweit festgestellt werden, als sie für die Entscheidung von Bedeutung sind. </w:t>
      </w:r>
      <w:r>
        <w:rPr>
          <w:rStyle w:val="Satznummer"/>
        </w:rPr>
        <w:t>6</w:t>
      </w:r>
      <w:r>
        <w:t>Wann sie festgestellt werden, bestimmt der Vorsitzende.</w:t>
      </w:r>
    </w:p>
    <w:p>
      <w:pPr>
        <w:pStyle w:val="Heading3"/>
      </w:pPr>
      <w:bookmarkStart w:id="386" w:name="b385"/>
      <w:r>
        <w:t>§ 244 Beweisaufnahme; Untersuchungsgrundsatz; Ablehnung von Beweisanträgen</w:t>
      </w:r>
      <w:r>
        <w:t xml:space="preserve"> </w:t>
      </w:r>
      <w:r>
        <w:rPr>
          <w:rStyle w:val="Suchmarke"/>
        </w:rPr>
        <w:t>#244#</w:t>
      </w:r>
      <w:bookmarkEnd w:id="386"/>
    </w:p>
    <w:p>
      <w:r>
        <w:t>(1) Nach der Vernehmung des Angeklagten folgt die Beweisaufnahme.</w:t>
      </w:r>
    </w:p>
    <w:p>
      <w:r>
        <w:t>(2) Das Gericht hat zur Erforschung der Wahrheit die Beweisaufnahme von Amts wegen auf alle Tatsachen und Beweismittel zu erstrecken, die für die Entscheidung von Bedeutung sind.</w:t>
      </w:r>
    </w:p>
    <w:p>
      <w:r>
        <w:t xml:space="preserve">(3) </w:t>
      </w:r>
      <w:r>
        <w:rPr>
          <w:rStyle w:val="Satznummer"/>
        </w:rPr>
        <w:t>1</w:t>
      </w:r>
      <w:r>
        <w:t xml:space="preserve">Ein Beweisantrag liegt vor, wenn der Antragsteller ernsthaft verlangt, Beweis über eine bestimmt behauptete konkrete Tatsache, die die Schuld- oder Rechtsfolgenfrage betrifft, durch ein bestimmt bezeichnetes Beweismittel zu erheben und dem Antrag zu entnehmen ist, weshalb das bezeichnete Beweismittel die behauptete Tatsache belegen können soll. </w:t>
      </w:r>
      <w:r>
        <w:rPr>
          <w:rStyle w:val="Satznummer"/>
        </w:rPr>
        <w:t>2</w:t>
      </w:r>
      <w:r>
        <w:t xml:space="preserve">Ein Beweisantrag ist abzulehnen, wenn die Erhebung des Beweises unzulässig ist. </w:t>
      </w:r>
      <w:r>
        <w:rPr>
          <w:rStyle w:val="Satznummer"/>
        </w:rPr>
        <w:t>3</w:t>
      </w:r>
      <w:r>
        <w:t>Im Übrigen darf ein Beweisantrag nur abgelehnt werden, wenn</w:t>
      </w:r>
    </w:p>
    <w:p>
      <w:pPr>
        <w:tabs>
          <w:tab w:pos="567" w:val="left"/>
        </w:tabs>
        <w:ind w:left="567" w:hanging="567"/>
      </w:pPr>
      <w:r>
        <w:t>1.</w:t>
      </w:r>
      <w:r>
        <w:tab/>
      </w:r>
      <w:r>
        <w:t>eine Beweiserhebung wegen Offenkundigkeit überflüssig ist,</w:t>
      </w:r>
    </w:p>
    <w:p>
      <w:pPr>
        <w:tabs>
          <w:tab w:pos="567" w:val="left"/>
        </w:tabs>
        <w:ind w:left="567" w:hanging="567"/>
      </w:pPr>
      <w:r>
        <w:t>2.</w:t>
      </w:r>
      <w:r>
        <w:tab/>
      </w:r>
      <w:r>
        <w:t>die Tatsache, die bewiesen werden soll, für die Entscheidung ohne Bedeutung ist,</w:t>
      </w:r>
    </w:p>
    <w:p>
      <w:pPr>
        <w:tabs>
          <w:tab w:pos="567" w:val="left"/>
        </w:tabs>
        <w:ind w:left="567" w:hanging="567"/>
      </w:pPr>
      <w:r>
        <w:t>3.</w:t>
      </w:r>
      <w:r>
        <w:tab/>
      </w:r>
      <w:r>
        <w:t>die Tatsache, die bewiesen werden soll, schon erwiesen ist,</w:t>
      </w:r>
    </w:p>
    <w:p>
      <w:pPr>
        <w:tabs>
          <w:tab w:pos="567" w:val="left"/>
        </w:tabs>
        <w:ind w:left="567" w:hanging="567"/>
      </w:pPr>
      <w:r>
        <w:t>4.</w:t>
      </w:r>
      <w:r>
        <w:tab/>
      </w:r>
      <w:r>
        <w:t>das Beweismittel völlig ungeeignet ist,</w:t>
      </w:r>
    </w:p>
    <w:p>
      <w:pPr>
        <w:tabs>
          <w:tab w:pos="567" w:val="left"/>
        </w:tabs>
        <w:ind w:left="567" w:hanging="567"/>
      </w:pPr>
      <w:r>
        <w:t>5.</w:t>
      </w:r>
      <w:r>
        <w:tab/>
      </w:r>
      <w:r>
        <w:t>das Beweismittel unerreichbar ist oder</w:t>
      </w:r>
    </w:p>
    <w:p>
      <w:pPr>
        <w:tabs>
          <w:tab w:pos="567" w:val="left"/>
        </w:tabs>
        <w:ind w:left="567" w:hanging="567"/>
      </w:pPr>
      <w:r>
        <w:t>6.</w:t>
      </w:r>
      <w:r>
        <w:tab/>
      </w:r>
      <w:r>
        <w:t>eine erhebliche Behauptung, die zur Entlastung des Angeklagten bewiesen werden soll, so behandelt werden kann, als wäre die behauptete Tatsache wahr.</w:t>
      </w:r>
    </w:p>
    <w:p>
      <w:r>
        <w:t xml:space="preserve">(4) </w:t>
      </w:r>
      <w:r>
        <w:rPr>
          <w:rStyle w:val="Satznummer"/>
        </w:rPr>
        <w:t>1</w:t>
      </w:r>
      <w:r>
        <w:t xml:space="preserve">Ein Beweisantrag auf Vernehmung eines Sachverständigen kann, soweit nichts anderes bestimmt ist, auch abgelehnt werden, wenn das Gericht selbst die erforderliche Sachkunde besitzt. </w:t>
      </w:r>
      <w:r>
        <w:rPr>
          <w:rStyle w:val="Satznummer"/>
        </w:rPr>
        <w:t>2</w:t>
      </w:r>
      <w:r>
        <w:t>Die Anhörung eines weiteren Sachverständigen kann auch dann abgelehnt werden, wenn durch das frühere Gutachten das Gegenteil der behaupteten Tatsache bereits erwiesen ist; dies gilt nicht, wenn die Sachkunde des früheren Gutachters zweifelhaft ist, wenn sein Gutachten von unzutreffenden tatsächlichen Voraussetzungen ausgeht, wenn das Gutachten Widersprüche enthält oder wenn der neue Sachverständige über Forschungsmittel verfügt, die denen eines früheren Gutachters überlegen erscheinen.</w:t>
      </w:r>
    </w:p>
    <w:p>
      <w:r>
        <w:t xml:space="preserve">(5) </w:t>
      </w:r>
      <w:r>
        <w:rPr>
          <w:rStyle w:val="Satznummer"/>
        </w:rPr>
        <w:t>1</w:t>
      </w:r>
      <w:r>
        <w:t xml:space="preserve">Ein Beweisantrag auf Einnahme eines Augenscheins kann abgelehnt werden, wenn der Augenschein nach dem pflichtgemäßen Ermessen des Gerichts zur Erforschung der Wahrheit nicht erforderlich ist. </w:t>
      </w:r>
      <w:r>
        <w:rPr>
          <w:rStyle w:val="Satznummer"/>
        </w:rPr>
        <w:t>2</w:t>
      </w:r>
      <w:r>
        <w:t xml:space="preserve">Unter derselben Voraussetzung kann auch ein Beweisantrag auf Vernehmung eines Zeugen abgelehnt werden, dessen Ladung im Ausland zu bewirken wäre. </w:t>
      </w:r>
      <w:r>
        <w:rPr>
          <w:rStyle w:val="Satznummer"/>
        </w:rPr>
        <w:t>3</w:t>
      </w:r>
      <w:r>
        <w:t>Ein Beweisantrag auf Verlesung eines Ausgangsdokuments kann abgelehnt werden, wenn nach pflichtgemäßem Ermessen des Gerichts kein Anlass besteht, an der inhaltlichen Übereinstimmung mit dem übertragenen Dokument zu zweifeln.</w:t>
      </w:r>
    </w:p>
    <w:p>
      <w:r>
        <w:t xml:space="preserve">(6) </w:t>
      </w:r>
      <w:r>
        <w:rPr>
          <w:rStyle w:val="Satznummer"/>
        </w:rPr>
        <w:t>1</w:t>
      </w:r>
      <w:r>
        <w:t xml:space="preserve">Die Ablehnung eines Beweisantrages bedarf eines Gerichtsbeschlusses. </w:t>
      </w:r>
      <w:r>
        <w:rPr>
          <w:rStyle w:val="Satznummer"/>
        </w:rPr>
        <w:t>2</w:t>
      </w:r>
      <w:r>
        <w:t xml:space="preserve">Einer Ablehnung nach Satz 1 bedarf es nicht, wenn die beantragte Beweiserhebung nichts Sachdienliches zu Gunsten des Antragstellers erbringen kann, der Antragsteller sich dessen bewusst ist und er die Verschleppung des Verfahrens bezweckt; die Verfolgung anderer verfahrensfremder Ziele steht der Verschleppungsabsicht nicht entgegen. </w:t>
      </w:r>
      <w:r>
        <w:rPr>
          <w:rStyle w:val="Satznummer"/>
        </w:rPr>
        <w:t>3</w:t>
      </w:r>
      <w:r>
        <w:t xml:space="preserve">Nach Abschluss der von Amts wegen vorgesehenen Beweisaufnahme kann der Vorsitzende eine angemessene Frist zum Stellen von Beweisanträgen bestimmen. </w:t>
      </w:r>
      <w:r>
        <w:rPr>
          <w:rStyle w:val="Satznummer"/>
        </w:rPr>
        <w:t>4</w:t>
      </w:r>
      <w:r>
        <w:t xml:space="preserve">Beweisanträge, die nach Fristablauf gestellt werden, können im Urteil beschieden werden; dies gilt nicht, wenn die Stellung des Beweisantrags vor Fristablauf nicht möglich war. </w:t>
      </w:r>
      <w:r>
        <w:rPr>
          <w:rStyle w:val="Satznummer"/>
        </w:rPr>
        <w:t>5</w:t>
      </w:r>
      <w:r>
        <w:t>Wird ein Beweisantrag nach Fristablauf gestellt, sind die Tatsachen, die die Einhaltung der Frist unmöglich gemacht haben, mit dem Antrag glaubhaft zu machen.</w:t>
      </w:r>
    </w:p>
    <w:p>
      <w:pPr>
        <w:pStyle w:val="Heading3"/>
      </w:pPr>
      <w:bookmarkStart w:id="387" w:name="b386"/>
      <w:r>
        <w:t>§ 245 Umfang der Beweisaufnahme; präsente Beweismittel</w:t>
      </w:r>
      <w:r>
        <w:t xml:space="preserve"> </w:t>
      </w:r>
      <w:r>
        <w:rPr>
          <w:rStyle w:val="Suchmarke"/>
        </w:rPr>
        <w:t>#245#</w:t>
      </w:r>
      <w:bookmarkEnd w:id="387"/>
    </w:p>
    <w:p>
      <w:r>
        <w:t xml:space="preserve">(1) </w:t>
      </w:r>
      <w:r>
        <w:rPr>
          <w:rStyle w:val="Satznummer"/>
        </w:rPr>
        <w:t>1</w:t>
      </w:r>
      <w:r>
        <w:t xml:space="preserve">Die Beweisaufnahme ist auf alle vom Gericht vorgeladenen und auch erschienenen Zeugen und Sachverständigen sowie auf die sonstigen nach § 214 Abs. 4 vom Gericht oder der Staatsanwaltschaft herbeigeschafften Beweismittel zu erstrecken, es sei denn, daß die Beweiserhebung unzulässig ist. </w:t>
      </w:r>
      <w:r>
        <w:rPr>
          <w:rStyle w:val="Satznummer"/>
        </w:rPr>
        <w:t>2</w:t>
      </w:r>
      <w:r>
        <w:t>Von der Erhebung einzelner Beweise kann abgesehen werden, wenn die Staatsanwaltschaft, der Verteidiger und der Angeklagte damit einverstanden sind.</w:t>
      </w:r>
    </w:p>
    <w:p>
      <w:r>
        <w:t xml:space="preserve">(2) </w:t>
      </w:r>
      <w:r>
        <w:rPr>
          <w:rStyle w:val="Satznummer"/>
        </w:rPr>
        <w:t>1</w:t>
      </w:r>
      <w:r>
        <w:t xml:space="preserve">Zu einer Erstreckung der Beweisaufnahme auf die vom Angeklagten oder der Staatsanwaltschaft vorgeladenen und auch erschienenen Zeugen und Sachverständigen sowie auf die sonstigen herbeigeschafften Beweismittel ist das Gericht nur verpflichtet, wenn ein Beweisantrag gestellt wird. </w:t>
      </w:r>
      <w:r>
        <w:rPr>
          <w:rStyle w:val="Satznummer"/>
        </w:rPr>
        <w:t>2</w:t>
      </w:r>
      <w:r>
        <w:t xml:space="preserve">Der Antrag ist abzulehnen, wenn die Beweiserhebung unzulässig ist. </w:t>
      </w:r>
      <w:r>
        <w:rPr>
          <w:rStyle w:val="Satznummer"/>
        </w:rPr>
        <w:t>3</w:t>
      </w:r>
      <w:r>
        <w:t>Im übrigen darf er nur abgelehnt werden, wenn die Tatsache, die bewiesen werden soll, schon erwiesen oder offenkundig ist, wenn zwischen ihr und dem Gegenstand der Urteilsfindung kein Zusammenhang besteht oder wenn das Beweismittel völlig ungeeignet ist.</w:t>
      </w:r>
    </w:p>
    <w:p>
      <w:pPr>
        <w:pStyle w:val="Heading3"/>
      </w:pPr>
      <w:bookmarkStart w:id="388" w:name="b387"/>
      <w:r>
        <w:t>§ 246 Ablehnung von Beweisanträgen wegen Verspätung</w:t>
      </w:r>
      <w:r>
        <w:t xml:space="preserve"> </w:t>
      </w:r>
      <w:r>
        <w:rPr>
          <w:rStyle w:val="Suchmarke"/>
        </w:rPr>
        <w:t>#246#</w:t>
      </w:r>
      <w:bookmarkEnd w:id="388"/>
    </w:p>
    <w:p>
      <w:r>
        <w:t>(1) Eine Beweiserhebung darf nicht deshalb abgelehnt werden, weil das Beweismittel oder die zu beweisende Tatsache zu spät vorgebracht worden sei.</w:t>
      </w:r>
    </w:p>
    <w:p>
      <w:r>
        <w:t>(2) Ist jedoch ein zu vernehmender Zeuge oder Sachverständiger dem Gegner des Antragstellers so spät namhaft gemacht oder eine zu beweisende Tatsache so spät vorgebracht worden, daß es dem Gegner an der zur Einziehung von Erkundigungen erforderlichen Zeit gefehlt hat, so kann er bis zum Schluß der Beweisaufnahme die Aussetzung der Hauptverhandlung zum Zweck der Erkundigung beantragen.</w:t>
      </w:r>
    </w:p>
    <w:p>
      <w:r>
        <w:t>(3) Dieselbe Befugnis haben die Staatsanwaltschaft und der Angeklagte bei den auf Anordnung des Vorsitzenden oder des Gerichts geladenen Zeugen oder Sachverständigen.</w:t>
      </w:r>
    </w:p>
    <w:p>
      <w:r>
        <w:t>(4) Über die Anträge entscheidet das Gericht nach freiem Ermessen.</w:t>
      </w:r>
    </w:p>
    <w:p>
      <w:pPr>
        <w:pStyle w:val="Heading3"/>
      </w:pPr>
      <w:bookmarkStart w:id="389" w:name="b388"/>
      <w:r>
        <w:t>§ 246a Vernehmung eines Sachverständigen vor Entscheidung über eine Unterbringung</w:t>
      </w:r>
      <w:r>
        <w:t xml:space="preserve"> </w:t>
      </w:r>
      <w:r>
        <w:rPr>
          <w:rStyle w:val="Suchmarke"/>
        </w:rPr>
        <w:t>#246a#</w:t>
      </w:r>
      <w:bookmarkEnd w:id="389"/>
    </w:p>
    <w:p>
      <w:r>
        <w:t xml:space="preserve">(1) </w:t>
      </w:r>
      <w:r>
        <w:rPr>
          <w:rStyle w:val="Satznummer"/>
        </w:rPr>
        <w:t>1</w:t>
      </w:r>
      <w:r>
        <w:t xml:space="preserve">Kommt in Betracht, dass die Unterbringung des Angeklagten in einem psychiatrischen Krankenhaus oder in der Sicherungsverwahrung angeordnet oder vorbehalten werden wird, so ist in der Hauptverhandlung ein Sachverständiger über den Zustand des Angeklagten und die Behandlungsaussichten zu vernehmen. </w:t>
      </w:r>
      <w:r>
        <w:rPr>
          <w:rStyle w:val="Satznummer"/>
        </w:rPr>
        <w:t>2</w:t>
      </w:r>
      <w:r>
        <w:t>Gleiches gilt, wenn das Gericht erwägt, die Unterbringung des Angeklagten in einer Entziehungsanstalt anzuordnen.</w:t>
      </w:r>
    </w:p>
    <w:p>
      <w:r>
        <w:t xml:space="preserve">(2) Ist Anklage erhoben worden wegen einer in § 181b des Strafgesetzbuchs genannten Straftat zum Nachteil eines Minderjährigen und kommt die Erteilung einer Weisung nach </w:t>
      </w:r>
      <w:hyperlink w:anchor="b268" w:history="1">
        <w:r>
          <w:rPr>
            <w:color w:val="0A3A8C"/>
            <w:u w:val="single"/>
          </w:rPr>
          <w:t xml:space="preserve">§ 153a</w:t>
        </w:r>
      </w:hyperlink>
      <w:r>
        <w:t xml:space="preserve"> Absatz 1 Satz 2 Nummer 8 dieses Gesetzes oder nach § 56c Absatz 2 Nummer 6, § 59a Absatz 2 Satz 1 Nummer 5 oder § 68b Absatz 2 Satz 2 des Strafgesetzbuchs in Betracht, wonach sich der Angeklagte psychiatrisch, psycho- oder sozialtherapeutisch betreuen und behandeln zu lassen hat (Therapieweisung), soll ein Sachverständiger über den Zustand des Angeklagten und die Behandlungsaussichten vernommen werden, soweit dies erforderlich ist, um festzustellen, ob der Angeklagte einer solchen Betreuung und Behandlung bedarf.</w:t>
      </w:r>
    </w:p>
    <w:p>
      <w:r>
        <w:t>(3) Hat der Sachverständige den Angeklagten nicht schon früher untersucht, so soll ihm dazu vor der Hauptverhandlung Gelegenheit gegeben werden.</w:t>
      </w:r>
    </w:p>
    <w:p>
      <w:pPr>
        <w:pStyle w:val="Heading3"/>
      </w:pPr>
      <w:bookmarkStart w:id="390" w:name="b389"/>
      <w:r>
        <w:t>§ 247 Entfernung des Angeklagten bei Vernehmung von Mitangeklagten und Zeugen</w:t>
      </w:r>
      <w:r>
        <w:t xml:space="preserve"> </w:t>
      </w:r>
      <w:r>
        <w:rPr>
          <w:rStyle w:val="Suchmarke"/>
        </w:rPr>
        <w:t>#247#</w:t>
      </w:r>
      <w:bookmarkEnd w:id="390"/>
    </w:p>
    <w:p>
      <w:r>
        <w:rPr>
          <w:rStyle w:val="Satznummer"/>
        </w:rPr>
        <w:t>1</w:t>
      </w:r>
      <w:r>
        <w:t xml:space="preserve">Das Gericht kann anordnen, daß sich der Angeklagte während einer Vernehmung aus dem Sitzungszimmer entfernt, wenn zu befürchten ist, ein Mitangeklagter oder ein Zeuge werde bei seiner Vernehmung in Gegenwart des Angeklagten die Wahrheit nicht sagen. </w:t>
      </w:r>
      <w:r>
        <w:rPr>
          <w:rStyle w:val="Satznummer"/>
        </w:rPr>
        <w:t>2</w:t>
      </w:r>
      <w:r>
        <w:t xml:space="preserve">Das gleiche gilt, wenn bei der Vernehmung einer Person unter 18 Jahren als Zeuge in Gegenwart des Angeklagten ein erheblicher Nachteil für das Wohl des Zeugen zu befürchten ist oder wenn bei einer Vernehmung einer anderen Person als Zeuge in Gegenwart des Angeklagten die dringende Gefahr eines schwerwiegenden Nachteils für ihre Gesundheit besteht. </w:t>
      </w:r>
      <w:r>
        <w:rPr>
          <w:rStyle w:val="Satznummer"/>
        </w:rPr>
        <w:t>3</w:t>
      </w:r>
      <w:r>
        <w:t xml:space="preserve">Die Entfernung des Angeklagten kann für die Dauer von Erörterungen über den Zustand des Angeklagten und die Behandlungsaussichten angeordnet werden, wenn ein erheblicher Nachteil für seine Gesundheit zu befürchten ist. </w:t>
      </w:r>
      <w:r>
        <w:rPr>
          <w:rStyle w:val="Satznummer"/>
        </w:rPr>
        <w:t>4</w:t>
      </w:r>
      <w:r>
        <w:t>Der Vorsitzende hat den Angeklagten, sobald dieser wieder anwesend ist, von dem wesentlichen Inhalt dessen zu unterrichten, was während seiner Abwesenheit ausgesagt oder sonst verhandelt worden ist.</w:t>
      </w:r>
    </w:p>
    <w:p>
      <w:pPr>
        <w:pStyle w:val="Heading3"/>
      </w:pPr>
      <w:bookmarkStart w:id="391" w:name="b390"/>
      <w:r>
        <w:t>§ 247a Anordnung einer audiovisuellen Vernehmung von Zeugen</w:t>
      </w:r>
      <w:r>
        <w:t xml:space="preserve"> </w:t>
      </w:r>
      <w:r>
        <w:rPr>
          <w:rStyle w:val="Suchmarke"/>
        </w:rPr>
        <w:t>#247a#</w:t>
      </w:r>
      <w:bookmarkEnd w:id="391"/>
    </w:p>
    <w:p>
      <w:r>
        <w:t xml:space="preserve">(1) </w:t>
      </w:r>
      <w:r>
        <w:rPr>
          <w:rStyle w:val="Satznummer"/>
        </w:rPr>
        <w:t>1</w:t>
      </w:r>
      <w:r>
        <w:t xml:space="preserve">Besteht die dringende Gefahr eines schwerwiegenden Nachteils für das Wohl des Zeugen, wenn er in Gegenwart der in der Hauptverhandlung Anwesenden vernommen wird, so kann das Gericht anordnen, daß der Zeuge sich während der Vernehmung an einem anderen Ort aufhält; eine solche Anordnung ist auch unter den Voraussetzungen des </w:t>
      </w:r>
      <w:hyperlink w:anchor="b394" w:history="1">
        <w:r>
          <w:rPr>
            <w:color w:val="0A3A8C"/>
            <w:u w:val="single"/>
          </w:rPr>
          <w:t xml:space="preserve">§ 251</w:t>
        </w:r>
      </w:hyperlink>
      <w:r>
        <w:t xml:space="preserve"> Abs. 2 zulässig, soweit dies zur Erforschung der Wahrheit erforderlich ist. </w:t>
      </w:r>
      <w:r>
        <w:rPr>
          <w:rStyle w:val="Satznummer"/>
        </w:rPr>
        <w:t>2</w:t>
      </w:r>
      <w:r>
        <w:t xml:space="preserve">Die Entscheidung ist unanfechtbar. </w:t>
      </w:r>
      <w:r>
        <w:rPr>
          <w:rStyle w:val="Satznummer"/>
        </w:rPr>
        <w:t>3</w:t>
      </w:r>
      <w:r>
        <w:t xml:space="preserve">Die Aussage wird zeitgleich in Bild und Ton in das Sitzungszimmer übertragen. </w:t>
      </w:r>
      <w:r>
        <w:rPr>
          <w:rStyle w:val="Satznummer"/>
        </w:rPr>
        <w:t>4</w:t>
      </w:r>
      <w:r>
        <w:t xml:space="preserve">Sie soll aufgezeichnet werden, wenn zu besorgen ist, daß der Zeuge in einer weiteren Hauptverhandlung nicht vernommen werden kann und die Aufzeichnung zur Erforschung der Wahrheit erforderlich ist. </w:t>
      </w:r>
      <w:r>
        <w:rPr>
          <w:rStyle w:val="Satznummer"/>
        </w:rPr>
        <w:t>5</w:t>
      </w:r>
      <w:hyperlink w:anchor="b82" w:history="1">
        <w:r>
          <w:rPr>
            <w:color w:val="0A3A8C"/>
            <w:u w:val="single"/>
          </w:rPr>
          <w:t xml:space="preserve">§ 58a</w:t>
        </w:r>
      </w:hyperlink>
      <w:r>
        <w:t xml:space="preserve"> Abs. 2 findet entsprechende Anwendung.</w:t>
      </w:r>
    </w:p>
    <w:p>
      <w:r>
        <w:t xml:space="preserve">(2) </w:t>
      </w:r>
      <w:r>
        <w:rPr>
          <w:rStyle w:val="Satznummer"/>
        </w:rPr>
        <w:t>1</w:t>
      </w:r>
      <w:r>
        <w:t xml:space="preserve">Das Gericht kann anordnen, dass die Vernehmung eines Sachverständigen in der Weise erfolgt, dass dieser sich an einem anderen Ort als das Gericht aufhält und die Vernehmung zeitgleich in Bild und Ton an den Ort, an dem sich der Sachverständige aufhält, und in das Sitzungszimmer übertragen wird. </w:t>
      </w:r>
      <w:r>
        <w:rPr>
          <w:rStyle w:val="Satznummer"/>
        </w:rPr>
        <w:t>2</w:t>
      </w:r>
      <w:r>
        <w:t xml:space="preserve">Dies gilt nicht in den Fällen des </w:t>
      </w:r>
      <w:hyperlink w:anchor="b388" w:history="1">
        <w:r>
          <w:rPr>
            <w:color w:val="0A3A8C"/>
            <w:u w:val="single"/>
          </w:rPr>
          <w:t xml:space="preserve">§ 246a</w:t>
        </w:r>
      </w:hyperlink>
      <w:r>
        <w:t xml:space="preserve">. </w:t>
      </w:r>
      <w:r>
        <w:rPr>
          <w:rStyle w:val="Satznummer"/>
        </w:rPr>
        <w:t>3</w:t>
      </w:r>
      <w:r>
        <w:t>Die Entscheidung nach Satz 1 ist unanfechtbar.</w:t>
      </w:r>
    </w:p>
    <w:p>
      <w:pPr>
        <w:pStyle w:val="Heading3"/>
      </w:pPr>
      <w:bookmarkStart w:id="392" w:name="b391"/>
      <w:r>
        <w:t>§ 248 Entlassung der Zeugen und Sachverständigen</w:t>
      </w:r>
      <w:r>
        <w:t xml:space="preserve"> </w:t>
      </w:r>
      <w:r>
        <w:rPr>
          <w:rStyle w:val="Suchmarke"/>
        </w:rPr>
        <w:t>#248#</w:t>
      </w:r>
      <w:bookmarkEnd w:id="392"/>
    </w:p>
    <w:p>
      <w:r>
        <w:rPr>
          <w:rStyle w:val="Satznummer"/>
        </w:rPr>
        <w:t>1</w:t>
      </w:r>
      <w:r>
        <w:t xml:space="preserve">Die vernommenen Zeugen und Sachverständigen dürfen sich nur mit Genehmigung oder auf Anweisung des Vorsitzenden von der Gerichtsstelle entfernen. </w:t>
      </w:r>
      <w:r>
        <w:rPr>
          <w:rStyle w:val="Satznummer"/>
        </w:rPr>
        <w:t>2</w:t>
      </w:r>
      <w:r>
        <w:t>Die Staatsanwaltschaft und der Angeklagte sind vorher zu hören.</w:t>
      </w:r>
    </w:p>
    <w:p>
      <w:pPr>
        <w:pStyle w:val="Heading3"/>
      </w:pPr>
      <w:bookmarkStart w:id="393" w:name="b392"/>
      <w:r>
        <w:t>§ 249 Führung des Urkundenbeweises durch Verlesung; Selbstleseverfahren</w:t>
      </w:r>
      <w:r>
        <w:t xml:space="preserve"> </w:t>
      </w:r>
      <w:r>
        <w:rPr>
          <w:rStyle w:val="Suchmarke"/>
        </w:rPr>
        <w:t>#249#</w:t>
      </w:r>
      <w:bookmarkEnd w:id="393"/>
    </w:p>
    <w:p>
      <w:r>
        <w:t xml:space="preserve">(1) </w:t>
      </w:r>
      <w:r>
        <w:rPr>
          <w:rStyle w:val="Satznummer"/>
        </w:rPr>
        <w:t>1</w:t>
      </w:r>
      <w:r>
        <w:t xml:space="preserve">Urkunden sind zum Zweck der Beweiserhebung über ihren Inhalt in der Hauptverhandlung zu verlesen. </w:t>
      </w:r>
      <w:r>
        <w:rPr>
          <w:rStyle w:val="Satznummer"/>
        </w:rPr>
        <w:t>2</w:t>
      </w:r>
      <w:r>
        <w:t>Elektronische Dokumente sind Urkunden, soweit sie verlesbar sind.</w:t>
      </w:r>
    </w:p>
    <w:p>
      <w:r>
        <w:t xml:space="preserve">(2) </w:t>
      </w:r>
      <w:r>
        <w:rPr>
          <w:rStyle w:val="Satznummer"/>
        </w:rPr>
        <w:t>1</w:t>
      </w:r>
      <w:r>
        <w:t xml:space="preserve">Von der Verlesung kann, außer in den Fällen der </w:t>
      </w:r>
      <w:hyperlink w:anchor="b396" w:history="1">
        <w:r>
          <w:rPr>
            <w:color w:val="0A3A8C"/>
            <w:u w:val="single"/>
          </w:rPr>
          <w:t xml:space="preserve">§§ 253</w:t>
        </w:r>
      </w:hyperlink>
      <w:r>
        <w:t xml:space="preserve"> und </w:t>
      </w:r>
      <w:hyperlink w:anchor="b397" w:history="1">
        <w:r>
          <w:rPr>
            <w:color w:val="0A3A8C"/>
            <w:u w:val="single"/>
          </w:rPr>
          <w:t xml:space="preserve">254</w:t>
        </w:r>
      </w:hyperlink>
      <w:r>
        <w:t xml:space="preserve">, abgesehen werden, wenn die Richter und Schöffen vom Wortlaut der Urkunde Kenntnis genommen haben und die übrigen Beteiligten hierzu Gelegenheit hatten. </w:t>
      </w:r>
      <w:r>
        <w:rPr>
          <w:rStyle w:val="Satznummer"/>
        </w:rPr>
        <w:t>2</w:t>
      </w:r>
      <w:r>
        <w:t xml:space="preserve">Widerspricht der Staatsanwalt, der Angeklagte oder der Verteidiger unverzüglich der Anordnung des Vorsitzenden, nach Satz 1 zu verfahren, so entscheidet das Gericht. </w:t>
      </w:r>
      <w:r>
        <w:rPr>
          <w:rStyle w:val="Satznummer"/>
        </w:rPr>
        <w:t>3</w:t>
      </w:r>
      <w:r>
        <w:t>Die Anordnung des Vorsitzenden, die Feststellungen über die Kenntnisnahme und die Gelegenheit hierzu und der Widerspruch sind in das Protokoll aufzunehmen.</w:t>
      </w:r>
    </w:p>
    <w:p>
      <w:pPr>
        <w:pStyle w:val="Heading3"/>
      </w:pPr>
      <w:bookmarkStart w:id="394" w:name="b393"/>
      <w:r>
        <w:t>§ 250 Grundsatz der persönlichen Vernehmung</w:t>
      </w:r>
      <w:r>
        <w:t xml:space="preserve"> </w:t>
      </w:r>
      <w:r>
        <w:rPr>
          <w:rStyle w:val="Suchmarke"/>
        </w:rPr>
        <w:t>#250#</w:t>
      </w:r>
      <w:bookmarkEnd w:id="394"/>
    </w:p>
    <w:p>
      <w:r>
        <w:rPr>
          <w:rStyle w:val="Satznummer"/>
        </w:rPr>
        <w:t>1</w:t>
      </w:r>
      <w:r>
        <w:t xml:space="preserve">Beruht der Beweis einer Tatsache auf der Wahrnehmung einer Person, so ist diese in der Hauptverhandlung zu vernehmen. </w:t>
      </w:r>
      <w:r>
        <w:rPr>
          <w:rStyle w:val="Satznummer"/>
        </w:rPr>
        <w:t>2</w:t>
      </w:r>
      <w:r>
        <w:t>Die Vernehmung darf nicht durch Verlesung des über eine frühere Vernehmung aufgenommenen Protokolls oder einer Erklärung ersetzt werden.</w:t>
      </w:r>
    </w:p>
    <w:p>
      <w:pPr>
        <w:pStyle w:val="Heading3"/>
      </w:pPr>
      <w:bookmarkStart w:id="395" w:name="b394"/>
      <w:r>
        <w:t>§ 251 Urkundenbeweis durch Verlesung von Protokollen</w:t>
      </w:r>
      <w:r>
        <w:t xml:space="preserve"> </w:t>
      </w:r>
      <w:r>
        <w:rPr>
          <w:rStyle w:val="Suchmarke"/>
        </w:rPr>
        <w:t>#251#</w:t>
      </w:r>
      <w:bookmarkEnd w:id="395"/>
    </w:p>
    <w:p>
      <w:r>
        <w:t>(1) Die Vernehmung eines Zeugen, Sachverständigen oder Mitbeschuldigten kann durch die Verlesung eines Protokolls über eine Vernehmung oder einer Urkunde, die eine von ihm erstellte Erklärung enthält, ersetzt werden,</w:t>
      </w:r>
    </w:p>
    <w:p>
      <w:pPr>
        <w:tabs>
          <w:tab w:pos="567" w:val="left"/>
        </w:tabs>
        <w:ind w:left="567" w:hanging="567"/>
      </w:pPr>
      <w:r>
        <w:t>1.</w:t>
      </w:r>
      <w:r>
        <w:tab/>
      </w:r>
      <w:r>
        <w:t>wenn der Angeklagte einen Verteidiger hat und der Staatsanwalt, der Verteidiger und der Angeklagte damit einverstanden sind;</w:t>
      </w:r>
    </w:p>
    <w:p>
      <w:pPr>
        <w:tabs>
          <w:tab w:pos="567" w:val="left"/>
        </w:tabs>
        <w:ind w:left="567" w:hanging="567"/>
      </w:pPr>
      <w:r>
        <w:t>2.</w:t>
      </w:r>
      <w:r>
        <w:tab/>
      </w:r>
      <w:r>
        <w:t>wenn die Verlesung lediglich der Bestätigung eines Geständnisses des Angeklagten dient und der Angeklagte, der keinen Verteidiger hat, sowie der Staatsanwalt der Verlesung zustimmen;</w:t>
      </w:r>
    </w:p>
    <w:p>
      <w:pPr>
        <w:tabs>
          <w:tab w:pos="567" w:val="left"/>
        </w:tabs>
        <w:ind w:left="567" w:hanging="567"/>
      </w:pPr>
      <w:r>
        <w:t>3.</w:t>
      </w:r>
      <w:r>
        <w:tab/>
      </w:r>
      <w:r>
        <w:t>wenn der Zeuge, Sachverständige oder Mitbeschuldigte verstorben ist oder aus einem anderen Grunde in absehbarer Zeit gerichtlich nicht vernommen werden kann;</w:t>
      </w:r>
    </w:p>
    <w:p>
      <w:pPr>
        <w:tabs>
          <w:tab w:pos="567" w:val="left"/>
        </w:tabs>
        <w:ind w:left="567" w:hanging="567"/>
      </w:pPr>
      <w:r>
        <w:t>4.</w:t>
      </w:r>
      <w:r>
        <w:tab/>
      </w:r>
      <w:r>
        <w:t>soweit das Protokoll oder die Urkunde das Vorliegen oder die Höhe eines Vermögensschadens betrifft.</w:t>
      </w:r>
    </w:p>
    <w:p>
      <w:r>
        <w:t>(2) Die Vernehmung eines Zeugen, Sachverständigen oder Mitbeschuldigten darf durch die Verlesung des Protokolls über seine frühere richterliche Vernehmung auch ersetzt werden, wenn</w:t>
      </w:r>
    </w:p>
    <w:p>
      <w:pPr>
        <w:tabs>
          <w:tab w:pos="567" w:val="left"/>
        </w:tabs>
        <w:ind w:left="567" w:hanging="567"/>
      </w:pPr>
      <w:r>
        <w:t>1.</w:t>
      </w:r>
      <w:r>
        <w:tab/>
      </w:r>
      <w:r>
        <w:t>dem Erscheinen des Zeugen, Sachverständigen oder Mitbeschuldigten in der Hauptverhandlung für eine längere oder ungewisse Zeit Krankheit, Gebrechlichkeit oder andere nicht zu beseitigende Hindernisse entgegenstehen;</w:t>
      </w:r>
    </w:p>
    <w:p>
      <w:pPr>
        <w:tabs>
          <w:tab w:pos="567" w:val="left"/>
        </w:tabs>
        <w:ind w:left="567" w:hanging="567"/>
      </w:pPr>
      <w:r>
        <w:t>2.</w:t>
      </w:r>
      <w:r>
        <w:tab/>
      </w:r>
      <w:r>
        <w:t>dem Zeugen oder Sachverständigen das Erscheinen in der Hauptverhandlung wegen großer Entfernung unter Berücksichtigung der Bedeutung seiner Aussage nicht zugemutet werden kann;</w:t>
      </w:r>
    </w:p>
    <w:p>
      <w:pPr>
        <w:tabs>
          <w:tab w:pos="567" w:val="left"/>
        </w:tabs>
        <w:ind w:left="567" w:hanging="567"/>
      </w:pPr>
      <w:r>
        <w:t>3.</w:t>
      </w:r>
      <w:r>
        <w:tab/>
      </w:r>
      <w:r>
        <w:t>der Staatsanwalt, der Verteidiger und der Angeklagte mit der Verlesung einverstanden sind.</w:t>
      </w:r>
    </w:p>
    <w:p>
      <w:r>
        <w:t>(3) Soll die Verlesung anderen Zwecken als unmittelbar der Urteilsfindung, insbesondere zur Vorbereitung der Entscheidung darüber dienen, ob die Ladung und Vernehmung einer Person erfolgen sollen, so dürfen Protokolle und Urkunden auch sonst verlesen werden.</w:t>
      </w:r>
    </w:p>
    <w:p>
      <w:r>
        <w:t xml:space="preserve">(4) </w:t>
      </w:r>
      <w:r>
        <w:rPr>
          <w:rStyle w:val="Satznummer"/>
        </w:rPr>
        <w:t>1</w:t>
      </w:r>
      <w:r>
        <w:t xml:space="preserve">In den Fällen der Absätze 1 und 2 beschließt das Gericht, ob die Verlesung angeordnet wird. </w:t>
      </w:r>
      <w:r>
        <w:rPr>
          <w:rStyle w:val="Satznummer"/>
        </w:rPr>
        <w:t>2</w:t>
      </w:r>
      <w:r>
        <w:t xml:space="preserve">Der Grund der Verlesung wird bekanntgegeben. </w:t>
      </w:r>
      <w:r>
        <w:rPr>
          <w:rStyle w:val="Satznummer"/>
        </w:rPr>
        <w:t>3</w:t>
      </w:r>
      <w:r>
        <w:t xml:space="preserve">Wird das Protokoll über eine richterliche Vernehmung verlesen, so wird festgestellt, ob der Vernommene vereidigt worden ist. </w:t>
      </w:r>
      <w:r>
        <w:rPr>
          <w:rStyle w:val="Satznummer"/>
        </w:rPr>
        <w:t>4</w:t>
      </w:r>
      <w:r>
        <w:t>Die Vereidigung wird nachgeholt, wenn sie dem Gericht notwendig erscheint und noch ausführbar ist.</w:t>
      </w:r>
    </w:p>
    <w:p>
      <w:pPr>
        <w:pStyle w:val="Heading3"/>
      </w:pPr>
      <w:bookmarkStart w:id="396" w:name="b395"/>
      <w:r>
        <w:t>§ 252 Verbot der Protokollverlesung nach Zeugnisverweigerung</w:t>
      </w:r>
      <w:r>
        <w:t xml:space="preserve"> </w:t>
      </w:r>
      <w:r>
        <w:rPr>
          <w:rStyle w:val="Suchmarke"/>
        </w:rPr>
        <w:t>#252#</w:t>
      </w:r>
      <w:bookmarkEnd w:id="396"/>
    </w:p>
    <w:p>
      <w:r>
        <w:t>Die Aussage eines vor der Hauptverhandlung vernommenen Zeugen, der erst in der Hauptverhandlung von seinem Recht, das Zeugnis zu verweigern, Gebrauch macht, darf nicht verlesen werden.</w:t>
      </w:r>
    </w:p>
    <w:p>
      <w:pPr>
        <w:pStyle w:val="Heading3"/>
      </w:pPr>
      <w:bookmarkStart w:id="397" w:name="b396"/>
      <w:r>
        <w:t>§ 253 Protokollverlesung zur Gedächtnisunterstützung</w:t>
      </w:r>
      <w:r>
        <w:t xml:space="preserve"> </w:t>
      </w:r>
      <w:r>
        <w:rPr>
          <w:rStyle w:val="Suchmarke"/>
        </w:rPr>
        <w:t>#253#</w:t>
      </w:r>
      <w:bookmarkEnd w:id="397"/>
    </w:p>
    <w:p>
      <w:r>
        <w:t>(1) Erklärt ein Zeuge oder Sachverständiger, daß er sich einer Tatsache nicht mehr erinnere, so kann der hierauf bezügliche Teil des Protokolls über seine frühere Vernehmung zur Unterstützung seines Gedächtnisses verlesen werden.</w:t>
      </w:r>
    </w:p>
    <w:p>
      <w:r>
        <w:t>(2) Dasselbe kann geschehen, wenn ein in der Vernehmung hervortretender Widerspruch mit der früheren Aussage nicht auf andere Weise ohne Unterbrechung der Hauptverhandlung festgestellt oder behoben werden kann.</w:t>
      </w:r>
    </w:p>
    <w:p>
      <w:pPr>
        <w:pStyle w:val="Heading3"/>
      </w:pPr>
      <w:bookmarkStart w:id="398" w:name="b397"/>
      <w:r>
        <w:t>§ 254 Verlesung eines richterlichen Protokolls bei Geständnis oder Widersprüchen</w:t>
      </w:r>
      <w:r>
        <w:t xml:space="preserve"> </w:t>
      </w:r>
      <w:r>
        <w:rPr>
          <w:rStyle w:val="Suchmarke"/>
        </w:rPr>
        <w:t>#254#</w:t>
      </w:r>
      <w:bookmarkEnd w:id="398"/>
    </w:p>
    <w:p>
      <w:r>
        <w:t>(1) Erklärungen des Angeklagten, die in einem richterlichen Protokoll oder in einer Bild-Ton-Aufzeichnung einer Vernehmung enthalten sind, können zum Zweck der Beweisaufnahme über ein Geständnis verlesen beziehungsweise vorgeführt werden.</w:t>
      </w:r>
    </w:p>
    <w:p>
      <w:r>
        <w:t>(2) Dasselbe kann geschehen, wenn ein in der Vernehmung hervortretender Widerspruch mit der früheren Aussage nicht auf andere Weise ohne Unterbrechung der Hauptverhandlung festgestellt oder behoben werden kann.</w:t>
      </w:r>
    </w:p>
    <w:p>
      <w:pPr>
        <w:pStyle w:val="Heading3"/>
      </w:pPr>
      <w:bookmarkStart w:id="399" w:name="b398"/>
      <w:r>
        <w:t>§ 255 Protokollierung der Verlesung</w:t>
      </w:r>
      <w:r>
        <w:t xml:space="preserve"> </w:t>
      </w:r>
      <w:r>
        <w:rPr>
          <w:rStyle w:val="Suchmarke"/>
        </w:rPr>
        <w:t>#255#</w:t>
      </w:r>
      <w:bookmarkEnd w:id="399"/>
    </w:p>
    <w:p>
      <w:r>
        <w:t xml:space="preserve">In den Fällen der </w:t>
      </w:r>
      <w:hyperlink w:anchor="b396" w:history="1">
        <w:r>
          <w:rPr>
            <w:color w:val="0A3A8C"/>
            <w:u w:val="single"/>
          </w:rPr>
          <w:t xml:space="preserve">§§ 253</w:t>
        </w:r>
      </w:hyperlink>
      <w:r>
        <w:t xml:space="preserve"> und </w:t>
      </w:r>
      <w:hyperlink w:anchor="b397" w:history="1">
        <w:r>
          <w:rPr>
            <w:color w:val="0A3A8C"/>
            <w:u w:val="single"/>
          </w:rPr>
          <w:t xml:space="preserve">254</w:t>
        </w:r>
      </w:hyperlink>
      <w:r>
        <w:t xml:space="preserve"> ist die Verlesung und ihr Grund auf Antrag der Staatsanwaltschaft oder des Angeklagten im Protokoll zu erwähnen.</w:t>
      </w:r>
    </w:p>
    <w:p>
      <w:pPr>
        <w:pStyle w:val="Heading3"/>
      </w:pPr>
      <w:bookmarkStart w:id="400" w:name="b399"/>
      <w:r>
        <w:t>§ 255a Vorführung einer aufgezeichneten Zeugenvernehmung</w:t>
      </w:r>
      <w:r>
        <w:t xml:space="preserve"> </w:t>
      </w:r>
      <w:r>
        <w:rPr>
          <w:rStyle w:val="Suchmarke"/>
        </w:rPr>
        <w:t>#255a#</w:t>
      </w:r>
      <w:bookmarkEnd w:id="400"/>
    </w:p>
    <w:p>
      <w:r>
        <w:t xml:space="preserve">(1) Für die Vorführung der Bild-Ton-Aufzeichnung einer Zeugenvernehmung gelten die Vorschriften zur Verlesung eines Protokolls über eine Vernehmung gemäß </w:t>
      </w:r>
      <w:hyperlink w:anchor="b394" w:history="1">
        <w:r>
          <w:rPr>
            <w:color w:val="0A3A8C"/>
            <w:u w:val="single"/>
          </w:rPr>
          <w:t xml:space="preserve">§§ 251</w:t>
        </w:r>
      </w:hyperlink>
      <w:r>
        <w:t xml:space="preserve">, </w:t>
      </w:r>
      <w:hyperlink w:anchor="b395" w:history="1">
        <w:r>
          <w:rPr>
            <w:color w:val="0A3A8C"/>
            <w:u w:val="single"/>
          </w:rPr>
          <w:t xml:space="preserve">252</w:t>
        </w:r>
      </w:hyperlink>
      <w:r>
        <w:t xml:space="preserve">, </w:t>
      </w:r>
      <w:hyperlink w:anchor="b396" w:history="1">
        <w:r>
          <w:rPr>
            <w:color w:val="0A3A8C"/>
            <w:u w:val="single"/>
          </w:rPr>
          <w:t xml:space="preserve">253</w:t>
        </w:r>
      </w:hyperlink>
      <w:r>
        <w:t xml:space="preserve"> und </w:t>
      </w:r>
      <w:hyperlink w:anchor="b398" w:history="1">
        <w:r>
          <w:rPr>
            <w:color w:val="0A3A8C"/>
            <w:u w:val="single"/>
          </w:rPr>
          <w:t xml:space="preserve">255</w:t>
        </w:r>
      </w:hyperlink>
      <w:r>
        <w:t xml:space="preserve"> entsprechend.</w:t>
      </w:r>
    </w:p>
    <w:p>
      <w:r>
        <w:t xml:space="preserve">(2) </w:t>
      </w:r>
      <w:r>
        <w:rPr>
          <w:rStyle w:val="Satznummer"/>
        </w:rPr>
        <w:t>1</w:t>
      </w:r>
      <w:r>
        <w:t xml:space="preserve">In Verfahren wegen Straftaten gegen die sexuelle Selbstbestimmung (§§ 174 bis 184k des Strafgesetzbuches) oder gegen das Leben (§§ 211 bis 222 des Strafgesetzbuches), wegen Misshandlung von Schutzbefohlenen (§ 225 des Strafgesetzbuches) oder wegen Straftaten gegen die persönliche Freiheit nach den §§ 232 bis 233a des Strafgesetzbuches kann die Vernehmung eines Zeugen unter 18 Jahren durch die Vorführung der Bild-Ton-Aufzeichnung seiner früheren richterlichen Vernehmung ersetzt werden, wenn der Angeklagte und sein Verteidiger Gelegenheit hatten, an dieser mitzuwirken, und wenn der Zeuge, dessen Vernehmung nach § 58a Absatz 1 Satz 3 in Bild und Ton aufgezeichnet worden ist, der vernehmungsersetzenden Vorführung dieser Aufzeichnung in der Hauptverhandlung nicht unmittelbar nach der aufgezeichneten Vernehmung widersprochen hat. </w:t>
      </w:r>
      <w:r>
        <w:rPr>
          <w:rStyle w:val="Satznummer"/>
        </w:rPr>
        <w:t>2</w:t>
      </w:r>
      <w:r>
        <w:t xml:space="preserve">Dies gilt auch für Zeugen, die Verletzte einer dieser Straftaten sind und zur Zeit der Tat unter 18 Jahre alt waren oder Verletzte einer Straftat gegen die sexuelle Selbstbestimmung (§§ 174 bis 184k des Strafgesetzbuches) sind. </w:t>
      </w:r>
      <w:r>
        <w:rPr>
          <w:rStyle w:val="Satznummer"/>
        </w:rPr>
        <w:t>3</w:t>
      </w:r>
      <w:r>
        <w:t xml:space="preserve">Das Gericht hat bei seiner Entscheidung auch die schutzwürdigen Interessen des Zeugen zu berücksichtigen und den Grund für die Vorführung bekanntzugeben. </w:t>
      </w:r>
      <w:r>
        <w:rPr>
          <w:rStyle w:val="Satznummer"/>
        </w:rPr>
        <w:t>4</w:t>
      </w:r>
      <w:r>
        <w:t>Eine ergänzende Vernehmung des Zeugen ist zulässig.</w:t>
      </w:r>
    </w:p>
    <w:p>
      <w:pPr>
        <w:pStyle w:val="Heading3"/>
      </w:pPr>
      <w:bookmarkStart w:id="401" w:name="b400"/>
      <w:r>
        <w:t>§ 256 Verlesung der Erklärungen von Behörden und Sachverständigen</w:t>
      </w:r>
      <w:r>
        <w:t xml:space="preserve"> </w:t>
      </w:r>
      <w:r>
        <w:rPr>
          <w:rStyle w:val="Suchmarke"/>
        </w:rPr>
        <w:t>#256#</w:t>
      </w:r>
      <w:bookmarkEnd w:id="401"/>
    </w:p>
    <w:p>
      <w:r>
        <w:t>(1) Verlesen werden können</w:t>
      </w:r>
    </w:p>
    <w:p>
      <w:pPr>
        <w:tabs>
          <w:tab w:pos="567" w:val="left"/>
        </w:tabs>
        <w:ind w:left="567" w:hanging="567"/>
      </w:pPr>
      <w:r>
        <w:t>1.</w:t>
      </w:r>
      <w:r>
        <w:tab/>
      </w:r>
      <w:r>
        <w:t>die ein Zeugnis oder ein Gutachten enthaltenden Erklärungen</w:t>
      </w:r>
    </w:p>
    <w:p>
      <w:pPr>
        <w:tabs>
          <w:tab w:pos="1134" w:val="left"/>
        </w:tabs>
        <w:ind w:left="1134" w:hanging="567"/>
      </w:pPr>
      <w:r>
        <w:t>a)</w:t>
      </w:r>
      <w:r>
        <w:tab/>
      </w:r>
      <w:r>
        <w:t>öffentlicher Behörden,</w:t>
      </w:r>
    </w:p>
    <w:p>
      <w:pPr>
        <w:tabs>
          <w:tab w:pos="1134" w:val="left"/>
        </w:tabs>
        <w:ind w:left="1134" w:hanging="567"/>
      </w:pPr>
      <w:r>
        <w:t>b)</w:t>
      </w:r>
      <w:r>
        <w:tab/>
      </w:r>
      <w:r>
        <w:t>der Sachverständigen, die für die Erstellung von Gutachten der betreffenden Art allgemein vereidigt sind, sowie</w:t>
      </w:r>
    </w:p>
    <w:p>
      <w:pPr>
        <w:tabs>
          <w:tab w:pos="1134" w:val="left"/>
        </w:tabs>
        <w:ind w:left="1134" w:hanging="567"/>
      </w:pPr>
      <w:r>
        <w:t>c)</w:t>
      </w:r>
      <w:r>
        <w:tab/>
      </w:r>
      <w:r>
        <w:t>der Ärzte eines gerichtsärztlichen Dienstes mit Ausschluss von Leumundszeugnissen,</w:t>
      </w:r>
    </w:p>
    <w:p>
      <w:pPr>
        <w:tabs>
          <w:tab w:pos="567" w:val="left"/>
        </w:tabs>
        <w:ind w:left="567" w:hanging="567"/>
      </w:pPr>
      <w:r>
        <w:t>2.</w:t>
      </w:r>
      <w:r>
        <w:tab/>
      </w:r>
      <w:r>
        <w:t>unabhängig vom Tatvorwurf ärztliche Atteste über Körperverletzungen,</w:t>
      </w:r>
    </w:p>
    <w:p>
      <w:pPr>
        <w:tabs>
          <w:tab w:pos="567" w:val="left"/>
        </w:tabs>
        <w:ind w:left="567" w:hanging="567"/>
      </w:pPr>
      <w:r>
        <w:t>3.</w:t>
      </w:r>
      <w:r>
        <w:tab/>
      </w:r>
      <w:r>
        <w:t>ärztliche Berichte zur Entnahme von Blutproben,</w:t>
      </w:r>
    </w:p>
    <w:p>
      <w:pPr>
        <w:tabs>
          <w:tab w:pos="567" w:val="left"/>
        </w:tabs>
        <w:ind w:left="567" w:hanging="567"/>
      </w:pPr>
      <w:r>
        <w:t>4.</w:t>
      </w:r>
      <w:r>
        <w:tab/>
      </w:r>
      <w:r>
        <w:t>Gutachten über die Auswertung eines Fahrtschreibers, die Bestimmung der Blutgruppe oder des Blutalkoholgehalts einschließlich seiner Rückrechnung,</w:t>
      </w:r>
    </w:p>
    <w:p>
      <w:pPr>
        <w:tabs>
          <w:tab w:pos="567" w:val="left"/>
        </w:tabs>
        <w:ind w:left="567" w:hanging="567"/>
      </w:pPr>
      <w:r>
        <w:t>5.</w:t>
      </w:r>
      <w:r>
        <w:tab/>
      </w:r>
      <w:r>
        <w:t>Protokolle sowie in einer Urkunde enthaltene Erklärungen der Strafverfolgungsbehörden über Ermittlungshandlungen, soweit diese nicht eine Vernehmung zum Gegenstand haben und</w:t>
      </w:r>
    </w:p>
    <w:p>
      <w:pPr>
        <w:tabs>
          <w:tab w:pos="567" w:val="left"/>
        </w:tabs>
        <w:ind w:left="567" w:hanging="567"/>
      </w:pPr>
      <w:r>
        <w:t>6.</w:t>
      </w:r>
      <w:r>
        <w:tab/>
      </w:r>
      <w:r>
        <w:t xml:space="preserve">Übertragungsnachweise und Vermerke nach </w:t>
      </w:r>
      <w:hyperlink w:anchor="b45" w:history="1">
        <w:r>
          <w:rPr>
            <w:color w:val="0A3A8C"/>
            <w:u w:val="single"/>
          </w:rPr>
          <w:t xml:space="preserve">§ 32e</w:t>
        </w:r>
      </w:hyperlink>
      <w:r>
        <w:t xml:space="preserve"> Absatz 3.</w:t>
      </w:r>
    </w:p>
    <w:p>
      <w:r>
        <w:t>(2) Ist das Gutachten einer kollegialen Fachbehörde eingeholt worden, so kann das Gericht die Behörde ersuchen, eines ihrer Mitglieder mit der Vertretung des Gutachtens in der Hauptverhandlung zu beauftragen und dem Gericht zu bezeichnen.</w:t>
      </w:r>
    </w:p>
    <w:p>
      <w:pPr>
        <w:pStyle w:val="Heading3"/>
      </w:pPr>
      <w:bookmarkStart w:id="402" w:name="b401"/>
      <w:r>
        <w:t>§ 257 Befragung des Angeklagten und Erklärungsrechte nach einer Beweiserhebung</w:t>
      </w:r>
      <w:r>
        <w:t xml:space="preserve"> </w:t>
      </w:r>
      <w:r>
        <w:rPr>
          <w:rStyle w:val="Suchmarke"/>
        </w:rPr>
        <w:t>#257#</w:t>
      </w:r>
      <w:bookmarkEnd w:id="402"/>
    </w:p>
    <w:p>
      <w:r>
        <w:t>(1) Nach der Vernehmung eines jeden Mitangeklagten und nach jeder einzelnen Beweiserhebung soll der Angeklagte befragt werden, ob er dazu etwas zu erklären habe.</w:t>
      </w:r>
    </w:p>
    <w:p>
      <w:r>
        <w:t>(2) Auf Verlangen ist auch dem Staatsanwalt und dem Verteidiger nach der Vernehmung des Angeklagten und nach jeder einzelnen Beweiserhebung Gelegenheit zu geben, sich dazu zu erklären.</w:t>
      </w:r>
    </w:p>
    <w:p>
      <w:r>
        <w:t>(3) Die Erklärungen dürfen den Schlußvortrag nicht vorwegnehmen.</w:t>
      </w:r>
    </w:p>
    <w:p>
      <w:pPr>
        <w:pStyle w:val="Heading3"/>
      </w:pPr>
      <w:bookmarkStart w:id="403" w:name="b402"/>
      <w:r>
        <w:t>§ 257a Form von Anträgen und Anregungen zu Verfahrensfragen</w:t>
      </w:r>
      <w:r>
        <w:t xml:space="preserve"> </w:t>
      </w:r>
      <w:r>
        <w:rPr>
          <w:rStyle w:val="Suchmarke"/>
        </w:rPr>
        <w:t>#257a#</w:t>
      </w:r>
      <w:bookmarkEnd w:id="403"/>
    </w:p>
    <w:p>
      <w:r>
        <w:rPr>
          <w:rStyle w:val="Satznummer"/>
        </w:rPr>
        <w:t>1</w:t>
      </w:r>
      <w:r>
        <w:t xml:space="preserve">Das Gericht kann den Verfahrensbeteiligten aufgeben, Anträge und Anregungen zu Verfahrensfragen schriftlich zu stellen. </w:t>
      </w:r>
      <w:r>
        <w:rPr>
          <w:rStyle w:val="Satznummer"/>
        </w:rPr>
        <w:t>2</w:t>
      </w:r>
      <w:r>
        <w:t xml:space="preserve">Dies gilt nicht für die in </w:t>
      </w:r>
      <w:hyperlink w:anchor="b405" w:history="1">
        <w:r>
          <w:rPr>
            <w:color w:val="0A3A8C"/>
            <w:u w:val="single"/>
          </w:rPr>
          <w:t xml:space="preserve">§ 258</w:t>
        </w:r>
      </w:hyperlink>
      <w:r>
        <w:t xml:space="preserve"> bezeichneten Anträge. </w:t>
      </w:r>
      <w:r>
        <w:rPr>
          <w:rStyle w:val="Satznummer"/>
        </w:rPr>
        <w:t>3</w:t>
      </w:r>
      <w:hyperlink w:anchor="b392" w:history="1">
        <w:r>
          <w:rPr>
            <w:color w:val="0A3A8C"/>
            <w:u w:val="single"/>
          </w:rPr>
          <w:t xml:space="preserve">§ 249</w:t>
        </w:r>
      </w:hyperlink>
      <w:r>
        <w:t xml:space="preserve"> findet entsprechende Anwendung.</w:t>
      </w:r>
    </w:p>
    <w:p>
      <w:pPr>
        <w:pStyle w:val="Heading3"/>
      </w:pPr>
      <w:bookmarkStart w:id="404" w:name="b403"/>
      <w:r>
        <w:t>§ 257b Erörterung des Verfahrensstands mit den Verfahrensbeteiligten</w:t>
      </w:r>
      <w:r>
        <w:t xml:space="preserve"> </w:t>
      </w:r>
      <w:r>
        <w:rPr>
          <w:rStyle w:val="Suchmarke"/>
        </w:rPr>
        <w:t>#257b#</w:t>
      </w:r>
      <w:bookmarkEnd w:id="404"/>
    </w:p>
    <w:p>
      <w:r>
        <w:t>Das Gericht kann in der Hauptverhandlung den Stand des Verfahrens mit den Verfahrensbeteiligten erörtern, soweit dies geeignet erscheint, das Verfahren zu fördern.</w:t>
      </w:r>
    </w:p>
    <w:p>
      <w:pPr>
        <w:pStyle w:val="Heading3"/>
      </w:pPr>
      <w:bookmarkStart w:id="405" w:name="b404"/>
      <w:r>
        <w:t>§ 257c Verständigung zwischen Gericht und Verfahrensbeteiligten</w:t>
      </w:r>
      <w:r>
        <w:t xml:space="preserve"> </w:t>
      </w:r>
      <w:r>
        <w:rPr>
          <w:rStyle w:val="Suchmarke"/>
        </w:rPr>
        <w:t>#257c#</w:t>
      </w:r>
      <w:bookmarkEnd w:id="405"/>
    </w:p>
    <w:p>
      <w:r>
        <w:t xml:space="preserve">(1) </w:t>
      </w:r>
      <w:r>
        <w:rPr>
          <w:rStyle w:val="Satznummer"/>
        </w:rPr>
        <w:t>1</w:t>
      </w:r>
      <w:r>
        <w:t xml:space="preserve">Das Gericht kann sich in geeigneten Fällen mit den Verfahrensbeteiligten nach Maßgabe der folgenden Absätze über den weiteren Fortgang und das Ergebnis des Verfahrens verständigen. </w:t>
      </w:r>
      <w:r>
        <w:rPr>
          <w:rStyle w:val="Satznummer"/>
        </w:rPr>
        <w:t>2</w:t>
      </w:r>
      <w:hyperlink w:anchor="b385" w:history="1">
        <w:r>
          <w:rPr>
            <w:color w:val="0A3A8C"/>
            <w:u w:val="single"/>
          </w:rPr>
          <w:t xml:space="preserve">§ 244</w:t>
        </w:r>
      </w:hyperlink>
      <w:r>
        <w:t xml:space="preserve"> Absatz 2 bleibt unberührt.</w:t>
      </w:r>
    </w:p>
    <w:p>
      <w:r>
        <w:t xml:space="preserve">(2) </w:t>
      </w:r>
      <w:r>
        <w:rPr>
          <w:rStyle w:val="Satznummer"/>
        </w:rPr>
        <w:t>1</w:t>
      </w:r>
      <w:r>
        <w:t xml:space="preserve">Gegenstand dieser Verständigung dürfen nur die Rechtsfolgen sein, die Inhalt des Urteils und der dazugehörigen Beschlüsse sein können, sonstige verfahrensbezogene Maßnahmen im zugrundeliegenden Erkenntnisverfahren sowie das Prozessverhalten der Verfahrensbeteiligten. </w:t>
      </w:r>
      <w:r>
        <w:rPr>
          <w:rStyle w:val="Satznummer"/>
        </w:rPr>
        <w:t>2</w:t>
      </w:r>
      <w:r>
        <w:t xml:space="preserve">Bestandteil jeder Verständigung soll ein Geständnis sein. </w:t>
      </w:r>
      <w:r>
        <w:rPr>
          <w:rStyle w:val="Satznummer"/>
        </w:rPr>
        <w:t>3</w:t>
      </w:r>
      <w:r>
        <w:t>Der Schuldspruch sowie Maßregeln der Besserung und Sicherung dürfen nicht Gegenstand einer Verständigung sein.</w:t>
      </w:r>
    </w:p>
    <w:p>
      <w:r>
        <w:t xml:space="preserve">(3) </w:t>
      </w:r>
      <w:r>
        <w:rPr>
          <w:rStyle w:val="Satznummer"/>
        </w:rPr>
        <w:t>1</w:t>
      </w:r>
      <w:r>
        <w:t xml:space="preserve">Das Gericht gibt bekannt, welchen Inhalt die Verständigung haben könnte. </w:t>
      </w:r>
      <w:r>
        <w:rPr>
          <w:rStyle w:val="Satznummer"/>
        </w:rPr>
        <w:t>2</w:t>
      </w:r>
      <w:r>
        <w:t xml:space="preserve">Es kann dabei unter freier Würdigung aller Umstände des Falles sowie der allgemeinen Strafzumessungserwägungen auch eine Ober- und Untergrenze der Strafe angeben. </w:t>
      </w:r>
      <w:r>
        <w:rPr>
          <w:rStyle w:val="Satznummer"/>
        </w:rPr>
        <w:t>3</w:t>
      </w:r>
      <w:r>
        <w:t xml:space="preserve">Die Verfahrensbeteiligten erhalten Gelegenheit zur Stellungnahme. </w:t>
      </w:r>
      <w:r>
        <w:rPr>
          <w:rStyle w:val="Satznummer"/>
        </w:rPr>
        <w:t>4</w:t>
      </w:r>
      <w:r>
        <w:t>Die Verständigung kommt zustande, wenn Angeklagter und Staatsanwaltschaft dem Vorschlag des Gerichtes zustimmen.</w:t>
      </w:r>
    </w:p>
    <w:p>
      <w:r>
        <w:t xml:space="preserve">(4) </w:t>
      </w:r>
      <w:r>
        <w:rPr>
          <w:rStyle w:val="Satznummer"/>
        </w:rPr>
        <w:t>1</w:t>
      </w:r>
      <w:r>
        <w:t xml:space="preserve">Die Bindung des Gerichtes an eine Verständigung entfällt, wenn rechtlich oder tatsächlich bedeutsame Umstände übersehen worden sind oder sich neu ergeben haben und das Gericht deswegen zu der Überzeugung gelangt, dass der in Aussicht gestellte Strafrahmen nicht mehr tat- oder schuldangemessen ist. </w:t>
      </w:r>
      <w:r>
        <w:rPr>
          <w:rStyle w:val="Satznummer"/>
        </w:rPr>
        <w:t>2</w:t>
      </w:r>
      <w:r>
        <w:t xml:space="preserve">Gleiches gilt, wenn das weitere Prozessverhalten des Angeklagten nicht dem Verhalten entspricht, das der Prognose des Gerichtes zugrunde gelegt worden ist. </w:t>
      </w:r>
      <w:r>
        <w:rPr>
          <w:rStyle w:val="Satznummer"/>
        </w:rPr>
        <w:t>3</w:t>
      </w:r>
      <w:r>
        <w:t xml:space="preserve">Das Geständnis des Angeklagten darf in diesen Fällen nicht verwertet werden. </w:t>
      </w:r>
      <w:r>
        <w:rPr>
          <w:rStyle w:val="Satznummer"/>
        </w:rPr>
        <w:t>4</w:t>
      </w:r>
      <w:r>
        <w:t>Das Gericht hat eine Abweichung unverzüglich mitzuteilen.</w:t>
      </w:r>
    </w:p>
    <w:p>
      <w:r>
        <w:t>(5) Der Angeklagte ist über die Voraussetzungen und Folgen einer Abweichung des Gerichtes von dem in Aussicht gestellten Ergebnis nach Absatz 4 zu belehren.</w:t>
      </w:r>
    </w:p>
    <w:p>
      <w:pPr>
        <w:pStyle w:val="Heading3"/>
      </w:pPr>
      <w:bookmarkStart w:id="406" w:name="b405"/>
      <w:r>
        <w:t>§ 258 Schlussvorträge; Recht des letzten Wortes</w:t>
      </w:r>
      <w:r>
        <w:t xml:space="preserve"> </w:t>
      </w:r>
      <w:r>
        <w:rPr>
          <w:rStyle w:val="Suchmarke"/>
        </w:rPr>
        <w:t>#258#</w:t>
      </w:r>
      <w:bookmarkEnd w:id="406"/>
    </w:p>
    <w:p>
      <w:r>
        <w:t>(1) Nach dem Schluß der Beweisaufnahme erhalten der Staatsanwalt und sodann der Angeklagte zu ihren Ausführungen und Anträgen das Wort.</w:t>
      </w:r>
    </w:p>
    <w:p>
      <w:r>
        <w:t>(2) Dem Staatsanwalt steht das Recht der Erwiderung zu; dem Angeklagten gebührt das letzte Wort.</w:t>
      </w:r>
    </w:p>
    <w:p>
      <w:r>
        <w:t>(3) Der Angeklagte ist, auch wenn ein Verteidiger für ihn gesprochen hat, zu befragen, ob er selbst noch etwas zu seiner Verteidigung anzuführen habe.</w:t>
      </w:r>
    </w:p>
    <w:p>
      <w:pPr>
        <w:pStyle w:val="Heading3"/>
      </w:pPr>
      <w:bookmarkStart w:id="407" w:name="b406"/>
      <w:r>
        <w:t>§ 259 Dolmetscher</w:t>
      </w:r>
      <w:r>
        <w:t xml:space="preserve"> </w:t>
      </w:r>
      <w:r>
        <w:rPr>
          <w:rStyle w:val="Suchmarke"/>
        </w:rPr>
        <w:t>#259#</w:t>
      </w:r>
      <w:bookmarkEnd w:id="407"/>
    </w:p>
    <w:p>
      <w:r>
        <w:t>(1) Einem der Gerichtssprache nicht mächtigen Angeklagten müssen aus den Schlußvorträgen mindestens die Anträge des Staatsanwalts und des Verteidigers durch den Dolmetscher bekanntgemacht werden.</w:t>
      </w:r>
    </w:p>
    <w:p>
      <w:r>
        <w:t>(2) Dasselbe gilt nach Maßgabe des § 186 des Gerichtsverfassungsgesetzes für einen hör- oder sprachbehinderten Angeklagten.</w:t>
      </w:r>
    </w:p>
    <w:p>
      <w:pPr>
        <w:pStyle w:val="Heading3"/>
      </w:pPr>
      <w:bookmarkStart w:id="408" w:name="b407"/>
      <w:r>
        <w:t>§ 260 Urteil</w:t>
      </w:r>
      <w:r>
        <w:t xml:space="preserve"> </w:t>
      </w:r>
      <w:r>
        <w:rPr>
          <w:rStyle w:val="Suchmarke"/>
        </w:rPr>
        <w:t>#260#</w:t>
      </w:r>
      <w:bookmarkEnd w:id="408"/>
    </w:p>
    <w:p>
      <w:r>
        <w:t>(1) Die Hauptverhandlung schließt mit der auf die Beratung folgenden Verkündung des Urteils.</w:t>
      </w:r>
    </w:p>
    <w:p>
      <w:r>
        <w:t>(2) Wird ein Berufsverbot angeordnet, so ist im Urteil der Beruf, der Berufszweig, das Gewerbe oder der Gewerbezweig, dessen Ausübung verboten wird, genau zu bezeichnen.</w:t>
      </w:r>
    </w:p>
    <w:p>
      <w:r>
        <w:t>(3) Die Einstellung des Verfahrens ist im Urteil auszusprechen, wenn ein Verfahrenshindernis besteht.</w:t>
      </w:r>
    </w:p>
    <w:p>
      <w:r>
        <w:t xml:space="preserve">(4) </w:t>
      </w:r>
      <w:r>
        <w:rPr>
          <w:rStyle w:val="Satznummer"/>
        </w:rPr>
        <w:t>1</w:t>
      </w:r>
      <w:r>
        <w:t xml:space="preserve">Die Urteilsformel gibt die rechtliche Bezeichnung der Tat an, deren der Angeklagte schuldig gesprochen wird. </w:t>
      </w:r>
      <w:r>
        <w:rPr>
          <w:rStyle w:val="Satznummer"/>
        </w:rPr>
        <w:t>2</w:t>
      </w:r>
      <w:r>
        <w:t xml:space="preserve">Hat ein Straftatbestand eine gesetzliche Überschrift, so soll diese zur rechtlichen Bezeichnung der Tat verwendet werden. </w:t>
      </w:r>
      <w:r>
        <w:rPr>
          <w:rStyle w:val="Satznummer"/>
        </w:rPr>
        <w:t>3</w:t>
      </w:r>
      <w:r>
        <w:t xml:space="preserve">Wird eine Geldstrafe verhängt, so sind Zahl und Höhe der Tagessätze in die Urteilsformel aufzunehmen. </w:t>
      </w:r>
      <w:r>
        <w:rPr>
          <w:rStyle w:val="Satznummer"/>
        </w:rPr>
        <w:t>4</w:t>
      </w:r>
      <w:r>
        <w:t xml:space="preserve">Wird die Entscheidung über die Sicherungsverwahrung vorbehalten, die Strafe oder Maßregel der Besserung und Sicherung zur Bewährung ausgesetzt, der Angeklagte mit Strafvorbehalt verwarnt oder von Strafe abgesehen, so ist dies in der Urteilsformel zum Ausdruck zu bringen. </w:t>
      </w:r>
      <w:r>
        <w:rPr>
          <w:rStyle w:val="Satznummer"/>
        </w:rPr>
        <w:t>5</w:t>
      </w:r>
      <w:r>
        <w:t>Im übrigen unterliegt die Fassung der Urteilsformel dem Ermessen des Gerichts.</w:t>
      </w:r>
    </w:p>
    <w:p>
      <w:r>
        <w:t xml:space="preserve">(5) </w:t>
      </w:r>
      <w:r>
        <w:rPr>
          <w:rStyle w:val="Satznummer"/>
        </w:rPr>
        <w:t>1</w:t>
      </w:r>
      <w:r>
        <w:t xml:space="preserve">Nach der Urteilsformel werden die angewendeten Vorschriften nach Paragraph, Absatz, Nummer, Buchstabe und mit der Bezeichnung des Gesetzes aufgeführt. </w:t>
      </w:r>
      <w:r>
        <w:rPr>
          <w:rStyle w:val="Satznummer"/>
        </w:rPr>
        <w:t>2</w:t>
      </w:r>
      <w:r>
        <w:t>Ist bei einer Verurteilung, durch die auf Freiheitsstrafe oder Gesamtfreiheitsstrafe von nicht mehr als zwei Jahren erkannt wird, die Tat oder der ihrer Bedeutung nach überwiegende Teil der Taten auf Grund einer Betäubungsmittelabhängigkeit begangen worden, so ist außerdem § 17 Abs. 2 des Bundeszentralregistergesetzes anzuführen.</w:t>
      </w:r>
    </w:p>
    <w:p>
      <w:pPr>
        <w:pStyle w:val="Heading3"/>
      </w:pPr>
      <w:bookmarkStart w:id="409" w:name="b408"/>
      <w:r>
        <w:t>§ 261 Grundsatz der freien richterlichen Beweiswürdigung</w:t>
      </w:r>
      <w:r>
        <w:t xml:space="preserve"> </w:t>
      </w:r>
      <w:r>
        <w:rPr>
          <w:rStyle w:val="Suchmarke"/>
        </w:rPr>
        <w:t>#261#</w:t>
      </w:r>
      <w:bookmarkEnd w:id="409"/>
    </w:p>
    <w:p>
      <w:r>
        <w:t>Über das Ergebnis der Beweisaufnahme entscheidet das Gericht nach seiner freien, aus dem Inbegriff der Verhandlung geschöpften Überzeugung.</w:t>
      </w:r>
    </w:p>
    <w:p>
      <w:pPr>
        <w:pStyle w:val="Heading3"/>
      </w:pPr>
      <w:bookmarkStart w:id="410" w:name="b409"/>
      <w:r>
        <w:t>§ 262 Entscheidung zivilrechtlicher Vorfragen</w:t>
      </w:r>
      <w:r>
        <w:t xml:space="preserve"> </w:t>
      </w:r>
      <w:r>
        <w:rPr>
          <w:rStyle w:val="Suchmarke"/>
        </w:rPr>
        <w:t>#262#</w:t>
      </w:r>
      <w:bookmarkEnd w:id="410"/>
    </w:p>
    <w:p>
      <w:r>
        <w:t>(1) Hängt die Strafbarkeit einer Handlung von der Beurteilung eines bürgerlichen Rechtsverhältnisses ab, so entscheidet das Strafgericht auch über dieses nach den für das Verfahren und den Beweis in Strafsachen geltenden Vorschriften.</w:t>
      </w:r>
    </w:p>
    <w:p>
      <w:r>
        <w:t>(2) Das Gericht ist jedoch befugt, die Untersuchung auszusetzen und einem der Beteiligten zur Erhebung der Zivilklage eine Frist zu bestimmen oder das Urteil des Zivilgerichts abzuwarten.</w:t>
      </w:r>
    </w:p>
    <w:p>
      <w:pPr>
        <w:pStyle w:val="Heading3"/>
      </w:pPr>
      <w:bookmarkStart w:id="411" w:name="b410"/>
      <w:r>
        <w:t>§ 263 Abstimmung</w:t>
      </w:r>
      <w:r>
        <w:t xml:space="preserve"> </w:t>
      </w:r>
      <w:r>
        <w:rPr>
          <w:rStyle w:val="Suchmarke"/>
        </w:rPr>
        <w:t>#263#</w:t>
      </w:r>
      <w:bookmarkEnd w:id="411"/>
    </w:p>
    <w:p>
      <w:r>
        <w:t>(1) Zu jeder dem Angeklagten nachteiligen Entscheidung über die Schuldfrage und die Rechtsfolgen der Tat ist eine Mehrheit von zwei Dritteln der Stimmen erforderlich.</w:t>
      </w:r>
    </w:p>
    <w:p>
      <w:r>
        <w:t>(2) Die Schuldfrage umfaßt auch solche vom Strafgesetz besonders vorgesehene Umstände, welche die Strafbarkeit ausschließen, vermindern oder erhöhen.</w:t>
      </w:r>
    </w:p>
    <w:p>
      <w:r>
        <w:t>(3) Die Schuldfrage umfaßt nicht die Voraussetzungen der Verjährung.</w:t>
      </w:r>
    </w:p>
    <w:p>
      <w:pPr>
        <w:pStyle w:val="Heading3"/>
      </w:pPr>
      <w:bookmarkStart w:id="412" w:name="b411"/>
      <w:r>
        <w:t>§ 264 Gegenstand des Urteils</w:t>
      </w:r>
      <w:r>
        <w:t xml:space="preserve"> </w:t>
      </w:r>
      <w:r>
        <w:rPr>
          <w:rStyle w:val="Suchmarke"/>
        </w:rPr>
        <w:t>#264#</w:t>
      </w:r>
      <w:bookmarkEnd w:id="412"/>
    </w:p>
    <w:p>
      <w:r>
        <w:t>(1) Gegenstand der Urteilsfindung ist die in der Anklage bezeichnete Tat, wie sie sich nach dem Ergebnis der Verhandlung darstellt.</w:t>
      </w:r>
    </w:p>
    <w:p>
      <w:r>
        <w:t>(2) Das Gericht ist an die Beurteilung der Tat, die dem Beschluß über die Eröffnung des Hauptverfahrens zugrunde liegt, nicht gebunden.</w:t>
      </w:r>
    </w:p>
    <w:p>
      <w:pPr>
        <w:pStyle w:val="Heading3"/>
      </w:pPr>
      <w:bookmarkStart w:id="413" w:name="b412"/>
      <w:r>
        <w:t>§ 265 Veränderung des rechtlichen Gesichtspunktes oder der Sachlage</w:t>
      </w:r>
      <w:r>
        <w:t xml:space="preserve"> </w:t>
      </w:r>
      <w:r>
        <w:rPr>
          <w:rStyle w:val="Suchmarke"/>
        </w:rPr>
        <w:t>#265#</w:t>
      </w:r>
      <w:bookmarkEnd w:id="413"/>
    </w:p>
    <w:p>
      <w:r>
        <w:t>(1) Der Angeklagte darf nicht auf Grund eines anderen als des in der gerichtlich zugelassenen Anklage angeführten Strafgesetzes verurteilt werden, ohne daß er zuvor auf die Veränderung des rechtlichen Gesichtspunktes besonders hingewiesen und ihm Gelegenheit zur Verteidigung gegeben worden ist.</w:t>
      </w:r>
    </w:p>
    <w:p>
      <w:r>
        <w:t>(2) Ebenso ist zu verfahren, wenn</w:t>
      </w:r>
    </w:p>
    <w:p>
      <w:pPr>
        <w:tabs>
          <w:tab w:pos="567" w:val="left"/>
        </w:tabs>
        <w:ind w:left="567" w:hanging="567"/>
      </w:pPr>
      <w:r>
        <w:t>1.</w:t>
      </w:r>
      <w:r>
        <w:tab/>
      </w:r>
      <w:r>
        <w:t>sich erst in der Verhandlung vom Strafgesetz besonders vorgesehene Umstände ergeben, welche die Strafbarkeit erhöhen oder die Anordnung einer Maßnahme oder die Verhängung einer Nebenstrafe oder Nebenfolge rechtfertigen,</w:t>
      </w:r>
    </w:p>
    <w:p>
      <w:pPr>
        <w:tabs>
          <w:tab w:pos="567" w:val="left"/>
        </w:tabs>
        <w:ind w:left="567" w:hanging="567"/>
      </w:pPr>
      <w:r>
        <w:t>2.</w:t>
      </w:r>
      <w:r>
        <w:tab/>
      </w:r>
      <w:r>
        <w:t>das Gericht von einer in der Verhandlung mitgeteilten vorläufigen Bewertung der Sach- oder Rechtslage abweichen will oder</w:t>
      </w:r>
    </w:p>
    <w:p>
      <w:pPr>
        <w:tabs>
          <w:tab w:pos="567" w:val="left"/>
        </w:tabs>
        <w:ind w:left="567" w:hanging="567"/>
      </w:pPr>
      <w:r>
        <w:t>3.</w:t>
      </w:r>
      <w:r>
        <w:tab/>
      </w:r>
      <w:r>
        <w:t>der Hinweis auf eine veränderte Sachlage zur genügenden Verteidigung des Angeklagten erforderlich ist.</w:t>
      </w:r>
    </w:p>
    <w:p>
      <w:r>
        <w:t>(3) Bestreitet der Angeklagte unter der Behauptung, auf die Verteidigung nicht genügend vorbereitet zu sein, neu hervorgetretene Umstände, welche die Anwendung eines schwereren Strafgesetzes gegen den Angeklagten zulassen als des in der gerichtlich zugelassenen Anklage angeführten oder die zu den in Absatz 2 Nummer 1 bezeichneten gehören, so ist auf seinen Antrag die Hauptverhandlung auszusetzen.</w:t>
      </w:r>
    </w:p>
    <w:p>
      <w:r>
        <w:t>(4) Auch sonst hat das Gericht auf Antrag oder von Amts wegen die Hauptverhandlung auszusetzen, falls dies infolge der veränderten Sachlage zur genügenden Vorbereitung der Anklage oder der Verteidigung angemessen erscheint.</w:t>
      </w:r>
    </w:p>
    <w:p>
      <w:pPr>
        <w:pStyle w:val="Heading3"/>
      </w:pPr>
      <w:bookmarkStart w:id="414" w:name="b413"/>
      <w:r>
        <w:t>§ 265a Befragung des Angeklagten vor Erteilung von Auflagen oder Weisungen</w:t>
      </w:r>
      <w:r>
        <w:t xml:space="preserve"> </w:t>
      </w:r>
      <w:r>
        <w:rPr>
          <w:rStyle w:val="Suchmarke"/>
        </w:rPr>
        <w:t>#265a#</w:t>
      </w:r>
      <w:bookmarkEnd w:id="414"/>
    </w:p>
    <w:p>
      <w:r>
        <w:rPr>
          <w:rStyle w:val="Satznummer"/>
        </w:rPr>
        <w:t>1</w:t>
      </w:r>
      <w:r>
        <w:t xml:space="preserve">Kommen Auflagen oder Weisungen (§§ 56b, 56c, 59a Abs. 2 des Strafgesetzbuches) in Betracht, so ist der Angeklagte in geeigneten Fällen zu befragen, ob er sich zu Leistungen erbietet, die der Genugtuung für das begangene Unrecht dienen, oder Zusagen für seine künftige Lebensführung macht. </w:t>
      </w:r>
      <w:r>
        <w:rPr>
          <w:rStyle w:val="Satznummer"/>
        </w:rPr>
        <w:t>2</w:t>
      </w:r>
      <w:r>
        <w:t>Kommt die Weisung in Betracht, sich einer Heilbehandlung oder einer Entziehungskur zu unterziehen oder in einem geeigneten Heim oder einer geeigneten Anstalt Aufenthalt zu nehmen, so ist er zu befragen, ob er hierzu seine Einwilligung gibt.</w:t>
      </w:r>
    </w:p>
    <w:p>
      <w:pPr>
        <w:pStyle w:val="Heading3"/>
      </w:pPr>
      <w:bookmarkStart w:id="415" w:name="b414"/>
      <w:r>
        <w:t>§ 266 Nachtragsanklage</w:t>
      </w:r>
      <w:r>
        <w:t xml:space="preserve"> </w:t>
      </w:r>
      <w:r>
        <w:rPr>
          <w:rStyle w:val="Suchmarke"/>
        </w:rPr>
        <w:t>#266#</w:t>
      </w:r>
      <w:bookmarkEnd w:id="415"/>
    </w:p>
    <w:p>
      <w:r>
        <w:t>(1) Erstreckt der Staatsanwalt in der Hauptverhandlung die Anklage auf weitere Straftaten des Angeklagten, so kann das Gericht sie durch Beschluß in das Verfahren einbeziehen, wenn es für sie zuständig ist und der Angeklagte zustimmt.</w:t>
      </w:r>
    </w:p>
    <w:p>
      <w:r>
        <w:t xml:space="preserve">(2) </w:t>
      </w:r>
      <w:r>
        <w:rPr>
          <w:rStyle w:val="Satznummer"/>
        </w:rPr>
        <w:t>1</w:t>
      </w:r>
      <w:r>
        <w:t xml:space="preserve">Die Nachtragsanklage kann mündlich erhoben werden. </w:t>
      </w:r>
      <w:r>
        <w:rPr>
          <w:rStyle w:val="Satznummer"/>
        </w:rPr>
        <w:t>2</w:t>
      </w:r>
      <w:r>
        <w:t xml:space="preserve">Ihr Inhalt entspricht dem </w:t>
      </w:r>
      <w:hyperlink w:anchor="b327" w:history="1">
        <w:r>
          <w:rPr>
            <w:color w:val="0A3A8C"/>
            <w:u w:val="single"/>
          </w:rPr>
          <w:t xml:space="preserve">§ 200</w:t>
        </w:r>
      </w:hyperlink>
      <w:r>
        <w:t xml:space="preserve"> Abs. 1. </w:t>
      </w:r>
      <w:r>
        <w:rPr>
          <w:rStyle w:val="Satznummer"/>
        </w:rPr>
        <w:t>3</w:t>
      </w:r>
      <w:r>
        <w:t xml:space="preserve">Sie wird in das Sitzungsprotokoll aufgenommen. </w:t>
      </w:r>
      <w:r>
        <w:rPr>
          <w:rStyle w:val="Satznummer"/>
        </w:rPr>
        <w:t>4</w:t>
      </w:r>
      <w:r>
        <w:t>Der Vorsitzende gibt dem Angeklagten Gelegenheit, sich zu verteidigen.</w:t>
      </w:r>
    </w:p>
    <w:p>
      <w:r>
        <w:t xml:space="preserve">(3) </w:t>
      </w:r>
      <w:r>
        <w:rPr>
          <w:rStyle w:val="Satznummer"/>
        </w:rPr>
        <w:t>1</w:t>
      </w:r>
      <w:r>
        <w:t xml:space="preserve">Die Verhandlung wird unterbrochen, wenn es der Vorsitzende für erforderlich hält oder wenn der Angeklagte es beantragt und sein Antrag nicht offenbar mutwillig oder nur zur Verzögerung des Verfahrens gestellt ist. </w:t>
      </w:r>
      <w:r>
        <w:rPr>
          <w:rStyle w:val="Satznummer"/>
        </w:rPr>
        <w:t>2</w:t>
      </w:r>
      <w:r>
        <w:t>Auf das Recht, die Unterbrechung zu beantragen, wird der Angeklagte hingewiesen.</w:t>
      </w:r>
    </w:p>
    <w:p>
      <w:pPr>
        <w:pStyle w:val="Heading3"/>
      </w:pPr>
      <w:bookmarkStart w:id="416" w:name="b415"/>
      <w:r>
        <w:t>§ 267 Urteilsgründe</w:t>
      </w:r>
      <w:r>
        <w:t xml:space="preserve"> </w:t>
      </w:r>
      <w:r>
        <w:rPr>
          <w:rStyle w:val="Suchmarke"/>
        </w:rPr>
        <w:t>#267#</w:t>
      </w:r>
      <w:bookmarkEnd w:id="416"/>
    </w:p>
    <w:p>
      <w:r>
        <w:t xml:space="preserve">(1) </w:t>
      </w:r>
      <w:r>
        <w:rPr>
          <w:rStyle w:val="Satznummer"/>
        </w:rPr>
        <w:t>1</w:t>
      </w:r>
      <w:r>
        <w:t xml:space="preserve">Wird der Angeklagte verurteilt, so müssen die Urteilsgründe die für erwiesen erachteten Tatsachen angeben, in denen die gesetzlichen Merkmale der Straftat gefunden werden. </w:t>
      </w:r>
      <w:r>
        <w:rPr>
          <w:rStyle w:val="Satznummer"/>
        </w:rPr>
        <w:t>2</w:t>
      </w:r>
      <w:r>
        <w:t xml:space="preserve">Soweit der Beweis aus anderen Tatsachen gefolgert wird, sollen auch diese Tatsachen angegeben werden. </w:t>
      </w:r>
      <w:r>
        <w:rPr>
          <w:rStyle w:val="Satznummer"/>
        </w:rPr>
        <w:t>3</w:t>
      </w:r>
      <w:r>
        <w:t>Auf Abbildungen, die sich bei den Akten befinden, kann hierbei wegen der Einzelheiten verwiesen werden.</w:t>
      </w:r>
    </w:p>
    <w:p>
      <w:r>
        <w:t>(2) Waren in der Verhandlung vom Strafgesetz besonders vorgesehene Umstände behauptet worden, welche die Strafbarkeit ausschließen, vermindern oder erhöhen, so müssen die Urteilsgründe sich darüber aussprechen, ob diese Umstände für festgestellt oder für nicht festgestellt erachtet werden.</w:t>
      </w:r>
    </w:p>
    <w:p>
      <w:r>
        <w:t xml:space="preserve">(3) </w:t>
      </w:r>
      <w:r>
        <w:rPr>
          <w:rStyle w:val="Satznummer"/>
        </w:rPr>
        <w:t>1</w:t>
      </w:r>
      <w:r>
        <w:t xml:space="preserve">Die Gründe des Strafurteils müssen ferner das zur Anwendung gebrachte Strafgesetz bezeichnen und die Umstände anführen, die für die Zumessung der Strafe bestimmend gewesen sind. </w:t>
      </w:r>
      <w:r>
        <w:rPr>
          <w:rStyle w:val="Satznummer"/>
        </w:rPr>
        <w:t>2</w:t>
      </w:r>
      <w:r>
        <w:t xml:space="preserve">Macht das Strafgesetz Milderungen von dem Vorliegen minder schwerer Fälle abhängig, so müssen die Urteilsgründe ergeben, weshalb diese Umstände angenommen oder einem in der Verhandlung gestellten Antrag entgegen verneint werden; dies gilt entsprechend für die Verhängung einer Freiheitsstrafe in den Fällen des § 47 des Strafgesetzbuches. </w:t>
      </w:r>
      <w:r>
        <w:rPr>
          <w:rStyle w:val="Satznummer"/>
        </w:rPr>
        <w:t>3</w:t>
      </w:r>
      <w:r>
        <w:t xml:space="preserve">Die Urteilsgründe müssen auch ergeben, weshalb ein besonders schwerer Fall nicht angenommen wird, wenn die Voraussetzungen erfüllt sind, unter denen nach dem Strafgesetz in der Regel ein solcher Fall vorliegt; liegen diese Voraussetzungen nicht vor, wird aber gleichwohl ein besonders schwerer Fall angenommen, so gilt Satz 2 entsprechend. </w:t>
      </w:r>
      <w:r>
        <w:rPr>
          <w:rStyle w:val="Satznummer"/>
        </w:rPr>
        <w:t>4</w:t>
      </w:r>
      <w:r>
        <w:t xml:space="preserve">Die Urteilsgründe müssen ferner ergeben, weshalb die Strafe zur Bewährung ausgesetzt oder einem in der Verhandlung gestellten Antrag entgegen nicht ausgesetzt worden ist; dies gilt entsprechend für die Verwarnung mit Strafvorbehalt und das Absehen von Strafe. </w:t>
      </w:r>
      <w:r>
        <w:rPr>
          <w:rStyle w:val="Satznummer"/>
        </w:rPr>
        <w:t>5</w:t>
      </w:r>
      <w:r>
        <w:t>Ist dem Urteil eine Verständigung (</w:t>
      </w:r>
      <w:hyperlink w:anchor="b404" w:history="1">
        <w:r>
          <w:rPr>
            <w:color w:val="0A3A8C"/>
            <w:u w:val="single"/>
          </w:rPr>
          <w:t xml:space="preserve">§ 257c</w:t>
        </w:r>
      </w:hyperlink>
      <w:r>
        <w:t>) vorausgegangen, ist auch dies in den Urteilsgründen anzugeben.</w:t>
      </w:r>
    </w:p>
    <w:p>
      <w:r>
        <w:t xml:space="preserve">(4) </w:t>
      </w:r>
      <w:r>
        <w:rPr>
          <w:rStyle w:val="Satznummer"/>
        </w:rPr>
        <w:t>1</w:t>
      </w:r>
      <w:r>
        <w:t xml:space="preserve">Verzichten alle zur Anfechtung Berechtigten auf Rechtsmittel oder wird innerhalb der Frist kein Rechtsmittel eingelegt, so müssen die erwiesenen Tatsachen, in denen die gesetzlichen Merkmale der Straftat gefunden werden, und das angewendete Strafgesetz angegeben werden; bei Urteilen, die nur auf Geldstrafe lauten oder neben einer Geldstrafe ein Fahrverbot oder die Entziehung der Fahrerlaubnis und damit zusammen die Einziehung des Führerscheins anordnen, oder bei Verwarnungen mit Strafvorbehalt kann hierbei auf den zugelassenen Anklagesatz, auf die Anklage gemäß </w:t>
      </w:r>
      <w:hyperlink w:anchor="b608" w:history="1">
        <w:r>
          <w:rPr>
            <w:color w:val="0A3A8C"/>
            <w:u w:val="single"/>
          </w:rPr>
          <w:t xml:space="preserve">§ 418</w:t>
        </w:r>
      </w:hyperlink>
      <w:r>
        <w:t xml:space="preserve"> Abs. 3 Satz 2 oder den Strafbefehl sowie den Strafbefehlsantrag verwiesen werden. </w:t>
      </w:r>
      <w:r>
        <w:rPr>
          <w:rStyle w:val="Satznummer"/>
        </w:rPr>
        <w:t>2</w:t>
      </w:r>
      <w:r>
        <w:t xml:space="preserve">Absatz 3 Satz 5 gilt entsprechend. </w:t>
      </w:r>
      <w:r>
        <w:rPr>
          <w:rStyle w:val="Satznummer"/>
        </w:rPr>
        <w:t>3</w:t>
      </w:r>
      <w:r>
        <w:t xml:space="preserve">Den weiteren Inhalt der Urteilsgründe bestimmt das Gericht unter Berücksichtigung der Umstände des Einzelfalls nach seinem Ermessen. </w:t>
      </w:r>
      <w:r>
        <w:rPr>
          <w:rStyle w:val="Satznummer"/>
        </w:rPr>
        <w:t>4</w:t>
      </w:r>
      <w:r>
        <w:t xml:space="preserve">Die Urteilsgründe können innerhalb der in </w:t>
      </w:r>
      <w:hyperlink w:anchor="b427" w:history="1">
        <w:r>
          <w:rPr>
            <w:color w:val="0A3A8C"/>
            <w:u w:val="single"/>
          </w:rPr>
          <w:t xml:space="preserve">§ 275</w:t>
        </w:r>
      </w:hyperlink>
      <w:r>
        <w:t xml:space="preserve"> Abs. 1 Satz 2 vorgesehenen Frist ergänzt werden, wenn gegen die Versäumung der Frist zur Einlegung des Rechtsmittels Wiedereinsetzung in den vorigen Stand gewährt wird.</w:t>
      </w:r>
    </w:p>
    <w:p>
      <w:r>
        <w:t xml:space="preserve">(5) </w:t>
      </w:r>
      <w:r>
        <w:rPr>
          <w:rStyle w:val="Satznummer"/>
        </w:rPr>
        <w:t>1</w:t>
      </w:r>
      <w:r>
        <w:t xml:space="preserve">Wird der Angeklagte freigesprochen, so müssen die Urteilsgründe ergeben, ob der Angeklagte für nicht überführt oder ob und aus welchen Gründen die für erwiesen angenommene Tat für nicht strafbar erachtet worden ist. </w:t>
      </w:r>
      <w:r>
        <w:rPr>
          <w:rStyle w:val="Satznummer"/>
        </w:rPr>
        <w:t>2</w:t>
      </w:r>
      <w:r>
        <w:t xml:space="preserve">Verzichten alle zur Anfechtung Berechtigten auf Rechtsmittel oder wird innerhalb der Frist kein Rechtsmittel eingelegt, so braucht nur angegeben zu werden, ob die dem Angeklagten zur Last gelegte Straftat aus tatsächlichen oder rechtlichen Gründen nicht festgestellt worden ist. </w:t>
      </w:r>
      <w:r>
        <w:rPr>
          <w:rStyle w:val="Satznummer"/>
        </w:rPr>
        <w:t>3</w:t>
      </w:r>
      <w:r>
        <w:t>Absatz 4 Satz 4 ist anzuwenden.</w:t>
      </w:r>
    </w:p>
    <w:p>
      <w:r>
        <w:t xml:space="preserve">(6) </w:t>
      </w:r>
      <w:r>
        <w:rPr>
          <w:rStyle w:val="Satznummer"/>
        </w:rPr>
        <w:t>1</w:t>
      </w:r>
      <w:r>
        <w:t xml:space="preserve">Die Urteilsgründe müssen auch ergeben, weshalb eine Maßregel der Besserung und Sicherung angeordnet, eine Entscheidung über die Sicherungsverwahrung vorbehalten oder einem in der Verhandlung gestellten Antrag entgegen nicht angeordnet oder nicht vorbehalten worden ist. </w:t>
      </w:r>
      <w:r>
        <w:rPr>
          <w:rStyle w:val="Satznummer"/>
        </w:rPr>
        <w:t>2</w:t>
      </w:r>
      <w:r>
        <w:t>Ist die Fahrerlaubnis nicht entzogen oder eine Sperre nach § 69a Abs. 1 Satz 3 des Strafgesetzbuches nicht angeordnet worden, obwohl dies nach der Art der Straftat in Betracht kam, so müssen die Urteilsgründe stets ergeben, weshalb die Maßregel nicht angeordnet worden ist.</w:t>
      </w:r>
    </w:p>
    <w:p>
      <w:pPr>
        <w:pStyle w:val="Heading3"/>
      </w:pPr>
      <w:bookmarkStart w:id="417" w:name="b416"/>
      <w:r>
        <w:t>§ 268 Urteilsverkündung</w:t>
      </w:r>
      <w:r>
        <w:t xml:space="preserve"> </w:t>
      </w:r>
      <w:r>
        <w:rPr>
          <w:rStyle w:val="Suchmarke"/>
        </w:rPr>
        <w:t>#268#</w:t>
      </w:r>
      <w:bookmarkEnd w:id="417"/>
    </w:p>
    <w:p>
      <w:r>
        <w:t>(1) Das Urteil ergeht im Namen des Volkes.</w:t>
      </w:r>
    </w:p>
    <w:p>
      <w:r>
        <w:t xml:space="preserve">(2) </w:t>
      </w:r>
      <w:r>
        <w:rPr>
          <w:rStyle w:val="Satznummer"/>
        </w:rPr>
        <w:t>1</w:t>
      </w:r>
      <w:r>
        <w:t xml:space="preserve">Das Urteil wird durch Verlesung der Urteilsformel und Eröffnung der Urteilsgründe verkündet. </w:t>
      </w:r>
      <w:r>
        <w:rPr>
          <w:rStyle w:val="Satznummer"/>
        </w:rPr>
        <w:t>2</w:t>
      </w:r>
      <w:r>
        <w:t xml:space="preserve">Die Eröffnung der Urteilsgründe geschieht durch Verlesung oder durch mündliche Mitteilung ihres wesentlichen Inhalts. </w:t>
      </w:r>
      <w:r>
        <w:rPr>
          <w:rStyle w:val="Satznummer"/>
        </w:rPr>
        <w:t>3</w:t>
      </w:r>
      <w:r>
        <w:t xml:space="preserve">Bei der Entscheidung, ob die Urteilsgründe verlesen werden oder ihr wesentlicher Inhalt mündlich mitgeteilt wird, sowie im Fall der mündlichen Mitteilung des wesentlichen Inhalts der Urteilsgründe soll auf die schutzwürdigen Interessen von Prozessbeteiligten, Zeugen oder Verletzten Rücksicht genommen werden. </w:t>
      </w:r>
      <w:r>
        <w:rPr>
          <w:rStyle w:val="Satznummer"/>
        </w:rPr>
        <w:t>4</w:t>
      </w:r>
      <w:r>
        <w:t>Die Verlesung der Urteilsformel hat in jedem Falle der Mitteilung der Urteilsgründe voranzugehen.</w:t>
      </w:r>
    </w:p>
    <w:p>
      <w:r>
        <w:t xml:space="preserve">(3) </w:t>
      </w:r>
      <w:r>
        <w:rPr>
          <w:rStyle w:val="Satznummer"/>
        </w:rPr>
        <w:t>1</w:t>
      </w:r>
      <w:r>
        <w:t xml:space="preserve">Das Urteil soll am Schluß der Verhandlung verkündet werden. </w:t>
      </w:r>
      <w:r>
        <w:rPr>
          <w:rStyle w:val="Satznummer"/>
        </w:rPr>
        <w:t>2</w:t>
      </w:r>
      <w:r>
        <w:t xml:space="preserve">Es muß spätestens zwei Wochen danach verkündet werden, andernfalls mit der Hauptverhandlung von neuem zu beginnen ist. </w:t>
      </w:r>
      <w:r>
        <w:rPr>
          <w:rStyle w:val="Satznummer"/>
        </w:rPr>
        <w:t>3</w:t>
      </w:r>
      <w:hyperlink w:anchor="b365" w:history="1">
        <w:r>
          <w:rPr>
            <w:color w:val="0A3A8C"/>
            <w:u w:val="single"/>
          </w:rPr>
          <w:t xml:space="preserve">§ 229</w:t>
        </w:r>
      </w:hyperlink>
      <w:r>
        <w:t xml:space="preserve"> Absatz 3, 4 Satz 2 und Absatz 5 gilt entsprechend.</w:t>
      </w:r>
    </w:p>
    <w:p>
      <w:pPr>
        <w:pStyle w:val="Heading3"/>
      </w:pPr>
      <w:bookmarkStart w:id="418" w:name="b417"/>
      <w:r>
        <w:t>§ 268a Aussetzung der Vollstreckung von Strafen oder Maßregeln zur Bewährung</w:t>
      </w:r>
      <w:r>
        <w:t xml:space="preserve"> </w:t>
      </w:r>
      <w:r>
        <w:rPr>
          <w:rStyle w:val="Suchmarke"/>
        </w:rPr>
        <w:t>#268a#</w:t>
      </w:r>
      <w:bookmarkEnd w:id="418"/>
    </w:p>
    <w:p>
      <w:r>
        <w:t>(1) Wird in dem Urteil die Strafe zur Bewährung ausgesetzt oder der Angeklagte mit Strafvorbehalt verwarnt, so trifft das Gericht die in den §§ 56a bis 56d und 59a des Strafgesetzbuches bezeichneten Entscheidungen durch Beschluß; dieser ist mit dem Urteil zu verkünden.</w:t>
      </w:r>
    </w:p>
    <w:p>
      <w:r>
        <w:t>(2) Absatz 1 gilt entsprechend, wenn in dem Urteil eine Maßregel der Besserung und Sicherung zur Bewährung ausgesetzt oder neben der Strafe Führungsaufsicht angeordnet wird und das Gericht Entscheidungen nach den §§ 68a bis 68c des Strafgesetzbuches trifft.</w:t>
      </w:r>
    </w:p>
    <w:p>
      <w:r>
        <w:t xml:space="preserve">(3) </w:t>
      </w:r>
      <w:r>
        <w:rPr>
          <w:rStyle w:val="Satznummer"/>
        </w:rPr>
        <w:t>1</w:t>
      </w:r>
      <w:r>
        <w:t xml:space="preserve">Der Vorsitzende belehrt den Angeklagten über die Bedeutung der Aussetzung der Strafe oder Maßregel zur Bewährung, der Verwarnung mit Strafvorbehalt oder der Führungsaufsicht, über die Dauer der Bewährungszeit oder der Führungsaufsicht, über die Auflagen und Weisungen sowie über die Möglichkeit des Widerrufs der Aussetzung oder der Verurteilung zu der vorbehaltenen Strafe (§ 56f Abs. 1, §§ 59b, 67g Abs. 1 des Strafgesetzbuches). </w:t>
      </w:r>
      <w:r>
        <w:rPr>
          <w:rStyle w:val="Satznummer"/>
        </w:rPr>
        <w:t>2</w:t>
      </w:r>
      <w:r>
        <w:t xml:space="preserve">Erteilt das Gericht dem Angeklagten Weisungen nach § 68b Abs. 1 des Strafgesetzbuches, so belehrt der Vorsitzende ihn auch über die Möglichkeit einer Bestrafung nach § 145a des Strafgesetzbuches. </w:t>
      </w:r>
      <w:r>
        <w:rPr>
          <w:rStyle w:val="Satznummer"/>
        </w:rPr>
        <w:t>3</w:t>
      </w:r>
      <w:r>
        <w:t xml:space="preserve">Die Belehrung ist in der Regel im Anschluß an die Verkündung des Beschlusses nach den Absätzen 1 oder 2 zu erteilen. </w:t>
      </w:r>
      <w:r>
        <w:rPr>
          <w:rStyle w:val="Satznummer"/>
        </w:rPr>
        <w:t>4</w:t>
      </w:r>
      <w:r>
        <w:t>Wird die Unterbringung in einem psychiatrischen Krankenhaus zur Bewährung ausgesetzt, so kann der Vorsitzende von der Belehrung über die Möglichkeit des Widerrufs der Aussetzung absehen.</w:t>
      </w:r>
    </w:p>
    <w:p>
      <w:pPr>
        <w:pStyle w:val="Heading3"/>
      </w:pPr>
      <w:bookmarkStart w:id="419" w:name="b418"/>
      <w:r>
        <w:t>§ 268b Beschluss über die Fortdauer der Untersuchungshaft</w:t>
      </w:r>
      <w:r>
        <w:t xml:space="preserve"> </w:t>
      </w:r>
      <w:r>
        <w:rPr>
          <w:rStyle w:val="Suchmarke"/>
        </w:rPr>
        <w:t>#268b#</w:t>
      </w:r>
      <w:bookmarkEnd w:id="419"/>
    </w:p>
    <w:p>
      <w:r>
        <w:rPr>
          <w:rStyle w:val="Satznummer"/>
        </w:rPr>
        <w:t>1</w:t>
      </w:r>
      <w:r>
        <w:t xml:space="preserve">Bei der Urteilsfällung ist zugleich von Amts wegen über die Fortdauer der Untersuchungshaft oder einstweiligen Unterbringung zu entscheiden. </w:t>
      </w:r>
      <w:r>
        <w:rPr>
          <w:rStyle w:val="Satznummer"/>
        </w:rPr>
        <w:t>2</w:t>
      </w:r>
      <w:r>
        <w:t>Der Beschluß ist mit dem Urteil zu verkünden.</w:t>
      </w:r>
    </w:p>
    <w:p>
      <w:pPr>
        <w:pStyle w:val="Heading3"/>
      </w:pPr>
      <w:bookmarkStart w:id="420" w:name="b419"/>
      <w:r>
        <w:t>§ 268c Belehrung bei Anordnung eines Fahrverbots</w:t>
      </w:r>
      <w:r>
        <w:t xml:space="preserve"> </w:t>
      </w:r>
      <w:r>
        <w:rPr>
          <w:rStyle w:val="Suchmarke"/>
        </w:rPr>
        <w:t>#268c#</w:t>
      </w:r>
      <w:bookmarkEnd w:id="420"/>
    </w:p>
    <w:p>
      <w:r>
        <w:rPr>
          <w:rStyle w:val="Satznummer"/>
        </w:rPr>
        <w:t>1</w:t>
      </w:r>
      <w:r>
        <w:t xml:space="preserve">Wird in dem Urteil ein Fahrverbot angeordnet, so belehrt der Vorsitzende den Angeklagten in den Fällen des § 44 Absatz 3 Satz 1 und 2 des Strafgesetzbuches über den Beginn der Verbotsfrist. </w:t>
      </w:r>
      <w:r>
        <w:rPr>
          <w:rStyle w:val="Satznummer"/>
        </w:rPr>
        <w:t>2</w:t>
      </w:r>
      <w:r>
        <w:t xml:space="preserve">Die Belehrung wird im Anschluß an die Urteilsverkündung erteilt. </w:t>
      </w:r>
      <w:r>
        <w:rPr>
          <w:rStyle w:val="Satznummer"/>
        </w:rPr>
        <w:t>3</w:t>
      </w:r>
      <w:r>
        <w:t>Ergeht das Urteil in Abwesenheit des Angeklagten, so ist er schriftlich zu belehren.</w:t>
      </w:r>
    </w:p>
    <w:p>
      <w:pPr>
        <w:pStyle w:val="Heading3"/>
      </w:pPr>
      <w:bookmarkStart w:id="421" w:name="b420"/>
      <w:r>
        <w:t>§ 268d Belehrung bei vorbehaltener Sicherungsverwahrung</w:t>
      </w:r>
      <w:r>
        <w:t xml:space="preserve"> </w:t>
      </w:r>
      <w:r>
        <w:rPr>
          <w:rStyle w:val="Suchmarke"/>
        </w:rPr>
        <w:t>#268d#</w:t>
      </w:r>
      <w:bookmarkEnd w:id="421"/>
    </w:p>
    <w:p>
      <w:r>
        <w:t>Ist in dem Urteil die Anordnung der Sicherungsverwahrung nach § 66a Absatz 1 oder 2 des Strafgesetzbuches vorbehalten, so belehrt der Vorsitzende den Angeklagten über die Bedeutung des Vorbehalts sowie über den Zeitraum, auf den sich der Vorbehalt erstreckt.</w:t>
      </w:r>
    </w:p>
    <w:p>
      <w:pPr>
        <w:pStyle w:val="Heading3"/>
      </w:pPr>
      <w:bookmarkStart w:id="422" w:name="b421"/>
      <w:r>
        <w:t>§ 269 Verbot der Verweisung bei Zuständigkeit eines Gerichts niederer Ordnung</w:t>
      </w:r>
      <w:r>
        <w:t xml:space="preserve"> </w:t>
      </w:r>
      <w:r>
        <w:rPr>
          <w:rStyle w:val="Suchmarke"/>
        </w:rPr>
        <w:t>#269#</w:t>
      </w:r>
      <w:bookmarkEnd w:id="422"/>
    </w:p>
    <w:p>
      <w:r>
        <w:t>Das Gericht darf sich nicht für unzuständig erklären, weil die Sache vor ein Gericht niederer Ordnung gehöre.</w:t>
      </w:r>
    </w:p>
    <w:p>
      <w:pPr>
        <w:pStyle w:val="Heading3"/>
      </w:pPr>
      <w:bookmarkStart w:id="423" w:name="b422"/>
      <w:r>
        <w:t>§ 270 Verweisung bei Zuständigkeit eines Gerichts höherer Ordnung</w:t>
      </w:r>
      <w:r>
        <w:t xml:space="preserve"> </w:t>
      </w:r>
      <w:r>
        <w:rPr>
          <w:rStyle w:val="Suchmarke"/>
        </w:rPr>
        <w:t>#270#</w:t>
      </w:r>
      <w:bookmarkEnd w:id="423"/>
    </w:p>
    <w:p>
      <w:r>
        <w:t xml:space="preserve">(1) </w:t>
      </w:r>
      <w:r>
        <w:rPr>
          <w:rStyle w:val="Satznummer"/>
        </w:rPr>
        <w:t>1</w:t>
      </w:r>
      <w:r>
        <w:t xml:space="preserve">Hält ein Gericht nach Beginn einer Hauptverhandlung die sachliche Zuständigkeit eines Gerichts höherer Ordnung für begründet, so verweist es die Sache durch Beschluß an das zuständige Gericht; § 209a Nr. 2 Buchstabe a gilt entsprechend. </w:t>
      </w:r>
      <w:r>
        <w:rPr>
          <w:rStyle w:val="Satznummer"/>
        </w:rPr>
        <w:t>2</w:t>
      </w:r>
      <w:r>
        <w:t xml:space="preserve">Ebenso ist zu verfahren, wenn das Gericht einen rechtzeitig geltend gemachten Einwand des Angeklagten nach </w:t>
      </w:r>
      <w:hyperlink w:anchor="b8" w:history="1">
        <w:r>
          <w:rPr>
            <w:color w:val="0A3A8C"/>
            <w:u w:val="single"/>
          </w:rPr>
          <w:t xml:space="preserve">§ 6a</w:t>
        </w:r>
      </w:hyperlink>
      <w:r>
        <w:t xml:space="preserve"> für begründet hält.</w:t>
      </w:r>
    </w:p>
    <w:p>
      <w:r>
        <w:t xml:space="preserve">(2) In dem Beschluß bezeichnet das Gericht den Angeklagten und die Tat gemäß </w:t>
      </w:r>
      <w:hyperlink w:anchor="b327" w:history="1">
        <w:r>
          <w:rPr>
            <w:color w:val="0A3A8C"/>
            <w:u w:val="single"/>
          </w:rPr>
          <w:t xml:space="preserve">§ 200</w:t>
        </w:r>
      </w:hyperlink>
      <w:r>
        <w:t xml:space="preserve"> Abs. 1 Satz 1.</w:t>
      </w:r>
    </w:p>
    <w:p>
      <w:r>
        <w:t xml:space="preserve">(3) </w:t>
      </w:r>
      <w:r>
        <w:rPr>
          <w:rStyle w:val="Satznummer"/>
        </w:rPr>
        <w:t>1</w:t>
      </w:r>
      <w:r>
        <w:t xml:space="preserve">Der Beschluß hat die Wirkung eines das Hauptverfahren eröffnenden Beschlusses. </w:t>
      </w:r>
      <w:r>
        <w:rPr>
          <w:rStyle w:val="Satznummer"/>
        </w:rPr>
        <w:t>2</w:t>
      </w:r>
      <w:r>
        <w:t xml:space="preserve">Seine Anfechtbarkeit bestimmt sich nach </w:t>
      </w:r>
      <w:hyperlink w:anchor="b341" w:history="1">
        <w:r>
          <w:rPr>
            <w:color w:val="0A3A8C"/>
            <w:u w:val="single"/>
          </w:rPr>
          <w:t xml:space="preserve">§ 210</w:t>
        </w:r>
      </w:hyperlink>
      <w:r>
        <w:t>.</w:t>
      </w:r>
    </w:p>
    <w:p>
      <w:r>
        <w:t xml:space="preserve">(4) </w:t>
      </w:r>
      <w:r>
        <w:rPr>
          <w:rStyle w:val="Satznummer"/>
        </w:rPr>
        <w:t>1</w:t>
      </w:r>
      <w:r>
        <w:t xml:space="preserve">Ist der Verweisungsbeschluß von einem Strafrichter oder einem Schöffengericht ergangen, so kann der Angeklagte innerhalb einer bei der Bekanntmachung des Beschlusses zu bestimmenden Frist die Vornahme einzelner Beweiserhebungen vor der Hauptverhandlung beantragen. </w:t>
      </w:r>
      <w:r>
        <w:rPr>
          <w:rStyle w:val="Satznummer"/>
        </w:rPr>
        <w:t>2</w:t>
      </w:r>
      <w:r>
        <w:t>Über den Antrag entscheidet der Vorsitzende des Gerichts, an das die Sache verwiesen worden ist.</w:t>
      </w:r>
    </w:p>
    <w:p>
      <w:pPr>
        <w:pStyle w:val="Heading3"/>
      </w:pPr>
      <w:bookmarkStart w:id="424" w:name="b423"/>
      <w:r>
        <w:t>§ 271 Hauptverhandlungsprotokoll</w:t>
      </w:r>
      <w:r>
        <w:t xml:space="preserve"> </w:t>
      </w:r>
      <w:r>
        <w:rPr>
          <w:rStyle w:val="Suchmarke"/>
        </w:rPr>
        <w:t>#271#</w:t>
      </w:r>
      <w:bookmarkEnd w:id="424"/>
    </w:p>
    <w:p>
      <w:r>
        <w:t xml:space="preserve">(1) </w:t>
      </w:r>
      <w:r>
        <w:rPr>
          <w:rStyle w:val="Satznummer"/>
        </w:rPr>
        <w:t>1</w:t>
      </w:r>
      <w:r>
        <w:t xml:space="preserve">Über die Hauptverhandlung ist ein Protokoll aufzunehmen und von dem Vorsitzenden und dem Urkundsbeamten der Geschäftsstelle, soweit dieser in der Hauptverhandlung anwesend war, zu unterschreiben. </w:t>
      </w:r>
      <w:r>
        <w:rPr>
          <w:rStyle w:val="Satznummer"/>
        </w:rPr>
        <w:t>2</w:t>
      </w:r>
      <w:r>
        <w:t>Der Tag der Fertigstellung ist darin anzugeben oder aktenkundig zu machen.</w:t>
      </w:r>
    </w:p>
    <w:p>
      <w:r>
        <w:t xml:space="preserve">(2) </w:t>
      </w:r>
      <w:r>
        <w:rPr>
          <w:rStyle w:val="Satznummer"/>
        </w:rPr>
        <w:t>1</w:t>
      </w:r>
      <w:r>
        <w:t xml:space="preserve">Ist der Vorsitzende verhindert, so unterschreibt für ihn der älteste beisitzende Richter. </w:t>
      </w:r>
      <w:r>
        <w:rPr>
          <w:rStyle w:val="Satznummer"/>
        </w:rPr>
        <w:t>2</w:t>
      </w:r>
      <w:r>
        <w:t>Ist der Vorsitzende das einzige richterliche Mitglied des Gerichts, so genügt bei seiner Verhinderung die Unterschrift des Urkundsbeamten der Geschäftsstelle.</w:t>
      </w:r>
    </w:p>
    <w:p>
      <w:pPr>
        <w:pStyle w:val="Heading3"/>
      </w:pPr>
      <w:bookmarkStart w:id="425" w:name="b424"/>
      <w:r>
        <w:t>§ 272 Inhalt des Hauptverhandlungsprotokolls</w:t>
      </w:r>
      <w:r>
        <w:t xml:space="preserve"> </w:t>
      </w:r>
      <w:r>
        <w:rPr>
          <w:rStyle w:val="Suchmarke"/>
        </w:rPr>
        <w:t>#272#</w:t>
      </w:r>
      <w:bookmarkEnd w:id="425"/>
    </w:p>
    <w:p>
      <w:r>
        <w:t>Das Protokoll über die Hauptverhandlung enthält</w:t>
      </w:r>
    </w:p>
    <w:p>
      <w:pPr>
        <w:tabs>
          <w:tab w:pos="567" w:val="left"/>
        </w:tabs>
        <w:ind w:left="567" w:hanging="567"/>
      </w:pPr>
      <w:r>
        <w:t>1.</w:t>
      </w:r>
      <w:r>
        <w:tab/>
      </w:r>
      <w:r>
        <w:t>den Ort und den Tag der Verhandlung;</w:t>
      </w:r>
    </w:p>
    <w:p>
      <w:pPr>
        <w:tabs>
          <w:tab w:pos="567" w:val="left"/>
        </w:tabs>
        <w:ind w:left="567" w:hanging="567"/>
      </w:pPr>
      <w:r>
        <w:t>2.</w:t>
      </w:r>
      <w:r>
        <w:tab/>
      </w:r>
      <w:r>
        <w:t>die Namen der Richter und Schöffen, des Beamten der Staatsanwaltschaft, des Urkundsbeamten der Geschäftsstelle und des zugezogenen Dolmetschers;</w:t>
      </w:r>
    </w:p>
    <w:p>
      <w:pPr>
        <w:tabs>
          <w:tab w:pos="567" w:val="left"/>
        </w:tabs>
        <w:ind w:left="567" w:hanging="567"/>
      </w:pPr>
      <w:r>
        <w:t>3.</w:t>
      </w:r>
      <w:r>
        <w:tab/>
      </w:r>
      <w:r>
        <w:t>die Bezeichnung der Straftat nach der Anklage;</w:t>
      </w:r>
    </w:p>
    <w:p>
      <w:pPr>
        <w:tabs>
          <w:tab w:pos="567" w:val="left"/>
        </w:tabs>
        <w:ind w:left="567" w:hanging="567"/>
      </w:pPr>
      <w:r>
        <w:t>4.</w:t>
      </w:r>
      <w:r>
        <w:tab/>
      </w:r>
      <w:r>
        <w:t xml:space="preserve">die Namen der Angeklagten, ihrer Verteidiger, der Privatkläger, der Nebenkläger, der Anspruchsteller nach </w:t>
      </w:r>
      <w:hyperlink w:anchor="b574" w:history="1">
        <w:r>
          <w:rPr>
            <w:color w:val="0A3A8C"/>
            <w:u w:val="single"/>
          </w:rPr>
          <w:t xml:space="preserve">§ 403</w:t>
        </w:r>
      </w:hyperlink>
      <w:r>
        <w:t>, der sonstigen Nebenbeteiligten, der gesetzlichen Vertreter, der Bevollmächtigten und der Beistände;</w:t>
      </w:r>
    </w:p>
    <w:p>
      <w:pPr>
        <w:tabs>
          <w:tab w:pos="567" w:val="left"/>
        </w:tabs>
        <w:ind w:left="567" w:hanging="567"/>
      </w:pPr>
      <w:r>
        <w:t>5.</w:t>
      </w:r>
      <w:r>
        <w:tab/>
      </w:r>
      <w:r>
        <w:t>die Angabe, daß öffentlich verhandelt oder die Öffentlichkeit ausgeschlossen ist.</w:t>
      </w:r>
    </w:p>
    <w:p>
      <w:pPr>
        <w:pStyle w:val="Heading3"/>
      </w:pPr>
      <w:bookmarkStart w:id="426" w:name="b425"/>
      <w:r>
        <w:t>§ 273 Beurkundung der Hauptverhandlung</w:t>
      </w:r>
      <w:r>
        <w:t xml:space="preserve"> </w:t>
      </w:r>
      <w:r>
        <w:rPr>
          <w:rStyle w:val="Suchmarke"/>
        </w:rPr>
        <w:t>#273#</w:t>
      </w:r>
      <w:bookmarkEnd w:id="426"/>
    </w:p>
    <w:p>
      <w:r>
        <w:t xml:space="preserve">(1) </w:t>
      </w:r>
      <w:r>
        <w:rPr>
          <w:rStyle w:val="Satznummer"/>
        </w:rPr>
        <w:t>1</w:t>
      </w:r>
      <w:r>
        <w:t xml:space="preserve">Das Protokoll muß den Gang und die Ergebnisse der Hauptverhandlung im wesentlichen wiedergeben und die Beachtung aller wesentlichen Förmlichkeiten ersichtlich machen, auch die Bezeichnung der verlesenen Urkunden oder derjenigen, von deren Verlesung nach </w:t>
      </w:r>
      <w:hyperlink w:anchor="b392" w:history="1">
        <w:r>
          <w:rPr>
            <w:color w:val="0A3A8C"/>
            <w:u w:val="single"/>
          </w:rPr>
          <w:t xml:space="preserve">§ 249</w:t>
        </w:r>
      </w:hyperlink>
      <w:r>
        <w:t xml:space="preserve"> Abs. 2 abgesehen worden ist, sowie die im Laufe der Verhandlung gestellten Anträge, die ergangenen Entscheidungen und die Urteilsformel enthalten. </w:t>
      </w:r>
      <w:r>
        <w:rPr>
          <w:rStyle w:val="Satznummer"/>
        </w:rPr>
        <w:t>2</w:t>
      </w:r>
      <w:r>
        <w:t xml:space="preserve">In das Protokoll muss auch der wesentliche Ablauf und Inhalt einer Erörterung nach </w:t>
      </w:r>
      <w:hyperlink w:anchor="b403" w:history="1">
        <w:r>
          <w:rPr>
            <w:color w:val="0A3A8C"/>
            <w:u w:val="single"/>
          </w:rPr>
          <w:t xml:space="preserve">§ 257b</w:t>
        </w:r>
      </w:hyperlink>
      <w:r>
        <w:t xml:space="preserve"> aufgenommen werden.</w:t>
      </w:r>
    </w:p>
    <w:p>
      <w:r>
        <w:t xml:space="preserve">(1a) </w:t>
      </w:r>
      <w:r>
        <w:rPr>
          <w:rStyle w:val="Satznummer"/>
        </w:rPr>
        <w:t>1</w:t>
      </w:r>
      <w:r>
        <w:t xml:space="preserve">Das Protokoll muss auch den wesentlichen Ablauf und Inhalt sowie das Ergebnis einer Verständigung nach </w:t>
      </w:r>
      <w:hyperlink w:anchor="b404" w:history="1">
        <w:r>
          <w:rPr>
            <w:color w:val="0A3A8C"/>
            <w:u w:val="single"/>
          </w:rPr>
          <w:t xml:space="preserve">§ 257c</w:t>
        </w:r>
      </w:hyperlink>
      <w:r>
        <w:t xml:space="preserve"> wiedergeben. </w:t>
      </w:r>
      <w:r>
        <w:rPr>
          <w:rStyle w:val="Satznummer"/>
        </w:rPr>
        <w:t>2</w:t>
      </w:r>
      <w:r>
        <w:t xml:space="preserve">Gleiches gilt für die Beachtung der in </w:t>
      </w:r>
      <w:hyperlink w:anchor="b384" w:history="1">
        <w:r>
          <w:rPr>
            <w:color w:val="0A3A8C"/>
            <w:u w:val="single"/>
          </w:rPr>
          <w:t xml:space="preserve">§ 243</w:t>
        </w:r>
      </w:hyperlink>
      <w:r>
        <w:t xml:space="preserve"> Absatz 4, </w:t>
      </w:r>
      <w:hyperlink w:anchor="b404" w:history="1">
        <w:r>
          <w:rPr>
            <w:color w:val="0A3A8C"/>
            <w:u w:val="single"/>
          </w:rPr>
          <w:t xml:space="preserve">§ 257c</w:t>
        </w:r>
      </w:hyperlink>
      <w:r>
        <w:t xml:space="preserve"> Absatz 4 Satz 4 und Absatz 5 vorgeschriebenen Mitteilungen und Belehrungen. </w:t>
      </w:r>
      <w:r>
        <w:rPr>
          <w:rStyle w:val="Satznummer"/>
        </w:rPr>
        <w:t>3</w:t>
      </w:r>
      <w:r>
        <w:t>Hat eine Verständigung nicht stattgefunden, ist auch dies im Protokoll zu vermerken.</w:t>
      </w:r>
    </w:p>
    <w:p>
      <w:r>
        <w:t xml:space="preserve">(2) </w:t>
      </w:r>
      <w:r>
        <w:rPr>
          <w:rStyle w:val="Satznummer"/>
        </w:rPr>
        <w:t>1</w:t>
      </w:r>
      <w:r>
        <w:t xml:space="preserve">Aus der Hauptverhandlung vor dem Strafrichter und dem Schöffengericht sind außerdem die wesentlichen Ergebnisse der Vernehmungen in das Protokoll aufzunehmen; dies gilt nicht, wenn alle zur Anfechtung Berechtigten auf Rechtsmittel verzichten oder innerhalb der Frist kein Rechtsmittel eingelegt wird. </w:t>
      </w:r>
      <w:r>
        <w:rPr>
          <w:rStyle w:val="Satznummer"/>
        </w:rPr>
        <w:t>2</w:t>
      </w:r>
      <w:r>
        <w:t xml:space="preserve">Der Vorsitzende kann anordnen, dass anstelle der Aufnahme der wesentlichen Vernehmungsergebnisse in das Protokoll einzelne Vernehmungen im Zusammenhang als Tonaufzeichnung zur Akte genommen werden. </w:t>
      </w:r>
      <w:r>
        <w:rPr>
          <w:rStyle w:val="Satznummer"/>
        </w:rPr>
        <w:t>3</w:t>
      </w:r>
      <w:hyperlink w:anchor="b82" w:history="1">
        <w:r>
          <w:rPr>
            <w:color w:val="0A3A8C"/>
            <w:u w:val="single"/>
          </w:rPr>
          <w:t xml:space="preserve">§ 58a</w:t>
        </w:r>
      </w:hyperlink>
      <w:r>
        <w:t xml:space="preserve"> Abs. 2 Satz 1 und 3 bis 6 gilt entsprechend.</w:t>
      </w:r>
    </w:p>
    <w:p>
      <w:r>
        <w:t xml:space="preserve">(3) </w:t>
      </w:r>
      <w:r>
        <w:rPr>
          <w:rStyle w:val="Satznummer"/>
        </w:rPr>
        <w:t>1</w:t>
      </w:r>
      <w:r>
        <w:t xml:space="preserve">Kommt es auf die Feststellung eines Vorgangs in der Hauptverhandlung oder des Wortlauts einer Aussage oder einer Äußerung an, so hat der Vorsitzende von Amts wegen oder auf Antrag einer an der Verhandlung beteiligten Person die vollständige Protokollierung und Verlesung anzuordnen. </w:t>
      </w:r>
      <w:r>
        <w:rPr>
          <w:rStyle w:val="Satznummer"/>
        </w:rPr>
        <w:t>2</w:t>
      </w:r>
      <w:r>
        <w:t xml:space="preserve">Lehnt der Vorsitzende die Anordnung ab, so entscheidet auf Antrag einer an der Verhandlung beteiligten Person das Gericht. </w:t>
      </w:r>
      <w:r>
        <w:rPr>
          <w:rStyle w:val="Satznummer"/>
        </w:rPr>
        <w:t>3</w:t>
      </w:r>
      <w:r>
        <w:t>In dem Protokoll ist zu vermerken, daß die Verlesung geschehen und die Genehmigung erfolgt ist oder welche Einwendungen erhoben worden sind.</w:t>
      </w:r>
    </w:p>
    <w:p>
      <w:r>
        <w:t>(4) Bevor das Protokoll fertiggestellt ist, darf das Urteil nicht zugestellt werden.</w:t>
      </w:r>
    </w:p>
    <w:p>
      <w:pPr>
        <w:pStyle w:val="Heading3"/>
      </w:pPr>
      <w:bookmarkStart w:id="427" w:name="b426"/>
      <w:r>
        <w:t>§ 274 Beweiskraft des Protokolls</w:t>
      </w:r>
      <w:r>
        <w:t xml:space="preserve"> </w:t>
      </w:r>
      <w:r>
        <w:rPr>
          <w:rStyle w:val="Suchmarke"/>
        </w:rPr>
        <w:t>#274#</w:t>
      </w:r>
      <w:bookmarkEnd w:id="427"/>
    </w:p>
    <w:p>
      <w:r>
        <w:rPr>
          <w:rStyle w:val="Satznummer"/>
        </w:rPr>
        <w:t>1</w:t>
      </w:r>
      <w:r>
        <w:t xml:space="preserve">Die Beobachtung der für die Hauptverhandlung vorgeschriebenen Förmlichkeiten kann nur durch das Protokoll bewiesen werden. </w:t>
      </w:r>
      <w:r>
        <w:rPr>
          <w:rStyle w:val="Satznummer"/>
        </w:rPr>
        <w:t>2</w:t>
      </w:r>
      <w:r>
        <w:t>Gegen den diese Förmlichkeiten betreffenden Inhalt des Protokolls ist nur der Nachweis der Fälschung zulässig.</w:t>
      </w:r>
    </w:p>
    <w:p>
      <w:pPr>
        <w:pStyle w:val="Heading3"/>
      </w:pPr>
      <w:bookmarkStart w:id="428" w:name="b427"/>
      <w:r>
        <w:t>§ 275 Absetzungsfrist und Form des Urteils</w:t>
      </w:r>
      <w:r>
        <w:t xml:space="preserve"> </w:t>
      </w:r>
      <w:r>
        <w:rPr>
          <w:rStyle w:val="Suchmarke"/>
        </w:rPr>
        <w:t>#275#</w:t>
      </w:r>
      <w:bookmarkEnd w:id="428"/>
    </w:p>
    <w:p>
      <w:r>
        <w:t xml:space="preserve">(1) </w:t>
      </w:r>
      <w:r>
        <w:rPr>
          <w:rStyle w:val="Satznummer"/>
        </w:rPr>
        <w:t>1</w:t>
      </w:r>
      <w:r>
        <w:t xml:space="preserve">Ist das Urteil mit den Gründen nicht bereits vollständig in das Protokoll aufgenommen worden, so ist es unverzüglich zu den Akten zu bringen. </w:t>
      </w:r>
      <w:r>
        <w:rPr>
          <w:rStyle w:val="Satznummer"/>
        </w:rPr>
        <w:t>2</w:t>
      </w:r>
      <w:r>
        <w:t xml:space="preserve">Dies muß spätestens fünf Wochen nach der Verkündung geschehen; diese Frist verlängert sich, wenn die Hauptverhandlung länger als drei Tage gedauert hat, um zwei Wochen, und wenn die Hauptverhandlung länger als zehn Tage gedauert hat, für jeden begonnenen Abschnitt von zehn Hauptverhandlungstagen um weitere zwei Wochen. </w:t>
      </w:r>
      <w:r>
        <w:rPr>
          <w:rStyle w:val="Satznummer"/>
        </w:rPr>
        <w:t>3</w:t>
      </w:r>
      <w:r>
        <w:t xml:space="preserve">Nach Ablauf der Frist dürfen die Urteilsgründe nicht mehr geändert werden. </w:t>
      </w:r>
      <w:r>
        <w:rPr>
          <w:rStyle w:val="Satznummer"/>
        </w:rPr>
        <w:t>4</w:t>
      </w:r>
      <w:r>
        <w:t xml:space="preserve">Die Frist darf nur überschritten werden, wenn und solange das Gericht durch einen im Einzelfall nicht voraussehbaren unabwendbaren Umstand an ihrer Einhaltung gehindert worden ist. </w:t>
      </w:r>
      <w:r>
        <w:rPr>
          <w:rStyle w:val="Satznummer"/>
        </w:rPr>
        <w:t>5</w:t>
      </w:r>
      <w:r>
        <w:t>Der Zeitpunkt, zu dem das Urteil zu den Akten gebracht ist, und der Zeitpunkt einer Änderung der Gründe müssen aktenkundig sein.</w:t>
      </w:r>
    </w:p>
    <w:p>
      <w:r>
        <w:t xml:space="preserve">(2) </w:t>
      </w:r>
      <w:r>
        <w:rPr>
          <w:rStyle w:val="Satznummer"/>
        </w:rPr>
        <w:t>1</w:t>
      </w:r>
      <w:r>
        <w:t xml:space="preserve">Das Urteil ist von den Richtern, die bei der Entscheidung mitgewirkt haben, zu unterschreiben. </w:t>
      </w:r>
      <w:r>
        <w:rPr>
          <w:rStyle w:val="Satznummer"/>
        </w:rPr>
        <w:t>2</w:t>
      </w:r>
      <w:r>
        <w:t xml:space="preserve">Ist ein Richter verhindert, seine Unterschrift beizufügen, so wird dies unter der Angabe des Verhinderungsgrundes von dem Vorsitzenden und bei dessen Verhinderung von dem ältesten beisitzenden Richter unter dem Urteil vermerkt. </w:t>
      </w:r>
      <w:r>
        <w:rPr>
          <w:rStyle w:val="Satznummer"/>
        </w:rPr>
        <w:t>3</w:t>
      </w:r>
      <w:r>
        <w:t>Der Unterschrift der Schöffen bedarf es nicht.</w:t>
      </w:r>
    </w:p>
    <w:p>
      <w:r>
        <w:t>(3) Die Bezeichnung des Tages der Sitzung sowie die Namen der Richter, der Schöffen, des Beamten der Staatsanwaltschaft, des Verteidigers und des Urkundsbeamten der Geschäftsstelle, die an der Sitzung teilgenommen haben, sind in das Urteil aufzunehmen.</w:t>
      </w:r>
    </w:p>
    <w:p>
      <w:r>
        <w:t>(4) (weggefallen)</w:t>
      </w:r>
    </w:p>
    <w:p>
      <w:pPr>
        <w:pStyle w:val="Heading2"/>
      </w:pPr>
      <w:bookmarkStart w:id="429" w:name="b428"/>
      <w:r>
        <w:t>Siebter Abschnitt Entscheidung über die im Urteil vorbehaltene oder die nachträgliche Anordnung der Sicherungsverwahrung</w:t>
      </w:r>
      <w:bookmarkEnd w:id="429"/>
    </w:p>
    <w:p>
      <w:pPr>
        <w:pStyle w:val="Heading3"/>
      </w:pPr>
      <w:bookmarkStart w:id="430" w:name="b429"/>
      <w:r>
        <w:t>§ 275a Einleitung des Verfahrens; Hauptverhandlung; Unterbringungsbefehl</w:t>
      </w:r>
      <w:r>
        <w:t xml:space="preserve"> </w:t>
      </w:r>
      <w:r>
        <w:rPr>
          <w:rStyle w:val="Suchmarke"/>
        </w:rPr>
        <w:t>#275a#</w:t>
      </w:r>
      <w:bookmarkEnd w:id="430"/>
    </w:p>
    <w:p>
      <w:r>
        <w:t xml:space="preserve">(1) </w:t>
      </w:r>
      <w:r>
        <w:rPr>
          <w:rStyle w:val="Satznummer"/>
        </w:rPr>
        <w:t>1</w:t>
      </w:r>
      <w:r>
        <w:t xml:space="preserve">Ist im Urteil die Anordnung der Sicherungsverwahrung vorbehalten (§ 66a des Strafgesetzbuches), übersendet die Vollstreckungsbehörde die Akten rechtzeitig an die Staatsanwaltschaft des zuständigen Gerichts. </w:t>
      </w:r>
      <w:r>
        <w:rPr>
          <w:rStyle w:val="Satznummer"/>
        </w:rPr>
        <w:t>2</w:t>
      </w:r>
      <w:r>
        <w:t xml:space="preserve">Diese übergibt die Akten so rechtzeitig dem Vorsitzenden des Gerichts, dass eine Entscheidung bis zu dem in Absatz 5 genannten Zeitpunkt ergehen kann. </w:t>
      </w:r>
      <w:r>
        <w:rPr>
          <w:rStyle w:val="Satznummer"/>
        </w:rPr>
        <w:t>3</w:t>
      </w:r>
      <w:r>
        <w:t xml:space="preserve">Ist die Unterbringung in einem psychiatrischen Krankenhaus gemäß § 67d Absatz 6 Satz 1 des Strafgesetzbuches für erledigt erklärt worden, übersendet die Vollstreckungsbehörde die Akten unverzüglich an die Staatsanwaltschaft des Gerichts, das für eine nachträgliche Anordnung der Sicherungsverwahrung (§ 66b des Strafgesetzbuches) zuständig ist. </w:t>
      </w:r>
      <w:r>
        <w:rPr>
          <w:rStyle w:val="Satznummer"/>
        </w:rPr>
        <w:t>4</w:t>
      </w:r>
      <w:r>
        <w:t xml:space="preserve">Beabsichtigt diese, eine nachträgliche Anordnung der Sicherungsverwahrung zu beantragen, teilt sie dies der betroffenen Person mit. </w:t>
      </w:r>
      <w:r>
        <w:rPr>
          <w:rStyle w:val="Satznummer"/>
        </w:rPr>
        <w:t>5</w:t>
      </w:r>
      <w:r>
        <w:t>Die Staatsanwaltschaft soll den Antrag auf nachträgliche Anordnung der Sicherungsverwahrung unverzüglich stellen und ihn zusammen mit den Akten dem Vorsitzenden des Gerichts übergeben.</w:t>
      </w:r>
    </w:p>
    <w:p>
      <w:r>
        <w:t xml:space="preserve">(2) Für die Vorbereitung und die Durchführung der Hauptverhandlung gelten die </w:t>
      </w:r>
      <w:hyperlink w:anchor="b345" w:history="1">
        <w:r>
          <w:rPr>
            <w:color w:val="0A3A8C"/>
            <w:u w:val="single"/>
          </w:rPr>
          <w:t xml:space="preserve">§§ 213</w:t>
        </w:r>
      </w:hyperlink>
      <w:r>
        <w:t xml:space="preserve"> bis </w:t>
      </w:r>
      <w:hyperlink w:anchor="b427" w:history="1">
        <w:r>
          <w:rPr>
            <w:color w:val="0A3A8C"/>
            <w:u w:val="single"/>
          </w:rPr>
          <w:t xml:space="preserve">275</w:t>
        </w:r>
      </w:hyperlink>
      <w:r>
        <w:t xml:space="preserve"> entsprechend, soweit nachfolgend nichts anderes geregelt ist.</w:t>
      </w:r>
    </w:p>
    <w:p>
      <w:r>
        <w:t xml:space="preserve">(3) </w:t>
      </w:r>
      <w:r>
        <w:rPr>
          <w:rStyle w:val="Satznummer"/>
        </w:rPr>
        <w:t>1</w:t>
      </w:r>
      <w:r>
        <w:t xml:space="preserve">Nachdem die Hauptverhandlung nach Maßgabe des </w:t>
      </w:r>
      <w:hyperlink w:anchor="b384" w:history="1">
        <w:r>
          <w:rPr>
            <w:color w:val="0A3A8C"/>
            <w:u w:val="single"/>
          </w:rPr>
          <w:t xml:space="preserve">§ 243</w:t>
        </w:r>
      </w:hyperlink>
      <w:r>
        <w:t xml:space="preserve"> Abs. 1 begonnen hat, hält ein Berichterstatter in Abwesenheit der Zeugen einen Vortrag über die Ergebnisse des bisherigen Verfahrens. </w:t>
      </w:r>
      <w:r>
        <w:rPr>
          <w:rStyle w:val="Satznummer"/>
        </w:rPr>
        <w:t>2</w:t>
      </w:r>
      <w:r>
        <w:t xml:space="preserve">Der Vorsitzende verliest das frühere Urteil, soweit es für die Entscheidung über die vorbehaltene oder die nachträgliche Anordnung der Sicherungsverwahrung von Bedeutung ist. </w:t>
      </w:r>
      <w:r>
        <w:rPr>
          <w:rStyle w:val="Satznummer"/>
        </w:rPr>
        <w:t>3</w:t>
      </w:r>
      <w:r>
        <w:t>Sodann erfolgt die Vernehmung des Verurteilten und die Beweisaufnahme.</w:t>
      </w:r>
    </w:p>
    <w:p>
      <w:r>
        <w:t xml:space="preserve">(4) </w:t>
      </w:r>
      <w:r>
        <w:rPr>
          <w:rStyle w:val="Satznummer"/>
        </w:rPr>
        <w:t>1</w:t>
      </w:r>
      <w:r>
        <w:t xml:space="preserve">Das Gericht holt vor der Entscheidung das Gutachten eines Sachverständigen ein. </w:t>
      </w:r>
      <w:r>
        <w:rPr>
          <w:rStyle w:val="Satznummer"/>
        </w:rPr>
        <w:t>2</w:t>
      </w:r>
      <w:r>
        <w:t xml:space="preserve">Ist über die nachträgliche Anordnung der Sicherungsverwahrung zu entscheiden, müssen die Gutachten von zwei Sachverständigen eingeholt werden. </w:t>
      </w:r>
      <w:r>
        <w:rPr>
          <w:rStyle w:val="Satznummer"/>
        </w:rPr>
        <w:t>3</w:t>
      </w:r>
      <w:r>
        <w:t>Die Gutachter dürfen im Rahmen des Strafvollzugs oder des Vollzugs der Unterbringung nicht mit der Behandlung des Verurteilten befasst gewesen sein.</w:t>
      </w:r>
    </w:p>
    <w:p>
      <w:r>
        <w:t>(5) Das Gericht soll über die vorbehaltene Anordnung der Sicherungsverwahrung spätestens sechs Monate vor der vollständigen Vollstreckung der Freiheitsstrafe entscheiden.</w:t>
      </w:r>
    </w:p>
    <w:p>
      <w:r>
        <w:t xml:space="preserve">(6) </w:t>
      </w:r>
      <w:r>
        <w:rPr>
          <w:rStyle w:val="Satznummer"/>
        </w:rPr>
        <w:t>1</w:t>
      </w:r>
      <w:r>
        <w:t xml:space="preserve">Sind dringende Gründe für die Annahme vorhanden, dass die nachträgliche Sicherungsverwahrung angeordnet wird, so kann das Gericht bis zur Rechtskraft des Urteils einen Unterbringungsbefehl erlassen. </w:t>
      </w:r>
      <w:r>
        <w:rPr>
          <w:rStyle w:val="Satznummer"/>
        </w:rPr>
        <w:t>2</w:t>
      </w:r>
      <w:r>
        <w:t xml:space="preserve">Für den Erlass des Unterbringungsbefehls ist das für die Entscheidung nach § 67d Absatz 6 des Strafgesetzbuches zuständige Gericht so lange zuständig, bis der Antrag auf Anordnung der nachträglichen Sicherungsverwahrung bei dem für diese Entscheidung zuständigen Gericht eingeht. </w:t>
      </w:r>
      <w:r>
        <w:rPr>
          <w:rStyle w:val="Satznummer"/>
        </w:rPr>
        <w:t>3</w:t>
      </w:r>
      <w:r>
        <w:t xml:space="preserve">In den Fällen des § 66a des Strafgesetzbuches kann das Gericht bis zur Rechtskraft des Urteils einen Unterbringungsbefehl erlassen, wenn es im ersten Rechtszug bis zu dem in § 66a Absatz 3 Satz 1 des Strafgesetzbuches bestimmten Zeitpunkt die vorbehaltene Sicherungsverwahrung angeordnet hat. </w:t>
      </w:r>
      <w:r>
        <w:rPr>
          <w:rStyle w:val="Satznummer"/>
        </w:rPr>
        <w:t>4</w:t>
      </w:r>
      <w:r>
        <w:t xml:space="preserve">Die </w:t>
      </w:r>
      <w:hyperlink w:anchor="b192" w:history="1">
        <w:r>
          <w:rPr>
            <w:color w:val="0A3A8C"/>
            <w:u w:val="single"/>
          </w:rPr>
          <w:t xml:space="preserve">§§ 114</w:t>
        </w:r>
      </w:hyperlink>
      <w:r>
        <w:t xml:space="preserve"> bis </w:t>
      </w:r>
      <w:hyperlink w:anchor="b199" w:history="1">
        <w:r>
          <w:rPr>
            <w:color w:val="0A3A8C"/>
            <w:u w:val="single"/>
          </w:rPr>
          <w:t xml:space="preserve">115a</w:t>
        </w:r>
      </w:hyperlink>
      <w:r>
        <w:t xml:space="preserve">, </w:t>
      </w:r>
      <w:hyperlink w:anchor="b203" w:history="1">
        <w:r>
          <w:rPr>
            <w:color w:val="0A3A8C"/>
            <w:u w:val="single"/>
          </w:rPr>
          <w:t xml:space="preserve">117</w:t>
        </w:r>
      </w:hyperlink>
      <w:r>
        <w:t xml:space="preserve"> bis </w:t>
      </w:r>
      <w:hyperlink w:anchor="b208" w:history="1">
        <w:r>
          <w:rPr>
            <w:color w:val="0A3A8C"/>
            <w:u w:val="single"/>
          </w:rPr>
          <w:t xml:space="preserve">119a</w:t>
        </w:r>
      </w:hyperlink>
      <w:r>
        <w:t xml:space="preserve"> und </w:t>
      </w:r>
      <w:hyperlink w:anchor="b217" w:history="1">
        <w:r>
          <w:rPr>
            <w:color w:val="0A3A8C"/>
            <w:u w:val="single"/>
          </w:rPr>
          <w:t xml:space="preserve">126a</w:t>
        </w:r>
      </w:hyperlink>
      <w:r>
        <w:t xml:space="preserve"> Abs. 3 gelten entsprechend.</w:t>
      </w:r>
    </w:p>
    <w:p>
      <w:pPr>
        <w:pStyle w:val="Heading2"/>
      </w:pPr>
      <w:bookmarkStart w:id="431" w:name="b430"/>
      <w:r>
        <w:t>Achter Abschnitt Verfahren gegen Abwesende</w:t>
      </w:r>
      <w:bookmarkEnd w:id="431"/>
    </w:p>
    <w:p>
      <w:pPr>
        <w:pStyle w:val="Heading3"/>
      </w:pPr>
      <w:bookmarkStart w:id="432" w:name="b431"/>
      <w:r>
        <w:t>§ 276 Begriff der Abwesenheit</w:t>
      </w:r>
      <w:r>
        <w:t xml:space="preserve"> </w:t>
      </w:r>
      <w:r>
        <w:rPr>
          <w:rStyle w:val="Suchmarke"/>
        </w:rPr>
        <w:t>#276#</w:t>
      </w:r>
      <w:bookmarkEnd w:id="432"/>
    </w:p>
    <w:p>
      <w:r>
        <w:t>Ein Beschuldigter gilt als abwesend, wenn sein Aufenthalt unbekannt ist oder wenn er sich im Ausland aufhält und seine Gestellung vor das zuständige Gericht nicht ausführbar oder nicht angemessen erscheint.</w:t>
      </w:r>
    </w:p>
    <w:p>
      <w:pPr>
        <w:pStyle w:val="Heading3"/>
      </w:pPr>
      <w:bookmarkStart w:id="433" w:name="b432"/>
      <w:r>
        <w:t>§§ 277 bis 284 (weggefallen)</w:t>
      </w:r>
      <w:bookmarkEnd w:id="433"/>
    </w:p>
    <w:p>
      <w:pPr>
        <w:pStyle w:val="Heading3"/>
      </w:pPr>
      <w:bookmarkStart w:id="434" w:name="b433"/>
      <w:r>
        <w:t>§ 285 Beweissicherungszweck</w:t>
      </w:r>
      <w:r>
        <w:t xml:space="preserve"> </w:t>
      </w:r>
      <w:r>
        <w:rPr>
          <w:rStyle w:val="Suchmarke"/>
        </w:rPr>
        <w:t>#285#</w:t>
      </w:r>
      <w:bookmarkEnd w:id="434"/>
    </w:p>
    <w:p>
      <w:r>
        <w:t xml:space="preserve">(1) </w:t>
      </w:r>
      <w:r>
        <w:rPr>
          <w:rStyle w:val="Satznummer"/>
        </w:rPr>
        <w:t>1</w:t>
      </w:r>
      <w:r>
        <w:t xml:space="preserve">Gegen einen Abwesenden findet keine Hauptverhandlung statt. </w:t>
      </w:r>
      <w:r>
        <w:rPr>
          <w:rStyle w:val="Satznummer"/>
        </w:rPr>
        <w:t>2</w:t>
      </w:r>
      <w:r>
        <w:t>Das gegen einen Abwesenden eingeleitete Verfahren hat die Aufgabe, für den Fall seiner künftigen Gestellung die Beweise zu sichern.</w:t>
      </w:r>
    </w:p>
    <w:p>
      <w:r>
        <w:t xml:space="preserve">(2) Für dieses Verfahren gelten die Vorschriften der </w:t>
      </w:r>
      <w:hyperlink w:anchor="b434" w:history="1">
        <w:r>
          <w:rPr>
            <w:color w:val="0A3A8C"/>
            <w:u w:val="single"/>
          </w:rPr>
          <w:t xml:space="preserve">§§ 286</w:t>
        </w:r>
      </w:hyperlink>
      <w:r>
        <w:t xml:space="preserve"> bis </w:t>
      </w:r>
      <w:hyperlink w:anchor="b442" w:history="1">
        <w:r>
          <w:rPr>
            <w:color w:val="0A3A8C"/>
            <w:u w:val="single"/>
          </w:rPr>
          <w:t xml:space="preserve">294</w:t>
        </w:r>
      </w:hyperlink>
      <w:r>
        <w:t>.</w:t>
      </w:r>
    </w:p>
    <w:p>
      <w:pPr>
        <w:pStyle w:val="Heading3"/>
      </w:pPr>
      <w:bookmarkStart w:id="435" w:name="b434"/>
      <w:r>
        <w:t>§ 286 Vertretung von Abwesenden</w:t>
      </w:r>
      <w:r>
        <w:t xml:space="preserve"> </w:t>
      </w:r>
      <w:r>
        <w:rPr>
          <w:rStyle w:val="Suchmarke"/>
        </w:rPr>
        <w:t>#286#</w:t>
      </w:r>
      <w:bookmarkEnd w:id="435"/>
    </w:p>
    <w:p>
      <w:r>
        <w:rPr>
          <w:rStyle w:val="Satznummer"/>
        </w:rPr>
        <w:t>1</w:t>
      </w:r>
      <w:r>
        <w:t xml:space="preserve">Für den Beschuldigten kann ein Verteidiger auftreten. </w:t>
      </w:r>
      <w:r>
        <w:rPr>
          <w:rStyle w:val="Satznummer"/>
        </w:rPr>
        <w:t>2</w:t>
      </w:r>
      <w:r>
        <w:t>Auch Angehörige des Beschuldigten sind, auch ohne Vollmacht, als Vertreter zuzulassen.</w:t>
      </w:r>
    </w:p>
    <w:p>
      <w:pPr>
        <w:pStyle w:val="Heading3"/>
      </w:pPr>
      <w:bookmarkStart w:id="436" w:name="b435"/>
      <w:r>
        <w:t>§ 287 Benachrichtigung von Abwesenden</w:t>
      </w:r>
      <w:r>
        <w:t xml:space="preserve"> </w:t>
      </w:r>
      <w:r>
        <w:rPr>
          <w:rStyle w:val="Suchmarke"/>
        </w:rPr>
        <w:t>#287#</w:t>
      </w:r>
      <w:bookmarkEnd w:id="436"/>
    </w:p>
    <w:p>
      <w:r>
        <w:t>(1) Dem abwesenden Beschuldigten steht ein Anspruch auf Benachrichtigung über den Fortgang des Verfahrens nicht zu.</w:t>
      </w:r>
    </w:p>
    <w:p>
      <w:r>
        <w:t>(2) Der Richter ist jedoch befugt, einem Abwesenden, dessen Aufenthalt bekannt ist, Benachrichtigungen zugehen zu lassen.</w:t>
      </w:r>
    </w:p>
    <w:p>
      <w:pPr>
        <w:pStyle w:val="Heading3"/>
      </w:pPr>
      <w:bookmarkStart w:id="437" w:name="b436"/>
      <w:r>
        <w:t>§ 288 Öffentliche Aufforderung zum Erscheinen oder zur Aufenthaltsortsanzeige</w:t>
      </w:r>
      <w:r>
        <w:t xml:space="preserve"> </w:t>
      </w:r>
      <w:r>
        <w:rPr>
          <w:rStyle w:val="Suchmarke"/>
        </w:rPr>
        <w:t>#288#</w:t>
      </w:r>
      <w:bookmarkEnd w:id="437"/>
    </w:p>
    <w:p>
      <w:r>
        <w:t>Der Abwesende, dessen Aufenthalt unbekannt ist, kann in einem oder mehreren öffentlichen Blättern zum Erscheinen vor Gericht oder zur Anzeige seines Aufenthaltsortes aufgefordert werden.</w:t>
      </w:r>
    </w:p>
    <w:p>
      <w:pPr>
        <w:pStyle w:val="Heading3"/>
      </w:pPr>
      <w:bookmarkStart w:id="438" w:name="b437"/>
      <w:r>
        <w:t>§ 289 Beweisaufnahme durch beauftragte oder ersuchte Richter</w:t>
      </w:r>
      <w:r>
        <w:t xml:space="preserve"> </w:t>
      </w:r>
      <w:r>
        <w:rPr>
          <w:rStyle w:val="Suchmarke"/>
        </w:rPr>
        <w:t>#289#</w:t>
      </w:r>
      <w:bookmarkEnd w:id="438"/>
    </w:p>
    <w:p>
      <w:r>
        <w:t>Stellt sich erst nach Eröffnung des Hauptverfahrens die Abwesenheit des Angeklagten heraus, so erfolgen die noch erforderlichen Beweisaufnahmen durch einen beauftragten oder ersuchten Richter.</w:t>
      </w:r>
    </w:p>
    <w:p>
      <w:pPr>
        <w:pStyle w:val="Heading3"/>
      </w:pPr>
      <w:bookmarkStart w:id="439" w:name="b438"/>
      <w:r>
        <w:t>§ 290 Vermögensbeschlagnahme</w:t>
      </w:r>
      <w:r>
        <w:t xml:space="preserve"> </w:t>
      </w:r>
      <w:r>
        <w:rPr>
          <w:rStyle w:val="Suchmarke"/>
        </w:rPr>
        <w:t>#290#</w:t>
      </w:r>
      <w:bookmarkEnd w:id="439"/>
    </w:p>
    <w:p>
      <w:r>
        <w:t>(1) Liegen gegen den Abwesenden, gegen den die öffentliche Klage erhoben ist, Verdachtsgründe vor, die den Erlaß eines Haftbefehls rechtfertigen würden, so kann sein im Geltungsbereich dieses Bundesgesetzes befindliches Vermögen durch Beschluß des Gerichts mit Beschlag belegt werden.</w:t>
      </w:r>
    </w:p>
    <w:p>
      <w:r>
        <w:t>(2) Wegen Straftaten, die nur mit Freiheitsstrafe bis zu sechs Monaten oder mit Geldstrafe bis zu einhundertachtzig Tagessätzen bedroht sind, findet keine Vermögensbeschlagnahme statt.</w:t>
      </w:r>
    </w:p>
    <w:p>
      <w:pPr>
        <w:pStyle w:val="Heading3"/>
      </w:pPr>
      <w:bookmarkStart w:id="440" w:name="b439"/>
      <w:r>
        <w:t>§ 291 Bekanntmachung der Beschlagnahme</w:t>
      </w:r>
      <w:r>
        <w:t xml:space="preserve"> </w:t>
      </w:r>
      <w:r>
        <w:rPr>
          <w:rStyle w:val="Suchmarke"/>
        </w:rPr>
        <w:t>#291#</w:t>
      </w:r>
      <w:bookmarkEnd w:id="440"/>
    </w:p>
    <w:p>
      <w:r>
        <w:t>Der die Beschlagnahme verhängende Beschluß ist im Bundesanzeiger bekanntzumachen und kann nach dem Ermessen des Gerichts auch auf andere geeignete Weise veröffentlicht werden.</w:t>
      </w:r>
    </w:p>
    <w:p>
      <w:pPr>
        <w:pStyle w:val="Heading3"/>
      </w:pPr>
      <w:bookmarkStart w:id="441" w:name="b440"/>
      <w:r>
        <w:t>§ 292 Wirkung der Bekanntmachung</w:t>
      </w:r>
      <w:r>
        <w:t xml:space="preserve"> </w:t>
      </w:r>
      <w:r>
        <w:rPr>
          <w:rStyle w:val="Suchmarke"/>
        </w:rPr>
        <w:t>#292#</w:t>
      </w:r>
      <w:bookmarkEnd w:id="441"/>
    </w:p>
    <w:p>
      <w:r>
        <w:t>(1) Mit dem Zeitpunkt der ersten Bekanntmachung im Bundesanzeiger verliert der Angeschuldigte das Recht, über das in Beschlag genommene Vermögen unter Lebenden zu verfügen.</w:t>
      </w:r>
    </w:p>
    <w:p>
      <w:r>
        <w:t xml:space="preserve">(2) </w:t>
      </w:r>
      <w:r>
        <w:rPr>
          <w:rStyle w:val="Satznummer"/>
        </w:rPr>
        <w:t>1</w:t>
      </w:r>
      <w:r>
        <w:t xml:space="preserve">Der die Beschlagnahme verhängende Beschluß ist der Behörde mitzuteilen, die für die Einleitung einer Pflegschaft über Abwesende zuständig ist. </w:t>
      </w:r>
      <w:r>
        <w:rPr>
          <w:rStyle w:val="Satznummer"/>
        </w:rPr>
        <w:t>2</w:t>
      </w:r>
      <w:r>
        <w:t>Diese Behörde hat eine Pflegschaft einzuleiten.</w:t>
      </w:r>
    </w:p>
    <w:p>
      <w:pPr>
        <w:pStyle w:val="Heading3"/>
      </w:pPr>
      <w:bookmarkStart w:id="442" w:name="b441"/>
      <w:r>
        <w:t>§ 293 Aufhebung der Beschlagnahme</w:t>
      </w:r>
      <w:r>
        <w:t xml:space="preserve"> </w:t>
      </w:r>
      <w:r>
        <w:rPr>
          <w:rStyle w:val="Suchmarke"/>
        </w:rPr>
        <w:t>#293#</w:t>
      </w:r>
      <w:bookmarkEnd w:id="442"/>
    </w:p>
    <w:p>
      <w:r>
        <w:t>(1) Die Beschlagnahme ist aufzuheben, wenn ihre Gründe weggefallen sind.</w:t>
      </w:r>
    </w:p>
    <w:p>
      <w:r>
        <w:t xml:space="preserve">(2) </w:t>
      </w:r>
      <w:r>
        <w:rPr>
          <w:rStyle w:val="Satznummer"/>
        </w:rPr>
        <w:t>1</w:t>
      </w:r>
      <w:r>
        <w:t xml:space="preserve">Die Aufhebung der Beschlagnahme ist auf dieselbe Weise bekannt zu machen, wie die Bekanntmachung der Beschlagnahme. </w:t>
      </w:r>
      <w:r>
        <w:rPr>
          <w:rStyle w:val="Satznummer"/>
        </w:rPr>
        <w:t>2</w:t>
      </w:r>
      <w:r>
        <w:t>Ist die Veröffentlichung nach § 291 im Bundesanzeiger erfolgt, ist zudem deren Löschung zu veranlassen; die Veröffentlichung der Aufhebung der Beschlagnahme im Bundesanzeiger ist nach Ablauf von einem Monat zu löschen.</w:t>
      </w:r>
    </w:p>
    <w:p>
      <w:pPr>
        <w:pStyle w:val="Heading3"/>
      </w:pPr>
      <w:bookmarkStart w:id="443" w:name="b442"/>
      <w:r>
        <w:t>§ 294 Verfahren nach Anklageerhebung</w:t>
      </w:r>
      <w:r>
        <w:t xml:space="preserve"> </w:t>
      </w:r>
      <w:r>
        <w:rPr>
          <w:rStyle w:val="Suchmarke"/>
        </w:rPr>
        <w:t>#294#</w:t>
      </w:r>
      <w:bookmarkEnd w:id="443"/>
    </w:p>
    <w:p>
      <w:r>
        <w:t>(1) Für das nach Erhebung der öffentlichen Klage eintretende Verfahren gelten im übrigen die Vorschriften über die Eröffnung des Hauptverfahrens entsprechend.</w:t>
      </w:r>
    </w:p>
    <w:p>
      <w:r>
        <w:t>(2) In dem nach Beendigung dieses Verfahrens ergehenden Beschluß (</w:t>
      </w:r>
      <w:hyperlink w:anchor="b326" w:history="1">
        <w:r>
          <w:rPr>
            <w:color w:val="0A3A8C"/>
            <w:u w:val="single"/>
          </w:rPr>
          <w:t xml:space="preserve">§ 199</w:t>
        </w:r>
      </w:hyperlink>
      <w:r>
        <w:t>) ist zugleich über die Fortdauer oder Aufhebung der Beschlagnahme zu entscheiden.</w:t>
      </w:r>
    </w:p>
    <w:p>
      <w:pPr>
        <w:pStyle w:val="Heading3"/>
      </w:pPr>
      <w:bookmarkStart w:id="444" w:name="b443"/>
      <w:r>
        <w:t>§ 295 Sicheres Geleit</w:t>
      </w:r>
      <w:r>
        <w:t xml:space="preserve"> </w:t>
      </w:r>
      <w:r>
        <w:rPr>
          <w:rStyle w:val="Suchmarke"/>
        </w:rPr>
        <w:t>#295#</w:t>
      </w:r>
      <w:bookmarkEnd w:id="444"/>
    </w:p>
    <w:p>
      <w:r>
        <w:t>(1) Das Gericht kann einem abwesenden Beschuldigten sicheres Geleit erteilen; es kann diese Erteilung an Bedingungen knüpfen.</w:t>
      </w:r>
    </w:p>
    <w:p>
      <w:r>
        <w:t>(2) Das sichere Geleit gewährt Befreiung von der Untersuchungshaft, jedoch nur wegen der Straftat, für die es erteilt ist.</w:t>
      </w:r>
    </w:p>
    <w:p>
      <w:r>
        <w:t>(3) Es erlischt, wenn ein auf Freiheitsstrafe lautendes Urteil ergeht oder wenn der Beschuldigte Anstalten zur Flucht trifft oder wenn er die Bedingungen nicht erfüllt, unter denen ihm das sichere Geleit erteilt worden ist.</w:t>
      </w:r>
    </w:p>
    <w:p>
      <w:pPr>
        <w:pStyle w:val="Heading1"/>
      </w:pPr>
      <w:bookmarkStart w:id="445" w:name="b444"/>
      <w:r>
        <w:t>Drittes Buch Rechtsmittel</w:t>
      </w:r>
      <w:bookmarkEnd w:id="445"/>
    </w:p>
    <w:p>
      <w:pPr>
        <w:pStyle w:val="Heading2"/>
      </w:pPr>
      <w:bookmarkStart w:id="446" w:name="b445"/>
      <w:r>
        <w:t>Erster Abschnitt Allgemeine Vorschriften</w:t>
      </w:r>
      <w:bookmarkEnd w:id="446"/>
    </w:p>
    <w:p>
      <w:pPr>
        <w:pStyle w:val="Heading3"/>
      </w:pPr>
      <w:bookmarkStart w:id="447" w:name="b446"/>
      <w:r>
        <w:t>§ 296 Rechtsmittelberechtigte</w:t>
      </w:r>
      <w:r>
        <w:t xml:space="preserve"> </w:t>
      </w:r>
      <w:r>
        <w:rPr>
          <w:rStyle w:val="Suchmarke"/>
        </w:rPr>
        <w:t>#296#</w:t>
      </w:r>
      <w:bookmarkEnd w:id="447"/>
    </w:p>
    <w:p>
      <w:r>
        <w:t>(1) Die zulässigen Rechtsmittel gegen gerichtliche Entscheidungen stehen sowohl der Staatsanwaltschaft als dem Beschuldigten zu.</w:t>
      </w:r>
    </w:p>
    <w:p>
      <w:r>
        <w:t>(2) Die Staatsanwaltschaft kann von ihnen auch zugunsten des Beschuldigten Gebrauch machen.</w:t>
      </w:r>
    </w:p>
    <w:p>
      <w:pPr>
        <w:pStyle w:val="Heading3"/>
      </w:pPr>
      <w:bookmarkStart w:id="448" w:name="b447"/>
      <w:r>
        <w:t>§ 297 Einlegung durch den Verteidiger</w:t>
      </w:r>
      <w:r>
        <w:t xml:space="preserve"> </w:t>
      </w:r>
      <w:r>
        <w:rPr>
          <w:rStyle w:val="Suchmarke"/>
        </w:rPr>
        <w:t>#297#</w:t>
      </w:r>
      <w:bookmarkEnd w:id="448"/>
    </w:p>
    <w:p>
      <w:r>
        <w:t>Für den Beschuldigten kann der Verteidiger, jedoch nicht gegen dessen ausdrücklichen Willen, Rechtsmittel einlegen.</w:t>
      </w:r>
    </w:p>
    <w:p>
      <w:pPr>
        <w:pStyle w:val="Heading3"/>
      </w:pPr>
      <w:bookmarkStart w:id="449" w:name="b448"/>
      <w:r>
        <w:t>§ 298 Einlegung durch den gesetzlichen Vertreter</w:t>
      </w:r>
      <w:r>
        <w:t xml:space="preserve"> </w:t>
      </w:r>
      <w:r>
        <w:rPr>
          <w:rStyle w:val="Suchmarke"/>
        </w:rPr>
        <w:t>#298#</w:t>
      </w:r>
      <w:bookmarkEnd w:id="449"/>
    </w:p>
    <w:p>
      <w:r>
        <w:t>(1) Der gesetzliche Vertreter eines Beschuldigten kann binnen der für den Beschuldigten laufenden Frist selbständig von den zulässigen Rechtsmitteln Gebrauch machen.</w:t>
      </w:r>
    </w:p>
    <w:p>
      <w:r>
        <w:t>(2) Auf ein solches Rechtsmittel und auf das Verfahren sind die für die Rechtsmittel des Beschuldigten geltenden Vorschriften entsprechend anzuwenden.</w:t>
      </w:r>
    </w:p>
    <w:p>
      <w:pPr>
        <w:pStyle w:val="Heading3"/>
      </w:pPr>
      <w:bookmarkStart w:id="450" w:name="b449"/>
      <w:r>
        <w:t>§ 299 Abgabe von Erklärungen bei Freiheitsentzug</w:t>
      </w:r>
      <w:r>
        <w:t xml:space="preserve"> </w:t>
      </w:r>
      <w:r>
        <w:rPr>
          <w:rStyle w:val="Suchmarke"/>
        </w:rPr>
        <w:t>#299#</w:t>
      </w:r>
      <w:bookmarkEnd w:id="450"/>
    </w:p>
    <w:p>
      <w:r>
        <w:t>(1) Der nicht auf freiem Fuß befindliche Beschuldigte kann die Erklärungen, die sich auf Rechtsmittel beziehen, zu Protokoll der Geschäftsstelle des Amtsgerichts geben, in dessen Bezirk die Anstalt liegt, wo er auf behördliche Anordnung verwahrt wird.</w:t>
      </w:r>
    </w:p>
    <w:p>
      <w:r>
        <w:t>(2) Zur Wahrung einer Frist genügt es, wenn innerhalb der Frist das Protokoll aufgenommen wird.</w:t>
      </w:r>
    </w:p>
    <w:p>
      <w:pPr>
        <w:pStyle w:val="Heading3"/>
      </w:pPr>
      <w:bookmarkStart w:id="451" w:name="b450"/>
      <w:r>
        <w:t>§ 300 Falschbezeichnung eines zulässigen Rechtsmittels</w:t>
      </w:r>
      <w:r>
        <w:t xml:space="preserve"> </w:t>
      </w:r>
      <w:r>
        <w:rPr>
          <w:rStyle w:val="Suchmarke"/>
        </w:rPr>
        <w:t>#300#</w:t>
      </w:r>
      <w:bookmarkEnd w:id="451"/>
    </w:p>
    <w:p>
      <w:r>
        <w:t>Ein Irrtum in der Bezeichnung des zulässigen Rechtsmittels ist unschädlich.</w:t>
      </w:r>
    </w:p>
    <w:p>
      <w:pPr>
        <w:pStyle w:val="Heading3"/>
      </w:pPr>
      <w:bookmarkStart w:id="452" w:name="b451"/>
      <w:r>
        <w:t>§ 301 Wirkung eines Rechtsmittels der Staatsanwaltschaft</w:t>
      </w:r>
      <w:r>
        <w:t xml:space="preserve"> </w:t>
      </w:r>
      <w:r>
        <w:rPr>
          <w:rStyle w:val="Suchmarke"/>
        </w:rPr>
        <w:t>#301#</w:t>
      </w:r>
      <w:bookmarkEnd w:id="452"/>
    </w:p>
    <w:p>
      <w:r>
        <w:t>Jedes von der Staatsanwaltschaft eingelegte Rechtsmittel hat die Wirkung, daß die angefochtene Entscheidung auch zugunsten des Beschuldigten abgeändert oder aufgehoben werden kann.</w:t>
      </w:r>
    </w:p>
    <w:p>
      <w:pPr>
        <w:pStyle w:val="Heading3"/>
      </w:pPr>
      <w:bookmarkStart w:id="453" w:name="b452"/>
      <w:r>
        <w:t>§ 302 Zurücknahme und Verzicht</w:t>
      </w:r>
      <w:r>
        <w:t xml:space="preserve"> </w:t>
      </w:r>
      <w:r>
        <w:rPr>
          <w:rStyle w:val="Suchmarke"/>
        </w:rPr>
        <w:t>#302#</w:t>
      </w:r>
      <w:bookmarkEnd w:id="453"/>
    </w:p>
    <w:p>
      <w:r>
        <w:t xml:space="preserve">(1) </w:t>
      </w:r>
      <w:r>
        <w:rPr>
          <w:rStyle w:val="Satznummer"/>
        </w:rPr>
        <w:t>1</w:t>
      </w:r>
      <w:r>
        <w:t xml:space="preserve">Die Zurücknahme eines Rechtsmittels sowie der Verzicht auf die Einlegung eines Rechtsmittels können auch vor Ablauf der Frist zu seiner Einlegung wirksam erfolgen. </w:t>
      </w:r>
      <w:r>
        <w:rPr>
          <w:rStyle w:val="Satznummer"/>
        </w:rPr>
        <w:t>2</w:t>
      </w:r>
      <w:r>
        <w:t>Ist dem Urteil eine Verständigung (</w:t>
      </w:r>
      <w:hyperlink w:anchor="b404" w:history="1">
        <w:r>
          <w:rPr>
            <w:color w:val="0A3A8C"/>
            <w:u w:val="single"/>
          </w:rPr>
          <w:t xml:space="preserve">§ 257c</w:t>
        </w:r>
      </w:hyperlink>
      <w:r>
        <w:t xml:space="preserve">) vorausgegangen, ist ein Verzicht ausgeschlossen. </w:t>
      </w:r>
      <w:r>
        <w:rPr>
          <w:rStyle w:val="Satznummer"/>
        </w:rPr>
        <w:t>3</w:t>
      </w:r>
      <w:r>
        <w:t>Ein von der Staatsanwaltschaft zugunsten des Beschuldigten eingelegtes Rechtsmittel kann ohne dessen Zustimmung nicht zurückgenommen werden.</w:t>
      </w:r>
    </w:p>
    <w:p>
      <w:r>
        <w:t>(2) Der Verteidiger bedarf zur Zurücknahme einer ausdrücklichen Ermächtigung.</w:t>
      </w:r>
    </w:p>
    <w:p>
      <w:pPr>
        <w:pStyle w:val="Heading3"/>
      </w:pPr>
      <w:bookmarkStart w:id="454" w:name="b453"/>
      <w:r>
        <w:t>§ 303 Zustimmungserfordernis bei Zurücknahme</w:t>
      </w:r>
      <w:r>
        <w:t xml:space="preserve"> </w:t>
      </w:r>
      <w:r>
        <w:rPr>
          <w:rStyle w:val="Suchmarke"/>
        </w:rPr>
        <w:t>#303#</w:t>
      </w:r>
      <w:bookmarkEnd w:id="454"/>
    </w:p>
    <w:p>
      <w:r>
        <w:rPr>
          <w:rStyle w:val="Satznummer"/>
        </w:rPr>
        <w:t>1</w:t>
      </w:r>
      <w:r>
        <w:t xml:space="preserve">Wenn die Entscheidung über das Rechtsmittel auf Grund mündlicher Verhandlung stattzufinden hat, so kann die Zurücknahme nach Beginn der Hauptverhandlung nur mit Zustimmung des Gegners erfolgen. </w:t>
      </w:r>
      <w:r>
        <w:rPr>
          <w:rStyle w:val="Satznummer"/>
        </w:rPr>
        <w:t>2</w:t>
      </w:r>
      <w:r>
        <w:t>Die Zurücknahme eines Rechtsmittels des Angeklagten bedarf jedoch nicht der Zustimmung des Nebenklägers.</w:t>
      </w:r>
    </w:p>
    <w:p>
      <w:pPr>
        <w:pStyle w:val="Heading2"/>
      </w:pPr>
      <w:bookmarkStart w:id="455" w:name="b454"/>
      <w:r>
        <w:t>Zweiter Abschnitt Beschwerde</w:t>
      </w:r>
      <w:bookmarkEnd w:id="455"/>
    </w:p>
    <w:p>
      <w:pPr>
        <w:pStyle w:val="Heading3"/>
      </w:pPr>
      <w:bookmarkStart w:id="456" w:name="b455"/>
      <w:r>
        <w:t>§ 304 Zulässigkeit</w:t>
      </w:r>
      <w:r>
        <w:t xml:space="preserve"> </w:t>
      </w:r>
      <w:r>
        <w:rPr>
          <w:rStyle w:val="Suchmarke"/>
        </w:rPr>
        <w:t>#304#</w:t>
      </w:r>
      <w:bookmarkEnd w:id="456"/>
    </w:p>
    <w:p>
      <w:r>
        <w:t>(1) Die Beschwerde ist gegen alle von den Gerichten im ersten Rechtszug oder im Berufungsverfahren erlassenen Beschlüsse und gegen die Verfügungen des Vorsitzenden, des Richters im Vorverfahren und eines beauftragten oder ersuchten Richters zulässig, soweit das Gesetz sie nicht ausdrücklich einer Anfechtung entzieht.</w:t>
      </w:r>
    </w:p>
    <w:p>
      <w:r>
        <w:t>(2) Auch Zeugen, Sachverständige und andere Personen können gegen Beschlüsse und Verfügungen, durch die sie betroffen werden, Beschwerde erheben.</w:t>
      </w:r>
    </w:p>
    <w:p>
      <w:r>
        <w:t>(3) Gegen Entscheidungen über Kosten oder notwendige Auslagen ist die Beschwerde nur zulässig, wenn der Wert des Beschwerdegegenstands 300 Euro übersteigt.</w:t>
      </w:r>
    </w:p>
    <w:p>
      <w:r>
        <w:t xml:space="preserve">(4) </w:t>
      </w:r>
      <w:r>
        <w:rPr>
          <w:rStyle w:val="Satznummer"/>
        </w:rPr>
        <w:t>1</w:t>
      </w:r>
      <w:r>
        <w:t xml:space="preserve">Gegen Beschlüsse und Verfügungen des Bundesgerichtshofes ist keine Beschwerde zulässig. </w:t>
      </w:r>
      <w:r>
        <w:rPr>
          <w:rStyle w:val="Satznummer"/>
        </w:rPr>
        <w:t>2</w:t>
      </w:r>
      <w:r>
        <w:t>Dasselbe gilt für Beschlüsse und Verfügungen der Oberlandesgerichte; in Sachen, in denen die Oberlandesgerichte im ersten Rechtszug zuständig sind, ist jedoch die Beschwerde zulässig gegen Beschlüsse und Verfügungen, welche</w:t>
      </w:r>
    </w:p>
    <w:p>
      <w:pPr>
        <w:tabs>
          <w:tab w:pos="567" w:val="left"/>
        </w:tabs>
        <w:ind w:left="567" w:hanging="567"/>
      </w:pPr>
      <w:r>
        <w:t>1.</w:t>
      </w:r>
      <w:r>
        <w:tab/>
      </w:r>
      <w:r>
        <w:t xml:space="preserve">die Verhaftung, einstweilige Unterbringung, Unterbringung zur Beobachtung, Bestellung eines Pflichtverteidigers oder deren Aufhebung, Beschlagnahme, Durchsuchung oder die in </w:t>
      </w:r>
      <w:hyperlink w:anchor="b154" w:history="1">
        <w:r>
          <w:rPr>
            <w:color w:val="0A3A8C"/>
            <w:u w:val="single"/>
          </w:rPr>
          <w:t xml:space="preserve">§ 101</w:t>
        </w:r>
      </w:hyperlink>
      <w:r>
        <w:t xml:space="preserve"> Abs. 1 oder </w:t>
      </w:r>
      <w:hyperlink w:anchor="b155" w:history="1">
        <w:r>
          <w:rPr>
            <w:color w:val="0A3A8C"/>
            <w:u w:val="single"/>
          </w:rPr>
          <w:t xml:space="preserve">§ 101a</w:t>
        </w:r>
      </w:hyperlink>
      <w:r>
        <w:t xml:space="preserve"> Absatz 1 bezeichneten Maßnahmen betreffen,</w:t>
      </w:r>
    </w:p>
    <w:p>
      <w:pPr>
        <w:tabs>
          <w:tab w:pos="567" w:val="left"/>
        </w:tabs>
        <w:ind w:left="567" w:hanging="567"/>
      </w:pPr>
      <w:r>
        <w:t>2.</w:t>
      </w:r>
      <w:r>
        <w:tab/>
      </w:r>
      <w:r>
        <w:t>die Eröffnung des Hauptverfahrens ablehnen oder das Verfahren wegen eines Verfahrenshindernisses einstellen,</w:t>
      </w:r>
    </w:p>
    <w:p>
      <w:pPr>
        <w:tabs>
          <w:tab w:pos="567" w:val="left"/>
        </w:tabs>
        <w:ind w:left="567" w:hanging="567"/>
      </w:pPr>
      <w:r>
        <w:t>3.</w:t>
      </w:r>
      <w:r>
        <w:tab/>
      </w:r>
      <w:r>
        <w:t>die Hauptverhandlung in Abwesenheit des Angeklagten (</w:t>
      </w:r>
      <w:hyperlink w:anchor="b368" w:history="1">
        <w:r>
          <w:rPr>
            <w:color w:val="0A3A8C"/>
            <w:u w:val="single"/>
          </w:rPr>
          <w:t xml:space="preserve">§ 231a</w:t>
        </w:r>
      </w:hyperlink>
      <w:r>
        <w:t>) anordnen oder die Verweisung an ein Gericht niederer Ordnung aussprechen,</w:t>
      </w:r>
    </w:p>
    <w:p>
      <w:pPr>
        <w:tabs>
          <w:tab w:pos="567" w:val="left"/>
        </w:tabs>
        <w:ind w:left="567" w:hanging="567"/>
      </w:pPr>
      <w:r>
        <w:t>4.</w:t>
      </w:r>
      <w:r>
        <w:tab/>
      </w:r>
      <w:r>
        <w:t>die Akteneinsicht betreffen oder</w:t>
      </w:r>
    </w:p>
    <w:p>
      <w:pPr>
        <w:tabs>
          <w:tab w:pos="567" w:val="left"/>
        </w:tabs>
        <w:ind w:left="567" w:hanging="567"/>
      </w:pPr>
      <w:r>
        <w:t>5.</w:t>
      </w:r>
      <w:r>
        <w:tab/>
      </w:r>
      <w:r>
        <w:t>den Widerruf der Strafaussetzung, den Widerruf des Straferlasses und die Verurteilung zu der vorbehaltenen Strafe (</w:t>
      </w:r>
      <w:hyperlink w:anchor="b643" w:history="1">
        <w:r>
          <w:rPr>
            <w:color w:val="0A3A8C"/>
            <w:u w:val="single"/>
          </w:rPr>
          <w:t xml:space="preserve">§ 453</w:t>
        </w:r>
      </w:hyperlink>
      <w:r>
        <w:t xml:space="preserve"> Abs. 2 Satz 3), die Anordnung vorläufiger Maßnahmen zur Sicherung des Widerrufs (</w:t>
      </w:r>
      <w:hyperlink w:anchor="b646" w:history="1">
        <w:r>
          <w:rPr>
            <w:color w:val="0A3A8C"/>
            <w:u w:val="single"/>
          </w:rPr>
          <w:t xml:space="preserve">§ 453c</w:t>
        </w:r>
      </w:hyperlink>
      <w:r>
        <w:t>), die Aussetzung des Strafrestes und deren Widerruf (</w:t>
      </w:r>
      <w:hyperlink w:anchor="b647" w:history="1">
        <w:r>
          <w:rPr>
            <w:color w:val="0A3A8C"/>
            <w:u w:val="single"/>
          </w:rPr>
          <w:t xml:space="preserve">§ 454</w:t>
        </w:r>
      </w:hyperlink>
      <w:r>
        <w:t xml:space="preserve"> Abs. 3 und 4), die Wiederaufnahme des Verfahrens (</w:t>
      </w:r>
      <w:hyperlink w:anchor="b533" w:history="1">
        <w:r>
          <w:rPr>
            <w:color w:val="0A3A8C"/>
            <w:u w:val="single"/>
          </w:rPr>
          <w:t xml:space="preserve">§ 372</w:t>
        </w:r>
      </w:hyperlink>
      <w:r>
        <w:t xml:space="preserve"> Satz 1) oder die Einziehung oder die Unbrauchbarmachung nach den </w:t>
      </w:r>
      <w:hyperlink w:anchor="b626" w:history="1">
        <w:r>
          <w:rPr>
            <w:color w:val="0A3A8C"/>
            <w:u w:val="single"/>
          </w:rPr>
          <w:t xml:space="preserve">§§ 435</w:t>
        </w:r>
      </w:hyperlink>
      <w:r>
        <w:t xml:space="preserve">, </w:t>
      </w:r>
      <w:hyperlink w:anchor="b627" w:history="1">
        <w:r>
          <w:rPr>
            <w:color w:val="0A3A8C"/>
            <w:u w:val="single"/>
          </w:rPr>
          <w:t xml:space="preserve">436</w:t>
        </w:r>
      </w:hyperlink>
      <w:r>
        <w:t xml:space="preserve"> Absatz 2 in Verbindung mit </w:t>
      </w:r>
      <w:hyperlink w:anchor="b625" w:history="1">
        <w:r>
          <w:rPr>
            <w:color w:val="0A3A8C"/>
            <w:u w:val="single"/>
          </w:rPr>
          <w:t xml:space="preserve">§ 434</w:t>
        </w:r>
      </w:hyperlink>
      <w:r>
        <w:t xml:space="preserve"> Absatz 2 und </w:t>
      </w:r>
      <w:hyperlink w:anchor="b630" w:history="1">
        <w:r>
          <w:rPr>
            <w:color w:val="0A3A8C"/>
            <w:u w:val="single"/>
          </w:rPr>
          <w:t xml:space="preserve">§ 439</w:t>
        </w:r>
      </w:hyperlink>
      <w:r>
        <w:t xml:space="preserve"> betreffen;</w:t>
      </w:r>
    </w:p>
    <w:p>
      <w:hyperlink w:anchor="b244" w:history="1">
        <w:r>
          <w:rPr>
            <w:color w:val="0A3A8C"/>
            <w:u w:val="single"/>
          </w:rPr>
          <w:t xml:space="preserve">§ 138d</w:t>
        </w:r>
      </w:hyperlink>
      <w:r>
        <w:t xml:space="preserve"> Abs. 6 bleibt unberührt.</w:t>
      </w:r>
    </w:p>
    <w:p>
      <w:r>
        <w:t>(5) Gegen Verfügungen des Ermittlungsrichters des Bundesgerichtshofes und des Oberlandesgerichts (</w:t>
      </w:r>
      <w:hyperlink w:anchor="b313" w:history="1">
        <w:r>
          <w:rPr>
            <w:color w:val="0A3A8C"/>
            <w:u w:val="single"/>
          </w:rPr>
          <w:t xml:space="preserve">§ 169</w:t>
        </w:r>
      </w:hyperlink>
      <w:r>
        <w:t xml:space="preserve"> Abs. 1) ist die Beschwerde nur zulässig, wenn sie die Verhaftung, einstweilige Unterbringung, Bestellung eines Pflichtverteidigers oder deren Aufhebung, Beschlagnahme, Durchsuchung oder die in </w:t>
      </w:r>
      <w:hyperlink w:anchor="b154" w:history="1">
        <w:r>
          <w:rPr>
            <w:color w:val="0A3A8C"/>
            <w:u w:val="single"/>
          </w:rPr>
          <w:t xml:space="preserve">§ 101</w:t>
        </w:r>
      </w:hyperlink>
      <w:r>
        <w:t xml:space="preserve"> Abs. 1 bezeichneten Maßnahmen betreffen.</w:t>
      </w:r>
    </w:p>
    <w:p>
      <w:pPr>
        <w:pStyle w:val="Heading3"/>
      </w:pPr>
      <w:bookmarkStart w:id="457" w:name="b456"/>
      <w:r>
        <w:t>§ 305 Nicht der Beschwerde unterliegende Entscheidungen</w:t>
      </w:r>
      <w:r>
        <w:t xml:space="preserve"> </w:t>
      </w:r>
      <w:r>
        <w:rPr>
          <w:rStyle w:val="Suchmarke"/>
        </w:rPr>
        <w:t>#305#</w:t>
      </w:r>
      <w:bookmarkEnd w:id="457"/>
    </w:p>
    <w:p>
      <w:r>
        <w:rPr>
          <w:rStyle w:val="Satznummer"/>
        </w:rPr>
        <w:t>1</w:t>
      </w:r>
      <w:r>
        <w:t xml:space="preserve">Entscheidungen der erkennenden Gerichte, die der Urteilsfällung vorausgehen, unterliegen nicht der Beschwerde. </w:t>
      </w:r>
      <w:r>
        <w:rPr>
          <w:rStyle w:val="Satznummer"/>
        </w:rPr>
        <w:t>2</w:t>
      </w:r>
      <w:r>
        <w:t>Ausgenommen sind Entscheidungen über Verhaftungen, die einstweilige Unterbringung, Beschlagnahmen, die vorläufige Entziehung der Fahrerlaubnis, das vorläufige Berufsverbot oder die Festsetzung von Ordnungs- oder Zwangsmitteln sowie alle Entscheidungen, durch die dritte Personen betroffen werden.</w:t>
      </w:r>
    </w:p>
    <w:p>
      <w:pPr>
        <w:pStyle w:val="Heading3"/>
      </w:pPr>
      <w:bookmarkStart w:id="458" w:name="b457"/>
      <w:r>
        <w:t>§ 305a Beschwerde gegen Strafaussetzungsbeschluss</w:t>
      </w:r>
      <w:r>
        <w:t xml:space="preserve"> </w:t>
      </w:r>
      <w:r>
        <w:rPr>
          <w:rStyle w:val="Suchmarke"/>
        </w:rPr>
        <w:t>#305a#</w:t>
      </w:r>
      <w:bookmarkEnd w:id="458"/>
    </w:p>
    <w:p>
      <w:r>
        <w:t xml:space="preserve">(1) </w:t>
      </w:r>
      <w:r>
        <w:rPr>
          <w:rStyle w:val="Satznummer"/>
        </w:rPr>
        <w:t>1</w:t>
      </w:r>
      <w:r>
        <w:t xml:space="preserve">Gegen den Beschluß nach </w:t>
      </w:r>
      <w:hyperlink w:anchor="b417" w:history="1">
        <w:r>
          <w:rPr>
            <w:color w:val="0A3A8C"/>
            <w:u w:val="single"/>
          </w:rPr>
          <w:t xml:space="preserve">§ 268a</w:t>
        </w:r>
      </w:hyperlink>
      <w:r>
        <w:t xml:space="preserve"> Abs. 1, 2 ist Beschwerde zulässig. </w:t>
      </w:r>
      <w:r>
        <w:rPr>
          <w:rStyle w:val="Satznummer"/>
        </w:rPr>
        <w:t>2</w:t>
      </w:r>
      <w:r>
        <w:t>Sie kann nur darauf gestützt werden, daß eine getroffene Anordnung gesetzwidrig ist.</w:t>
      </w:r>
    </w:p>
    <w:p>
      <w:r>
        <w:t>(2) Wird gegen den Beschluß Beschwerde und gegen das Urteil eine zulässige Revision eingelegt, so ist das Revisionsgericht auch zur Entscheidung über die Beschwerde zuständig.</w:t>
      </w:r>
    </w:p>
    <w:p>
      <w:pPr>
        <w:pStyle w:val="Heading3"/>
      </w:pPr>
      <w:bookmarkStart w:id="459" w:name="b458"/>
      <w:r>
        <w:t>§ 306 Einlegung; Abhilfeverfahren</w:t>
      </w:r>
      <w:r>
        <w:t xml:space="preserve"> </w:t>
      </w:r>
      <w:r>
        <w:rPr>
          <w:rStyle w:val="Suchmarke"/>
        </w:rPr>
        <w:t>#306#</w:t>
      </w:r>
      <w:bookmarkEnd w:id="459"/>
    </w:p>
    <w:p>
      <w:r>
        <w:t>(1) Die Beschwerde wird bei dem Gericht, von dem oder von dessen Vorsitzenden die angefochtene Entscheidung erlassen ist, zu Protokoll der Geschäftsstelle oder schriftlich eingelegt.</w:t>
      </w:r>
    </w:p>
    <w:p>
      <w:r>
        <w:t>(2) Erachtet das Gericht oder der Vorsitzende, dessen Entscheidung angefochten wird, die Beschwerde für begründet, so haben sie ihr abzuhelfen; andernfalls ist die Beschwerde sofort, spätestens vor Ablauf von drei Tagen, dem Beschwerdegericht vorzulegen.</w:t>
      </w:r>
    </w:p>
    <w:p>
      <w:r>
        <w:t>(3) Diese Vorschriften gelten auch für die Entscheidungen des Richters im Vorverfahren und des beauftragten oder ersuchten Richters.</w:t>
      </w:r>
    </w:p>
    <w:p>
      <w:pPr>
        <w:pStyle w:val="Heading3"/>
      </w:pPr>
      <w:bookmarkStart w:id="460" w:name="b459"/>
      <w:r>
        <w:t>§ 307 Keine Vollzugshemmung</w:t>
      </w:r>
      <w:r>
        <w:t xml:space="preserve"> </w:t>
      </w:r>
      <w:r>
        <w:rPr>
          <w:rStyle w:val="Suchmarke"/>
        </w:rPr>
        <w:t>#307#</w:t>
      </w:r>
      <w:bookmarkEnd w:id="460"/>
    </w:p>
    <w:p>
      <w:r>
        <w:t>(1) Durch Einlegung der Beschwerde wird der Vollzug der angefochtenen Entscheidung nicht gehemmt.</w:t>
      </w:r>
    </w:p>
    <w:p>
      <w:r>
        <w:t>(2) Jedoch kann das Gericht, der Vorsitzende oder der Richter, dessen Entscheidung angefochten wird, sowie auch das Beschwerdegericht anordnen, daß die Vollziehung der angefochtenen Entscheidung auszusetzen ist.</w:t>
      </w:r>
    </w:p>
    <w:p>
      <w:pPr>
        <w:pStyle w:val="Heading3"/>
      </w:pPr>
      <w:bookmarkStart w:id="461" w:name="b460"/>
      <w:r>
        <w:t>§ 308 Befugnisse des Beschwerdegerichts</w:t>
      </w:r>
      <w:r>
        <w:t xml:space="preserve"> </w:t>
      </w:r>
      <w:r>
        <w:rPr>
          <w:rStyle w:val="Suchmarke"/>
        </w:rPr>
        <w:t>#308#</w:t>
      </w:r>
      <w:bookmarkEnd w:id="461"/>
    </w:p>
    <w:p>
      <w:r>
        <w:t xml:space="preserve">(1) </w:t>
      </w:r>
      <w:r>
        <w:rPr>
          <w:rStyle w:val="Satznummer"/>
        </w:rPr>
        <w:t>1</w:t>
      </w:r>
      <w:r>
        <w:t xml:space="preserve">Das Beschwerdegericht darf die angefochtene Entscheidung nicht zum Nachteil des Gegners des Beschwerdeführers ändern, ohne daß diesem die Beschwerde zur Gegenerklärung mitgeteilt worden ist. </w:t>
      </w:r>
      <w:r>
        <w:rPr>
          <w:rStyle w:val="Satznummer"/>
        </w:rPr>
        <w:t>2</w:t>
      </w:r>
      <w:r>
        <w:t xml:space="preserve">Dies gilt nicht in den Fällen des </w:t>
      </w:r>
      <w:hyperlink w:anchor="b48" w:history="1">
        <w:r>
          <w:rPr>
            <w:color w:val="0A3A8C"/>
            <w:u w:val="single"/>
          </w:rPr>
          <w:t xml:space="preserve">§ 33</w:t>
        </w:r>
      </w:hyperlink>
      <w:r>
        <w:t xml:space="preserve"> Abs. 4 Satz 1.</w:t>
      </w:r>
    </w:p>
    <w:p>
      <w:r>
        <w:t>(2) Das Beschwerdegericht kann Ermittlungen anordnen oder selbst vornehmen.</w:t>
      </w:r>
    </w:p>
    <w:p>
      <w:pPr>
        <w:pStyle w:val="Heading3"/>
      </w:pPr>
      <w:bookmarkStart w:id="462" w:name="b461"/>
      <w:r>
        <w:t>§ 309 Entscheidung</w:t>
      </w:r>
      <w:r>
        <w:t xml:space="preserve"> </w:t>
      </w:r>
      <w:r>
        <w:rPr>
          <w:rStyle w:val="Suchmarke"/>
        </w:rPr>
        <w:t>#309#</w:t>
      </w:r>
      <w:bookmarkEnd w:id="462"/>
    </w:p>
    <w:p>
      <w:r>
        <w:t>(1) Die Entscheidung über die Beschwerde ergeht ohne mündliche Verhandlung, in geeigneten Fällen nach Anhörung der Staatsanwaltschaft.</w:t>
      </w:r>
    </w:p>
    <w:p>
      <w:r>
        <w:t>(2) Wird die Beschwerde für begründet erachtet, so erläßt das Beschwerdegericht zugleich die in der Sache erforderliche Entscheidung.</w:t>
      </w:r>
    </w:p>
    <w:p>
      <w:pPr>
        <w:pStyle w:val="Heading3"/>
      </w:pPr>
      <w:bookmarkStart w:id="463" w:name="b462"/>
      <w:r>
        <w:t>§ 310 Weitere Beschwerde</w:t>
      </w:r>
      <w:r>
        <w:t xml:space="preserve"> </w:t>
      </w:r>
      <w:r>
        <w:rPr>
          <w:rStyle w:val="Suchmarke"/>
        </w:rPr>
        <w:t>#310#</w:t>
      </w:r>
      <w:bookmarkEnd w:id="463"/>
    </w:p>
    <w:p>
      <w:r>
        <w:t>(1) Beschlüsse, die von dem Landgericht oder von dem nach § 120 Abs. 3 des Gerichtsverfassungsgesetzes zuständigen Oberlandesgericht auf die Beschwerde hin erlassen worden sind, können durch weitere Beschwerde angefochten werden, wenn sie</w:t>
      </w:r>
    </w:p>
    <w:p>
      <w:pPr>
        <w:tabs>
          <w:tab w:pos="567" w:val="left"/>
        </w:tabs>
        <w:ind w:left="567" w:hanging="567"/>
      </w:pPr>
      <w:r>
        <w:t>1.</w:t>
      </w:r>
      <w:r>
        <w:tab/>
      </w:r>
      <w:r>
        <w:t>eine Verhaftung,</w:t>
      </w:r>
    </w:p>
    <w:p>
      <w:pPr>
        <w:tabs>
          <w:tab w:pos="567" w:val="left"/>
        </w:tabs>
        <w:ind w:left="567" w:hanging="567"/>
      </w:pPr>
      <w:r>
        <w:t>2.</w:t>
      </w:r>
      <w:r>
        <w:tab/>
      </w:r>
      <w:r>
        <w:t>eine einstweilige Unterbringung oder</w:t>
      </w:r>
    </w:p>
    <w:p>
      <w:pPr>
        <w:tabs>
          <w:tab w:pos="567" w:val="left"/>
        </w:tabs>
        <w:ind w:left="567" w:hanging="567"/>
      </w:pPr>
      <w:r>
        <w:t>3.</w:t>
      </w:r>
      <w:r>
        <w:tab/>
      </w:r>
      <w:r>
        <w:t xml:space="preserve">einen Vermögensarrest nach </w:t>
      </w:r>
      <w:hyperlink w:anchor="b175" w:history="1">
        <w:r>
          <w:rPr>
            <w:color w:val="0A3A8C"/>
            <w:u w:val="single"/>
          </w:rPr>
          <w:t xml:space="preserve">§ 111e</w:t>
        </w:r>
      </w:hyperlink>
      <w:r>
        <w:t xml:space="preserve"> über einen Betrag von mehr als 20 000 Euro</w:t>
      </w:r>
    </w:p>
    <w:p>
      <w:r>
        <w:t>betreffen.</w:t>
      </w:r>
    </w:p>
    <w:p>
      <w:r>
        <w:t>(2) Im übrigen findet eine weitere Anfechtung der auf eine Beschwerde ergangenen Entscheidungen nicht statt.</w:t>
      </w:r>
    </w:p>
    <w:p>
      <w:pPr>
        <w:pStyle w:val="Heading3"/>
      </w:pPr>
      <w:bookmarkStart w:id="464" w:name="b463"/>
      <w:r>
        <w:t>§ 311 Sofortige Beschwerde</w:t>
      </w:r>
      <w:r>
        <w:t xml:space="preserve"> </w:t>
      </w:r>
      <w:r>
        <w:rPr>
          <w:rStyle w:val="Suchmarke"/>
        </w:rPr>
        <w:t>#311#</w:t>
      </w:r>
      <w:bookmarkEnd w:id="464"/>
    </w:p>
    <w:p>
      <w:r>
        <w:t>(1) Für die Fälle der sofortigen Beschwerde gelten die nachfolgenden besonderen Vorschriften.</w:t>
      </w:r>
    </w:p>
    <w:p>
      <w:r>
        <w:t>(2) Die Beschwerde ist binnen einer Woche einzulegen; die Frist beginnt mit der Bekanntmachung (</w:t>
      </w:r>
      <w:hyperlink w:anchor="b52" w:history="1">
        <w:r>
          <w:rPr>
            <w:color w:val="0A3A8C"/>
            <w:u w:val="single"/>
          </w:rPr>
          <w:t xml:space="preserve">§ 35</w:t>
        </w:r>
      </w:hyperlink>
      <w:r>
        <w:t>) der Entscheidung.</w:t>
      </w:r>
    </w:p>
    <w:p>
      <w:r>
        <w:t xml:space="preserve">(3) </w:t>
      </w:r>
      <w:r>
        <w:rPr>
          <w:rStyle w:val="Satznummer"/>
        </w:rPr>
        <w:t>1</w:t>
      </w:r>
      <w:r>
        <w:t xml:space="preserve">Das Gericht ist zu einer Abänderung seiner durch Beschwerde angefochtenen Entscheidung nicht befugt. </w:t>
      </w:r>
      <w:r>
        <w:rPr>
          <w:rStyle w:val="Satznummer"/>
        </w:rPr>
        <w:t>2</w:t>
      </w:r>
      <w:r>
        <w:t>Es hilft jedoch der Beschwerde ab, wenn es zum Nachteil des Beschwerdeführers Tatsachen oder Beweisergebnisse verwertet hat, zu denen dieser noch nicht gehört worden ist, und es auf Grund des nachträglichen Vorbringens die Beschwerde für begründet erachtet.</w:t>
      </w:r>
    </w:p>
    <w:p>
      <w:pPr>
        <w:pStyle w:val="Heading3"/>
      </w:pPr>
      <w:bookmarkStart w:id="465" w:name="b464"/>
      <w:r>
        <w:t>§ 311a Nachträgliche Anhörung des Gegners</w:t>
      </w:r>
      <w:r>
        <w:t xml:space="preserve"> </w:t>
      </w:r>
      <w:r>
        <w:rPr>
          <w:rStyle w:val="Suchmarke"/>
        </w:rPr>
        <w:t>#311a#</w:t>
      </w:r>
      <w:bookmarkEnd w:id="465"/>
    </w:p>
    <w:p>
      <w:r>
        <w:t xml:space="preserve">(1) </w:t>
      </w:r>
      <w:r>
        <w:rPr>
          <w:rStyle w:val="Satznummer"/>
        </w:rPr>
        <w:t>1</w:t>
      </w:r>
      <w:r>
        <w:t xml:space="preserve">Hat das Beschwerdegericht einer Beschwerde ohne Anhörung des Gegners des Beschwerdeführers stattgegeben und kann seine Entscheidung nicht angefochten werden, so hat es diesen, sofern der ihm dadurch entstandene Nachteil noch besteht, von Amts wegen oder auf Antrag nachträglich zu hören und auf einen Antrag zu entscheiden. </w:t>
      </w:r>
      <w:r>
        <w:rPr>
          <w:rStyle w:val="Satznummer"/>
        </w:rPr>
        <w:t>2</w:t>
      </w:r>
      <w:r>
        <w:t>Das Beschwerdegericht kann seine Entscheidung auch ohne Antrag ändern.</w:t>
      </w:r>
    </w:p>
    <w:p>
      <w:r>
        <w:t xml:space="preserve">(2) Für das Verfahren gelten die </w:t>
      </w:r>
      <w:hyperlink w:anchor="b459" w:history="1">
        <w:r>
          <w:rPr>
            <w:color w:val="0A3A8C"/>
            <w:u w:val="single"/>
          </w:rPr>
          <w:t xml:space="preserve">§§ 307</w:t>
        </w:r>
      </w:hyperlink>
      <w:r>
        <w:t xml:space="preserve">, </w:t>
      </w:r>
      <w:hyperlink w:anchor="b460" w:history="1">
        <w:r>
          <w:rPr>
            <w:color w:val="0A3A8C"/>
            <w:u w:val="single"/>
          </w:rPr>
          <w:t xml:space="preserve">308</w:t>
        </w:r>
      </w:hyperlink>
      <w:r>
        <w:t xml:space="preserve"> Abs. 2 und </w:t>
      </w:r>
      <w:hyperlink w:anchor="b461" w:history="1">
        <w:r>
          <w:rPr>
            <w:color w:val="0A3A8C"/>
            <w:u w:val="single"/>
          </w:rPr>
          <w:t xml:space="preserve">§ 309</w:t>
        </w:r>
      </w:hyperlink>
      <w:r>
        <w:t xml:space="preserve"> Abs. 2 entsprechend.</w:t>
      </w:r>
    </w:p>
    <w:p>
      <w:pPr>
        <w:pStyle w:val="Heading2"/>
      </w:pPr>
      <w:bookmarkStart w:id="466" w:name="b465"/>
      <w:r>
        <w:t>Dritter Abschnitt Berufung</w:t>
      </w:r>
      <w:bookmarkEnd w:id="466"/>
    </w:p>
    <w:p>
      <w:pPr>
        <w:pStyle w:val="Heading3"/>
      </w:pPr>
      <w:bookmarkStart w:id="467" w:name="b466"/>
      <w:r>
        <w:t>§ 312 Zulässigkeit</w:t>
      </w:r>
      <w:r>
        <w:t xml:space="preserve"> </w:t>
      </w:r>
      <w:r>
        <w:rPr>
          <w:rStyle w:val="Suchmarke"/>
        </w:rPr>
        <w:t>#312#</w:t>
      </w:r>
      <w:bookmarkEnd w:id="467"/>
    </w:p>
    <w:p>
      <w:r>
        <w:t>Gegen die Urteile des Strafrichters und des Schöffengerichts ist Berufung zulässig.</w:t>
      </w:r>
    </w:p>
    <w:p>
      <w:pPr>
        <w:pStyle w:val="Heading3"/>
      </w:pPr>
      <w:bookmarkStart w:id="468" w:name="b467"/>
      <w:r>
        <w:t>§ 313 Annahmeberufung bei geringen Geldstrafen und Geldbußen</w:t>
      </w:r>
      <w:r>
        <w:t xml:space="preserve"> </w:t>
      </w:r>
      <w:r>
        <w:rPr>
          <w:rStyle w:val="Suchmarke"/>
        </w:rPr>
        <w:t>#313#</w:t>
      </w:r>
      <w:bookmarkEnd w:id="468"/>
    </w:p>
    <w:p>
      <w:r>
        <w:t xml:space="preserve">(1) </w:t>
      </w:r>
      <w:r>
        <w:rPr>
          <w:rStyle w:val="Satznummer"/>
        </w:rPr>
        <w:t>1</w:t>
      </w:r>
      <w:r>
        <w:t xml:space="preserve">Ist der Angeklagte zu einer Geldstrafe von nicht mehr als fünfzehn Tagessätzen verurteilt worden, beträgt im Falle einer Verwarnung die vorbehaltene Strafe nicht mehr als fünfzehn Tagessätze oder ist eine Verurteilung zu einer Geldbuße erfolgt, so ist die Berufung nur zulässig, wenn sie angenommen wird. </w:t>
      </w:r>
      <w:r>
        <w:rPr>
          <w:rStyle w:val="Satznummer"/>
        </w:rPr>
        <w:t>2</w:t>
      </w:r>
      <w:r>
        <w:t>Das gleiche gilt, wenn der Angeklagte freigesprochen oder das Verfahren eingestellt worden ist und die Staatsanwaltschaft eine Geldstrafe von nicht mehr als dreißig Tagessätzen beantragt hatte.</w:t>
      </w:r>
    </w:p>
    <w:p>
      <w:r>
        <w:t xml:space="preserve">(2) </w:t>
      </w:r>
      <w:r>
        <w:rPr>
          <w:rStyle w:val="Satznummer"/>
        </w:rPr>
        <w:t>1</w:t>
      </w:r>
      <w:r>
        <w:t xml:space="preserve">Die Berufung wird angenommen, wenn sie nicht offensichtlich unbegründet ist. </w:t>
      </w:r>
      <w:r>
        <w:rPr>
          <w:rStyle w:val="Satznummer"/>
        </w:rPr>
        <w:t>2</w:t>
      </w:r>
      <w:r>
        <w:t>Andernfalls wird die Berufung als unzulässig verworfen.</w:t>
      </w:r>
    </w:p>
    <w:p>
      <w:r>
        <w:t xml:space="preserve">(3) </w:t>
      </w:r>
      <w:r>
        <w:rPr>
          <w:rStyle w:val="Satznummer"/>
        </w:rPr>
        <w:t>1</w:t>
      </w:r>
      <w:r>
        <w:t xml:space="preserve">Die Berufung gegen ein auf Geldbuße, Freispruch oder Einstellung wegen einer Ordnungswidrigkeit lautendes Urteil ist stets anzunehmen, wenn die Rechtsbeschwerde nach § 79 Abs. 1 des Gesetzes über Ordnungswidrigkeiten zulässig oder nach § 80 Abs. 1 und 2 des Gesetzes über Ordnungswidrigkeiten zuzulassen wäre. </w:t>
      </w:r>
      <w:r>
        <w:rPr>
          <w:rStyle w:val="Satznummer"/>
        </w:rPr>
        <w:t>2</w:t>
      </w:r>
      <w:r>
        <w:t>Im übrigen findet Absatz 2 Anwendung.</w:t>
      </w:r>
    </w:p>
    <w:p>
      <w:pPr>
        <w:pStyle w:val="Heading3"/>
      </w:pPr>
      <w:bookmarkStart w:id="469" w:name="b468"/>
      <w:r>
        <w:t>§ 314 Form und Frist</w:t>
      </w:r>
      <w:r>
        <w:t xml:space="preserve"> </w:t>
      </w:r>
      <w:r>
        <w:rPr>
          <w:rStyle w:val="Suchmarke"/>
        </w:rPr>
        <w:t>#314#</w:t>
      </w:r>
      <w:bookmarkEnd w:id="469"/>
    </w:p>
    <w:p>
      <w:r>
        <w:t>(1) Die Berufung muß bei dem Gericht des ersten Rechtszuges binnen einer Woche nach Verkündung des Urteils zu Protokoll der Geschäftsstelle oder schriftlich eingelegt werden.</w:t>
      </w:r>
    </w:p>
    <w:p>
      <w:r>
        <w:t xml:space="preserve">(2) Hat die Verkündung des Urteils nicht in Anwesenheit des Angeklagten stattgefunden, so beginnt für diesen die Frist mit der Zustellung, sofern nicht in den Fällen der </w:t>
      </w:r>
      <w:hyperlink w:anchor="b373" w:history="1">
        <w:r>
          <w:rPr>
            <w:color w:val="0A3A8C"/>
            <w:u w:val="single"/>
          </w:rPr>
          <w:t xml:space="preserve">§§ 234</w:t>
        </w:r>
      </w:hyperlink>
      <w:r>
        <w:t xml:space="preserve">, </w:t>
      </w:r>
      <w:hyperlink w:anchor="b554" w:history="1">
        <w:r>
          <w:rPr>
            <w:color w:val="0A3A8C"/>
            <w:u w:val="single"/>
          </w:rPr>
          <w:t xml:space="preserve">387</w:t>
        </w:r>
      </w:hyperlink>
      <w:r>
        <w:t xml:space="preserve"> Abs. 1, </w:t>
      </w:r>
      <w:hyperlink w:anchor="b599" w:history="1">
        <w:r>
          <w:rPr>
            <w:color w:val="0A3A8C"/>
            <w:u w:val="single"/>
          </w:rPr>
          <w:t xml:space="preserve">§ 411</w:t>
        </w:r>
      </w:hyperlink>
      <w:r>
        <w:t xml:space="preserve"> Abs. 2 und </w:t>
      </w:r>
      <w:hyperlink w:anchor="b619" w:history="1">
        <w:r>
          <w:rPr>
            <w:color w:val="0A3A8C"/>
            <w:u w:val="single"/>
          </w:rPr>
          <w:t xml:space="preserve">§ 428</w:t>
        </w:r>
      </w:hyperlink>
      <w:r>
        <w:t xml:space="preserve"> Absatz 1 Satz 1 die Verkündung in Anwesenheit des Verteidigers mit nachgewiesener Vertretungsvollmacht stattgefunden hat.</w:t>
      </w:r>
    </w:p>
    <w:p>
      <w:pPr>
        <w:pStyle w:val="Heading3"/>
      </w:pPr>
      <w:bookmarkStart w:id="470" w:name="b469"/>
      <w:r>
        <w:t>§ 315 Berufung und Wiedereinsetzungsantrag</w:t>
      </w:r>
      <w:r>
        <w:t xml:space="preserve"> </w:t>
      </w:r>
      <w:r>
        <w:rPr>
          <w:rStyle w:val="Suchmarke"/>
        </w:rPr>
        <w:t>#315#</w:t>
      </w:r>
      <w:bookmarkEnd w:id="470"/>
    </w:p>
    <w:p>
      <w:r>
        <w:t>(1) Der Beginn der Frist zur Einlegung der Berufung wird dadurch nicht ausgeschlossen, daß gegen ein auf Ausbleiben des Angeklagten ergangenes Urteil eine Wiedereinsetzung in den vorigen Stand nachgesucht werden kann.</w:t>
      </w:r>
    </w:p>
    <w:p>
      <w:r>
        <w:t xml:space="preserve">(2) </w:t>
      </w:r>
      <w:r>
        <w:rPr>
          <w:rStyle w:val="Satznummer"/>
        </w:rPr>
        <w:t>1</w:t>
      </w:r>
      <w:r>
        <w:t xml:space="preserve">Stellt der Angeklagte einen Antrag auf Wiedereinsetzung in den vorigen Stand, so wird die Berufung dadurch gewahrt, daß sie sofort für den Fall der Verwerfung jenes Antrags rechtzeitig eingelegt wird. </w:t>
      </w:r>
      <w:r>
        <w:rPr>
          <w:rStyle w:val="Satznummer"/>
        </w:rPr>
        <w:t>2</w:t>
      </w:r>
      <w:r>
        <w:t>Die weitere Verfügung in bezug auf die Berufung bleibt dann bis zur Erledigung des Antrags auf Wiedereinsetzung in den vorigen Stand ausgesetzt.</w:t>
      </w:r>
    </w:p>
    <w:p>
      <w:r>
        <w:t>(3) Die Einlegung der Berufung ohne Verbindung mit dem Antrag auf Wiedereinsetzung in den vorigen Stand gilt als Verzicht auf die letztere.</w:t>
      </w:r>
    </w:p>
    <w:p>
      <w:pPr>
        <w:pStyle w:val="Heading3"/>
      </w:pPr>
      <w:bookmarkStart w:id="471" w:name="b470"/>
      <w:r>
        <w:t>§ 316 Hemmung der Rechtskraft</w:t>
      </w:r>
      <w:r>
        <w:t xml:space="preserve"> </w:t>
      </w:r>
      <w:r>
        <w:rPr>
          <w:rStyle w:val="Suchmarke"/>
        </w:rPr>
        <w:t>#316#</w:t>
      </w:r>
      <w:bookmarkEnd w:id="471"/>
    </w:p>
    <w:p>
      <w:r>
        <w:t>(1) Durch rechtzeitige Einlegung der Berufung wird die Rechtskraft des Urteils, soweit es angefochten ist, gehemmt.</w:t>
      </w:r>
    </w:p>
    <w:p>
      <w:r>
        <w:t>(2) Dem Beschwerdeführer, dem das Urteil mit den Gründen noch nicht zugestellt war, ist es nach Einlegung der Berufung sofort zuzustellen.</w:t>
      </w:r>
    </w:p>
    <w:p>
      <w:pPr>
        <w:pStyle w:val="Heading3"/>
      </w:pPr>
      <w:bookmarkStart w:id="472" w:name="b471"/>
      <w:r>
        <w:t>§ 317 Berufungsbegründung</w:t>
      </w:r>
      <w:r>
        <w:t xml:space="preserve"> </w:t>
      </w:r>
      <w:r>
        <w:rPr>
          <w:rStyle w:val="Suchmarke"/>
        </w:rPr>
        <w:t>#317#</w:t>
      </w:r>
      <w:bookmarkEnd w:id="472"/>
    </w:p>
    <w:p>
      <w:r>
        <w:t>Die Berufung kann binnen einer weiteren Woche nach Ablauf der Frist zur Einlegung des Rechtsmittels oder, wenn zu dieser Zeit das Urteil noch nicht zugestellt war, nach dessen Zustellung bei dem Gericht des ersten Rechtszuges zu Protokoll der Geschäftsstelle oder in einer Beschwerdeschrift gerechtfertigt werden.</w:t>
      </w:r>
    </w:p>
    <w:p>
      <w:pPr>
        <w:pStyle w:val="Heading3"/>
      </w:pPr>
      <w:bookmarkStart w:id="473" w:name="b472"/>
      <w:r>
        <w:t>§ 318 Berufungsbeschränkung</w:t>
      </w:r>
      <w:r>
        <w:t xml:space="preserve"> </w:t>
      </w:r>
      <w:r>
        <w:rPr>
          <w:rStyle w:val="Suchmarke"/>
        </w:rPr>
        <w:t>#318#</w:t>
      </w:r>
      <w:bookmarkEnd w:id="473"/>
    </w:p>
    <w:p>
      <w:r>
        <w:rPr>
          <w:rStyle w:val="Satznummer"/>
        </w:rPr>
        <w:t>1</w:t>
      </w:r>
      <w:r>
        <w:t xml:space="preserve">Die Berufung kann auf bestimmte Beschwerdepunkte beschränkt werden. </w:t>
      </w:r>
      <w:r>
        <w:rPr>
          <w:rStyle w:val="Satznummer"/>
        </w:rPr>
        <w:t>2</w:t>
      </w:r>
      <w:r>
        <w:t>Ist dies nicht geschehen oder eine Rechtfertigung überhaupt nicht erfolgt, so gilt der ganze Inhalt des Urteils als angefochten.</w:t>
      </w:r>
    </w:p>
    <w:p>
      <w:pPr>
        <w:pStyle w:val="Heading3"/>
      </w:pPr>
      <w:bookmarkStart w:id="474" w:name="b473"/>
      <w:r>
        <w:t>§ 319 Verspätete Einlegung</w:t>
      </w:r>
      <w:r>
        <w:t xml:space="preserve"> </w:t>
      </w:r>
      <w:r>
        <w:rPr>
          <w:rStyle w:val="Suchmarke"/>
        </w:rPr>
        <w:t>#319#</w:t>
      </w:r>
      <w:bookmarkEnd w:id="474"/>
    </w:p>
    <w:p>
      <w:r>
        <w:t>(1) Ist die Berufung verspätet eingelegt, so hat das Gericht des ersten Rechtszuges das Rechtsmittel als unzulässig zu verwerfen.</w:t>
      </w:r>
    </w:p>
    <w:p>
      <w:r>
        <w:t xml:space="preserve">(2) </w:t>
      </w:r>
      <w:r>
        <w:rPr>
          <w:rStyle w:val="Satznummer"/>
        </w:rPr>
        <w:t>1</w:t>
      </w:r>
      <w:r>
        <w:t xml:space="preserve">Der Beschwerdeführer kann binnen einer Woche nach Zustellung des Beschlusses auf die Entscheidung des Berufungsgerichts antragen. </w:t>
      </w:r>
      <w:r>
        <w:rPr>
          <w:rStyle w:val="Satznummer"/>
        </w:rPr>
        <w:t>2</w:t>
      </w:r>
      <w:r>
        <w:t xml:space="preserve">In diesem Falle sind die Akten an das Berufungsgericht einzusenden; die Vollstreckung des Urteils wird jedoch hierdurch nicht gehemmt. </w:t>
      </w:r>
      <w:r>
        <w:rPr>
          <w:rStyle w:val="Satznummer"/>
        </w:rPr>
        <w:t>3</w:t>
      </w:r>
      <w:r>
        <w:t xml:space="preserve">Die Vorschrift des </w:t>
      </w:r>
      <w:hyperlink w:anchor="b53" w:history="1">
        <w:r>
          <w:rPr>
            <w:color w:val="0A3A8C"/>
            <w:u w:val="single"/>
          </w:rPr>
          <w:t xml:space="preserve">§ 35a</w:t>
        </w:r>
      </w:hyperlink>
      <w:r>
        <w:t xml:space="preserve"> gilt entsprechend.</w:t>
      </w:r>
    </w:p>
    <w:p>
      <w:pPr>
        <w:pStyle w:val="Heading3"/>
      </w:pPr>
      <w:bookmarkStart w:id="475" w:name="b474"/>
      <w:r>
        <w:t>§ 320 Aktenübermittlung an die Staatsanwaltschaft</w:t>
      </w:r>
      <w:r>
        <w:t xml:space="preserve"> </w:t>
      </w:r>
      <w:r>
        <w:rPr>
          <w:rStyle w:val="Suchmarke"/>
        </w:rPr>
        <w:t>#320#</w:t>
      </w:r>
      <w:bookmarkEnd w:id="475"/>
    </w:p>
    <w:p>
      <w:r>
        <w:rPr>
          <w:rStyle w:val="Satznummer"/>
        </w:rPr>
        <w:t>1</w:t>
      </w:r>
      <w:r>
        <w:t xml:space="preserve">Ist die Berufung rechtzeitig eingelegt, so hat nach Ablauf der Frist zur Rechtfertigung die Geschäftsstelle ohne Rücksicht darauf, ob eine Rechtfertigung stattgefunden hat oder nicht, die Akten der Staatsanwaltschaft vorzulegen. </w:t>
      </w:r>
      <w:r>
        <w:rPr>
          <w:rStyle w:val="Satznummer"/>
        </w:rPr>
        <w:t>2</w:t>
      </w:r>
      <w:r>
        <w:t>Diese stellt, wenn die Berufung von ihr eingelegt ist, dem Angeklagten die Schriftstücke über Einlegung und Rechtfertigung der Berufung zu.</w:t>
      </w:r>
    </w:p>
    <w:p>
      <w:pPr>
        <w:pStyle w:val="Heading3"/>
      </w:pPr>
      <w:bookmarkStart w:id="476" w:name="b475"/>
      <w:r>
        <w:t>§ 321 Aktenübermittlung an das Berufungsgericht</w:t>
      </w:r>
      <w:r>
        <w:t xml:space="preserve"> </w:t>
      </w:r>
      <w:r>
        <w:rPr>
          <w:rStyle w:val="Suchmarke"/>
        </w:rPr>
        <w:t>#321#</w:t>
      </w:r>
      <w:bookmarkEnd w:id="476"/>
    </w:p>
    <w:p>
      <w:r>
        <w:rPr>
          <w:rStyle w:val="Satznummer"/>
        </w:rPr>
        <w:t>1</w:t>
      </w:r>
      <w:r>
        <w:t xml:space="preserve">Die Staatsanwaltschaft übersendet die Akten an die Staatsanwaltschaft bei dem Berufungsgericht. </w:t>
      </w:r>
      <w:r>
        <w:rPr>
          <w:rStyle w:val="Satznummer"/>
        </w:rPr>
        <w:t>2</w:t>
      </w:r>
      <w:r>
        <w:t>Diese übergibt die Akten binnen einer Woche dem Vorsitzenden des Gerichts.</w:t>
      </w:r>
    </w:p>
    <w:p>
      <w:pPr>
        <w:pStyle w:val="Heading3"/>
      </w:pPr>
      <w:bookmarkStart w:id="477" w:name="b476"/>
      <w:r>
        <w:t>§ 322 Verwerfung ohne Hauptverhandlung</w:t>
      </w:r>
      <w:r>
        <w:t xml:space="preserve"> </w:t>
      </w:r>
      <w:r>
        <w:rPr>
          <w:rStyle w:val="Suchmarke"/>
        </w:rPr>
        <w:t>#322#</w:t>
      </w:r>
      <w:bookmarkEnd w:id="477"/>
    </w:p>
    <w:p>
      <w:r>
        <w:t xml:space="preserve">(1) </w:t>
      </w:r>
      <w:r>
        <w:rPr>
          <w:rStyle w:val="Satznummer"/>
        </w:rPr>
        <w:t>1</w:t>
      </w:r>
      <w:r>
        <w:t xml:space="preserve">Erachtet das Berufungsgericht die Vorschriften über die Einlegung der Berufung nicht für beobachtet, so kann es das Rechtsmittel durch Beschluß als unzulässig verwerfen. </w:t>
      </w:r>
      <w:r>
        <w:rPr>
          <w:rStyle w:val="Satznummer"/>
        </w:rPr>
        <w:t>2</w:t>
      </w:r>
      <w:r>
        <w:t xml:space="preserve">Andernfalls entscheidet es darüber durch Urteil; </w:t>
      </w:r>
      <w:hyperlink w:anchor="b477" w:history="1">
        <w:r>
          <w:rPr>
            <w:color w:val="0A3A8C"/>
            <w:u w:val="single"/>
          </w:rPr>
          <w:t xml:space="preserve">§ 322a</w:t>
        </w:r>
      </w:hyperlink>
      <w:r>
        <w:t xml:space="preserve"> bleibt unberührt.</w:t>
      </w:r>
    </w:p>
    <w:p>
      <w:r>
        <w:t>(2) Der Beschluß kann mit sofortiger Beschwerde angefochten werden.</w:t>
      </w:r>
    </w:p>
    <w:p>
      <w:pPr>
        <w:pStyle w:val="Heading3"/>
      </w:pPr>
      <w:bookmarkStart w:id="478" w:name="b477"/>
      <w:r>
        <w:t>§ 322a Entscheidung über die Annahme der Berufung</w:t>
      </w:r>
      <w:r>
        <w:t xml:space="preserve"> </w:t>
      </w:r>
      <w:r>
        <w:rPr>
          <w:rStyle w:val="Suchmarke"/>
        </w:rPr>
        <w:t>#322a#</w:t>
      </w:r>
      <w:bookmarkEnd w:id="478"/>
    </w:p>
    <w:p>
      <w:r>
        <w:rPr>
          <w:rStyle w:val="Satznummer"/>
        </w:rPr>
        <w:t>1</w:t>
      </w:r>
      <w:r>
        <w:t>Über die Annahme einer Berufung (</w:t>
      </w:r>
      <w:hyperlink w:anchor="b467" w:history="1">
        <w:r>
          <w:rPr>
            <w:color w:val="0A3A8C"/>
            <w:u w:val="single"/>
          </w:rPr>
          <w:t xml:space="preserve">§ 313</w:t>
        </w:r>
      </w:hyperlink>
      <w:r>
        <w:t xml:space="preserve">) entscheidet das Berufungsgericht durch Beschluß. </w:t>
      </w:r>
      <w:r>
        <w:rPr>
          <w:rStyle w:val="Satznummer"/>
        </w:rPr>
        <w:t>2</w:t>
      </w:r>
      <w:r>
        <w:t xml:space="preserve">Die Entscheidung ist unanfechtbar. </w:t>
      </w:r>
      <w:r>
        <w:rPr>
          <w:rStyle w:val="Satznummer"/>
        </w:rPr>
        <w:t>3</w:t>
      </w:r>
      <w:r>
        <w:t>Der Beschluß, mit dem die Berufung angenommen wird, bedarf keiner Begründung.</w:t>
      </w:r>
    </w:p>
    <w:p>
      <w:pPr>
        <w:pStyle w:val="Heading3"/>
      </w:pPr>
      <w:bookmarkStart w:id="479" w:name="b478"/>
      <w:r>
        <w:t>§ 323 Vorbereitung der Berufungshauptverhandlung</w:t>
      </w:r>
      <w:r>
        <w:t xml:space="preserve"> </w:t>
      </w:r>
      <w:r>
        <w:rPr>
          <w:rStyle w:val="Suchmarke"/>
        </w:rPr>
        <w:t>#323#</w:t>
      </w:r>
      <w:bookmarkEnd w:id="479"/>
    </w:p>
    <w:p>
      <w:r>
        <w:t xml:space="preserve">(1) </w:t>
      </w:r>
      <w:r>
        <w:rPr>
          <w:rStyle w:val="Satznummer"/>
        </w:rPr>
        <w:t>1</w:t>
      </w:r>
      <w:r>
        <w:t xml:space="preserve">Für die Vorbereitung der Hauptverhandlung gelten die Vorschriften der </w:t>
      </w:r>
      <w:hyperlink w:anchor="b346" w:history="1">
        <w:r>
          <w:rPr>
            <w:color w:val="0A3A8C"/>
            <w:u w:val="single"/>
          </w:rPr>
          <w:t xml:space="preserve">§§ 214</w:t>
        </w:r>
      </w:hyperlink>
      <w:r>
        <w:t xml:space="preserve"> und </w:t>
      </w:r>
      <w:hyperlink w:anchor="b348" w:history="1">
        <w:r>
          <w:rPr>
            <w:color w:val="0A3A8C"/>
            <w:u w:val="single"/>
          </w:rPr>
          <w:t xml:space="preserve">216</w:t>
        </w:r>
      </w:hyperlink>
      <w:r>
        <w:t xml:space="preserve"> bis </w:t>
      </w:r>
      <w:hyperlink w:anchor="b360" w:history="1">
        <w:r>
          <w:rPr>
            <w:color w:val="0A3A8C"/>
            <w:u w:val="single"/>
          </w:rPr>
          <w:t xml:space="preserve">225a</w:t>
        </w:r>
      </w:hyperlink>
      <w:r>
        <w:t xml:space="preserve">. </w:t>
      </w:r>
      <w:r>
        <w:rPr>
          <w:rStyle w:val="Satznummer"/>
        </w:rPr>
        <w:t>2</w:t>
      </w:r>
      <w:r>
        <w:t>In der Ladung ist der Angeklagte auf die Folgen des Ausbleibens ausdrücklich hinzuweisen.</w:t>
      </w:r>
    </w:p>
    <w:p>
      <w:r>
        <w:t xml:space="preserve">(2) </w:t>
      </w:r>
      <w:r>
        <w:rPr>
          <w:rStyle w:val="Satznummer"/>
        </w:rPr>
        <w:t>1</w:t>
      </w:r>
      <w:r>
        <w:t xml:space="preserve">Die Ladung der im ersten Rechtszug vernommenen Zeugen und Sachverständigen kann nur dann unterbleiben, wenn ihre wiederholte Vernehmung zur Aufklärung der Sache nicht erforderlich erscheint. </w:t>
      </w:r>
      <w:r>
        <w:rPr>
          <w:rStyle w:val="Satznummer"/>
        </w:rPr>
        <w:t>2</w:t>
      </w:r>
      <w:r>
        <w:t xml:space="preserve">Sofern es erforderlich erscheint, ordnet das Berufungsgericht die Übertragung einer als Tonaufzeichnung zur Akte genommenen Vernehmung gemäß § 273 Abs. 2 Satz 2 in ein Protokoll an. </w:t>
      </w:r>
      <w:r>
        <w:rPr>
          <w:rStyle w:val="Satznummer"/>
        </w:rPr>
        <w:t>3</w:t>
      </w:r>
      <w:r>
        <w:t xml:space="preserve">Wer die Übertragung hergestellt hat, versieht diese mit dem Vermerk, dass die Richtigkeit der Übertragung bestätigt wird. </w:t>
      </w:r>
      <w:r>
        <w:rPr>
          <w:rStyle w:val="Satznummer"/>
        </w:rPr>
        <w:t>4</w:t>
      </w:r>
      <w:r>
        <w:t xml:space="preserve">Der Staatsanwaltschaft, dem Verteidiger und dem Angeklagten ist eine Abschrift des Protokolls zu erteilen. </w:t>
      </w:r>
      <w:r>
        <w:rPr>
          <w:rStyle w:val="Satznummer"/>
        </w:rPr>
        <w:t>5</w:t>
      </w:r>
      <w:r>
        <w:t xml:space="preserve">Der Nachweis der Unrichtigkeit der Übertragung ist zulässig. </w:t>
      </w:r>
      <w:r>
        <w:rPr>
          <w:rStyle w:val="Satznummer"/>
        </w:rPr>
        <w:t>6</w:t>
      </w:r>
      <w:r>
        <w:t xml:space="preserve">Das Protokoll kann nach Maßgabe des </w:t>
      </w:r>
      <w:hyperlink w:anchor="b480" w:history="1">
        <w:r>
          <w:rPr>
            <w:color w:val="0A3A8C"/>
            <w:u w:val="single"/>
          </w:rPr>
          <w:t xml:space="preserve">§ 325</w:t>
        </w:r>
      </w:hyperlink>
      <w:r>
        <w:t xml:space="preserve"> verlesen werden.</w:t>
      </w:r>
    </w:p>
    <w:p>
      <w:r>
        <w:t>(3) Neue Beweismittel sind zulässig.</w:t>
      </w:r>
    </w:p>
    <w:p>
      <w:r>
        <w:t>(4) Bei der Auswahl der zu ladenden Zeugen und Sachverständigen ist auf die von dem Angeklagten zur Rechtfertigung der Berufung benannten Personen Rücksicht zu nehmen.</w:t>
      </w:r>
    </w:p>
    <w:p>
      <w:pPr>
        <w:pStyle w:val="Heading3"/>
      </w:pPr>
      <w:bookmarkStart w:id="480" w:name="b479"/>
      <w:r>
        <w:t>§ 324 Gang der Berufungshauptverhandlung</w:t>
      </w:r>
      <w:r>
        <w:t xml:space="preserve"> </w:t>
      </w:r>
      <w:r>
        <w:rPr>
          <w:rStyle w:val="Suchmarke"/>
        </w:rPr>
        <w:t>#324#</w:t>
      </w:r>
      <w:bookmarkEnd w:id="480"/>
    </w:p>
    <w:p>
      <w:r>
        <w:t xml:space="preserve">(1) </w:t>
      </w:r>
      <w:r>
        <w:rPr>
          <w:rStyle w:val="Satznummer"/>
        </w:rPr>
        <w:t>1</w:t>
      </w:r>
      <w:r>
        <w:t xml:space="preserve">Nachdem die Hauptverhandlung nach Vorschrift des </w:t>
      </w:r>
      <w:hyperlink w:anchor="b384" w:history="1">
        <w:r>
          <w:rPr>
            <w:color w:val="0A3A8C"/>
            <w:u w:val="single"/>
          </w:rPr>
          <w:t xml:space="preserve">§ 243</w:t>
        </w:r>
      </w:hyperlink>
      <w:r>
        <w:t xml:space="preserve"> Abs. 1 begonnen hat, hält ein Berichterstatter in Abwesenheit der Zeugen einen Vortrag über die Ergebnisse des bisherigen Verfahrens. </w:t>
      </w:r>
      <w:r>
        <w:rPr>
          <w:rStyle w:val="Satznummer"/>
        </w:rPr>
        <w:t>2</w:t>
      </w:r>
      <w:r>
        <w:t>Das Urteil des ersten Rechtszuges ist zu verlesen, soweit es für die Berufung von Bedeutung ist; von der Verlesung der Urteilsgründe kann abgesehen werden, soweit die Staatsanwaltschaft, der Verteidiger und der Angeklagte darauf verzichten.</w:t>
      </w:r>
    </w:p>
    <w:p>
      <w:r>
        <w:t>(2) Sodann erfolgt die Vernehmung des Angeklagten und die Beweisaufnahme.</w:t>
      </w:r>
    </w:p>
    <w:p>
      <w:pPr>
        <w:pStyle w:val="Heading3"/>
      </w:pPr>
      <w:bookmarkStart w:id="481" w:name="b480"/>
      <w:r>
        <w:t>§ 325 Verlesung von Urkunden</w:t>
      </w:r>
      <w:r>
        <w:t xml:space="preserve"> </w:t>
      </w:r>
      <w:r>
        <w:rPr>
          <w:rStyle w:val="Suchmarke"/>
        </w:rPr>
        <w:t>#325#</w:t>
      </w:r>
      <w:bookmarkEnd w:id="481"/>
    </w:p>
    <w:p>
      <w:r>
        <w:t xml:space="preserve">Bei der Berichterstattung und der Beweisaufnahme können Urkunden verlesen werden; Protokolle über Aussagen der in der Hauptverhandlung des ersten Rechtszuges vernommenen Zeugen und Sachverständigen dürfen, abgesehen von den Fällen der </w:t>
      </w:r>
      <w:hyperlink w:anchor="b394" w:history="1">
        <w:r>
          <w:rPr>
            <w:color w:val="0A3A8C"/>
            <w:u w:val="single"/>
          </w:rPr>
          <w:t xml:space="preserve">§§ 251</w:t>
        </w:r>
      </w:hyperlink>
      <w:r>
        <w:t xml:space="preserve"> und </w:t>
      </w:r>
      <w:hyperlink w:anchor="b396" w:history="1">
        <w:r>
          <w:rPr>
            <w:color w:val="0A3A8C"/>
            <w:u w:val="single"/>
          </w:rPr>
          <w:t xml:space="preserve">253</w:t>
        </w:r>
      </w:hyperlink>
      <w:r>
        <w:t>, ohne die Zustimmung der Staatsanwaltschaft und des Angeklagten nicht verlesen werden, wenn die wiederholte Vorladung der Zeugen oder Sachverständigen erfolgt ist oder von dem Angeklagten rechtzeitig vor der Hauptverhandlung beantragt worden war.</w:t>
      </w:r>
    </w:p>
    <w:p>
      <w:pPr>
        <w:pStyle w:val="Heading3"/>
      </w:pPr>
      <w:bookmarkStart w:id="482" w:name="b481"/>
      <w:r>
        <w:t>§ 326 Schlussvorträge</w:t>
      </w:r>
      <w:r>
        <w:t xml:space="preserve"> </w:t>
      </w:r>
      <w:r>
        <w:rPr>
          <w:rStyle w:val="Suchmarke"/>
        </w:rPr>
        <w:t>#326#</w:t>
      </w:r>
      <w:bookmarkEnd w:id="482"/>
    </w:p>
    <w:p>
      <w:r>
        <w:rPr>
          <w:rStyle w:val="Satznummer"/>
        </w:rPr>
        <w:t>1</w:t>
      </w:r>
      <w:r>
        <w:t xml:space="preserve">Nach dem Schluß der Beweisaufnahme werden die Staatsanwaltschaft sowie der Angeklagte und sein Verteidiger mit ihren Ausführungen und Anträgen, und zwar der Beschwerdeführer zuerst, gehört. </w:t>
      </w:r>
      <w:r>
        <w:rPr>
          <w:rStyle w:val="Satznummer"/>
        </w:rPr>
        <w:t>2</w:t>
      </w:r>
      <w:r>
        <w:t>Dem Angeklagten gebührt das letzte Wort.</w:t>
      </w:r>
    </w:p>
    <w:p>
      <w:pPr>
        <w:pStyle w:val="Heading3"/>
      </w:pPr>
      <w:bookmarkStart w:id="483" w:name="b482"/>
      <w:r>
        <w:t>§ 327 Umfang der Urteilsprüfung</w:t>
      </w:r>
      <w:r>
        <w:t xml:space="preserve"> </w:t>
      </w:r>
      <w:r>
        <w:rPr>
          <w:rStyle w:val="Suchmarke"/>
        </w:rPr>
        <w:t>#327#</w:t>
      </w:r>
      <w:bookmarkEnd w:id="483"/>
    </w:p>
    <w:p>
      <w:r>
        <w:t>Der Prüfung des Gerichts unterliegt das Urteil nur, soweit es angefochten ist.</w:t>
      </w:r>
    </w:p>
    <w:p>
      <w:pPr>
        <w:pStyle w:val="Heading3"/>
      </w:pPr>
      <w:bookmarkStart w:id="484" w:name="b483"/>
      <w:r>
        <w:t>§ 328 Inhalt des Berufungsurteils</w:t>
      </w:r>
      <w:r>
        <w:t xml:space="preserve"> </w:t>
      </w:r>
      <w:r>
        <w:rPr>
          <w:rStyle w:val="Suchmarke"/>
        </w:rPr>
        <w:t>#328#</w:t>
      </w:r>
      <w:bookmarkEnd w:id="484"/>
    </w:p>
    <w:p>
      <w:r>
        <w:t>(1) Soweit die Berufung für begründet befunden wird, hat das Berufungsgericht unter Aufhebung des Urteils in der Sache selbst zu erkennen.</w:t>
      </w:r>
    </w:p>
    <w:p>
      <w:r>
        <w:t>(2) Hat das Gericht des ersten Rechtszuges mit Unrecht seine Zuständigkeit angenommen, so hat das Berufungsgericht unter Aufhebung des Urteils die Sache an das zuständige Gericht zu verweisen.</w:t>
      </w:r>
    </w:p>
    <w:p>
      <w:pPr>
        <w:pStyle w:val="Heading3"/>
      </w:pPr>
      <w:bookmarkStart w:id="485" w:name="b484"/>
      <w:r>
        <w:t>§ 329 Ausbleiben des Angeklagten; Vertretung in der Berufungshauptverhandlung</w:t>
      </w:r>
      <w:r>
        <w:t xml:space="preserve"> </w:t>
      </w:r>
      <w:r>
        <w:rPr>
          <w:rStyle w:val="Suchmarke"/>
        </w:rPr>
        <w:t>#329#</w:t>
      </w:r>
      <w:bookmarkEnd w:id="485"/>
    </w:p>
    <w:p>
      <w:r>
        <w:t xml:space="preserve">(1) </w:t>
      </w:r>
      <w:r>
        <w:rPr>
          <w:rStyle w:val="Satznummer"/>
        </w:rPr>
        <w:t>1</w:t>
      </w:r>
      <w:r>
        <w:t xml:space="preserve">Ist bei Beginn eines Hauptverhandlungstermins weder der Angeklagte noch ein Verteidiger mit nachgewiesener Vertretungsvollmacht erschienen und das Ausbleiben nicht genügend entschuldigt, so hat das Gericht eine Berufung des Angeklagten ohne Verhandlung zur Sache zu verwerfen. </w:t>
      </w:r>
      <w:r>
        <w:rPr>
          <w:rStyle w:val="Satznummer"/>
        </w:rPr>
        <w:t>2</w:t>
      </w:r>
      <w:r>
        <w:t>Ebenso ist zu verfahren, wenn die Fortführung der Hauptverhandlung in dem Termin dadurch verhindert wird, dass</w:t>
      </w:r>
    </w:p>
    <w:p>
      <w:pPr>
        <w:tabs>
          <w:tab w:pos="567" w:val="left"/>
        </w:tabs>
        <w:ind w:left="567" w:hanging="567"/>
      </w:pPr>
      <w:r>
        <w:t>1.</w:t>
      </w:r>
      <w:r>
        <w:tab/>
      </w:r>
      <w:r>
        <w:t>sich der Verteidiger ohne genügende Entschuldigung entfernt hat und eine Abwesenheit des Angeklagten nicht genügend entschuldigt ist oder der Verteidiger den ohne genügende Entschuldigung nicht anwesenden Angeklagten nicht weiter vertritt,</w:t>
      </w:r>
    </w:p>
    <w:p>
      <w:pPr>
        <w:tabs>
          <w:tab w:pos="567" w:val="left"/>
        </w:tabs>
        <w:ind w:left="567" w:hanging="567"/>
      </w:pPr>
      <w:r>
        <w:t>2.</w:t>
      </w:r>
      <w:r>
        <w:tab/>
      </w:r>
      <w:r>
        <w:t>sich der Angeklagte ohne genügende Entschuldigung entfernt hat und kein Verteidiger mit nachgewiesener Vertretungsvollmacht anwesend ist oder</w:t>
      </w:r>
    </w:p>
    <w:p>
      <w:pPr>
        <w:tabs>
          <w:tab w:pos="567" w:val="left"/>
        </w:tabs>
        <w:ind w:left="567" w:hanging="567"/>
      </w:pPr>
      <w:r>
        <w:t>3.</w:t>
      </w:r>
      <w:r>
        <w:tab/>
      </w:r>
      <w:r>
        <w:t>sich der Angeklagte vorsätzlich und schuldhaft in einen seine Verhandlungsfähigkeit ausschließenden Zustand versetzt hat und kein Verteidiger mit nachgewiesener Vertretungsvollmacht anwesend ist.</w:t>
      </w:r>
    </w:p>
    <w:p>
      <w:r>
        <w:rPr>
          <w:rStyle w:val="Satznummer"/>
        </w:rPr>
        <w:t>3</w:t>
      </w:r>
      <w:r>
        <w:t xml:space="preserve">Über eine Verwerfung wegen Verhandlungsunfähigkeit nach diesem Absatz entscheidet das Gericht nach Anhörung eines Arztes als Sachverständigen. </w:t>
      </w:r>
      <w:r>
        <w:rPr>
          <w:rStyle w:val="Satznummer"/>
        </w:rPr>
        <w:t>4</w:t>
      </w:r>
      <w:r>
        <w:t>Die Sätze 1 bis 3 finden keine Anwendung, wenn das Berufungsgericht erneut verhandelt, nachdem die Sache vom Revisionsgericht zurückverwiesen worden ist.</w:t>
      </w:r>
    </w:p>
    <w:p>
      <w:r>
        <w:t xml:space="preserve">(2) </w:t>
      </w:r>
      <w:r>
        <w:rPr>
          <w:rStyle w:val="Satznummer"/>
        </w:rPr>
        <w:t>1</w:t>
      </w:r>
      <w:r>
        <w:t xml:space="preserve">Soweit die Anwesenheit des Angeklagten nicht erforderlich ist, findet die Hauptverhandlung auch ohne ihn statt, wenn er durch einen Verteidiger mit nachgewiesener Vertretungsvollmacht vertreten wird oder seine Abwesenheit im Fall der Verhandlung auf eine Berufung der Staatsanwaltschaft nicht genügend entschuldigt ist. </w:t>
      </w:r>
      <w:r>
        <w:rPr>
          <w:rStyle w:val="Satznummer"/>
        </w:rPr>
        <w:t>2</w:t>
      </w:r>
      <w:hyperlink w:anchor="b369" w:history="1">
        <w:r>
          <w:rPr>
            <w:color w:val="0A3A8C"/>
            <w:u w:val="single"/>
          </w:rPr>
          <w:t xml:space="preserve">§ 231b</w:t>
        </w:r>
      </w:hyperlink>
      <w:r>
        <w:t xml:space="preserve"> bleibt unberührt.</w:t>
      </w:r>
    </w:p>
    <w:p>
      <w:r>
        <w:t>(3) Kann die Hauptverhandlung auf eine Berufung der Staatsanwaltschaft hin nicht ohne den Angeklagten abgeschlossen werden oder ist eine Verwerfung der Berufung nach Absatz 1 Satz 4 nicht zulässig, ist die Vorführung oder Verhaftung des Angeklagten anzuordnen, soweit dies zur Durchführung der Hauptverhandlung geboten ist.</w:t>
      </w:r>
    </w:p>
    <w:p>
      <w:r>
        <w:t xml:space="preserve">(4) </w:t>
      </w:r>
      <w:r>
        <w:rPr>
          <w:rStyle w:val="Satznummer"/>
        </w:rPr>
        <w:t>1</w:t>
      </w:r>
      <w:r>
        <w:t xml:space="preserve">Ist die Anwesenheit des Angeklagten in der auf seine Berufung hin durchgeführten Hauptverhandlung trotz der Vertretung durch einen Verteidiger erforderlich, hat das Gericht den Angeklagten zur Fortsetzung der Hauptverhandlung zu laden und sein persönliches Erscheinen anzuordnen. </w:t>
      </w:r>
      <w:r>
        <w:rPr>
          <w:rStyle w:val="Satznummer"/>
        </w:rPr>
        <w:t>2</w:t>
      </w:r>
      <w:r>
        <w:t xml:space="preserve">Erscheint der Angeklagte zu diesem Fortsetzungstermin ohne genügende Entschuldigung nicht und bleibt seine Anwesenheit weiterhin erforderlich, hat das Gericht die Berufung zu verwerfen. </w:t>
      </w:r>
      <w:r>
        <w:rPr>
          <w:rStyle w:val="Satznummer"/>
        </w:rPr>
        <w:t>3</w:t>
      </w:r>
      <w:r>
        <w:t>Über die Möglichkeit der Verwerfung ist der Angeklagte mit der Ladung zu belehren.</w:t>
      </w:r>
    </w:p>
    <w:p>
      <w:r>
        <w:t xml:space="preserve">(5) </w:t>
      </w:r>
      <w:r>
        <w:rPr>
          <w:rStyle w:val="Satznummer"/>
        </w:rPr>
        <w:t>1</w:t>
      </w:r>
      <w:r>
        <w:t xml:space="preserve">Wurde auf eine Berufung der Staatsanwaltschaft hin nach Absatz 2 verfahren, ohne dass ein Verteidiger mit nachgewiesener Vertretungsvollmacht anwesend war, hat der Vorsitzende, solange mit der Verkündung des Urteils noch nicht begonnen worden ist, einen erscheinenden Angeklagten oder Verteidiger mit nachgewiesener Vertretungsvollmacht von dem wesentlichen Inhalt dessen zu unterrichten, was in seiner Abwesenheit verhandelt worden ist. </w:t>
      </w:r>
      <w:r>
        <w:rPr>
          <w:rStyle w:val="Satznummer"/>
        </w:rPr>
        <w:t>2</w:t>
      </w:r>
      <w:r>
        <w:t>Eine Berufung der Staatsanwaltschaft kann in den Fällen des Absatzes 1 Satz 1 und 2 auch ohne Zustimmung des Angeklagten zurückgenommen werden, es sei denn, dass die Voraussetzungen des Absatzes 1 Satz 4 vorliegen.</w:t>
      </w:r>
    </w:p>
    <w:p>
      <w:r>
        <w:t>(6) Ist die Verurteilung wegen einzelner von mehreren Taten weggefallen, so ist bei der Verwerfung der Berufung der Inhalt des aufrechterhaltenen Urteils klarzustellen; die erkannten Strafen können vom Berufungsgericht auf eine neue Gesamtstrafe zurückgeführt werden.</w:t>
      </w:r>
    </w:p>
    <w:p>
      <w:r>
        <w:t xml:space="preserve">(7) </w:t>
      </w:r>
      <w:r>
        <w:rPr>
          <w:rStyle w:val="Satznummer"/>
        </w:rPr>
        <w:t>1</w:t>
      </w:r>
      <w:r>
        <w:t xml:space="preserve">Der Angeklagte kann binnen einer Woche nach der Zustellung des Urteils die Wiedereinsetzung in den vorigen Stand unter den in den </w:t>
      </w:r>
      <w:hyperlink w:anchor="b64" w:history="1">
        <w:r>
          <w:rPr>
            <w:color w:val="0A3A8C"/>
            <w:u w:val="single"/>
          </w:rPr>
          <w:t xml:space="preserve">§§ 44</w:t>
        </w:r>
      </w:hyperlink>
      <w:r>
        <w:t xml:space="preserve"> und </w:t>
      </w:r>
      <w:hyperlink w:anchor="b65" w:history="1">
        <w:r>
          <w:rPr>
            <w:color w:val="0A3A8C"/>
            <w:u w:val="single"/>
          </w:rPr>
          <w:t xml:space="preserve">45</w:t>
        </w:r>
      </w:hyperlink>
      <w:r>
        <w:t xml:space="preserve"> bezeichneten Voraussetzungen beanspruchen. </w:t>
      </w:r>
      <w:r>
        <w:rPr>
          <w:rStyle w:val="Satznummer"/>
        </w:rPr>
        <w:t>2</w:t>
      </w:r>
      <w:r>
        <w:t>Hierüber ist er bei der Zustellung des Urteils zu belehren.</w:t>
      </w:r>
    </w:p>
    <w:p>
      <w:pPr>
        <w:pStyle w:val="Heading3"/>
      </w:pPr>
      <w:bookmarkStart w:id="486" w:name="b485"/>
      <w:r>
        <w:t>§ 330 Maßnahmen bei Berufung des gesetzlichen Vertreters</w:t>
      </w:r>
      <w:r>
        <w:t xml:space="preserve"> </w:t>
      </w:r>
      <w:r>
        <w:rPr>
          <w:rStyle w:val="Suchmarke"/>
        </w:rPr>
        <w:t>#330#</w:t>
      </w:r>
      <w:bookmarkEnd w:id="486"/>
    </w:p>
    <w:p>
      <w:r>
        <w:t>(1) Ist von dem gesetzlichen Vertreter die Berufung eingelegt worden, so hat das Gericht auch den Angeklagten zu der Hauptverhandlung zu laden.</w:t>
      </w:r>
    </w:p>
    <w:p>
      <w:r>
        <w:t xml:space="preserve">(2) </w:t>
      </w:r>
      <w:r>
        <w:rPr>
          <w:rStyle w:val="Satznummer"/>
        </w:rPr>
        <w:t>1</w:t>
      </w:r>
      <w:r>
        <w:t xml:space="preserve">Bleibt allein der gesetzliche Vertreter in der Hauptverhandlung aus, so ist ohne ihn zu verhandeln. </w:t>
      </w:r>
      <w:r>
        <w:rPr>
          <w:rStyle w:val="Satznummer"/>
        </w:rPr>
        <w:t>2</w:t>
      </w:r>
      <w:r>
        <w:t xml:space="preserve">Ist weder der gesetzliche Vertreter noch der Angeklagte noch ein Verteidiger mit nachgewiesener Vertretungsvollmacht bei Beginn eines Hauptverhandlungstermins erschienen, so gilt </w:t>
      </w:r>
      <w:hyperlink w:anchor="b484" w:history="1">
        <w:r>
          <w:rPr>
            <w:color w:val="0A3A8C"/>
            <w:u w:val="single"/>
          </w:rPr>
          <w:t xml:space="preserve">§ 329</w:t>
        </w:r>
      </w:hyperlink>
      <w:r>
        <w:t xml:space="preserve"> Absatz 1 Satz 1 entsprechend; ist lediglich der Angeklagte nicht erschienen, so gilt </w:t>
      </w:r>
      <w:hyperlink w:anchor="b484" w:history="1">
        <w:r>
          <w:rPr>
            <w:color w:val="0A3A8C"/>
            <w:u w:val="single"/>
          </w:rPr>
          <w:t xml:space="preserve">§ 329</w:t>
        </w:r>
      </w:hyperlink>
      <w:r>
        <w:t xml:space="preserve"> Absatz 2 und 3 entsprechend.</w:t>
      </w:r>
    </w:p>
    <w:p>
      <w:pPr>
        <w:pStyle w:val="Heading3"/>
      </w:pPr>
      <w:bookmarkStart w:id="487" w:name="b486"/>
      <w:r>
        <w:t>§ 331 Verbot der Verschlechterung</w:t>
      </w:r>
      <w:r>
        <w:t xml:space="preserve"> </w:t>
      </w:r>
      <w:r>
        <w:rPr>
          <w:rStyle w:val="Suchmarke"/>
        </w:rPr>
        <w:t>#331#</w:t>
      </w:r>
      <w:bookmarkEnd w:id="487"/>
    </w:p>
    <w:p>
      <w:r>
        <w:t>(1) Das Urteil darf in Art und Höhe der Rechtsfolgen der Tat nicht zum Nachteil des Angeklagten geändert werden, wenn lediglich der Angeklagte, zu seinen Gunsten die Staatsanwaltschaft oder sein gesetzlicher Vertreter Berufung eingelegt hat.</w:t>
      </w:r>
    </w:p>
    <w:p>
      <w:r>
        <w:t>(2) Diese Vorschrift steht der Anordnung der Unterbringung in einem psychiatrischen Krankenhaus oder einer Entziehungsanstalt nicht entgegen.</w:t>
      </w:r>
    </w:p>
    <w:p>
      <w:pPr>
        <w:pStyle w:val="Heading3"/>
      </w:pPr>
      <w:bookmarkStart w:id="488" w:name="b487"/>
      <w:r>
        <w:t>§ 332 Anwendbarkeit der Vorschriften über die erstinstanzliche Hauptverhandlung</w:t>
      </w:r>
      <w:r>
        <w:t xml:space="preserve"> </w:t>
      </w:r>
      <w:r>
        <w:rPr>
          <w:rStyle w:val="Suchmarke"/>
        </w:rPr>
        <w:t>#332#</w:t>
      </w:r>
      <w:bookmarkEnd w:id="488"/>
    </w:p>
    <w:p>
      <w:r>
        <w:t>Im übrigen gelten die im sechsten Abschnitt des zweiten Buches über die Hauptverhandlung gegebenen Vorschriften.</w:t>
      </w:r>
    </w:p>
    <w:p>
      <w:pPr>
        <w:pStyle w:val="Heading2"/>
      </w:pPr>
      <w:bookmarkStart w:id="489" w:name="b488"/>
      <w:r>
        <w:t>Vierter Abschnitt Revision</w:t>
      </w:r>
      <w:bookmarkEnd w:id="489"/>
    </w:p>
    <w:p>
      <w:pPr>
        <w:pStyle w:val="Heading3"/>
      </w:pPr>
      <w:bookmarkStart w:id="490" w:name="b489"/>
      <w:r>
        <w:t>§ 333 Zulässigkeit</w:t>
      </w:r>
      <w:r>
        <w:t xml:space="preserve"> </w:t>
      </w:r>
      <w:r>
        <w:rPr>
          <w:rStyle w:val="Suchmarke"/>
        </w:rPr>
        <w:t>#333#</w:t>
      </w:r>
      <w:bookmarkEnd w:id="490"/>
    </w:p>
    <w:p>
      <w:r>
        <w:t>Gegen die Urteile der Strafkammern und der Schwurgerichte sowie gegen die im ersten Rechtszug ergangenen Urteile der Oberlandesgerichte ist Revision zulässig.</w:t>
      </w:r>
    </w:p>
    <w:p>
      <w:pPr>
        <w:pStyle w:val="Heading3"/>
      </w:pPr>
      <w:bookmarkStart w:id="491" w:name="b490"/>
      <w:r>
        <w:t>§ 334 (weggefallen)</w:t>
      </w:r>
      <w:r>
        <w:t xml:space="preserve"> </w:t>
      </w:r>
      <w:r>
        <w:rPr>
          <w:rStyle w:val="Suchmarke"/>
        </w:rPr>
        <w:t>#334#</w:t>
      </w:r>
      <w:bookmarkEnd w:id="491"/>
    </w:p>
    <w:p>
      <w:pPr>
        <w:pStyle w:val="Heading3"/>
      </w:pPr>
      <w:bookmarkStart w:id="492" w:name="b491"/>
      <w:r>
        <w:t>§ 335 Sprungrevision</w:t>
      </w:r>
      <w:r>
        <w:t xml:space="preserve"> </w:t>
      </w:r>
      <w:r>
        <w:rPr>
          <w:rStyle w:val="Suchmarke"/>
        </w:rPr>
        <w:t>#335#</w:t>
      </w:r>
      <w:bookmarkEnd w:id="492"/>
    </w:p>
    <w:p>
      <w:r>
        <w:t>(1) Ein Urteil, gegen das Berufung zulässig ist, kann statt mit Berufung mit Revision angefochten werden.</w:t>
      </w:r>
    </w:p>
    <w:p>
      <w:r>
        <w:t>(2) Über die Revision entscheidet das Gericht, das zur Entscheidung berufen wäre, wenn die Revision nach durchgeführter Berufung eingelegt worden wäre.</w:t>
      </w:r>
    </w:p>
    <w:p>
      <w:r>
        <w:t xml:space="preserve">(3) </w:t>
      </w:r>
      <w:r>
        <w:rPr>
          <w:rStyle w:val="Satznummer"/>
        </w:rPr>
        <w:t>1</w:t>
      </w:r>
      <w:r>
        <w:t xml:space="preserve">Legt gegen das Urteil ein Beteiligter Revision und ein anderer Berufung ein, so wird, solange die Berufung nicht zurückgenommen oder als unzulässig verworfen ist, die rechtzeitig und in der vorgeschriebenen Form eingelegte Revision als Berufung behandelt. </w:t>
      </w:r>
      <w:r>
        <w:rPr>
          <w:rStyle w:val="Satznummer"/>
        </w:rPr>
        <w:t>2</w:t>
      </w:r>
      <w:r>
        <w:t>Die Revisionsanträge und deren Begründung sind gleichwohl in der vorgeschriebenen Form und Frist anzubringen und dem Gegner zuzustellen (</w:t>
      </w:r>
      <w:hyperlink w:anchor="b500" w:history="1">
        <w:r>
          <w:rPr>
            <w:color w:val="0A3A8C"/>
            <w:u w:val="single"/>
          </w:rPr>
          <w:t xml:space="preserve">§§ 344</w:t>
        </w:r>
      </w:hyperlink>
      <w:r>
        <w:t xml:space="preserve"> bis </w:t>
      </w:r>
      <w:hyperlink w:anchor="b503" w:history="1">
        <w:r>
          <w:rPr>
            <w:color w:val="0A3A8C"/>
            <w:u w:val="single"/>
          </w:rPr>
          <w:t xml:space="preserve">347</w:t>
        </w:r>
      </w:hyperlink>
      <w:r>
        <w:t xml:space="preserve">). </w:t>
      </w:r>
      <w:r>
        <w:rPr>
          <w:rStyle w:val="Satznummer"/>
        </w:rPr>
        <w:t>3</w:t>
      </w:r>
      <w:r>
        <w:t>Gegen das Berufungsurteil ist Revision nach den allgemein geltenden Vorschriften zulässig.</w:t>
      </w:r>
    </w:p>
    <w:p>
      <w:pPr>
        <w:pStyle w:val="Heading3"/>
      </w:pPr>
      <w:bookmarkStart w:id="493" w:name="b492"/>
      <w:r>
        <w:t>§ 336 Überprüfung der dem Urteil vorausgegangenen Entscheidungen</w:t>
      </w:r>
      <w:r>
        <w:t xml:space="preserve"> </w:t>
      </w:r>
      <w:r>
        <w:rPr>
          <w:rStyle w:val="Suchmarke"/>
        </w:rPr>
        <w:t>#336#</w:t>
      </w:r>
      <w:bookmarkEnd w:id="493"/>
    </w:p>
    <w:p>
      <w:r>
        <w:rPr>
          <w:rStyle w:val="Satznummer"/>
        </w:rPr>
        <w:t>1</w:t>
      </w:r>
      <w:r>
        <w:t xml:space="preserve">Der Beurteilung des Revisionsgerichts unterliegen auch die Entscheidungen, die dem Urteil vorausgegangen sind, sofern es auf ihnen beruht. </w:t>
      </w:r>
      <w:r>
        <w:rPr>
          <w:rStyle w:val="Satznummer"/>
        </w:rPr>
        <w:t>2</w:t>
      </w:r>
      <w:r>
        <w:t>Dies gilt nicht für Entscheidungen, die ausdrücklich für unanfechtbar erklärt oder mit der sofortigen Beschwerde anfechtbar sind.</w:t>
      </w:r>
    </w:p>
    <w:p>
      <w:pPr>
        <w:pStyle w:val="Heading3"/>
      </w:pPr>
      <w:bookmarkStart w:id="494" w:name="b493"/>
      <w:r>
        <w:t>§ 337 Revisionsgründe</w:t>
      </w:r>
      <w:r>
        <w:t xml:space="preserve"> </w:t>
      </w:r>
      <w:r>
        <w:rPr>
          <w:rStyle w:val="Suchmarke"/>
        </w:rPr>
        <w:t>#337#</w:t>
      </w:r>
      <w:bookmarkEnd w:id="494"/>
    </w:p>
    <w:p>
      <w:r>
        <w:t>(1) Die Revision kann nur darauf gestützt werden, daß das Urteil auf einer Verletzung des Gesetzes beruhe.</w:t>
      </w:r>
    </w:p>
    <w:p>
      <w:r>
        <w:t>(2) Das Gesetz ist verletzt, wenn eine Rechtsnorm nicht oder nicht richtig angewendet worden ist.</w:t>
      </w:r>
    </w:p>
    <w:p>
      <w:pPr>
        <w:pStyle w:val="Heading3"/>
      </w:pPr>
      <w:bookmarkStart w:id="495" w:name="b494"/>
      <w:r>
        <w:t>§ 338 Absolute Revisionsgründe</w:t>
      </w:r>
      <w:r>
        <w:t xml:space="preserve"> </w:t>
      </w:r>
      <w:r>
        <w:rPr>
          <w:rStyle w:val="Suchmarke"/>
        </w:rPr>
        <w:t>#338#</w:t>
      </w:r>
      <w:bookmarkEnd w:id="495"/>
    </w:p>
    <w:p>
      <w:r>
        <w:t>Ein Urteil ist stets als auf einer Verletzung des Gesetzes beruhend anzusehen,</w:t>
      </w:r>
    </w:p>
    <w:p>
      <w:pPr>
        <w:tabs>
          <w:tab w:pos="567" w:val="left"/>
        </w:tabs>
        <w:ind w:left="567" w:hanging="567"/>
      </w:pPr>
      <w:r>
        <w:t>1.</w:t>
      </w:r>
      <w:r>
        <w:tab/>
      </w:r>
      <w:r>
        <w:t xml:space="preserve">wenn das erkennende Gericht nicht vorschriftsmäßig besetzt war; war nach </w:t>
      </w:r>
      <w:hyperlink w:anchor="b355" w:history="1">
        <w:r>
          <w:rPr>
            <w:color w:val="0A3A8C"/>
            <w:u w:val="single"/>
          </w:rPr>
          <w:t xml:space="preserve">§ 222a</w:t>
        </w:r>
      </w:hyperlink>
      <w:r>
        <w:t xml:space="preserve"> die Mitteilung der Besetzung vorgeschrieben, so kann die Revision auf die vorschriftswidrige Besetzung nur gestützt werden, wenn</w:t>
      </w:r>
    </w:p>
    <w:p>
      <w:pPr>
        <w:tabs>
          <w:tab w:pos="1134" w:val="left"/>
        </w:tabs>
        <w:ind w:left="1134" w:hanging="567"/>
      </w:pPr>
      <w:r>
        <w:t>a)</w:t>
      </w:r>
      <w:r>
        <w:tab/>
      </w:r>
      <w:r>
        <w:t xml:space="preserve">das Gericht in einer Besetzung entschieden hat, deren Vorschriftswidrigkeit nach </w:t>
      </w:r>
      <w:hyperlink w:anchor="b356" w:history="1">
        <w:r>
          <w:rPr>
            <w:color w:val="0A3A8C"/>
            <w:u w:val="single"/>
          </w:rPr>
          <w:t xml:space="preserve">§ 222b</w:t>
        </w:r>
      </w:hyperlink>
      <w:r>
        <w:t xml:space="preserve"> Absatz 2 Satz 2 oder Absatz 3 Satz 4 festgestellt worden ist, oder</w:t>
      </w:r>
    </w:p>
    <w:p>
      <w:pPr>
        <w:tabs>
          <w:tab w:pos="1134" w:val="left"/>
        </w:tabs>
        <w:ind w:left="1134" w:hanging="567"/>
      </w:pPr>
      <w:r>
        <w:t>b)</w:t>
      </w:r>
      <w:r>
        <w:tab/>
      </w:r>
      <w:r>
        <w:t xml:space="preserve">das Rechtsmittelgericht nicht nach </w:t>
      </w:r>
      <w:hyperlink w:anchor="b356" w:history="1">
        <w:r>
          <w:rPr>
            <w:color w:val="0A3A8C"/>
            <w:u w:val="single"/>
          </w:rPr>
          <w:t xml:space="preserve">§ 222b</w:t>
        </w:r>
      </w:hyperlink>
      <w:r>
        <w:t xml:space="preserve"> Absatz 3 entschieden hat und</w:t>
      </w:r>
    </w:p>
    <w:p>
      <w:pPr>
        <w:tabs>
          <w:tab w:pos="1701" w:val="left"/>
        </w:tabs>
        <w:ind w:left="1701" w:hanging="567"/>
      </w:pPr>
      <w:r>
        <w:t>aa)</w:t>
      </w:r>
      <w:r>
        <w:tab/>
      </w:r>
      <w:r>
        <w:t>die Vorschriften über die Mitteilung verletzt worden sind,</w:t>
      </w:r>
    </w:p>
    <w:p>
      <w:pPr>
        <w:tabs>
          <w:tab w:pos="1701" w:val="left"/>
        </w:tabs>
        <w:ind w:left="1701" w:hanging="567"/>
      </w:pPr>
      <w:r>
        <w:t>bb)</w:t>
      </w:r>
      <w:r>
        <w:tab/>
      </w:r>
      <w:r>
        <w:t>der rechtzeitig und in der vorgeschriebenen Form geltend gemachte Einwand der vorschriftswidrigen Besetzung übergangen oder zurückgewiesen worden ist oder</w:t>
      </w:r>
    </w:p>
    <w:p>
      <w:pPr>
        <w:tabs>
          <w:tab w:pos="1701" w:val="left"/>
        </w:tabs>
        <w:ind w:left="1701" w:hanging="567"/>
      </w:pPr>
      <w:r>
        <w:t>cc)</w:t>
      </w:r>
      <w:r>
        <w:tab/>
      </w:r>
      <w:r>
        <w:t xml:space="preserve">die Besetzung nach </w:t>
      </w:r>
      <w:hyperlink w:anchor="b356" w:history="1">
        <w:r>
          <w:rPr>
            <w:color w:val="0A3A8C"/>
            <w:u w:val="single"/>
          </w:rPr>
          <w:t xml:space="preserve">§ 222b</w:t>
        </w:r>
      </w:hyperlink>
      <w:r>
        <w:t xml:space="preserve"> Absatz 1 Satz 1 nicht mindestens eine Woche geprüft werden konnte, obwohl ein Antrag nach </w:t>
      </w:r>
      <w:hyperlink w:anchor="b355" w:history="1">
        <w:r>
          <w:rPr>
            <w:color w:val="0A3A8C"/>
            <w:u w:val="single"/>
          </w:rPr>
          <w:t xml:space="preserve">§ 222a</w:t>
        </w:r>
      </w:hyperlink>
      <w:r>
        <w:t xml:space="preserve"> Absatz 2 gestellt wurde;</w:t>
      </w:r>
    </w:p>
    <w:p>
      <w:pPr>
        <w:tabs>
          <w:tab w:pos="567" w:val="left"/>
        </w:tabs>
        <w:ind w:left="567" w:hanging="567"/>
      </w:pPr>
      <w:r>
        <w:t>2.</w:t>
      </w:r>
      <w:r>
        <w:tab/>
      </w:r>
      <w:r>
        <w:t>wenn bei dem Urteil ein Richter oder Schöffe mitgewirkt hat, der von der Ausübung des Richteramtes kraft Gesetzes ausgeschlossen war;</w:t>
      </w:r>
    </w:p>
    <w:p>
      <w:pPr>
        <w:tabs>
          <w:tab w:pos="567" w:val="left"/>
        </w:tabs>
        <w:ind w:left="567" w:hanging="567"/>
      </w:pPr>
      <w:r>
        <w:t>3.</w:t>
      </w:r>
      <w:r>
        <w:tab/>
      </w:r>
      <w:r>
        <w:t>wenn bei dem Urteil ein Richter oder Schöffe mitgewirkt hat, nachdem er wegen Besorgnis der Befangenheit abgelehnt war und das Ablehnungsgesuch entweder für begründet erklärt war oder mit Unrecht verworfen worden ist;</w:t>
      </w:r>
    </w:p>
    <w:p>
      <w:pPr>
        <w:tabs>
          <w:tab w:pos="567" w:val="left"/>
        </w:tabs>
        <w:ind w:left="567" w:hanging="567"/>
      </w:pPr>
      <w:r>
        <w:t>4.</w:t>
      </w:r>
      <w:r>
        <w:tab/>
      </w:r>
      <w:r>
        <w:t>wenn das Gericht seine Zuständigkeit mit Unrecht angenommen hat;</w:t>
      </w:r>
    </w:p>
    <w:p>
      <w:pPr>
        <w:tabs>
          <w:tab w:pos="567" w:val="left"/>
        </w:tabs>
        <w:ind w:left="567" w:hanging="567"/>
      </w:pPr>
      <w:r>
        <w:t>5.</w:t>
      </w:r>
      <w:r>
        <w:tab/>
      </w:r>
      <w:r>
        <w:t>wenn die Hauptverhandlung in Abwesenheit der Staatsanwaltschaft oder einer Person, deren Anwesenheit das Gesetz vorschreibt, stattgefunden hat;</w:t>
      </w:r>
    </w:p>
    <w:p>
      <w:pPr>
        <w:tabs>
          <w:tab w:pos="567" w:val="left"/>
        </w:tabs>
        <w:ind w:left="567" w:hanging="567"/>
      </w:pPr>
      <w:r>
        <w:t>6.</w:t>
      </w:r>
      <w:r>
        <w:tab/>
      </w:r>
      <w:r>
        <w:t>wenn das Urteil auf Grund einer mündlichen Verhandlung ergangen ist, bei der die Vorschriften über die Öffentlichkeit des Verfahrens verletzt sind;</w:t>
      </w:r>
    </w:p>
    <w:p>
      <w:pPr>
        <w:tabs>
          <w:tab w:pos="567" w:val="left"/>
        </w:tabs>
        <w:ind w:left="567" w:hanging="567"/>
      </w:pPr>
      <w:r>
        <w:t>7.</w:t>
      </w:r>
      <w:r>
        <w:tab/>
      </w:r>
      <w:r>
        <w:t xml:space="preserve">wenn das Urteil keine Entscheidungsgründe enthält oder diese nicht innerhalb des sich aus </w:t>
      </w:r>
      <w:hyperlink w:anchor="b427" w:history="1">
        <w:r>
          <w:rPr>
            <w:color w:val="0A3A8C"/>
            <w:u w:val="single"/>
          </w:rPr>
          <w:t xml:space="preserve">§ 275</w:t>
        </w:r>
      </w:hyperlink>
      <w:r>
        <w:t xml:space="preserve"> Abs. 1 Satz 2 und 4 ergebenden Zeitraums zu den Akten gebracht worden sind;</w:t>
      </w:r>
    </w:p>
    <w:p>
      <w:pPr>
        <w:tabs>
          <w:tab w:pos="567" w:val="left"/>
        </w:tabs>
        <w:ind w:left="567" w:hanging="567"/>
      </w:pPr>
      <w:r>
        <w:t>8.</w:t>
      </w:r>
      <w:r>
        <w:tab/>
      </w:r>
      <w:r>
        <w:t>wenn die Verteidigung in einem für die Entscheidung wesentlichen Punkt durch einen Beschluß des Gerichts unzulässig beschränkt worden ist.</w:t>
      </w:r>
    </w:p>
    <w:p>
      <w:pPr>
        <w:pStyle w:val="Heading3"/>
      </w:pPr>
      <w:bookmarkStart w:id="496" w:name="b495"/>
      <w:r>
        <w:t>§ 339 Rechtsnormen zugunsten des Angeklagten</w:t>
      </w:r>
      <w:r>
        <w:t xml:space="preserve"> </w:t>
      </w:r>
      <w:r>
        <w:rPr>
          <w:rStyle w:val="Suchmarke"/>
        </w:rPr>
        <w:t>#339#</w:t>
      </w:r>
      <w:bookmarkEnd w:id="496"/>
    </w:p>
    <w:p>
      <w:r>
        <w:t>Die Verletzung von Rechtsnormen, die lediglich zugunsten des Angeklagten gegeben sind, kann von der Staatsanwaltschaft nicht zu dem Zweck geltend gemacht werden, um eine Aufhebung des Urteils zum Nachteil des Angeklagten herbeizuführen.</w:t>
      </w:r>
    </w:p>
    <w:p>
      <w:pPr>
        <w:pStyle w:val="Heading3"/>
      </w:pPr>
      <w:bookmarkStart w:id="497" w:name="b496"/>
      <w:r>
        <w:t>§ 340 Revision gegen Berufungsurteile bei Vertretung des Angeklagten</w:t>
      </w:r>
      <w:r>
        <w:t xml:space="preserve"> </w:t>
      </w:r>
      <w:r>
        <w:rPr>
          <w:rStyle w:val="Suchmarke"/>
        </w:rPr>
        <w:t>#340#</w:t>
      </w:r>
      <w:bookmarkEnd w:id="497"/>
    </w:p>
    <w:p>
      <w:r>
        <w:t xml:space="preserve">Ist nach </w:t>
      </w:r>
      <w:hyperlink w:anchor="b484" w:history="1">
        <w:r>
          <w:rPr>
            <w:color w:val="0A3A8C"/>
            <w:u w:val="single"/>
          </w:rPr>
          <w:t xml:space="preserve">§ 329</w:t>
        </w:r>
      </w:hyperlink>
      <w:r>
        <w:t xml:space="preserve"> Absatz 2 verfahren worden, kann der Angeklagte die Revision gegen das auf seine Berufung hin ergangene Urteil nicht darauf stützen, dass seine Anwesenheit in der Berufungshauptverhandlung erforderlich gewesen wäre.</w:t>
      </w:r>
    </w:p>
    <w:p>
      <w:pPr>
        <w:pStyle w:val="Heading3"/>
      </w:pPr>
      <w:bookmarkStart w:id="498" w:name="b497"/>
      <w:r>
        <w:t>§ 341 Form und Frist</w:t>
      </w:r>
      <w:r>
        <w:t xml:space="preserve"> </w:t>
      </w:r>
      <w:r>
        <w:rPr>
          <w:rStyle w:val="Suchmarke"/>
        </w:rPr>
        <w:t>#341#</w:t>
      </w:r>
      <w:bookmarkEnd w:id="498"/>
    </w:p>
    <w:p>
      <w:r>
        <w:t>(1) Die Revision muß bei dem Gericht, dessen Urteil angefochten wird, binnen einer Woche nach Verkündung des Urteils zu Protokoll der Geschäftsstelle oder schriftlich eingelegt werden.</w:t>
      </w:r>
    </w:p>
    <w:p>
      <w:r>
        <w:t xml:space="preserve">(2) Hat die Verkündung des Urteils nicht in Anwesenheit des Angeklagten stattgefunden, so beginnt für diesen die Frist mit der Zustellung, sofern nicht in den Fällen der </w:t>
      </w:r>
      <w:hyperlink w:anchor="b373" w:history="1">
        <w:r>
          <w:rPr>
            <w:color w:val="0A3A8C"/>
            <w:u w:val="single"/>
          </w:rPr>
          <w:t xml:space="preserve">§§ 234</w:t>
        </w:r>
      </w:hyperlink>
      <w:r>
        <w:t xml:space="preserve">, </w:t>
      </w:r>
      <w:hyperlink w:anchor="b484" w:history="1">
        <w:r>
          <w:rPr>
            <w:color w:val="0A3A8C"/>
            <w:u w:val="single"/>
          </w:rPr>
          <w:t xml:space="preserve">329</w:t>
        </w:r>
      </w:hyperlink>
      <w:r>
        <w:t xml:space="preserve"> Absatz 2, </w:t>
      </w:r>
      <w:hyperlink w:anchor="b554" w:history="1">
        <w:r>
          <w:rPr>
            <w:color w:val="0A3A8C"/>
            <w:u w:val="single"/>
          </w:rPr>
          <w:t xml:space="preserve">§ 387</w:t>
        </w:r>
      </w:hyperlink>
      <w:r>
        <w:t xml:space="preserve"> Absatz 1, </w:t>
      </w:r>
      <w:hyperlink w:anchor="b599" w:history="1">
        <w:r>
          <w:rPr>
            <w:color w:val="0A3A8C"/>
            <w:u w:val="single"/>
          </w:rPr>
          <w:t xml:space="preserve">§ 411</w:t>
        </w:r>
      </w:hyperlink>
      <w:r>
        <w:t xml:space="preserve"> Absatz 2 und </w:t>
      </w:r>
      <w:hyperlink w:anchor="b625" w:history="1">
        <w:r>
          <w:rPr>
            <w:color w:val="0A3A8C"/>
            <w:u w:val="single"/>
          </w:rPr>
          <w:t xml:space="preserve">§ 434</w:t>
        </w:r>
      </w:hyperlink>
      <w:r>
        <w:t xml:space="preserve"> Absatz 1 Satz 1 die Verkündung in Anwesenheit des Verteidigers mit nachgewiesener Vertretungsvollmacht stattgefunden hat.</w:t>
      </w:r>
    </w:p>
    <w:p>
      <w:pPr>
        <w:pStyle w:val="Heading3"/>
      </w:pPr>
      <w:bookmarkStart w:id="499" w:name="b498"/>
      <w:r>
        <w:t>§ 342 Revision und Wiedereinsetzungsantrag</w:t>
      </w:r>
      <w:r>
        <w:t xml:space="preserve"> </w:t>
      </w:r>
      <w:r>
        <w:rPr>
          <w:rStyle w:val="Suchmarke"/>
        </w:rPr>
        <w:t>#342#</w:t>
      </w:r>
      <w:bookmarkEnd w:id="499"/>
    </w:p>
    <w:p>
      <w:r>
        <w:t>(1) Der Beginn der Frist zur Einlegung der Revision wird dadurch nicht ausgeschlossen, daß gegen ein auf Ausbleiben des Angeklagten ergangenes Urteil eine Wiedereinsetzung in den vorigen Stand nachgesucht werden kann.</w:t>
      </w:r>
    </w:p>
    <w:p>
      <w:r>
        <w:t xml:space="preserve">(2) </w:t>
      </w:r>
      <w:r>
        <w:rPr>
          <w:rStyle w:val="Satznummer"/>
        </w:rPr>
        <w:t>1</w:t>
      </w:r>
      <w:r>
        <w:t xml:space="preserve">Stellt der Angeklagte einen Antrag auf Wiedereinsetzung in den vorigen Stand, so wird die Revision dadurch gewahrt, daß sie sofort für den Fall der Verwerfung jenes Antrags rechtzeitig eingelegt und begründet wird. </w:t>
      </w:r>
      <w:r>
        <w:rPr>
          <w:rStyle w:val="Satznummer"/>
        </w:rPr>
        <w:t>2</w:t>
      </w:r>
      <w:r>
        <w:t>Die weitere Verfügung in bezug auf die Revision bleibt dann bis zur Erledigung des Antrags auf Wiedereinsetzung in den vorigen Stand ausgesetzt.</w:t>
      </w:r>
    </w:p>
    <w:p>
      <w:r>
        <w:t>(3) Die Einlegung der Revision ohne Verbindung mit dem Antrag auf Wiedereinsetzung in den vorigen Stand gilt als Verzicht auf die letztere.</w:t>
      </w:r>
    </w:p>
    <w:p>
      <w:pPr>
        <w:pStyle w:val="Heading3"/>
      </w:pPr>
      <w:bookmarkStart w:id="500" w:name="b499"/>
      <w:r>
        <w:t>§ 343 Hemmung der Rechtskraft</w:t>
      </w:r>
      <w:r>
        <w:t xml:space="preserve"> </w:t>
      </w:r>
      <w:r>
        <w:rPr>
          <w:rStyle w:val="Suchmarke"/>
        </w:rPr>
        <w:t>#343#</w:t>
      </w:r>
      <w:bookmarkEnd w:id="500"/>
    </w:p>
    <w:p>
      <w:r>
        <w:t>(1) Durch rechtzeitige Einlegung der Revision wird die Rechtskraft des Urteils, soweit es angefochten ist, gehemmt.</w:t>
      </w:r>
    </w:p>
    <w:p>
      <w:r>
        <w:t>(2) Dem Beschwerdeführer, dem das Urteil mit den Gründen noch nicht zugestellt war, ist es nach Einlegung der Revision zuzustellen.</w:t>
      </w:r>
    </w:p>
    <w:p>
      <w:pPr>
        <w:pStyle w:val="Heading3"/>
      </w:pPr>
      <w:bookmarkStart w:id="501" w:name="b500"/>
      <w:r>
        <w:t>§ 344 Revisionsbegründung</w:t>
      </w:r>
      <w:r>
        <w:t xml:space="preserve"> </w:t>
      </w:r>
      <w:r>
        <w:rPr>
          <w:rStyle w:val="Suchmarke"/>
        </w:rPr>
        <w:t>#344#</w:t>
      </w:r>
      <w:bookmarkEnd w:id="501"/>
    </w:p>
    <w:p>
      <w:r>
        <w:t>(1) Der Beschwerdeführer hat die Erklärung abzugeben, inwieweit er das Urteil anfechte und dessen Aufhebung beantrage (Revisionsanträge), und die Anträge zu begründen.</w:t>
      </w:r>
    </w:p>
    <w:p>
      <w:r>
        <w:t xml:space="preserve">(2) </w:t>
      </w:r>
      <w:r>
        <w:rPr>
          <w:rStyle w:val="Satznummer"/>
        </w:rPr>
        <w:t>1</w:t>
      </w:r>
      <w:r>
        <w:t xml:space="preserve">Aus der Begründung muß hervorgehen, ob das Urteil wegen Verletzung einer Rechtsnorm über das Verfahren oder wegen Verletzung einer anderen Rechtsnorm angefochten wird. </w:t>
      </w:r>
      <w:r>
        <w:rPr>
          <w:rStyle w:val="Satznummer"/>
        </w:rPr>
        <w:t>2</w:t>
      </w:r>
      <w:r>
        <w:t>Ersterenfalls müssen die den Mangel enthaltenden Tatsachen angegeben werden.</w:t>
      </w:r>
    </w:p>
    <w:p>
      <w:pPr>
        <w:pStyle w:val="Heading3"/>
      </w:pPr>
      <w:bookmarkStart w:id="502" w:name="b501"/>
      <w:r>
        <w:t>§ 345 Revisionsbegründungsfrist</w:t>
      </w:r>
      <w:r>
        <w:t xml:space="preserve"> </w:t>
      </w:r>
      <w:r>
        <w:rPr>
          <w:rStyle w:val="Suchmarke"/>
        </w:rPr>
        <w:t>#345#</w:t>
      </w:r>
      <w:bookmarkEnd w:id="502"/>
    </w:p>
    <w:p>
      <w:r>
        <w:t xml:space="preserve">(1) </w:t>
      </w:r>
      <w:r>
        <w:rPr>
          <w:rStyle w:val="Satznummer"/>
        </w:rPr>
        <w:t>1</w:t>
      </w:r>
      <w:r>
        <w:t xml:space="preserve">Die Revisionsanträge und ihre Begründung sind spätestens binnen eines Monats nach Ablauf der Frist zur Einlegung des Rechtsmittels bei dem Gericht, dessen Urteil angefochten wird, anzubringen. </w:t>
      </w:r>
      <w:r>
        <w:rPr>
          <w:rStyle w:val="Satznummer"/>
        </w:rPr>
        <w:t>2</w:t>
      </w:r>
      <w:r>
        <w:t xml:space="preserve">Die Revisionsbegründungsfrist verlängert sich, wenn das Urteil später als einundzwanzig Wochen nach der Verkündung zu den Akten gebracht worden ist, um einen Monat und, wenn es später als fünfunddreißig Wochen nach der Verkündung zu den Akten gebracht worden ist, um einen weiteren Monat. </w:t>
      </w:r>
      <w:r>
        <w:rPr>
          <w:rStyle w:val="Satznummer"/>
        </w:rPr>
        <w:t>3</w:t>
      </w:r>
      <w:r>
        <w:t>War bei Ablauf der Frist zur Einlegung des Rechtsmittels das Urteil noch nicht zugestellt, so beginnt die Frist mit der Zustellung des Urteils und in den Fällen des Satzes 2 der Mitteilung des Zeitpunktes, zu dem es zu den Akten gebracht ist.</w:t>
      </w:r>
    </w:p>
    <w:p>
      <w:r>
        <w:t>(2) Seitens des Angeklagten kann dies nur in einer von dem Verteidiger oder einem Rechtsanwalt unterzeichneten Schrift oder zu Protokoll der Geschäftsstelle geschehen.</w:t>
      </w:r>
    </w:p>
    <w:p>
      <w:pPr>
        <w:pStyle w:val="Heading3"/>
      </w:pPr>
      <w:bookmarkStart w:id="503" w:name="b502"/>
      <w:r>
        <w:t>§ 346 Verspätete oder formwidrige Einlegung</w:t>
      </w:r>
      <w:r>
        <w:t xml:space="preserve"> </w:t>
      </w:r>
      <w:r>
        <w:rPr>
          <w:rStyle w:val="Suchmarke"/>
        </w:rPr>
        <w:t>#346#</w:t>
      </w:r>
      <w:bookmarkEnd w:id="503"/>
    </w:p>
    <w:p>
      <w:r>
        <w:t xml:space="preserve">(1) Ist die Revision verspätet eingelegt oder sind die Revisionsanträge nicht rechtzeitig oder nicht in der in </w:t>
      </w:r>
      <w:hyperlink w:anchor="b501" w:history="1">
        <w:r>
          <w:rPr>
            <w:color w:val="0A3A8C"/>
            <w:u w:val="single"/>
          </w:rPr>
          <w:t xml:space="preserve">§ 345</w:t>
        </w:r>
      </w:hyperlink>
      <w:r>
        <w:t xml:space="preserve"> Abs. 2 vorgeschriebenen Form angebracht worden, so hat das Gericht, dessen Urteil angefochten wird, das Rechtsmittel durch Beschluß als unzulässig zu verwerfen.</w:t>
      </w:r>
    </w:p>
    <w:p>
      <w:r>
        <w:t xml:space="preserve">(2) </w:t>
      </w:r>
      <w:r>
        <w:rPr>
          <w:rStyle w:val="Satznummer"/>
        </w:rPr>
        <w:t>1</w:t>
      </w:r>
      <w:r>
        <w:t xml:space="preserve">Der Beschwerdeführer kann binnen einer Woche nach Zustellung des Beschlusses auf die Entscheidung des Revisionsgerichts antragen. </w:t>
      </w:r>
      <w:r>
        <w:rPr>
          <w:rStyle w:val="Satznummer"/>
        </w:rPr>
        <w:t>2</w:t>
      </w:r>
      <w:r>
        <w:t xml:space="preserve">In diesem Falle sind die Akten an das Revisionsgericht einzusenden; die Vollstreckung des Urteils wird jedoch hierdurch nicht gehemmt. </w:t>
      </w:r>
      <w:r>
        <w:rPr>
          <w:rStyle w:val="Satznummer"/>
        </w:rPr>
        <w:t>3</w:t>
      </w:r>
      <w:r>
        <w:t xml:space="preserve">Die Vorschrift des </w:t>
      </w:r>
      <w:hyperlink w:anchor="b53" w:history="1">
        <w:r>
          <w:rPr>
            <w:color w:val="0A3A8C"/>
            <w:u w:val="single"/>
          </w:rPr>
          <w:t xml:space="preserve">§ 35a</w:t>
        </w:r>
      </w:hyperlink>
      <w:r>
        <w:t xml:space="preserve"> gilt entsprechend.</w:t>
      </w:r>
    </w:p>
    <w:p>
      <w:pPr>
        <w:pStyle w:val="Heading3"/>
      </w:pPr>
      <w:bookmarkStart w:id="504" w:name="b503"/>
      <w:r>
        <w:t>§ 347 Zustellung; Gegenerklärung; Vorlage der Akten an das Revisionsgericht</w:t>
      </w:r>
      <w:r>
        <w:t xml:space="preserve"> </w:t>
      </w:r>
      <w:r>
        <w:rPr>
          <w:rStyle w:val="Suchmarke"/>
        </w:rPr>
        <w:t>#347#</w:t>
      </w:r>
      <w:bookmarkEnd w:id="504"/>
    </w:p>
    <w:p>
      <w:r>
        <w:t xml:space="preserve">(1) </w:t>
      </w:r>
      <w:r>
        <w:rPr>
          <w:rStyle w:val="Satznummer"/>
        </w:rPr>
        <w:t>1</w:t>
      </w:r>
      <w:r>
        <w:t xml:space="preserve">Ist die Revision rechtzeitig eingelegt und sind die Revisionsanträge rechtzeitig und in der vorgeschriebenen Form angebracht, so ist die Revisionsschrift dem Gegner des Beschwerdeführers zuzustellen. </w:t>
      </w:r>
      <w:r>
        <w:rPr>
          <w:rStyle w:val="Satznummer"/>
        </w:rPr>
        <w:t>2</w:t>
      </w:r>
      <w:r>
        <w:t xml:space="preserve">Diesem steht frei, binnen einer Woche eine schriftliche Gegenerklärung einzureichen. </w:t>
      </w:r>
      <w:r>
        <w:rPr>
          <w:rStyle w:val="Satznummer"/>
        </w:rPr>
        <w:t>3</w:t>
      </w:r>
      <w:r>
        <w:t xml:space="preserve">Wird das Urteil wegen eines Verfahrensmangels angefochten, so gibt der Staatsanwalt in dieser Frist eine Gegenerklärung ab, wenn anzunehmen ist, dass dadurch die Prüfung der Revisionsbeschwerde erleichtert wird. </w:t>
      </w:r>
      <w:r>
        <w:rPr>
          <w:rStyle w:val="Satznummer"/>
        </w:rPr>
        <w:t>4</w:t>
      </w:r>
      <w:r>
        <w:t>Der Angeklagte kann die Gegenerklärung auch zu Protokoll der Geschäftsstelle abgeben.</w:t>
      </w:r>
    </w:p>
    <w:p>
      <w:r>
        <w:t>(2) Nach Eingang der Gegenerklärung oder nach Ablauf der Frist sendet die Staatsanwaltschaft die Akten an das Revisionsgericht.</w:t>
      </w:r>
    </w:p>
    <w:p>
      <w:pPr>
        <w:pStyle w:val="Heading3"/>
      </w:pPr>
      <w:bookmarkStart w:id="505" w:name="b504"/>
      <w:r>
        <w:t>§ 348 Unzuständigkeit des Gerichts</w:t>
      </w:r>
      <w:r>
        <w:t xml:space="preserve"> </w:t>
      </w:r>
      <w:r>
        <w:rPr>
          <w:rStyle w:val="Suchmarke"/>
        </w:rPr>
        <w:t>#348#</w:t>
      </w:r>
      <w:bookmarkEnd w:id="505"/>
    </w:p>
    <w:p>
      <w:r>
        <w:t>(1) Findet das Gericht, an das die Akten gesandt sind, daß die Verhandlung und Entscheidung über das Rechtsmittel zur Zuständigkeit eines anderen Gerichts gehört, so hat es durch Beschluß seine Unzuständigkeit auszusprechen.</w:t>
      </w:r>
    </w:p>
    <w:p>
      <w:r>
        <w:t>(2) Dieser Beschluß, in dem das zuständige Revisionsgericht zu bezeichnen ist, unterliegt keiner Anfechtung und ist für das in ihm bezeichnete Gericht bindend.</w:t>
      </w:r>
    </w:p>
    <w:p>
      <w:r>
        <w:t>(3) Die Abgabe der Akten erfolgt durch die Staatsanwaltschaft.</w:t>
      </w:r>
    </w:p>
    <w:p>
      <w:pPr>
        <w:pStyle w:val="Heading3"/>
      </w:pPr>
      <w:bookmarkStart w:id="506" w:name="b505"/>
      <w:r>
        <w:t>§ 349 Entscheidung ohne Hauptverhandlung durch Beschluss</w:t>
      </w:r>
      <w:r>
        <w:t xml:space="preserve"> </w:t>
      </w:r>
      <w:r>
        <w:rPr>
          <w:rStyle w:val="Suchmarke"/>
        </w:rPr>
        <w:t>#349#</w:t>
      </w:r>
      <w:bookmarkEnd w:id="506"/>
    </w:p>
    <w:p>
      <w:r>
        <w:t>(1) Erachtet das Revisionsgericht die Vorschriften über die Einlegung der Revision oder die über die Anbringung der Revisionsanträge nicht für beobachtet, so kann es das Rechtsmittel durch Beschluß als unzulässig verwerfen.</w:t>
      </w:r>
    </w:p>
    <w:p>
      <w:r>
        <w:t>(2) Das Revisionsgericht kann auf einen Antrag der Staatsanwaltschaft, der zu begründen ist, auch dann durch Beschluß entscheiden, wenn es die Revision einstimmig für offensichtlich unbegründet erachtet.</w:t>
      </w:r>
    </w:p>
    <w:p>
      <w:r>
        <w:t xml:space="preserve">(3) </w:t>
      </w:r>
      <w:r>
        <w:rPr>
          <w:rStyle w:val="Satznummer"/>
        </w:rPr>
        <w:t>1</w:t>
      </w:r>
      <w:r>
        <w:t xml:space="preserve">Die Staatsanwaltschaft teilt den Antrag nach Absatz 2 mit den Gründen dem Beschwerdeführer mit. </w:t>
      </w:r>
      <w:r>
        <w:rPr>
          <w:rStyle w:val="Satznummer"/>
        </w:rPr>
        <w:t>2</w:t>
      </w:r>
      <w:r>
        <w:t>Der Beschwerdeführer kann binnen zwei Wochen eine schriftliche Gegenerklärung beim Revisionsgericht einreichen.</w:t>
      </w:r>
    </w:p>
    <w:p>
      <w:r>
        <w:t>(4) Erachtet das Revisionsgericht die zugunsten des Angeklagten eingelegte Revision einstimmig für begründet, so kann es das angefochtene Urteil durch Beschluß aufheben.</w:t>
      </w:r>
    </w:p>
    <w:p>
      <w:r>
        <w:t>(5) Wendet das Revisionsgericht Absatz 1, 2 oder 4 nicht an, so entscheidet es über das Rechtsmittel durch Urteil.</w:t>
      </w:r>
    </w:p>
    <w:p>
      <w:pPr>
        <w:pStyle w:val="Heading3"/>
      </w:pPr>
      <w:bookmarkStart w:id="507" w:name="b506"/>
      <w:r>
        <w:t>§ 350 Revisionshauptverhandlung</w:t>
      </w:r>
      <w:r>
        <w:t xml:space="preserve"> </w:t>
      </w:r>
      <w:r>
        <w:rPr>
          <w:rStyle w:val="Suchmarke"/>
        </w:rPr>
        <w:t>#350#</w:t>
      </w:r>
      <w:bookmarkEnd w:id="507"/>
    </w:p>
    <w:p>
      <w:r>
        <w:t xml:space="preserve">(1) </w:t>
      </w:r>
      <w:r>
        <w:rPr>
          <w:rStyle w:val="Satznummer"/>
        </w:rPr>
        <w:t>1</w:t>
      </w:r>
      <w:r>
        <w:t xml:space="preserve">Dem Angeklagten, seinem gesetzlichen Vertreter und dem Verteidiger sowie dem Nebenkläger und den Personen, die nach § 214 Absatz 1 Satz 2 vom Termin zu benachrichtigen sind, sind Ort und Zeit der Hauptverhandlung mitzuteilen. </w:t>
      </w:r>
      <w:r>
        <w:rPr>
          <w:rStyle w:val="Satznummer"/>
        </w:rPr>
        <w:t>2</w:t>
      </w:r>
      <w:r>
        <w:t xml:space="preserve">Das Revisionsgericht weist dabei auf die wesentlichen Gesichtspunkte hin, die Gegenstand der Hauptverhandlung werden sollen. </w:t>
      </w:r>
      <w:r>
        <w:rPr>
          <w:rStyle w:val="Satznummer"/>
        </w:rPr>
        <w:t>3</w:t>
      </w:r>
      <w:r>
        <w:t>Ist die Mitwirkung eines Verteidigers notwendig, so ist dieser zu laden.</w:t>
      </w:r>
    </w:p>
    <w:p>
      <w:r>
        <w:t xml:space="preserve">(2) </w:t>
      </w:r>
      <w:r>
        <w:rPr>
          <w:rStyle w:val="Satznummer"/>
        </w:rPr>
        <w:t>1</w:t>
      </w:r>
      <w:r>
        <w:t xml:space="preserve">Der Angeklagte kann in der Hauptverhandlung erscheinen oder sich durch einen Verteidiger mit nachgewiesener Vertretungsvollmacht vertreten lassen. </w:t>
      </w:r>
      <w:r>
        <w:rPr>
          <w:rStyle w:val="Satznummer"/>
        </w:rPr>
        <w:t>2</w:t>
      </w:r>
      <w:r>
        <w:t xml:space="preserve">Die Hauptverhandlung kann, soweit nicht die Mitwirkung eines Verteidigers notwendig ist, auch durchgeführt werden, wenn weder der Angeklagte noch ein Verteidiger anwesend ist. </w:t>
      </w:r>
      <w:r>
        <w:rPr>
          <w:rStyle w:val="Satznummer"/>
        </w:rPr>
        <w:t>3</w:t>
      </w:r>
      <w:r>
        <w:t>Die Entscheidung darüber, ob der Angeklagte, der nicht auf freiem Fuß ist, zu der Hauptverhandlung vorgeführt wird, liegt im Ermessen des Gerichts.</w:t>
      </w:r>
    </w:p>
    <w:p>
      <w:r>
        <w:t xml:space="preserve">(3) </w:t>
      </w:r>
      <w:r>
        <w:rPr>
          <w:rStyle w:val="Satznummer"/>
        </w:rPr>
        <w:t>1</w:t>
      </w:r>
      <w:r>
        <w:t xml:space="preserve">Dem Angeklagten, seinem gesetzlichen Vertreter, dem Verteidiger und dem Vertreter der Staatsanwaltschaft sowie dem Nebenkläger, dem Nebenklageberechtigten und den Personen, die nach § 397 Absatz 2 Satz 3, § 404 Absatz 3, § 406h Absatz 2 Satz 2, § 429 Absatz 1 und § 444 Absatz 2 Satz 1 vom Termin zu benachrichtigen sind, kann der Vorsitzende auf ihren jeweiligen Antrag die Anwesenheit an einem anderen Ort gestatten, wenn die Hauptverhandlung zeitgleich in Bild und Ton an den anderen Ort und in das Sitzungszimmer übertragen wird. </w:t>
      </w:r>
      <w:r>
        <w:rPr>
          <w:rStyle w:val="Satznummer"/>
        </w:rPr>
        <w:t>2</w:t>
      </w:r>
      <w:r>
        <w:t xml:space="preserve">Die Gestattung soll mit der Maßgabe erfolgen, dass sich die Verfahrensbeteiligten in einem Dienstraum oder in einem Geschäftsraum eines Verteidigers oder Rechtsanwalts aufhalten. </w:t>
      </w:r>
      <w:r>
        <w:rPr>
          <w:rStyle w:val="Satznummer"/>
        </w:rPr>
        <w:t>3</w:t>
      </w:r>
      <w:r>
        <w:t xml:space="preserve">Sieht das Gericht in den Fällen des Absatzes 2 Satz 3 von einer Vorführung des Angeklagten ab, so ist diesem auf seinen Antrag die Teilnahme an der Hauptverhandlung im Wege der Bild- und Tonübertragung zu gestatten. </w:t>
      </w:r>
      <w:r>
        <w:rPr>
          <w:rStyle w:val="Satznummer"/>
        </w:rPr>
        <w:t>4</w:t>
      </w:r>
      <w:r>
        <w:t xml:space="preserve">Liegen zwischen dem Eingang des Antrags nach Satz 3 bei Gericht und dem Hauptverhandlungstermin nicht mindestens drei Werktage, kann der Antrag vom Vorsitzenden abgelehnt werden. </w:t>
      </w:r>
      <w:r>
        <w:rPr>
          <w:rStyle w:val="Satznummer"/>
        </w:rPr>
        <w:t>5</w:t>
      </w:r>
      <w:r>
        <w:t>Die Entscheidung des Vorsitzenden nach den Sätzen 1 bis 4 ist unanfechtbar.</w:t>
      </w:r>
    </w:p>
    <w:p>
      <w:r>
        <w:t xml:space="preserve">(4) </w:t>
      </w:r>
      <w:r>
        <w:rPr>
          <w:rStyle w:val="Satznummer"/>
        </w:rPr>
        <w:t>1</w:t>
      </w:r>
      <w:r>
        <w:t xml:space="preserve">Eine Aufzeichnung der Übertragung ist nicht zulässig. </w:t>
      </w:r>
      <w:r>
        <w:rPr>
          <w:rStyle w:val="Satznummer"/>
        </w:rPr>
        <w:t>2</w:t>
      </w:r>
      <w:r>
        <w:t>Hierauf sind die Verfahrensbeteiligten spätestens zu Beginn der Bild- und Tonübertragung hinzuweisen.</w:t>
      </w:r>
    </w:p>
    <w:p>
      <w:pPr>
        <w:pStyle w:val="Heading3"/>
      </w:pPr>
      <w:bookmarkStart w:id="508" w:name="b507"/>
      <w:r>
        <w:t>§ 351 Gang der Revisionshauptverhandlung</w:t>
      </w:r>
      <w:r>
        <w:t xml:space="preserve"> </w:t>
      </w:r>
      <w:r>
        <w:rPr>
          <w:rStyle w:val="Suchmarke"/>
        </w:rPr>
        <w:t>#351#</w:t>
      </w:r>
      <w:bookmarkEnd w:id="508"/>
    </w:p>
    <w:p>
      <w:r>
        <w:t>(1) Die Hauptverhandlung beginnt mit dem Vortrag eines Berichterstatters.</w:t>
      </w:r>
    </w:p>
    <w:p>
      <w:r>
        <w:t xml:space="preserve">(2) </w:t>
      </w:r>
      <w:r>
        <w:rPr>
          <w:rStyle w:val="Satznummer"/>
        </w:rPr>
        <w:t>1</w:t>
      </w:r>
      <w:r>
        <w:t xml:space="preserve">Hierauf werden die Staatsanwaltschaft sowie der Angeklagte und sein Verteidiger mit ihren Ausführungen und Anträgen, und zwar der Beschwerdeführer zuerst, gehört. </w:t>
      </w:r>
      <w:r>
        <w:rPr>
          <w:rStyle w:val="Satznummer"/>
        </w:rPr>
        <w:t>2</w:t>
      </w:r>
      <w:r>
        <w:t>Dem Angeklagten gebührt das letzte Wort.</w:t>
      </w:r>
    </w:p>
    <w:p>
      <w:pPr>
        <w:pStyle w:val="Heading3"/>
      </w:pPr>
      <w:bookmarkStart w:id="509" w:name="b508"/>
      <w:r>
        <w:t>§ 352 Umfang der Urteilsprüfung</w:t>
      </w:r>
      <w:r>
        <w:t xml:space="preserve"> </w:t>
      </w:r>
      <w:r>
        <w:rPr>
          <w:rStyle w:val="Suchmarke"/>
        </w:rPr>
        <w:t>#352#</w:t>
      </w:r>
      <w:bookmarkEnd w:id="509"/>
    </w:p>
    <w:p>
      <w:r>
        <w:t>(1) Der Prüfung des Revisionsgerichts unterliegen nur die gestellten Revisionsanträge und, soweit die Revision auf Mängel des Verfahrens gestützt wird, nur die Tatsachen, die bei Anbringung der Revisionsanträge bezeichnet worden sind.</w:t>
      </w:r>
    </w:p>
    <w:p>
      <w:r>
        <w:t xml:space="preserve">(2) Eine weitere Begründung der Revisionsanträge als die in </w:t>
      </w:r>
      <w:hyperlink w:anchor="b500" w:history="1">
        <w:r>
          <w:rPr>
            <w:color w:val="0A3A8C"/>
            <w:u w:val="single"/>
          </w:rPr>
          <w:t xml:space="preserve">§ 344</w:t>
        </w:r>
      </w:hyperlink>
      <w:r>
        <w:t xml:space="preserve"> Abs. 2 vorgeschriebene ist nicht erforderlich und, wenn sie unrichtig ist, unschädlich.</w:t>
      </w:r>
    </w:p>
    <w:p>
      <w:pPr>
        <w:pStyle w:val="Heading3"/>
      </w:pPr>
      <w:bookmarkStart w:id="510" w:name="b509"/>
      <w:r>
        <w:t>§ 353 Aufhebung des Urteils und der Feststellungen</w:t>
      </w:r>
      <w:r>
        <w:t xml:space="preserve"> </w:t>
      </w:r>
      <w:r>
        <w:rPr>
          <w:rStyle w:val="Suchmarke"/>
        </w:rPr>
        <w:t>#353#</w:t>
      </w:r>
      <w:bookmarkEnd w:id="510"/>
    </w:p>
    <w:p>
      <w:r>
        <w:t>(1) Soweit die Revision für begründet erachtet wird, ist das angefochtene Urteil aufzuheben.</w:t>
      </w:r>
    </w:p>
    <w:p>
      <w:r>
        <w:t>(2) Gleichzeitig sind die dem Urteil zugrunde liegenden Feststellungen aufzuheben, sofern sie durch die Gesetzesverletzung betroffen werden, wegen deren das Urteil aufgehoben wird.</w:t>
      </w:r>
    </w:p>
    <w:p>
      <w:pPr>
        <w:pStyle w:val="Heading3"/>
      </w:pPr>
      <w:bookmarkStart w:id="511" w:name="b510"/>
      <w:r>
        <w:t>§ 354 Eigene Entscheidung in der Sache; Zurückverweisung</w:t>
      </w:r>
      <w:r>
        <w:t xml:space="preserve"> </w:t>
      </w:r>
      <w:r>
        <w:rPr>
          <w:rStyle w:val="Suchmarke"/>
        </w:rPr>
        <w:t>#354#</w:t>
      </w:r>
      <w:bookmarkEnd w:id="511"/>
    </w:p>
    <w:p>
      <w:r>
        <w:t>(1) Erfolgt die Aufhebung des Urteils nur wegen Gesetzesverletzung bei Anwendung des Gesetzes auf die dem Urteil zugrunde liegenden Feststellungen, so hat das Revisionsgericht in der Sache selbst zu entscheiden, sofern ohne weitere tatsächliche Erörterungen nur auf Freisprechung oder auf Einstellung oder auf eine absolut bestimmte Strafe zu erkennen ist oder das Revisionsgericht in Übereinstimmung mit dem Antrag der Staatsanwaltschaft die gesetzlich niedrigste Strafe oder das Absehen von Strafe für angemessen erachtet.</w:t>
      </w:r>
    </w:p>
    <w:p>
      <w:r>
        <w:t xml:space="preserve">(1a) </w:t>
      </w:r>
      <w:r>
        <w:rPr>
          <w:rStyle w:val="Satznummer"/>
        </w:rPr>
        <w:t>1</w:t>
      </w:r>
      <w:r>
        <w:t xml:space="preserve">Wegen einer Gesetzesverletzung nur bei Zumessung der Rechtsfolgen kann das Revisionsgericht von der Aufhebung des angefochtenen Urteils absehen, sofern die verhängte Rechtsfolge angemessen ist. </w:t>
      </w:r>
      <w:r>
        <w:rPr>
          <w:rStyle w:val="Satznummer"/>
        </w:rPr>
        <w:t>2</w:t>
      </w:r>
      <w:r>
        <w:t>Auf Antrag der Staatsanwaltschaft kann es die Rechtsfolgen angemessen herabsetzen.</w:t>
      </w:r>
    </w:p>
    <w:p>
      <w:r>
        <w:t xml:space="preserve">(1b) </w:t>
      </w:r>
      <w:r>
        <w:rPr>
          <w:rStyle w:val="Satznummer"/>
        </w:rPr>
        <w:t>1</w:t>
      </w:r>
      <w:r>
        <w:t xml:space="preserve">Hebt das Revisionsgericht das Urteil nur wegen Gesetzesverletzung bei Bildung einer Gesamtstrafe (§§ 53, 54, 55 des Strafgesetzbuches) auf, kann dies mit der Maßgabe geschehen, dass eine nachträgliche gerichtliche Entscheidung über die Gesamtstrafe nach den </w:t>
      </w:r>
      <w:hyperlink w:anchor="b674" w:history="1">
        <w:r>
          <w:rPr>
            <w:color w:val="0A3A8C"/>
            <w:u w:val="single"/>
          </w:rPr>
          <w:t xml:space="preserve">§§ 460</w:t>
        </w:r>
      </w:hyperlink>
      <w:r>
        <w:t xml:space="preserve">, </w:t>
      </w:r>
      <w:hyperlink w:anchor="b676" w:history="1">
        <w:r>
          <w:rPr>
            <w:color w:val="0A3A8C"/>
            <w:u w:val="single"/>
          </w:rPr>
          <w:t xml:space="preserve">462</w:t>
        </w:r>
      </w:hyperlink>
      <w:r>
        <w:t xml:space="preserve"> zu treffen ist. </w:t>
      </w:r>
      <w:r>
        <w:rPr>
          <w:rStyle w:val="Satznummer"/>
        </w:rPr>
        <w:t>2</w:t>
      </w:r>
      <w:r>
        <w:t xml:space="preserve">Entscheidet das Revisionsgericht nach Absatz 1 oder Absatz 1a hinsichtlich einer Einzelstrafe selbst, gilt Satz 1 entsprechend. </w:t>
      </w:r>
      <w:r>
        <w:rPr>
          <w:rStyle w:val="Satznummer"/>
        </w:rPr>
        <w:t>3</w:t>
      </w:r>
      <w:r>
        <w:t>Die Absätze 1 und 1a bleiben im Übrigen unberührt.</w:t>
      </w:r>
    </w:p>
    <w:p>
      <w:r>
        <w:t xml:space="preserve">(2) </w:t>
      </w:r>
      <w:r>
        <w:rPr>
          <w:rStyle w:val="Satznummer"/>
        </w:rPr>
        <w:t>1</w:t>
      </w:r>
      <w:r>
        <w:t xml:space="preserve">In anderen Fällen ist die Sache an eine andere Abteilung oder Kammer des Gerichtes, dessen Urteil aufgehoben wird, oder an ein zu demselben Land gehörendes anderes Gericht gleicher Ordnung zurückzuverweisen. </w:t>
      </w:r>
      <w:r>
        <w:rPr>
          <w:rStyle w:val="Satznummer"/>
        </w:rPr>
        <w:t>2</w:t>
      </w:r>
      <w:r>
        <w:t>In Verfahren, in denen ein Oberlandesgericht im ersten Rechtszug entschieden hat, ist die Sache an einen anderen Senat dieses Gerichts zurückzuverweisen.</w:t>
      </w:r>
    </w:p>
    <w:p>
      <w:r>
        <w:t>(3) Die Zurückverweisung kann an ein Gericht niederer Ordnung erfolgen, wenn die noch in Frage kommende strafbare Handlung zu dessen Zuständigkeit gehört.</w:t>
      </w:r>
    </w:p>
    <w:p>
      <w:pPr>
        <w:pStyle w:val="Heading3"/>
      </w:pPr>
      <w:bookmarkStart w:id="512" w:name="b511"/>
      <w:r>
        <w:t>§ 354a Entscheidung bei Gesetzesänderung</w:t>
      </w:r>
      <w:r>
        <w:t xml:space="preserve"> </w:t>
      </w:r>
      <w:r>
        <w:rPr>
          <w:rStyle w:val="Suchmarke"/>
        </w:rPr>
        <w:t>#354a#</w:t>
      </w:r>
      <w:bookmarkEnd w:id="512"/>
    </w:p>
    <w:p>
      <w:r>
        <w:t xml:space="preserve">Das Revisionsgericht hat auch dann nach </w:t>
      </w:r>
      <w:hyperlink w:anchor="b510" w:history="1">
        <w:r>
          <w:rPr>
            <w:color w:val="0A3A8C"/>
            <w:u w:val="single"/>
          </w:rPr>
          <w:t xml:space="preserve">§ 354</w:t>
        </w:r>
      </w:hyperlink>
      <w:r>
        <w:t xml:space="preserve"> zu verfahren, wenn es das Urteil aufhebt, weil zur Zeit der Entscheidung des Revisionsgerichts ein anderes Gesetz gilt als zur Zeit des Erlasses der angefochtenen Entscheidung.</w:t>
      </w:r>
    </w:p>
    <w:p>
      <w:pPr>
        <w:pStyle w:val="Heading3"/>
      </w:pPr>
      <w:bookmarkStart w:id="513" w:name="b512"/>
      <w:r>
        <w:t>§ 355 Verweisung an das zuständige Gericht</w:t>
      </w:r>
      <w:r>
        <w:t xml:space="preserve"> </w:t>
      </w:r>
      <w:r>
        <w:rPr>
          <w:rStyle w:val="Suchmarke"/>
        </w:rPr>
        <w:t>#355#</w:t>
      </w:r>
      <w:bookmarkEnd w:id="513"/>
    </w:p>
    <w:p>
      <w:r>
        <w:t>Wird ein Urteil aufgehoben, weil das Gericht des vorangehenden Rechtszuges sich mit Unrecht für zuständig erachtet hat, so verweist das Revisionsgericht gleichzeitig die Sache an das zuständige Gericht.</w:t>
      </w:r>
    </w:p>
    <w:p>
      <w:pPr>
        <w:pStyle w:val="Heading3"/>
      </w:pPr>
      <w:bookmarkStart w:id="514" w:name="b513"/>
      <w:r>
        <w:t>§ 356 Urteilsverkündung</w:t>
      </w:r>
      <w:r>
        <w:t xml:space="preserve"> </w:t>
      </w:r>
      <w:r>
        <w:rPr>
          <w:rStyle w:val="Suchmarke"/>
        </w:rPr>
        <w:t>#356#</w:t>
      </w:r>
      <w:bookmarkEnd w:id="514"/>
    </w:p>
    <w:p>
      <w:r>
        <w:t xml:space="preserve">Die Verkündung des Urteils erfolgt nach Maßgabe des </w:t>
      </w:r>
      <w:hyperlink w:anchor="b416" w:history="1">
        <w:r>
          <w:rPr>
            <w:color w:val="0A3A8C"/>
            <w:u w:val="single"/>
          </w:rPr>
          <w:t xml:space="preserve">§ 268</w:t>
        </w:r>
      </w:hyperlink>
      <w:r>
        <w:t>.</w:t>
      </w:r>
    </w:p>
    <w:p>
      <w:pPr>
        <w:pStyle w:val="Heading3"/>
      </w:pPr>
      <w:bookmarkStart w:id="515" w:name="b514"/>
      <w:r>
        <w:t>§ 356a Verletzung des Anspruchs auf rechtliches Gehör bei einer Revisionsentscheidung</w:t>
      </w:r>
      <w:r>
        <w:t xml:space="preserve"> </w:t>
      </w:r>
      <w:r>
        <w:rPr>
          <w:rStyle w:val="Suchmarke"/>
        </w:rPr>
        <w:t>#356a#</w:t>
      </w:r>
      <w:bookmarkEnd w:id="515"/>
    </w:p>
    <w:p>
      <w:r>
        <w:rPr>
          <w:rStyle w:val="Satznummer"/>
        </w:rPr>
        <w:t>1</w:t>
      </w:r>
      <w:r>
        <w:t xml:space="preserve">Hat das Gericht bei einer Revisionsentscheidung den Anspruch eines Beteiligten auf rechtliches Gehör in entscheidungserheblicher Weise verletzt, versetzt es insoweit auf Antrag das Verfahren durch Beschluss in die Lage zurück, die vor dem Erlass der Entscheidung bestand. </w:t>
      </w:r>
      <w:r>
        <w:rPr>
          <w:rStyle w:val="Satznummer"/>
        </w:rPr>
        <w:t>2</w:t>
      </w:r>
      <w:r>
        <w:t xml:space="preserve">Der Antrag ist binnen einer Woche nach Kenntnis von der Verletzung des rechtlichen Gehörs schriftlich oder zu Protokoll der Geschäftsstelle beim Revisionsgericht zu stellen und zu begründen. </w:t>
      </w:r>
      <w:r>
        <w:rPr>
          <w:rStyle w:val="Satznummer"/>
        </w:rPr>
        <w:t>3</w:t>
      </w:r>
      <w:r>
        <w:t xml:space="preserve">Der Zeitpunkt der Kenntniserlangung ist glaubhaft zu machen. </w:t>
      </w:r>
      <w:r>
        <w:rPr>
          <w:rStyle w:val="Satznummer"/>
        </w:rPr>
        <w:t>4</w:t>
      </w:r>
      <w:r>
        <w:t xml:space="preserve">Hierüber ist der Angeklagte bei der Bekanntmachung eines Urteils, das ergangen ist, obwohl weder er selbst noch ein Verteidiger mit nachgewiesener Vertretungsvollmacht anwesend war, zu belehren. </w:t>
      </w:r>
      <w:r>
        <w:rPr>
          <w:rStyle w:val="Satznummer"/>
        </w:rPr>
        <w:t>5</w:t>
      </w:r>
      <w:hyperlink w:anchor="b67" w:history="1">
        <w:r>
          <w:rPr>
            <w:color w:val="0A3A8C"/>
            <w:u w:val="single"/>
          </w:rPr>
          <w:t xml:space="preserve">§ 47</w:t>
        </w:r>
      </w:hyperlink>
      <w:r>
        <w:t xml:space="preserve"> gilt entsprechend.</w:t>
      </w:r>
    </w:p>
    <w:p>
      <w:pPr>
        <w:pStyle w:val="Heading3"/>
      </w:pPr>
      <w:bookmarkStart w:id="516" w:name="b515"/>
      <w:r>
        <w:t>§ 357 Revisionserstreckung auf Mitverurteilte</w:t>
      </w:r>
      <w:r>
        <w:t xml:space="preserve"> </w:t>
      </w:r>
      <w:r>
        <w:rPr>
          <w:rStyle w:val="Suchmarke"/>
        </w:rPr>
        <w:t>#357#</w:t>
      </w:r>
      <w:bookmarkEnd w:id="516"/>
    </w:p>
    <w:p>
      <w:r>
        <w:rPr>
          <w:rStyle w:val="Satznummer"/>
        </w:rPr>
        <w:t>1</w:t>
      </w:r>
      <w:r>
        <w:t xml:space="preserve">Erfolgt zugunsten eines Angeklagten die Aufhebung des Urteils wegen Gesetzesverletzung bei Anwendung des Strafgesetzes und erstreckt sich das Urteil, soweit es aufgehoben wird, noch auf andere Angeklagte, die nicht Revision eingelegt haben, so ist zu erkennen, als ob sie gleichfalls Revision eingelegt hätten. </w:t>
      </w:r>
      <w:r>
        <w:rPr>
          <w:rStyle w:val="Satznummer"/>
        </w:rPr>
        <w:t>2</w:t>
      </w:r>
      <w:hyperlink w:anchor="b67" w:history="1">
        <w:r>
          <w:rPr>
            <w:color w:val="0A3A8C"/>
            <w:u w:val="single"/>
          </w:rPr>
          <w:t xml:space="preserve">§ 47</w:t>
        </w:r>
      </w:hyperlink>
      <w:r>
        <w:t xml:space="preserve"> Abs. 3 gilt entsprechend.</w:t>
      </w:r>
    </w:p>
    <w:p>
      <w:pPr>
        <w:pStyle w:val="Heading3"/>
      </w:pPr>
      <w:bookmarkStart w:id="517" w:name="b516"/>
      <w:r>
        <w:t>§ 358 Bindung des Tatgerichts; Verbot der Schlechterstellung</w:t>
      </w:r>
      <w:r>
        <w:t xml:space="preserve"> </w:t>
      </w:r>
      <w:r>
        <w:rPr>
          <w:rStyle w:val="Suchmarke"/>
        </w:rPr>
        <w:t>#358#</w:t>
      </w:r>
      <w:bookmarkEnd w:id="517"/>
    </w:p>
    <w:p>
      <w:r>
        <w:t>(1) Das Gericht, an das die Sache zur anderweiten Verhandlung und Entscheidung verwiesen ist, hat die rechtliche Beurteilung, die der Aufhebung des Urteils zugrunde gelegt ist, auch seiner Entscheidung zugrunde zu legen.</w:t>
      </w:r>
    </w:p>
    <w:p>
      <w:r>
        <w:t xml:space="preserve">(2) </w:t>
      </w:r>
      <w:r>
        <w:rPr>
          <w:rStyle w:val="Satznummer"/>
        </w:rPr>
        <w:t>1</w:t>
      </w:r>
      <w:r>
        <w:t xml:space="preserve">Das angefochtene Urteil darf in Art und Höhe der Rechtsfolgen der Tat nicht zum Nachteil des Angeklagten geändert werden, wenn lediglich der Angeklagte, zu seinen Gunsten die Staatsanwaltschaft oder sein gesetzlicher Vertreter Revision eingelegt hat. </w:t>
      </w:r>
      <w:r>
        <w:rPr>
          <w:rStyle w:val="Satznummer"/>
        </w:rPr>
        <w:t>2</w:t>
      </w:r>
      <w:r>
        <w:t xml:space="preserve">Wird die Anordnung der Unterbringung in einem psychiatrischen Krankenhaus aufgehoben, hindert diese Vorschrift nicht, an Stelle der Unterbringung eine Strafe zu verhängen. </w:t>
      </w:r>
      <w:r>
        <w:rPr>
          <w:rStyle w:val="Satznummer"/>
        </w:rPr>
        <w:t>3</w:t>
      </w:r>
      <w:r>
        <w:t>Satz 1 steht auch nicht der Anordnung der Unterbringung in einem psychiatrischen Krankenhaus oder einer Entziehungsanstalt entgegen.</w:t>
      </w:r>
    </w:p>
    <w:p>
      <w:pPr>
        <w:pStyle w:val="Heading1"/>
      </w:pPr>
      <w:bookmarkStart w:id="518" w:name="b517"/>
      <w:r>
        <w:t>Viertes Buch Wiederaufnahme eines durch rechtskräftiges Urteil abgeschlossenen Verfahrens</w:t>
      </w:r>
      <w:bookmarkEnd w:id="518"/>
    </w:p>
    <w:p>
      <w:pPr>
        <w:pStyle w:val="Heading2"/>
      </w:pPr>
      <w:bookmarkStart w:id="519" w:name="b518"/>
      <w:r>
        <w:t>§ 359 Wiederaufnahme zugunsten des Verurteilten</w:t>
      </w:r>
      <w:r>
        <w:t xml:space="preserve"> </w:t>
      </w:r>
      <w:r>
        <w:rPr>
          <w:rStyle w:val="Suchmarke"/>
        </w:rPr>
        <w:t>#359#</w:t>
      </w:r>
      <w:bookmarkEnd w:id="519"/>
    </w:p>
    <w:p>
      <w:r>
        <w:t>Die Wiederaufnahme eines durch rechtskräftiges Urteil abgeschlossenen Verfahrens zugunsten des Verurteilten ist zulässig,</w:t>
      </w:r>
    </w:p>
    <w:p>
      <w:pPr>
        <w:tabs>
          <w:tab w:pos="567" w:val="left"/>
        </w:tabs>
        <w:ind w:left="567" w:hanging="567"/>
      </w:pPr>
      <w:r>
        <w:t>1.</w:t>
      </w:r>
      <w:r>
        <w:tab/>
      </w:r>
      <w:r>
        <w:t>wenn eine in der Hauptverhandlung zu seinen Ungunsten als echt vorgebrachte Urkunde unecht oder verfälscht war;</w:t>
      </w:r>
    </w:p>
    <w:p>
      <w:pPr>
        <w:tabs>
          <w:tab w:pos="567" w:val="left"/>
        </w:tabs>
        <w:ind w:left="567" w:hanging="567"/>
      </w:pPr>
      <w:r>
        <w:t>2.</w:t>
      </w:r>
      <w:r>
        <w:tab/>
      </w:r>
      <w:r>
        <w:t>wenn der Zeuge oder Sachverständige sich bei einem zuungunsten des Verurteilten abgelegten Zeugnis oder abgegebenen Gutachten einer vorsätzlichen oder fahrlässigen Verletzung der Eidespflicht oder einer vorsätzlichen falschen uneidlichen Aussage schuldig gemacht hat;</w:t>
      </w:r>
    </w:p>
    <w:p>
      <w:pPr>
        <w:tabs>
          <w:tab w:pos="567" w:val="left"/>
        </w:tabs>
        <w:ind w:left="567" w:hanging="567"/>
      </w:pPr>
      <w:r>
        <w:t>3.</w:t>
      </w:r>
      <w:r>
        <w:tab/>
      </w:r>
      <w:r>
        <w:t>wenn bei dem Urteil ein Richter oder Schöffe mitgewirkt hat, der sich in Beziehung auf die Sache einer strafbaren Verletzung seiner Amtspflichten schuldig gemacht hat, sofern die Verletzung nicht vom Verurteilten selbst veranlaßt ist;</w:t>
      </w:r>
    </w:p>
    <w:p>
      <w:pPr>
        <w:tabs>
          <w:tab w:pos="567" w:val="left"/>
        </w:tabs>
        <w:ind w:left="567" w:hanging="567"/>
      </w:pPr>
      <w:r>
        <w:t>4.</w:t>
      </w:r>
      <w:r>
        <w:tab/>
      </w:r>
      <w:r>
        <w:t>wenn ein zivilgerichtliches Urteil, auf welches das Strafurteil gegründet ist, durch ein anderes rechtskräftig gewordenes Urteil aufgehoben ist;</w:t>
      </w:r>
    </w:p>
    <w:p>
      <w:pPr>
        <w:tabs>
          <w:tab w:pos="567" w:val="left"/>
        </w:tabs>
        <w:ind w:left="567" w:hanging="567"/>
      </w:pPr>
      <w:r>
        <w:t>5.</w:t>
      </w:r>
      <w:r>
        <w:tab/>
      </w:r>
      <w:r>
        <w:t>wenn neue Tatsachen oder Beweismittel beigebracht sind, die allein oder in Verbindung mit den früher erhobenen Beweisen die Freisprechung des Angeklagten oder in Anwendung eines milderen Strafgesetzes eine geringere Bestrafung oder eine wesentlich andere Entscheidung über eine Maßregel der Besserung und Sicherung zu begründen geeignet sind,</w:t>
      </w:r>
    </w:p>
    <w:p>
      <w:pPr>
        <w:tabs>
          <w:tab w:pos="567" w:val="left"/>
        </w:tabs>
        <w:ind w:left="567" w:hanging="567"/>
      </w:pPr>
      <w:r>
        <w:t>6.</w:t>
      </w:r>
      <w:r>
        <w:tab/>
      </w:r>
      <w:r>
        <w:t>wenn der Europäische Gerichtshof für Menschenrechte eine Verletzung der Europäischen Konvention zum Schutze der Menschenrechte und Grundfreiheiten oder ihrer Protokolle festgestellt hat und das Urteil auf dieser Verletzung beruht.</w:t>
      </w:r>
    </w:p>
    <w:p>
      <w:pPr>
        <w:pStyle w:val="Heading2"/>
      </w:pPr>
      <w:bookmarkStart w:id="520" w:name="b519"/>
      <w:r>
        <w:t>§ 360 Keine Hemmung der Vollstreckung</w:t>
      </w:r>
      <w:r>
        <w:t xml:space="preserve"> </w:t>
      </w:r>
      <w:r>
        <w:rPr>
          <w:rStyle w:val="Suchmarke"/>
        </w:rPr>
        <w:t>#360#</w:t>
      </w:r>
      <w:bookmarkEnd w:id="520"/>
    </w:p>
    <w:p>
      <w:r>
        <w:t>(1) Durch den Antrag auf Wiederaufnahme des Verfahrens wird die Vollstreckung des Urteils nicht gehemmt.</w:t>
      </w:r>
    </w:p>
    <w:p>
      <w:r>
        <w:t>(2) Das Gericht kann jedoch einen Aufschub sowie eine Unterbrechung der Vollstreckung anordnen.</w:t>
      </w:r>
    </w:p>
    <w:p>
      <w:pPr>
        <w:pStyle w:val="Heading2"/>
      </w:pPr>
      <w:bookmarkStart w:id="521" w:name="b520"/>
      <w:r>
        <w:t>§ 361 Wiederaufnahme nach Vollstreckung oder Tod des Verurteilten</w:t>
      </w:r>
      <w:r>
        <w:t xml:space="preserve"> </w:t>
      </w:r>
      <w:r>
        <w:rPr>
          <w:rStyle w:val="Suchmarke"/>
        </w:rPr>
        <w:t>#361#</w:t>
      </w:r>
      <w:bookmarkEnd w:id="521"/>
    </w:p>
    <w:p>
      <w:r>
        <w:t>(1) Der Antrag auf Wiederaufnahme des Verfahrens wird weder durch die erfolgte Strafvollstreckung noch durch den Tod des Verurteilten ausgeschlossen.</w:t>
      </w:r>
    </w:p>
    <w:p>
      <w:r>
        <w:t>(2) Im Falle des Todes sind der Ehegatte, der Lebenspartner, die Verwandten auf- und absteigender Linie sowie die Geschwister des Verstorbenen zu dem Antrag befugt.</w:t>
      </w:r>
    </w:p>
    <w:p>
      <w:pPr>
        <w:pStyle w:val="Heading2"/>
      </w:pPr>
      <w:bookmarkStart w:id="522" w:name="b521"/>
      <w:r>
        <w:t>§ 362 Wiederaufnahme zuungunsten des Verurteilten</w:t>
      </w:r>
      <w:r>
        <w:t xml:space="preserve"> </w:t>
      </w:r>
      <w:r>
        <w:rPr>
          <w:rStyle w:val="Suchmarke"/>
        </w:rPr>
        <w:t>#362#</w:t>
      </w:r>
      <w:bookmarkEnd w:id="522"/>
    </w:p>
    <w:p>
      <w:r>
        <w:t>Die Wiederaufnahme eines durch rechtskräftiges Urteil abgeschlossenen Verfahrens zuungunsten des Angeklagten ist zulässig,</w:t>
      </w:r>
    </w:p>
    <w:p>
      <w:pPr>
        <w:tabs>
          <w:tab w:pos="567" w:val="left"/>
        </w:tabs>
        <w:ind w:left="567" w:hanging="567"/>
      </w:pPr>
      <w:r>
        <w:t>1.</w:t>
      </w:r>
      <w:r>
        <w:tab/>
      </w:r>
      <w:r>
        <w:t>wenn eine in der Hauptverhandlung zu seinen Gunsten als echt vorgebrachte Urkunde unecht oder verfälscht war;</w:t>
      </w:r>
    </w:p>
    <w:p>
      <w:pPr>
        <w:tabs>
          <w:tab w:pos="567" w:val="left"/>
        </w:tabs>
        <w:ind w:left="567" w:hanging="567"/>
      </w:pPr>
      <w:r>
        <w:t>2.</w:t>
      </w:r>
      <w:r>
        <w:tab/>
      </w:r>
      <w:r>
        <w:t>wenn der Zeuge oder Sachverständige sich bei einem zugunsten des Angeklagten abgelegten Zeugnis oder abgegebenen Gutachten einer vorsätzlichen oder fahrlässigen Verletzung der Eidespflicht oder einer vorsätzlichen falschen uneidlichen Aussage schuldig gemacht hat;</w:t>
      </w:r>
    </w:p>
    <w:p>
      <w:pPr>
        <w:tabs>
          <w:tab w:pos="567" w:val="left"/>
        </w:tabs>
        <w:ind w:left="567" w:hanging="567"/>
      </w:pPr>
      <w:r>
        <w:t>3.</w:t>
      </w:r>
      <w:r>
        <w:tab/>
      </w:r>
      <w:r>
        <w:t>wenn bei dem Urteil ein Richter oder Schöffe mitgewirkt hat, der sich in Beziehung auf die Sache einer strafbaren Verletzung seiner Amtspflichten schuldig gemacht hat;</w:t>
      </w:r>
    </w:p>
    <w:p>
      <w:pPr>
        <w:tabs>
          <w:tab w:pos="567" w:val="left"/>
        </w:tabs>
        <w:ind w:left="567" w:hanging="567"/>
      </w:pPr>
      <w:r>
        <w:t>4.</w:t>
      </w:r>
      <w:r>
        <w:tab/>
      </w:r>
      <w:r>
        <w:t>wenn von dem Freigesprochenen vor Gericht oder außergerichtlich ein glaubwürdiges Geständnis der Straftat abgelegt wird;</w:t>
      </w:r>
    </w:p>
    <w:p>
      <w:pPr>
        <w:tabs>
          <w:tab w:pos="567" w:val="left"/>
        </w:tabs>
        <w:ind w:left="567" w:hanging="567"/>
      </w:pPr>
      <w:r>
        <w:t>5.</w:t>
      </w:r>
      <w:r>
        <w:tab/>
      </w:r>
      <w:r>
        <w:t>wenn neue Tatsachen oder Beweismittel beigebracht werden, die allein oder in Verbindung mit früher erhobenen Beweisen dringende Gründe dafür bilden, dass der freigesprochene Angeklagte wegen Mordes (§ 211 des Strafgesetzbuches), Völkermordes (§ 6 Absatz 1 des Völkerstrafgesetzbuches), des Verbrechens gegen die Menschlichkeit (§ 7 Absatz 1 Nummer 1 und 2 des Völkerstrafgesetzbuches) oder Kriegsverbrechens gegen eine Person (§ 8 Absatz 1 Nummer 1 des Völkerstrafgesetzbuches) verurteilt wird.</w:t>
      </w:r>
    </w:p>
    <w:p>
      <w:pPr>
        <w:pStyle w:val="Heading2"/>
      </w:pPr>
      <w:bookmarkStart w:id="523" w:name="b522"/>
      <w:r>
        <w:t>§ 363 Unzulässigkeit</w:t>
      </w:r>
      <w:r>
        <w:t xml:space="preserve"> </w:t>
      </w:r>
      <w:r>
        <w:rPr>
          <w:rStyle w:val="Suchmarke"/>
        </w:rPr>
        <w:t>#363#</w:t>
      </w:r>
      <w:bookmarkEnd w:id="523"/>
    </w:p>
    <w:p>
      <w:r>
        <w:t>(1) Eine Wiederaufnahme des Verfahrens zu dem Zweck, eine andere Strafbemessung auf Grund desselben Strafgesetzes herbeizuführen, ist nicht zulässig.</w:t>
      </w:r>
    </w:p>
    <w:p>
      <w:r>
        <w:t>(2) Eine Wiederaufnahme des Verfahrens zu dem Zweck, eine Milderung der Strafe wegen verminderter Schuldfähigkeit (§ 21 des Strafgesetzbuches) herbeizuführen, ist gleichfalls ausgeschlossen.</w:t>
      </w:r>
    </w:p>
    <w:p>
      <w:pPr>
        <w:pStyle w:val="Heading2"/>
      </w:pPr>
      <w:bookmarkStart w:id="524" w:name="b523"/>
      <w:r>
        <w:t>§ 364 Behauptung einer Straftat</w:t>
      </w:r>
      <w:r>
        <w:t xml:space="preserve"> </w:t>
      </w:r>
      <w:r>
        <w:rPr>
          <w:rStyle w:val="Suchmarke"/>
        </w:rPr>
        <w:t>#364#</w:t>
      </w:r>
      <w:bookmarkEnd w:id="524"/>
    </w:p>
    <w:p>
      <w:r>
        <w:rPr>
          <w:rStyle w:val="Satznummer"/>
        </w:rPr>
        <w:t>1</w:t>
      </w:r>
      <w:r>
        <w:t xml:space="preserve">Ein Antrag auf Wiederaufnahme des Verfahrens, der auf die Behauptung einer Straftat gegründet werden soll, ist nur dann zulässig, wenn wegen dieser Tat eine rechtskräftige Verurteilung ergangen ist oder wenn die Einleitung oder Durchführung eines Strafverfahrens aus anderen Gründen als wegen Mangels an Beweis nicht erfolgen kann. </w:t>
      </w:r>
      <w:r>
        <w:rPr>
          <w:rStyle w:val="Satznummer"/>
        </w:rPr>
        <w:t>2</w:t>
      </w:r>
      <w:r>
        <w:t xml:space="preserve">Dies gilt nicht im Falle des </w:t>
      </w:r>
      <w:hyperlink w:anchor="b518" w:history="1">
        <w:r>
          <w:rPr>
            <w:color w:val="0A3A8C"/>
            <w:u w:val="single"/>
          </w:rPr>
          <w:t xml:space="preserve">§ 359</w:t>
        </w:r>
      </w:hyperlink>
      <w:r>
        <w:t xml:space="preserve"> Nr. 5.</w:t>
      </w:r>
    </w:p>
    <w:p>
      <w:pPr>
        <w:pStyle w:val="Heading2"/>
      </w:pPr>
      <w:bookmarkStart w:id="525" w:name="b524"/>
      <w:r>
        <w:t>§ 364a Bestellung eines Verteidigers für das Wiederaufnahmeverfahren</w:t>
      </w:r>
      <w:r>
        <w:t xml:space="preserve"> </w:t>
      </w:r>
      <w:r>
        <w:rPr>
          <w:rStyle w:val="Suchmarke"/>
        </w:rPr>
        <w:t>#364a#</w:t>
      </w:r>
      <w:bookmarkEnd w:id="525"/>
    </w:p>
    <w:p>
      <w:r>
        <w:t>Das für die Entscheidungen im Wiederaufnahmeverfahren zuständige Gericht bestellt dem Verurteilten, der keinen Verteidiger hat, auf Antrag einen Verteidiger für das Wiederaufnahmeverfahren, wenn wegen der Schwierigkeit der Sach- oder Rechtslage die Mitwirkung eines Verteidigers geboten erscheint.</w:t>
      </w:r>
    </w:p>
    <w:p>
      <w:pPr>
        <w:pStyle w:val="Heading2"/>
      </w:pPr>
      <w:bookmarkStart w:id="526" w:name="b525"/>
      <w:r>
        <w:t>§ 364b Bestellung eines Verteidigers für die Vorbereitung des Wiederaufnahmeverfahrens</w:t>
      </w:r>
      <w:r>
        <w:t xml:space="preserve"> </w:t>
      </w:r>
      <w:r>
        <w:rPr>
          <w:rStyle w:val="Suchmarke"/>
        </w:rPr>
        <w:t>#364b#</w:t>
      </w:r>
      <w:bookmarkEnd w:id="526"/>
    </w:p>
    <w:p>
      <w:r>
        <w:t xml:space="preserve">(1) </w:t>
      </w:r>
      <w:r>
        <w:rPr>
          <w:rStyle w:val="Satznummer"/>
        </w:rPr>
        <w:t>1</w:t>
      </w:r>
      <w:r>
        <w:t>Das für die Entscheidungen im Wiederaufnahmeverfahren zuständige Gericht bestellt dem Verurteilten, der keinen Verteidiger hat, auf Antrag einen Verteidiger schon für die Vorbereitung eines Wiederaufnahmeverfahrens, wenn</w:t>
      </w:r>
    </w:p>
    <w:p>
      <w:pPr>
        <w:tabs>
          <w:tab w:pos="567" w:val="left"/>
        </w:tabs>
        <w:ind w:left="567" w:hanging="567"/>
      </w:pPr>
      <w:r>
        <w:t>1.</w:t>
      </w:r>
      <w:r>
        <w:tab/>
      </w:r>
      <w:r>
        <w:t>hinreichende tatsächliche Anhaltspunkte dafür vorliegen, daß bestimmte Nachforschungen zu Tatsachen oder Beweismitteln führen, welche die Zulässigkeit eines Antrags auf Wiederaufnahme des Verfahrens begründen können,</w:t>
      </w:r>
    </w:p>
    <w:p>
      <w:pPr>
        <w:tabs>
          <w:tab w:pos="567" w:val="left"/>
        </w:tabs>
        <w:ind w:left="567" w:hanging="567"/>
      </w:pPr>
      <w:r>
        <w:t>2.</w:t>
      </w:r>
      <w:r>
        <w:tab/>
      </w:r>
      <w:r>
        <w:t>wegen der Schwierigkeit der Sach- oder Rechtslage die Mitwirkung eines Verteidigers geboten erscheint und</w:t>
      </w:r>
    </w:p>
    <w:p>
      <w:pPr>
        <w:tabs>
          <w:tab w:pos="567" w:val="left"/>
        </w:tabs>
        <w:ind w:left="567" w:hanging="567"/>
      </w:pPr>
      <w:r>
        <w:t>3.</w:t>
      </w:r>
      <w:r>
        <w:tab/>
      </w:r>
      <w:r>
        <w:t>der Verurteilte außerstande ist, ohne Beeinträchtigung des für ihn und seine Familie notwendigen Unterhalts auf eigene Kosten einen Verteidiger zu beauftragen.</w:t>
      </w:r>
    </w:p>
    <w:p>
      <w:r>
        <w:rPr>
          <w:rStyle w:val="Satznummer"/>
        </w:rPr>
        <w:t>2</w:t>
      </w:r>
      <w:r>
        <w:t>Ist dem Verurteilten bereits ein Verteidiger bestellt, so stellt das Gericht auf Antrag durch Beschluß fest, daß die Voraussetzungen der Nummern 1 bis 3 des Satzes 1 vorliegen.</w:t>
      </w:r>
    </w:p>
    <w:p>
      <w:r>
        <w:t>(2) Für das Verfahren zur Feststellung der Voraussetzungen des Absatzes 1 Satz 1 Nr. 3 gelten § 117 Abs. 2 bis 4 und § 118 Abs. 2 Satz 1, 2 und 4 der Zivilprozeßordnung entsprechend.</w:t>
      </w:r>
    </w:p>
    <w:p>
      <w:pPr>
        <w:pStyle w:val="Heading2"/>
      </w:pPr>
      <w:bookmarkStart w:id="527" w:name="b526"/>
      <w:r>
        <w:t>§ 365 Geltung der allgemeinen Vorschriften über Rechtsmittel für den Antrag</w:t>
      </w:r>
      <w:r>
        <w:t xml:space="preserve"> </w:t>
      </w:r>
      <w:r>
        <w:rPr>
          <w:rStyle w:val="Suchmarke"/>
        </w:rPr>
        <w:t>#365#</w:t>
      </w:r>
      <w:bookmarkEnd w:id="527"/>
    </w:p>
    <w:p>
      <w:r>
        <w:t>Die allgemeinen Vorschriften über Rechtsmittel gelten auch für den Antrag auf Wiederaufnahme des Verfahrens.</w:t>
      </w:r>
    </w:p>
    <w:p>
      <w:pPr>
        <w:pStyle w:val="Heading2"/>
      </w:pPr>
      <w:bookmarkStart w:id="528" w:name="b527"/>
      <w:r>
        <w:t>§ 366 Inhalt und Form des Antrags</w:t>
      </w:r>
      <w:r>
        <w:t xml:space="preserve"> </w:t>
      </w:r>
      <w:r>
        <w:rPr>
          <w:rStyle w:val="Suchmarke"/>
        </w:rPr>
        <w:t>#366#</w:t>
      </w:r>
      <w:bookmarkEnd w:id="528"/>
    </w:p>
    <w:p>
      <w:r>
        <w:t>(1) In dem Antrag müssen der gesetzliche Grund der Wiederaufnahme des Verfahrens sowie die Beweismittel angegeben werden.</w:t>
      </w:r>
    </w:p>
    <w:p>
      <w:r>
        <w:t xml:space="preserve">(2) Von dem Angeklagten und den in </w:t>
      </w:r>
      <w:hyperlink w:anchor="b520" w:history="1">
        <w:r>
          <w:rPr>
            <w:color w:val="0A3A8C"/>
            <w:u w:val="single"/>
          </w:rPr>
          <w:t xml:space="preserve">§ 361</w:t>
        </w:r>
      </w:hyperlink>
      <w:r>
        <w:t xml:space="preserve"> Abs. 2 bezeichneten Personen kann der Antrag nur mittels einer von dem Verteidiger oder einem Rechtsanwalt unterzeichneten Schrift oder zu Protokoll der Geschäftsstelle angebracht werden.</w:t>
      </w:r>
    </w:p>
    <w:p>
      <w:pPr>
        <w:pStyle w:val="Heading2"/>
      </w:pPr>
      <w:bookmarkStart w:id="529" w:name="b528"/>
      <w:r>
        <w:t>§ 367 Zuständigkeit des Gerichts; Entscheidung ohne mündliche Verhandlung</w:t>
      </w:r>
      <w:r>
        <w:t xml:space="preserve"> </w:t>
      </w:r>
      <w:r>
        <w:rPr>
          <w:rStyle w:val="Suchmarke"/>
        </w:rPr>
        <w:t>#367#</w:t>
      </w:r>
      <w:bookmarkEnd w:id="529"/>
    </w:p>
    <w:p>
      <w:r>
        <w:t xml:space="preserve">(1) </w:t>
      </w:r>
      <w:r>
        <w:rPr>
          <w:rStyle w:val="Satznummer"/>
        </w:rPr>
        <w:t>1</w:t>
      </w:r>
      <w:r>
        <w:t xml:space="preserve">Die Zuständigkeit des Gerichts für die Entscheidungen im Wiederaufnahmeverfahren und über den Antrag zur Vorbereitung eines Wiederaufnahmeverfahrens richtet sich nach den besonderen Vorschriften des Gerichtsverfassungsgesetzes. </w:t>
      </w:r>
      <w:r>
        <w:rPr>
          <w:rStyle w:val="Satznummer"/>
        </w:rPr>
        <w:t>2</w:t>
      </w:r>
      <w:r>
        <w:t xml:space="preserve">Der Verurteilte kann Anträge nach den </w:t>
      </w:r>
      <w:hyperlink w:anchor="b524" w:history="1">
        <w:r>
          <w:rPr>
            <w:color w:val="0A3A8C"/>
            <w:u w:val="single"/>
          </w:rPr>
          <w:t xml:space="preserve">§§ 364a</w:t>
        </w:r>
      </w:hyperlink>
      <w:r>
        <w:t xml:space="preserve"> und </w:t>
      </w:r>
      <w:hyperlink w:anchor="b525" w:history="1">
        <w:r>
          <w:rPr>
            <w:color w:val="0A3A8C"/>
            <w:u w:val="single"/>
          </w:rPr>
          <w:t xml:space="preserve">364b</w:t>
        </w:r>
      </w:hyperlink>
      <w:r>
        <w:t xml:space="preserve"> oder einen Antrag auf Zulassung der Wiederaufnahme des Verfahrens auch bei dem Gericht einreichen, dessen Urteil angefochten wird; dieses leitet den Antrag dem zuständigen Gericht zu.</w:t>
      </w:r>
    </w:p>
    <w:p>
      <w:r>
        <w:t xml:space="preserve">(2) Die Entscheidungen über Anträge nach den </w:t>
      </w:r>
      <w:hyperlink w:anchor="b524" w:history="1">
        <w:r>
          <w:rPr>
            <w:color w:val="0A3A8C"/>
            <w:u w:val="single"/>
          </w:rPr>
          <w:t xml:space="preserve">§§ 364a</w:t>
        </w:r>
      </w:hyperlink>
      <w:r>
        <w:t xml:space="preserve"> und </w:t>
      </w:r>
      <w:hyperlink w:anchor="b525" w:history="1">
        <w:r>
          <w:rPr>
            <w:color w:val="0A3A8C"/>
            <w:u w:val="single"/>
          </w:rPr>
          <w:t xml:space="preserve">364b</w:t>
        </w:r>
      </w:hyperlink>
      <w:r>
        <w:t xml:space="preserve"> und den Antrag auf Zulassung der Wiederaufnahme des Verfahrens ergehen ohne mündliche Verhandlung.</w:t>
      </w:r>
    </w:p>
    <w:p>
      <w:pPr>
        <w:pStyle w:val="Heading2"/>
      </w:pPr>
      <w:bookmarkStart w:id="530" w:name="b529"/>
      <w:r>
        <w:t>§ 368 Verwerfung wegen Unzulässigkeit</w:t>
      </w:r>
      <w:r>
        <w:t xml:space="preserve"> </w:t>
      </w:r>
      <w:r>
        <w:rPr>
          <w:rStyle w:val="Suchmarke"/>
        </w:rPr>
        <w:t>#368#</w:t>
      </w:r>
      <w:bookmarkEnd w:id="530"/>
    </w:p>
    <w:p>
      <w:r>
        <w:t>(1) Ist der Antrag nicht in der vorgeschriebenen Form angebracht oder ist darin kein gesetzlicher Grund der Wiederaufnahme geltend gemacht oder kein geeignetes Beweismittel angeführt, so ist der Antrag als unzulässig zu verwerfen.</w:t>
      </w:r>
    </w:p>
    <w:p>
      <w:r>
        <w:t>(2) Andernfalls ist er dem Gegner des Antragstellers unter Bestimmung einer Frist zur Erklärung zuzustellen.</w:t>
      </w:r>
    </w:p>
    <w:p>
      <w:pPr>
        <w:pStyle w:val="Heading2"/>
      </w:pPr>
      <w:bookmarkStart w:id="531" w:name="b530"/>
      <w:r>
        <w:t>§ 369 Beweisaufnahme</w:t>
      </w:r>
      <w:r>
        <w:t xml:space="preserve"> </w:t>
      </w:r>
      <w:r>
        <w:rPr>
          <w:rStyle w:val="Suchmarke"/>
        </w:rPr>
        <w:t>#369#</w:t>
      </w:r>
      <w:bookmarkEnd w:id="531"/>
    </w:p>
    <w:p>
      <w:r>
        <w:t>(1) Wird der Antrag für zulässig befunden, so beauftragt das Gericht mit der Aufnahme der angetretenen Beweise, soweit dies erforderlich ist, einen Richter.</w:t>
      </w:r>
    </w:p>
    <w:p>
      <w:r>
        <w:t>(2) Dem Ermessen des Gerichts bleibt es überlassen, ob die Zeugen und Sachverständigen eidlich vernommen werden sollen.</w:t>
      </w:r>
    </w:p>
    <w:p>
      <w:r>
        <w:t xml:space="preserve">(3) </w:t>
      </w:r>
      <w:r>
        <w:rPr>
          <w:rStyle w:val="Satznummer"/>
        </w:rPr>
        <w:t>1</w:t>
      </w:r>
      <w:r>
        <w:t xml:space="preserve">Bei der Vernehmung eines Zeugen oder Sachverständigen und bei der Einnahme eines richterlichen Augenscheins ist der Staatsanwaltschaft, dem Angeklagten und dem Verteidiger die Anwesenheit zu gestatten. </w:t>
      </w:r>
      <w:r>
        <w:rPr>
          <w:rStyle w:val="Satznummer"/>
        </w:rPr>
        <w:t>2</w:t>
      </w:r>
      <w:hyperlink w:anchor="b310" w:history="1">
        <w:r>
          <w:rPr>
            <w:color w:val="0A3A8C"/>
            <w:u w:val="single"/>
          </w:rPr>
          <w:t xml:space="preserve">§ 168c</w:t>
        </w:r>
      </w:hyperlink>
      <w:r>
        <w:t xml:space="preserve"> Abs. 3, </w:t>
      </w:r>
      <w:hyperlink w:anchor="b358" w:history="1">
        <w:r>
          <w:rPr>
            <w:color w:val="0A3A8C"/>
            <w:u w:val="single"/>
          </w:rPr>
          <w:t xml:space="preserve">§ 224</w:t>
        </w:r>
      </w:hyperlink>
      <w:r>
        <w:t xml:space="preserve"> Abs. 1 und </w:t>
      </w:r>
      <w:hyperlink w:anchor="b359" w:history="1">
        <w:r>
          <w:rPr>
            <w:color w:val="0A3A8C"/>
            <w:u w:val="single"/>
          </w:rPr>
          <w:t xml:space="preserve">§ 225</w:t>
        </w:r>
      </w:hyperlink>
      <w:r>
        <w:t xml:space="preserve"> gelten entsprechend. </w:t>
      </w:r>
      <w:r>
        <w:rPr>
          <w:rStyle w:val="Satznummer"/>
        </w:rPr>
        <w:t>3</w:t>
      </w:r>
      <w:r>
        <w:t>Befindet sich der Angeklagte nicht auf freiem Fuß, so hat er keinen Anspruch auf Anwesenheit, wenn der Termin nicht an der Gerichtsstelle des Ortes abgehalten wird, wo er sich in Haft befindet, und seine Mitwirkung der mit der Beweiserhebung bezweckten Klärung nicht dienlich ist.</w:t>
      </w:r>
    </w:p>
    <w:p>
      <w:r>
        <w:t>(4) Nach Schluß der Beweisaufnahme sind die Staatsanwaltschaft und der Angeklagte unter Bestimmung einer Frist zu weiterer Erklärung aufzufordern.</w:t>
      </w:r>
    </w:p>
    <w:p>
      <w:pPr>
        <w:pStyle w:val="Heading2"/>
      </w:pPr>
      <w:bookmarkStart w:id="532" w:name="b531"/>
      <w:r>
        <w:t>§ 370 Entscheidung über die Begründetheit</w:t>
      </w:r>
      <w:r>
        <w:t xml:space="preserve"> </w:t>
      </w:r>
      <w:r>
        <w:rPr>
          <w:rStyle w:val="Suchmarke"/>
        </w:rPr>
        <w:t>#370#</w:t>
      </w:r>
      <w:bookmarkEnd w:id="532"/>
    </w:p>
    <w:p>
      <w:r>
        <w:t xml:space="preserve">(1) Der Antrag auf Wiederaufnahme des Verfahrens wird ohne mündliche Verhandlung als unbegründet verworfen, wenn die darin aufgestellten Behauptungen keine genügende Bestätigung gefunden haben oder wenn in den Fällen des </w:t>
      </w:r>
      <w:hyperlink w:anchor="b518" w:history="1">
        <w:r>
          <w:rPr>
            <w:color w:val="0A3A8C"/>
            <w:u w:val="single"/>
          </w:rPr>
          <w:t xml:space="preserve">§ 359</w:t>
        </w:r>
      </w:hyperlink>
      <w:r>
        <w:t xml:space="preserve"> Nr. 1 und 2 oder des </w:t>
      </w:r>
      <w:hyperlink w:anchor="b521" w:history="1">
        <w:r>
          <w:rPr>
            <w:color w:val="0A3A8C"/>
            <w:u w:val="single"/>
          </w:rPr>
          <w:t xml:space="preserve">§ 362</w:t>
        </w:r>
      </w:hyperlink>
      <w:r>
        <w:t xml:space="preserve"> Nr. 1 und 2 nach Lage der Sache die Annahme ausgeschlossen ist, daß die in diesen Vorschriften bezeichnete Handlung auf die Entscheidung Einfluß gehabt hat.</w:t>
      </w:r>
    </w:p>
    <w:p>
      <w:r>
        <w:t>(2) Andernfalls ordnet das Gericht die Wiederaufnahme des Verfahrens und die Erneuerung der Hauptverhandlung an.</w:t>
      </w:r>
    </w:p>
    <w:p>
      <w:pPr>
        <w:pStyle w:val="Heading2"/>
      </w:pPr>
      <w:bookmarkStart w:id="533" w:name="b532"/>
      <w:r>
        <w:t>§ 371 Freisprechung ohne erneute Hauptverhandlung</w:t>
      </w:r>
      <w:r>
        <w:t xml:space="preserve"> </w:t>
      </w:r>
      <w:r>
        <w:rPr>
          <w:rStyle w:val="Suchmarke"/>
        </w:rPr>
        <w:t>#371#</w:t>
      </w:r>
      <w:bookmarkEnd w:id="533"/>
    </w:p>
    <w:p>
      <w:r>
        <w:t>(1) Ist der Verurteilte bereits verstorben, so hat ohne Erneuerung der Hauptverhandlung das Gericht nach Aufnahme des etwa noch erforderlichen Beweises entweder auf Freisprechung zu erkennen oder den Antrag auf Wiederaufnahme abzulehnen.</w:t>
      </w:r>
    </w:p>
    <w:p>
      <w:r>
        <w:t>(2) Auch in anderen Fällen kann das Gericht, bei öffentlichen Klagen jedoch nur mit Zustimmung der Staatsanwaltschaft, den Verurteilten sofort freisprechen, wenn dazu genügende Beweise bereits vorliegen.</w:t>
      </w:r>
    </w:p>
    <w:p>
      <w:r>
        <w:t xml:space="preserve">(3) </w:t>
      </w:r>
      <w:r>
        <w:rPr>
          <w:rStyle w:val="Satznummer"/>
        </w:rPr>
        <w:t>1</w:t>
      </w:r>
      <w:r>
        <w:t xml:space="preserve">Mit der Freisprechung ist die Aufhebung des früheren Urteils zu verbinden. </w:t>
      </w:r>
      <w:r>
        <w:rPr>
          <w:rStyle w:val="Satznummer"/>
        </w:rPr>
        <w:t>2</w:t>
      </w:r>
      <w:r>
        <w:t>War lediglich auf eine Maßregel der Besserung und Sicherung erkannt, so tritt an die Stelle der Freisprechung die Aufhebung des früheren Urteils.</w:t>
      </w:r>
    </w:p>
    <w:p>
      <w:r>
        <w:t>(4) Die Aufhebung ist auf Verlangen des Antragstellers im Bundesanzeiger bekannt zu machen und kann nach dem Ermessen des Gerichts auch auf andere geeignete Weise veröffentlicht werden.</w:t>
      </w:r>
    </w:p>
    <w:p>
      <w:pPr>
        <w:pStyle w:val="Heading2"/>
      </w:pPr>
      <w:bookmarkStart w:id="534" w:name="b533"/>
      <w:r>
        <w:t>§ 372 Sofortige Beschwerde</w:t>
      </w:r>
      <w:r>
        <w:t xml:space="preserve"> </w:t>
      </w:r>
      <w:r>
        <w:rPr>
          <w:rStyle w:val="Suchmarke"/>
        </w:rPr>
        <w:t>#372#</w:t>
      </w:r>
      <w:bookmarkEnd w:id="534"/>
    </w:p>
    <w:p>
      <w:r>
        <w:rPr>
          <w:rStyle w:val="Satznummer"/>
        </w:rPr>
        <w:t>1</w:t>
      </w:r>
      <w:r>
        <w:t xml:space="preserve">Alle Entscheidungen, die aus Anlaß eines Antrags auf Wiederaufnahme des Verfahrens von dem Gericht im ersten Rechtszug erlassen werden, können mit sofortiger Beschwerde angefochten werden. </w:t>
      </w:r>
      <w:r>
        <w:rPr>
          <w:rStyle w:val="Satznummer"/>
        </w:rPr>
        <w:t>2</w:t>
      </w:r>
      <w:r>
        <w:t>Der Beschluß, durch den das Gericht die Wiederaufnahme des Verfahrens und die Erneuerung der Hauptverhandlung anordnet, kann von der Staatsanwaltschaft nicht angefochten werden.</w:t>
      </w:r>
    </w:p>
    <w:p>
      <w:pPr>
        <w:pStyle w:val="Heading2"/>
      </w:pPr>
      <w:bookmarkStart w:id="535" w:name="b534"/>
      <w:r>
        <w:t>§ 373 Urteil nach erneuter Hauptverhandlung; Verbot der Schlechterstellung</w:t>
      </w:r>
      <w:r>
        <w:t xml:space="preserve"> </w:t>
      </w:r>
      <w:r>
        <w:rPr>
          <w:rStyle w:val="Suchmarke"/>
        </w:rPr>
        <w:t>#373#</w:t>
      </w:r>
      <w:bookmarkEnd w:id="535"/>
    </w:p>
    <w:p>
      <w:r>
        <w:t>(1) In der erneuten Hauptverhandlung ist entweder das frühere Urteil aufrechtzuerhalten oder unter seiner Aufhebung anderweit in der Sache zu erkennen.</w:t>
      </w:r>
    </w:p>
    <w:p>
      <w:r>
        <w:t xml:space="preserve">(2) </w:t>
      </w:r>
      <w:r>
        <w:rPr>
          <w:rStyle w:val="Satznummer"/>
        </w:rPr>
        <w:t>1</w:t>
      </w:r>
      <w:r>
        <w:t xml:space="preserve">Das frühere Urteil darf in Art und Höhe der Rechtsfolgen der Tat nicht zum Nachteil des Verurteilten geändert werden, wenn lediglich der Verurteilte, zu seinen Gunsten die Staatsanwaltschaft oder sein gesetzlicher Vertreter die Wiederaufnahme des Verfahrens beantragt hat. </w:t>
      </w:r>
      <w:r>
        <w:rPr>
          <w:rStyle w:val="Satznummer"/>
        </w:rPr>
        <w:t>2</w:t>
      </w:r>
      <w:r>
        <w:t>Diese Vorschrift steht der Anordnung der Unterbringung in einem psychiatrischen Krankenhaus oder einer Entziehungsanstalt nicht entgegen.</w:t>
      </w:r>
    </w:p>
    <w:p>
      <w:pPr>
        <w:pStyle w:val="Heading2"/>
      </w:pPr>
      <w:bookmarkStart w:id="536" w:name="b535"/>
      <w:r>
        <w:t>§ 373a Verfahren bei Strafbefehl</w:t>
      </w:r>
      <w:r>
        <w:t xml:space="preserve"> </w:t>
      </w:r>
      <w:r>
        <w:rPr>
          <w:rStyle w:val="Suchmarke"/>
        </w:rPr>
        <w:t>#373a#</w:t>
      </w:r>
      <w:bookmarkEnd w:id="536"/>
    </w:p>
    <w:p>
      <w:r>
        <w:t>(1) Die Wiederaufnahme eines durch rechtskräftigen Strafbefehl abgeschlossenen Verfahrens zuungunsten des Verurteilten ist auch zulässig, wenn neue Tatsachen oder Beweismittel beigebracht sind, die allein oder in Verbindung mit den früheren Beweisen geeignet sind, die Verurteilung wegen eines Verbrechens zu begründen.</w:t>
      </w:r>
    </w:p>
    <w:p>
      <w:r>
        <w:t xml:space="preserve">(2) Im übrigen gelten für die Wiederaufnahme eines durch rechtskräftigen Strafbefehl abgeschlossenen Verfahrens die </w:t>
      </w:r>
      <w:hyperlink w:anchor="b518" w:history="1">
        <w:r>
          <w:rPr>
            <w:color w:val="0A3A8C"/>
            <w:u w:val="single"/>
          </w:rPr>
          <w:t xml:space="preserve">§§ 359</w:t>
        </w:r>
      </w:hyperlink>
      <w:r>
        <w:t xml:space="preserve"> bis </w:t>
      </w:r>
      <w:hyperlink w:anchor="b534" w:history="1">
        <w:r>
          <w:rPr>
            <w:color w:val="0A3A8C"/>
            <w:u w:val="single"/>
          </w:rPr>
          <w:t xml:space="preserve">373</w:t>
        </w:r>
      </w:hyperlink>
      <w:r>
        <w:t xml:space="preserve"> entsprechend.</w:t>
      </w:r>
    </w:p>
    <w:p>
      <w:pPr>
        <w:pStyle w:val="Heading1"/>
      </w:pPr>
      <w:bookmarkStart w:id="537" w:name="b536"/>
      <w:r>
        <w:t>Fünftes Buch Beteiligung des Verletzten am Verfahren</w:t>
      </w:r>
      <w:bookmarkEnd w:id="537"/>
    </w:p>
    <w:p>
      <w:pPr>
        <w:pStyle w:val="Heading2"/>
      </w:pPr>
      <w:bookmarkStart w:id="538" w:name="b537"/>
      <w:r>
        <w:t>Erster Abschnitt Definition</w:t>
      </w:r>
      <w:bookmarkEnd w:id="538"/>
    </w:p>
    <w:p>
      <w:pPr>
        <w:pStyle w:val="Heading3"/>
      </w:pPr>
      <w:bookmarkStart w:id="539" w:name="b538"/>
      <w:r>
        <w:t>§ 373b Begriff des Verletzten</w:t>
      </w:r>
      <w:r>
        <w:t xml:space="preserve"> </w:t>
      </w:r>
      <w:r>
        <w:rPr>
          <w:rStyle w:val="Suchmarke"/>
        </w:rPr>
        <w:t>#373b#</w:t>
      </w:r>
      <w:bookmarkEnd w:id="539"/>
    </w:p>
    <w:p>
      <w:r>
        <w:t>(1) Im Sinne dieses Gesetzes sind Verletzte diejenigen, die durch die Tat, ihre Begehung unterstellt oder rechtskräftig festgestellt, in ihren Rechtsgütern unmittelbar beeinträchtigt worden sind oder unmittelbar einen Schaden erlitten haben.</w:t>
      </w:r>
    </w:p>
    <w:p>
      <w:r>
        <w:t>(2) Verletzten im Sinne des Absatzes 1 gleichgestellt sind</w:t>
      </w:r>
    </w:p>
    <w:p>
      <w:pPr>
        <w:tabs>
          <w:tab w:pos="567" w:val="left"/>
        </w:tabs>
        <w:ind w:left="567" w:hanging="567"/>
      </w:pPr>
      <w:r>
        <w:t>1.</w:t>
      </w:r>
      <w:r>
        <w:tab/>
      </w:r>
      <w:r>
        <w:t>der Ehegatte oder der Lebenspartner,</w:t>
      </w:r>
    </w:p>
    <w:p>
      <w:pPr>
        <w:tabs>
          <w:tab w:pos="567" w:val="left"/>
        </w:tabs>
        <w:ind w:left="567" w:hanging="567"/>
      </w:pPr>
      <w:r>
        <w:t>2.</w:t>
      </w:r>
      <w:r>
        <w:tab/>
      </w:r>
      <w:r>
        <w:t>der in einem gemeinsamen Haushalt lebende Lebensgefährte,</w:t>
      </w:r>
    </w:p>
    <w:p>
      <w:pPr>
        <w:tabs>
          <w:tab w:pos="567" w:val="left"/>
        </w:tabs>
        <w:ind w:left="567" w:hanging="567"/>
      </w:pPr>
      <w:r>
        <w:t>3.</w:t>
      </w:r>
      <w:r>
        <w:tab/>
      </w:r>
      <w:r>
        <w:t>die Verwandten in gerader Linie,</w:t>
      </w:r>
    </w:p>
    <w:p>
      <w:pPr>
        <w:tabs>
          <w:tab w:pos="567" w:val="left"/>
        </w:tabs>
        <w:ind w:left="567" w:hanging="567"/>
      </w:pPr>
      <w:r>
        <w:t>4.</w:t>
      </w:r>
      <w:r>
        <w:tab/>
      </w:r>
      <w:r>
        <w:t>die Geschwister und</w:t>
      </w:r>
    </w:p>
    <w:p>
      <w:pPr>
        <w:tabs>
          <w:tab w:pos="567" w:val="left"/>
        </w:tabs>
        <w:ind w:left="567" w:hanging="567"/>
      </w:pPr>
      <w:r>
        <w:t>5.</w:t>
      </w:r>
      <w:r>
        <w:tab/>
      </w:r>
      <w:r>
        <w:t>die Unterhaltsberechtigten</w:t>
      </w:r>
    </w:p>
    <w:p>
      <w:r>
        <w:t>einer Person, deren Tod eine direkte Folge der Tat, ihre Begehung unterstellt oder rechtskräftig festgestellt, gewesen ist.</w:t>
      </w:r>
    </w:p>
    <w:p>
      <w:pPr>
        <w:pStyle w:val="Heading2"/>
      </w:pPr>
      <w:bookmarkStart w:id="540" w:name="b539"/>
      <w:r>
        <w:t>Zweiter Abschnitt Privatklage</w:t>
      </w:r>
      <w:bookmarkEnd w:id="540"/>
    </w:p>
    <w:p>
      <w:pPr>
        <w:pStyle w:val="Heading3"/>
      </w:pPr>
      <w:bookmarkStart w:id="541" w:name="b540"/>
      <w:r>
        <w:t>§ 374 Zulässigkeit; Privatklageberechtigte</w:t>
      </w:r>
      <w:r>
        <w:t xml:space="preserve"> </w:t>
      </w:r>
      <w:r>
        <w:rPr>
          <w:rStyle w:val="Suchmarke"/>
        </w:rPr>
        <w:t>#374#</w:t>
      </w:r>
      <w:bookmarkEnd w:id="541"/>
    </w:p>
    <w:p>
      <w:r>
        <w:t>(1) Im Wege der Privatklage können vom Verletzten verfolgt werden, ohne daß es einer vorgängigen Anrufung der Staatsanwaltschaft bedarf,</w:t>
      </w:r>
    </w:p>
    <w:p>
      <w:pPr>
        <w:tabs>
          <w:tab w:pos="567" w:val="left"/>
        </w:tabs>
        <w:ind w:left="567" w:hanging="567"/>
      </w:pPr>
      <w:r>
        <w:t>1.</w:t>
      </w:r>
      <w:r>
        <w:tab/>
      </w:r>
      <w:r>
        <w:t>ein Hausfriedensbruch (§ 123 des Strafgesetzbuches),</w:t>
      </w:r>
    </w:p>
    <w:p>
      <w:pPr>
        <w:tabs>
          <w:tab w:pos="567" w:val="left"/>
        </w:tabs>
        <w:ind w:left="567" w:hanging="567"/>
      </w:pPr>
      <w:r>
        <w:t>2.</w:t>
      </w:r>
      <w:r>
        <w:tab/>
      </w:r>
      <w:r>
        <w:t>eine Beleidigung (§§ 185 bis 189 des Strafgesetzbuches), wenn sie nicht gegen eine der in § 194 Abs. 4 des Strafgesetzbuches genannten politischen Körperschaften gerichtet ist,</w:t>
      </w:r>
    </w:p>
    <w:p>
      <w:pPr>
        <w:tabs>
          <w:tab w:pos="567" w:val="left"/>
        </w:tabs>
        <w:ind w:left="567" w:hanging="567"/>
      </w:pPr>
      <w:r>
        <w:t>2a.</w:t>
      </w:r>
      <w:r>
        <w:tab/>
      </w:r>
      <w:r>
        <w:t>eine Verletzung des höchstpersönlichen Lebensbereichs und von Persönlichkeitsrechten durch Bildaufnahmen (§ 201a Absatz 1 und 2 des Strafgesetzbuches),</w:t>
      </w:r>
    </w:p>
    <w:p>
      <w:pPr>
        <w:tabs>
          <w:tab w:pos="567" w:val="left"/>
        </w:tabs>
        <w:ind w:left="567" w:hanging="567"/>
      </w:pPr>
      <w:r>
        <w:t>3.</w:t>
      </w:r>
      <w:r>
        <w:tab/>
      </w:r>
      <w:r>
        <w:t>eine Verletzung des Briefgeheimnisses (§ 202 des Strafgesetzbuches),</w:t>
      </w:r>
    </w:p>
    <w:p>
      <w:pPr>
        <w:tabs>
          <w:tab w:pos="567" w:val="left"/>
        </w:tabs>
        <w:ind w:left="567" w:hanging="567"/>
      </w:pPr>
      <w:r>
        <w:t>4.</w:t>
      </w:r>
      <w:r>
        <w:tab/>
      </w:r>
      <w:r>
        <w:t>eine Körperverletzung (§§ 223 und 229 des Strafgesetzbuches),</w:t>
      </w:r>
    </w:p>
    <w:p>
      <w:pPr>
        <w:tabs>
          <w:tab w:pos="567" w:val="left"/>
        </w:tabs>
        <w:ind w:left="567" w:hanging="567"/>
      </w:pPr>
      <w:r>
        <w:t>5.</w:t>
      </w:r>
      <w:r>
        <w:tab/>
      </w:r>
      <w:r>
        <w:t>eine Nötigung (§ 240 Absatz 1 bis 3 des Strafgesetzbuches) oder eine Bedrohung (§ 241 Absatz 1 bis 3 des Strafgesetzbuches),</w:t>
      </w:r>
    </w:p>
    <w:p>
      <w:pPr>
        <w:tabs>
          <w:tab w:pos="567" w:val="left"/>
        </w:tabs>
        <w:ind w:left="567" w:hanging="567"/>
      </w:pPr>
      <w:r>
        <w:t>5a.</w:t>
      </w:r>
      <w:r>
        <w:tab/>
      </w:r>
      <w:r>
        <w:t>eine Bestechlichkeit oder Bestechung im geschäftlichen Verkehr (§ 299 des Strafgesetzbuches),</w:t>
      </w:r>
    </w:p>
    <w:p>
      <w:pPr>
        <w:tabs>
          <w:tab w:pos="567" w:val="left"/>
        </w:tabs>
        <w:ind w:left="567" w:hanging="567"/>
      </w:pPr>
      <w:r>
        <w:t>6.</w:t>
      </w:r>
      <w:r>
        <w:tab/>
      </w:r>
      <w:r>
        <w:t>eine Sachbeschädigung (§ 303 des Strafgesetzbuches),</w:t>
      </w:r>
    </w:p>
    <w:p>
      <w:pPr>
        <w:tabs>
          <w:tab w:pos="567" w:val="left"/>
        </w:tabs>
        <w:ind w:left="567" w:hanging="567"/>
      </w:pPr>
      <w:r>
        <w:t>6a.</w:t>
      </w:r>
      <w:r>
        <w:tab/>
      </w:r>
      <w:r>
        <w:t>eine Straftat nach § 323a des Strafgesetzbuches, wenn die im Rausch begangene Tat ein in den Nummern 1 bis 6 genanntes Vergehen ist,</w:t>
      </w:r>
    </w:p>
    <w:p>
      <w:pPr>
        <w:tabs>
          <w:tab w:pos="567" w:val="left"/>
        </w:tabs>
        <w:ind w:left="567" w:hanging="567"/>
      </w:pPr>
      <w:r>
        <w:t>7.</w:t>
      </w:r>
      <w:r>
        <w:tab/>
      </w:r>
      <w:r>
        <w:t>eine Straftat nach § 16 des Gesetzes gegen den unlauteren Wettbewerb und § 23 des Gesetzes zum Schutz von Geschäftsgeheimnissen,</w:t>
      </w:r>
    </w:p>
    <w:p>
      <w:pPr>
        <w:tabs>
          <w:tab w:pos="567" w:val="left"/>
        </w:tabs>
        <w:ind w:left="567" w:hanging="567"/>
      </w:pPr>
      <w:r>
        <w:t>8.</w:t>
      </w:r>
      <w:r>
        <w:tab/>
      </w:r>
      <w:r>
        <w:t>eine Straftat nach § 142 Abs. 1 des Patentgesetzes, § 25 Abs. 1 des Gebrauchsmustergesetzes, § 10 Abs. 1 des Halbleiterschutzgesetzes, § 39 Abs. 1 des Sortenschutzgesetzes, § 143 Abs. 1 und § 144 Absatz 1 des Markengesetzes, § 51 Abs. 1 und § 65 Abs. 1 des Designgesetzes, den §§ 106 bis 108 sowie § 108b Abs. 1 und 2 des Urheberrechtsgesetzes und § 33 des Gesetzes betreffend das Urheberrecht an Werken der bildenden Künste und der Photographie.</w:t>
      </w:r>
    </w:p>
    <w:p>
      <w:r>
        <w:t xml:space="preserve">(2) </w:t>
      </w:r>
      <w:r>
        <w:rPr>
          <w:rStyle w:val="Satznummer"/>
        </w:rPr>
        <w:t>1</w:t>
      </w:r>
      <w:r>
        <w:t xml:space="preserve">Die Privatklage kann auch erheben, wer neben dem Verletzten oder an seiner Stelle berechtigt ist, Strafantrag zu stellen. </w:t>
      </w:r>
      <w:r>
        <w:rPr>
          <w:rStyle w:val="Satznummer"/>
        </w:rPr>
        <w:t>2</w:t>
      </w:r>
      <w:r>
        <w:t>Die in § 77 Abs. 2 des Strafgesetzbuches genannten Personen können die Privatklage auch dann erheben, wenn der vor ihnen Berechtigte den Strafantrag gestellt hat.</w:t>
      </w:r>
    </w:p>
    <w:p>
      <w:r>
        <w:t>(3) Hat der Verletzte einen gesetzlichen Vertreter, so wird die Befugnis zur Erhebung der Privatklage durch diesen und, wenn Körperschaften, Gesellschaften und andere Personenvereine, die als solche in bürgerlichen Rechtsstreitigkeiten klagen können, die Verletzten sind, durch dieselben Personen wahrgenommen, durch die sie in bürgerlichen Rechtsstreitigkeiten vertreten werden.</w:t>
      </w:r>
    </w:p>
    <w:p>
      <w:pPr>
        <w:pStyle w:val="Heading3"/>
      </w:pPr>
      <w:bookmarkStart w:id="542" w:name="b541"/>
      <w:r>
        <w:t>§ 375 Mehrere Privatklageberechtigte</w:t>
      </w:r>
      <w:r>
        <w:t xml:space="preserve"> </w:t>
      </w:r>
      <w:r>
        <w:rPr>
          <w:rStyle w:val="Suchmarke"/>
        </w:rPr>
        <w:t>#375#</w:t>
      </w:r>
      <w:bookmarkEnd w:id="542"/>
    </w:p>
    <w:p>
      <w:r>
        <w:t>(1) Sind wegen derselben Straftat mehrere Personen zur Privatklage berechtigt, so ist bei Ausübung dieses Rechts ein jeder von dem anderen unabhängig.</w:t>
      </w:r>
    </w:p>
    <w:p>
      <w:r>
        <w:t>(2) Hat jedoch einer der Berechtigten die Privatklage erhoben, so steht den übrigen nur der Beitritt zu dem eingeleiteten Verfahren, und zwar in der Lage zu, in der es sich zur Zeit der Beitrittserklärung befindet.</w:t>
      </w:r>
    </w:p>
    <w:p>
      <w:r>
        <w:t>(3) Jede in der Sache selbst ergangene Entscheidung äußert zugunsten des Beschuldigten ihre Wirkung auch gegenüber solchen Berechtigten, welche die Privatklage nicht erhoben haben.</w:t>
      </w:r>
    </w:p>
    <w:p>
      <w:pPr>
        <w:pStyle w:val="Heading3"/>
      </w:pPr>
      <w:bookmarkStart w:id="543" w:name="b542"/>
      <w:r>
        <w:t>§ 376 Anklageerhebung bei Privatklagedelikten</w:t>
      </w:r>
      <w:r>
        <w:t xml:space="preserve"> </w:t>
      </w:r>
      <w:r>
        <w:rPr>
          <w:rStyle w:val="Suchmarke"/>
        </w:rPr>
        <w:t>#376#</w:t>
      </w:r>
      <w:bookmarkEnd w:id="543"/>
    </w:p>
    <w:p>
      <w:r>
        <w:t xml:space="preserve">Die öffentliche Klage wird wegen der in </w:t>
      </w:r>
      <w:hyperlink w:anchor="b540" w:history="1">
        <w:r>
          <w:rPr>
            <w:color w:val="0A3A8C"/>
            <w:u w:val="single"/>
          </w:rPr>
          <w:t xml:space="preserve">§ 374</w:t>
        </w:r>
      </w:hyperlink>
      <w:r>
        <w:t xml:space="preserve"> bezeichneten Straftaten von der Staatsanwaltschaft nur dann erhoben, wenn dies im öffentlichen Interesse liegt.</w:t>
      </w:r>
    </w:p>
    <w:p>
      <w:pPr>
        <w:pStyle w:val="Heading3"/>
      </w:pPr>
      <w:bookmarkStart w:id="544" w:name="b543"/>
      <w:r>
        <w:t>§ 377 Beteiligung der Staatsanwaltschaft; Übernahme der Verfolgung</w:t>
      </w:r>
      <w:r>
        <w:t xml:space="preserve"> </w:t>
      </w:r>
      <w:r>
        <w:rPr>
          <w:rStyle w:val="Suchmarke"/>
        </w:rPr>
        <w:t>#377#</w:t>
      </w:r>
      <w:bookmarkEnd w:id="544"/>
    </w:p>
    <w:p>
      <w:r>
        <w:t xml:space="preserve">(1) </w:t>
      </w:r>
      <w:r>
        <w:rPr>
          <w:rStyle w:val="Satznummer"/>
        </w:rPr>
        <w:t>1</w:t>
      </w:r>
      <w:r>
        <w:t xml:space="preserve">Im Privatklageverfahren ist der Staatsanwalt zu einer Mitwirkung nicht verpflichtet. </w:t>
      </w:r>
      <w:r>
        <w:rPr>
          <w:rStyle w:val="Satznummer"/>
        </w:rPr>
        <w:t>2</w:t>
      </w:r>
      <w:r>
        <w:t>Das Gericht legt ihm die Akten vor, wenn es die Übernahme der Verfolgung durch ihn für geboten hält.</w:t>
      </w:r>
    </w:p>
    <w:p>
      <w:r>
        <w:t xml:space="preserve">(2) </w:t>
      </w:r>
      <w:r>
        <w:rPr>
          <w:rStyle w:val="Satznummer"/>
        </w:rPr>
        <w:t>1</w:t>
      </w:r>
      <w:r>
        <w:t xml:space="preserve">Auch kann die Staatsanwaltschaft in jeder Lage der Sache bis zum Eintritt der Rechtskraft des Urteils durch eine ausdrückliche Erklärung die Verfolgung übernehmen. </w:t>
      </w:r>
      <w:r>
        <w:rPr>
          <w:rStyle w:val="Satznummer"/>
        </w:rPr>
        <w:t>2</w:t>
      </w:r>
      <w:r>
        <w:t>In der Einlegung eines Rechtsmittels ist die Übernahme der Verfolgung enthalten.</w:t>
      </w:r>
    </w:p>
    <w:p>
      <w:pPr>
        <w:pStyle w:val="Heading3"/>
      </w:pPr>
      <w:bookmarkStart w:id="545" w:name="b544"/>
      <w:r>
        <w:t>§ 378 Beistand und Vertreter des Privatklägers</w:t>
      </w:r>
      <w:r>
        <w:t xml:space="preserve"> </w:t>
      </w:r>
      <w:r>
        <w:rPr>
          <w:rStyle w:val="Suchmarke"/>
        </w:rPr>
        <w:t>#378#</w:t>
      </w:r>
      <w:bookmarkEnd w:id="545"/>
    </w:p>
    <w:p>
      <w:r>
        <w:rPr>
          <w:rStyle w:val="Satznummer"/>
        </w:rPr>
        <w:t>1</w:t>
      </w:r>
      <w:r>
        <w:t xml:space="preserve">Der Privatkläger kann im Beistand eines Rechtsanwalts erscheinen oder sich durch einen Rechtsanwalt mit nachgewiesener Vertretungsvollmacht vertreten lassen. </w:t>
      </w:r>
      <w:r>
        <w:rPr>
          <w:rStyle w:val="Satznummer"/>
        </w:rPr>
        <w:t>2</w:t>
      </w:r>
      <w:r>
        <w:t>Im letzteren Falle können die Zustellungen an den Privatkläger mit rechtlicher Wirkung an den Anwalt erfolgen.</w:t>
      </w:r>
    </w:p>
    <w:p>
      <w:pPr>
        <w:pStyle w:val="Heading3"/>
      </w:pPr>
      <w:bookmarkStart w:id="546" w:name="b545"/>
      <w:r>
        <w:t>§ 379 Sicherheitsleistung; Prozesskostenhilfe</w:t>
      </w:r>
      <w:r>
        <w:t xml:space="preserve"> </w:t>
      </w:r>
      <w:r>
        <w:rPr>
          <w:rStyle w:val="Suchmarke"/>
        </w:rPr>
        <w:t>#379#</w:t>
      </w:r>
      <w:bookmarkEnd w:id="546"/>
    </w:p>
    <w:p>
      <w:r>
        <w:t>(1) Der Privatkläger hat für die dem Beschuldigten voraussichtlich erwachsenden Kosten unter denselben Voraussetzungen Sicherheit zu leisten, unter denen in bürgerlichen Rechtsstreitigkeiten der Kläger auf Verlangen des Beklagten Sicherheit wegen der Prozeßkosten zu leisten hat.</w:t>
      </w:r>
    </w:p>
    <w:p>
      <w:r>
        <w:t xml:space="preserve">(2) </w:t>
      </w:r>
      <w:r>
        <w:rPr>
          <w:rStyle w:val="Satznummer"/>
        </w:rPr>
        <w:t>1</w:t>
      </w:r>
      <w:r>
        <w:t xml:space="preserve">Die Sicherheitsleistung ist durch Hinterlegung in barem Geld oder in Wertpapieren zu bewirken. </w:t>
      </w:r>
      <w:r>
        <w:rPr>
          <w:rStyle w:val="Satznummer"/>
        </w:rPr>
        <w:t>2</w:t>
      </w:r>
      <w:r>
        <w:t>Davon abweichende Regelungen in einer auf Grund des Gesetzes über den Zahlungsverkehr mit Gerichten und Justizbehörden erlassenen Rechtsverordnung bleiben unberührt.</w:t>
      </w:r>
    </w:p>
    <w:p>
      <w:r>
        <w:t>(3) Für die Höhe der Sicherheit und die Frist zu ihrer Leistung sowie für die Prozeßkostenhilfe gelten dieselben Vorschriften wie in bürgerlichen Rechtsstreitigkeiten.</w:t>
      </w:r>
    </w:p>
    <w:p>
      <w:pPr>
        <w:pStyle w:val="Heading3"/>
      </w:pPr>
      <w:bookmarkStart w:id="547" w:name="b546"/>
      <w:r>
        <w:t>§ 379a Gebührenvorschuss</w:t>
      </w:r>
      <w:r>
        <w:t xml:space="preserve"> </w:t>
      </w:r>
      <w:r>
        <w:rPr>
          <w:rStyle w:val="Suchmarke"/>
        </w:rPr>
        <w:t>#379a#</w:t>
      </w:r>
      <w:bookmarkEnd w:id="547"/>
    </w:p>
    <w:p>
      <w:r>
        <w:t>(1) Zur Zahlung des Gebührenvorschusses nach § 16 Abs. 1 des Gerichtskostengesetzes soll, sofern nicht dem Privatkläger die Prozeßkostenhilfe bewilligt ist oder Gebührenfreiheit zusteht, vom Gericht eine Frist bestimmt werden; hierbei soll auf die nach Absatz 3 eintretenden Folgen hingewiesen werden.</w:t>
      </w:r>
    </w:p>
    <w:p>
      <w:r>
        <w:t>(2) Vor Zahlung des Vorschusses soll keine gerichtliche Handlung vorgenommen werden, es sei denn, daß glaubhaft gemacht wird, daß die Verzögerung dem Privatkläger einen nicht oder nur schwer zu ersetzenden Nachteil bringen würde.</w:t>
      </w:r>
    </w:p>
    <w:p>
      <w:r>
        <w:t xml:space="preserve">(3) </w:t>
      </w:r>
      <w:r>
        <w:rPr>
          <w:rStyle w:val="Satznummer"/>
        </w:rPr>
        <w:t>1</w:t>
      </w:r>
      <w:r>
        <w:t xml:space="preserve">Nach fruchtlosem Ablauf der nach Absatz 1 gestellten Frist wird die Privatklage zurückgewiesen. </w:t>
      </w:r>
      <w:r>
        <w:rPr>
          <w:rStyle w:val="Satznummer"/>
        </w:rPr>
        <w:t>2</w:t>
      </w:r>
      <w:r>
        <w:t xml:space="preserve">Der Beschluß kann mit sofortiger Beschwerde angefochten werden. </w:t>
      </w:r>
      <w:r>
        <w:rPr>
          <w:rStyle w:val="Satznummer"/>
        </w:rPr>
        <w:t>3</w:t>
      </w:r>
      <w:r>
        <w:t>Er ist von dem Gericht, das ihn erlassen hat, von Amts wegen aufzuheben, wenn sich herausstellt, daß die Zahlung innerhalb der gesetzten Frist eingegangen ist.</w:t>
      </w:r>
    </w:p>
    <w:p>
      <w:pPr>
        <w:pStyle w:val="Heading3"/>
      </w:pPr>
      <w:bookmarkStart w:id="548" w:name="b547"/>
      <w:r>
        <w:t>§ 380 Erfolgloser Sühneversuch als Zulässigkeitsvoraussetzung</w:t>
      </w:r>
      <w:r>
        <w:t xml:space="preserve"> </w:t>
      </w:r>
      <w:r>
        <w:rPr>
          <w:rStyle w:val="Suchmarke"/>
        </w:rPr>
        <w:t>#380#</w:t>
      </w:r>
      <w:bookmarkEnd w:id="548"/>
    </w:p>
    <w:p>
      <w:r>
        <w:t xml:space="preserve">(1) </w:t>
      </w:r>
      <w:r>
        <w:rPr>
          <w:rStyle w:val="Satznummer"/>
        </w:rPr>
        <w:t>1</w:t>
      </w:r>
      <w:r>
        <w:t xml:space="preserve">Wegen Hausfriedensbruchs, Beleidigung, Verletzung des Briefgeheimnisses, Körperverletzung (§§ 223 und 229 des Strafgesetzbuches), Bedrohung und Sachbeschädigung ist die Erhebung der Klage erst zulässig, nachdem von einer durch die Landesjustizverwaltung zu bezeichnenden Vergleichsbehörde die Sühne erfolglos versucht worden ist. </w:t>
      </w:r>
      <w:r>
        <w:rPr>
          <w:rStyle w:val="Satznummer"/>
        </w:rPr>
        <w:t>2</w:t>
      </w:r>
      <w:r>
        <w:t xml:space="preserve">Gleiches gilt wegen einer Straftat nach § 323a des Strafgesetzbuches, wenn die im Rausch begangene Tat ein in Satz 1 genanntes Vergehen ist. </w:t>
      </w:r>
      <w:r>
        <w:rPr>
          <w:rStyle w:val="Satznummer"/>
        </w:rPr>
        <w:t>3</w:t>
      </w:r>
      <w:r>
        <w:t>Der Kläger hat die Bescheinigung hierüber mit der Klage einzureichen.</w:t>
      </w:r>
    </w:p>
    <w:p>
      <w:r>
        <w:t>(2) Die Landesjustizverwaltung kann bestimmen, daß die Vergleichsbehörde ihre Tätigkeit von der Einzahlung eines angemessenen Kostenvorschusses abhängig machen darf.</w:t>
      </w:r>
    </w:p>
    <w:p>
      <w:r>
        <w:t>(3) Die Vorschriften der Absätze 1 und 2 gelten nicht, wenn der amtliche Vorgesetzte nach § 194 Abs. 3 oder § 230 Abs. 2 des Strafgesetzbuches befugt ist, Strafantrag zu stellen.</w:t>
      </w:r>
    </w:p>
    <w:p>
      <w:r>
        <w:t>(4) Wohnen die Parteien nicht in demselben Gemeindebezirk, so kann nach näherer Anordnung der Landesjustizverwaltung von einem Sühneversuch abgesehen werden.</w:t>
      </w:r>
    </w:p>
    <w:p>
      <w:pPr>
        <w:pStyle w:val="Heading3"/>
      </w:pPr>
      <w:bookmarkStart w:id="549" w:name="b548"/>
      <w:r>
        <w:t>§ 381 Erhebung der Privatklage</w:t>
      </w:r>
      <w:r>
        <w:t xml:space="preserve"> </w:t>
      </w:r>
      <w:r>
        <w:rPr>
          <w:rStyle w:val="Suchmarke"/>
        </w:rPr>
        <w:t>#381#</w:t>
      </w:r>
      <w:bookmarkEnd w:id="549"/>
    </w:p>
    <w:p>
      <w:r>
        <w:rPr>
          <w:rStyle w:val="Satznummer"/>
        </w:rPr>
        <w:t>1</w:t>
      </w:r>
      <w:r>
        <w:t xml:space="preserve">Die Erhebung der Klage geschieht zu Protokoll der Geschäftsstelle oder durch Einreichung einer Anklageschrift. </w:t>
      </w:r>
      <w:r>
        <w:rPr>
          <w:rStyle w:val="Satznummer"/>
        </w:rPr>
        <w:t>2</w:t>
      </w:r>
      <w:r>
        <w:t xml:space="preserve">Die Klage muß den in </w:t>
      </w:r>
      <w:hyperlink w:anchor="b327" w:history="1">
        <w:r>
          <w:rPr>
            <w:color w:val="0A3A8C"/>
            <w:u w:val="single"/>
          </w:rPr>
          <w:t xml:space="preserve">§ 200</w:t>
        </w:r>
      </w:hyperlink>
      <w:r>
        <w:t xml:space="preserve"> Abs. 1 bezeichneten Erfordernissen entsprechen. </w:t>
      </w:r>
      <w:r>
        <w:rPr>
          <w:rStyle w:val="Satznummer"/>
        </w:rPr>
        <w:t>3</w:t>
      </w:r>
      <w:r>
        <w:t xml:space="preserve">Mit der Anklageschrift sind zwei Abschriften einzureichen. </w:t>
      </w:r>
      <w:r>
        <w:rPr>
          <w:rStyle w:val="Satznummer"/>
        </w:rPr>
        <w:t>4</w:t>
      </w:r>
      <w:r>
        <w:t>Der Einreichung von Abschriften bedarf es nicht, wenn die Anklageschrift elektronisch übermittelt wird.</w:t>
      </w:r>
    </w:p>
    <w:p>
      <w:pPr>
        <w:pStyle w:val="Heading3"/>
      </w:pPr>
      <w:bookmarkStart w:id="550" w:name="b549"/>
      <w:r>
        <w:t>§ 382 Mitteilung der Privatklage an den Beschuldigten</w:t>
      </w:r>
      <w:r>
        <w:t xml:space="preserve"> </w:t>
      </w:r>
      <w:r>
        <w:rPr>
          <w:rStyle w:val="Suchmarke"/>
        </w:rPr>
        <w:t>#382#</w:t>
      </w:r>
      <w:bookmarkEnd w:id="550"/>
    </w:p>
    <w:p>
      <w:r>
        <w:t>Ist die Klage vorschriftsmäßig erhoben, so teilt das Gericht sie dem Beschuldigten unter Bestimmung einer Frist zur Erklärung mit.</w:t>
      </w:r>
    </w:p>
    <w:p>
      <w:pPr>
        <w:pStyle w:val="Heading3"/>
      </w:pPr>
      <w:bookmarkStart w:id="551" w:name="b550"/>
      <w:r>
        <w:t>§ 383 Eröffnungs- oder Zurückweisungsbeschluss; Einstellung bei geringer Schuld</w:t>
      </w:r>
      <w:r>
        <w:t xml:space="preserve"> </w:t>
      </w:r>
      <w:r>
        <w:rPr>
          <w:rStyle w:val="Suchmarke"/>
        </w:rPr>
        <w:t>#383#</w:t>
      </w:r>
      <w:bookmarkEnd w:id="551"/>
    </w:p>
    <w:p>
      <w:r>
        <w:t xml:space="preserve">(1) </w:t>
      </w:r>
      <w:r>
        <w:rPr>
          <w:rStyle w:val="Satznummer"/>
        </w:rPr>
        <w:t>1</w:t>
      </w:r>
      <w:r>
        <w:t xml:space="preserve">Nach Eingang der Erklärung des Beschuldigten oder Ablauf der Frist entscheidet das Gericht darüber, ob das Hauptverfahren zu eröffnen oder die Klage zurückzuweisen ist, nach Maßgabe der Vorschriften, die bei einer von der Staatsanwaltschaft unmittelbar erhobenen Anklage anzuwenden sind. </w:t>
      </w:r>
      <w:r>
        <w:rPr>
          <w:rStyle w:val="Satznummer"/>
        </w:rPr>
        <w:t>2</w:t>
      </w:r>
      <w:r>
        <w:t xml:space="preserve">In dem Beschluß, durch den das Hauptverfahren eröffnet wird, bezeichnet das Gericht den Angeklagten und die Tat gemäß </w:t>
      </w:r>
      <w:hyperlink w:anchor="b327" w:history="1">
        <w:r>
          <w:rPr>
            <w:color w:val="0A3A8C"/>
            <w:u w:val="single"/>
          </w:rPr>
          <w:t xml:space="preserve">§ 200</w:t>
        </w:r>
      </w:hyperlink>
      <w:r>
        <w:t xml:space="preserve"> Abs. 1 Satz 1.</w:t>
      </w:r>
    </w:p>
    <w:p>
      <w:r>
        <w:t xml:space="preserve">(2) </w:t>
      </w:r>
      <w:r>
        <w:rPr>
          <w:rStyle w:val="Satznummer"/>
        </w:rPr>
        <w:t>1</w:t>
      </w:r>
      <w:r>
        <w:t xml:space="preserve">Ist die Schuld des Täters gering, so kann das Gericht das Verfahren einstellen. </w:t>
      </w:r>
      <w:r>
        <w:rPr>
          <w:rStyle w:val="Satznummer"/>
        </w:rPr>
        <w:t>2</w:t>
      </w:r>
      <w:r>
        <w:t xml:space="preserve">Die Einstellung ist auch noch in der Hauptverhandlung zulässig. </w:t>
      </w:r>
      <w:r>
        <w:rPr>
          <w:rStyle w:val="Satznummer"/>
        </w:rPr>
        <w:t>3</w:t>
      </w:r>
      <w:r>
        <w:t>Der Beschluß kann mit sofortiger Beschwerde angefochten werden.</w:t>
      </w:r>
    </w:p>
    <w:p>
      <w:pPr>
        <w:pStyle w:val="Heading3"/>
      </w:pPr>
      <w:bookmarkStart w:id="552" w:name="b551"/>
      <w:r>
        <w:t>§ 384 Weiteres Verfahren</w:t>
      </w:r>
      <w:r>
        <w:t xml:space="preserve"> </w:t>
      </w:r>
      <w:r>
        <w:rPr>
          <w:rStyle w:val="Suchmarke"/>
        </w:rPr>
        <w:t>#384#</w:t>
      </w:r>
      <w:bookmarkEnd w:id="552"/>
    </w:p>
    <w:p>
      <w:r>
        <w:t xml:space="preserve">(1) </w:t>
      </w:r>
      <w:r>
        <w:rPr>
          <w:rStyle w:val="Satznummer"/>
        </w:rPr>
        <w:t>1</w:t>
      </w:r>
      <w:r>
        <w:t xml:space="preserve">Das weitere Verfahren richtet sich nach den Vorschriften, die für das Verfahren auf erhobene öffentliche Klage gegeben sind. </w:t>
      </w:r>
      <w:r>
        <w:rPr>
          <w:rStyle w:val="Satznummer"/>
        </w:rPr>
        <w:t>2</w:t>
      </w:r>
      <w:r>
        <w:t>Jedoch dürfen Maßregeln der Besserung und Sicherung nicht angeordnet werden.</w:t>
      </w:r>
    </w:p>
    <w:p>
      <w:r>
        <w:t xml:space="preserve">(2) </w:t>
      </w:r>
      <w:hyperlink w:anchor="b384" w:history="1">
        <w:r>
          <w:rPr>
            <w:color w:val="0A3A8C"/>
            <w:u w:val="single"/>
          </w:rPr>
          <w:t xml:space="preserve">§ 243</w:t>
        </w:r>
      </w:hyperlink>
      <w:r>
        <w:t xml:space="preserve"> ist mit der Maßgabe anzuwenden, daß der Vorsitzende den Beschluß über die Eröffnung des Hauptverfahrens verliest.</w:t>
      </w:r>
    </w:p>
    <w:p>
      <w:r>
        <w:t>(3) Das Gericht bestimmt unbeschadet des § 244 Abs. 2 den Umfang der Beweisaufnahme.</w:t>
      </w:r>
    </w:p>
    <w:p>
      <w:r>
        <w:t xml:space="preserve">(4) Die Vorschrift des </w:t>
      </w:r>
      <w:hyperlink w:anchor="b412" w:history="1">
        <w:r>
          <w:rPr>
            <w:color w:val="0A3A8C"/>
            <w:u w:val="single"/>
          </w:rPr>
          <w:t xml:space="preserve">§ 265</w:t>
        </w:r>
      </w:hyperlink>
      <w:r>
        <w:t xml:space="preserve"> Abs. 3 über das Recht, die Aussetzung der Hauptverhandlung zu verlangen, ist nicht anzuwenden.</w:t>
      </w:r>
    </w:p>
    <w:p>
      <w:r>
        <w:t>(5) Vor dem Schwurgericht kann eine Privatklagesache nicht gleichzeitig mit einer auf öffentliche Klage anhängig gemachten Sache verhandelt werden.</w:t>
      </w:r>
    </w:p>
    <w:p>
      <w:pPr>
        <w:pStyle w:val="Heading3"/>
      </w:pPr>
      <w:bookmarkStart w:id="553" w:name="b552"/>
      <w:r>
        <w:t>§ 385 Stellung des Privatklägers; Ladung; Akteneinsicht</w:t>
      </w:r>
      <w:r>
        <w:t xml:space="preserve"> </w:t>
      </w:r>
      <w:r>
        <w:rPr>
          <w:rStyle w:val="Suchmarke"/>
        </w:rPr>
        <w:t>#385#</w:t>
      </w:r>
      <w:bookmarkEnd w:id="553"/>
    </w:p>
    <w:p>
      <w:r>
        <w:t xml:space="preserve">(1) </w:t>
      </w:r>
      <w:r>
        <w:rPr>
          <w:rStyle w:val="Satznummer"/>
        </w:rPr>
        <w:t>1</w:t>
      </w:r>
      <w:r>
        <w:t xml:space="preserve">Soweit in dem Verfahren auf erhobene öffentliche Klage die Staatsanwaltschaft zuzuziehen und zu hören ist, wird in dem Verfahren auf erhobene Privatklage der Privatkläger zugezogen und gehört. </w:t>
      </w:r>
      <w:r>
        <w:rPr>
          <w:rStyle w:val="Satznummer"/>
        </w:rPr>
        <w:t>2</w:t>
      </w:r>
      <w:r>
        <w:t>Alle Entscheidungen, die dort der Staatsanwaltschaft bekanntgemacht werden, sind hier dem Privatkläger bekanntzugeben.</w:t>
      </w:r>
    </w:p>
    <w:p>
      <w:r>
        <w:t>(2) Zwischen der Zustellung der Ladung des Privatklägers zur Hauptverhandlung und dem Tag der letzteren muß eine Frist von mindestens einer Woche liegen.</w:t>
      </w:r>
    </w:p>
    <w:p>
      <w:r>
        <w:t xml:space="preserve">(3) </w:t>
      </w:r>
      <w:r>
        <w:rPr>
          <w:rStyle w:val="Satznummer"/>
        </w:rPr>
        <w:t>1</w:t>
      </w:r>
      <w:r>
        <w:t xml:space="preserve">Für den Privatkläger kann ein Rechtsanwalt die Akten, die dem Gericht vorliegen oder von der Staatsanwaltschaft im Falle der Erhebung einer Anklage vorzulegen wären, einsehen sowie amtlich verwahrte Beweisstücke besichtigen, soweit der Untersuchungszweck in einem anderen Strafverfahren nicht gefährdet werden kann und überwiegende schutzwürdige Interessen des Beschuldigten oder Dritter nicht entgegenstehen. </w:t>
      </w:r>
      <w:r>
        <w:rPr>
          <w:rStyle w:val="Satznummer"/>
        </w:rPr>
        <w:t>2</w:t>
      </w:r>
      <w:r>
        <w:t xml:space="preserve">Der Privatkläger, der nicht durch einen Rechtsanwalt vertreten wird, ist in entsprechender Anwendung des Satzes 1 befugt, die Akten einzusehen und amtlich verwahrte Beweisstücke unter Aufsicht zu besichtigen. </w:t>
      </w:r>
      <w:r>
        <w:rPr>
          <w:rStyle w:val="Satznummer"/>
        </w:rPr>
        <w:t>3</w:t>
      </w:r>
      <w:r>
        <w:t xml:space="preserve">Werden die Akten nicht elektronisch geführt, können dem Privatkläger, der nicht durch einen Rechtsanwalt vertreten wird, an Stelle der Einsichtnahme in die Akten Kopien aus den Akten übermittelt werden. </w:t>
      </w:r>
      <w:r>
        <w:rPr>
          <w:rStyle w:val="Satznummer"/>
        </w:rPr>
        <w:t>4</w:t>
      </w:r>
      <w:hyperlink w:anchor="b583" w:history="1">
        <w:r>
          <w:rPr>
            <w:color w:val="0A3A8C"/>
            <w:u w:val="single"/>
          </w:rPr>
          <w:t xml:space="preserve">§ 406e</w:t>
        </w:r>
      </w:hyperlink>
      <w:r>
        <w:t xml:space="preserve"> Absatz 5 gilt entsprechend.</w:t>
      </w:r>
    </w:p>
    <w:p>
      <w:r>
        <w:t xml:space="preserve">(4) In den Fällen der </w:t>
      </w:r>
      <w:hyperlink w:anchor="b275" w:history="1">
        <w:r>
          <w:rPr>
            <w:color w:val="0A3A8C"/>
            <w:u w:val="single"/>
          </w:rPr>
          <w:t xml:space="preserve">§§ 154a</w:t>
        </w:r>
      </w:hyperlink>
      <w:r>
        <w:t xml:space="preserve"> und </w:t>
      </w:r>
      <w:hyperlink w:anchor="b612" w:history="1">
        <w:r>
          <w:rPr>
            <w:color w:val="0A3A8C"/>
            <w:u w:val="single"/>
          </w:rPr>
          <w:t xml:space="preserve">421</w:t>
        </w:r>
      </w:hyperlink>
      <w:r>
        <w:t xml:space="preserve"> ist deren Absatz 3 Satz 2 nicht anzuwenden.</w:t>
      </w:r>
    </w:p>
    <w:p>
      <w:r>
        <w:t xml:space="preserve">(5) </w:t>
      </w:r>
      <w:r>
        <w:rPr>
          <w:rStyle w:val="Satznummer"/>
        </w:rPr>
        <w:t>1</w:t>
      </w:r>
      <w:r>
        <w:t xml:space="preserve">Im Revisionsverfahren ist ein Antrag des Privatklägers nach </w:t>
      </w:r>
      <w:hyperlink w:anchor="b505" w:history="1">
        <w:r>
          <w:rPr>
            <w:color w:val="0A3A8C"/>
            <w:u w:val="single"/>
          </w:rPr>
          <w:t xml:space="preserve">§ 349</w:t>
        </w:r>
      </w:hyperlink>
      <w:r>
        <w:t xml:space="preserve"> Abs. 2 nicht erforderlich. </w:t>
      </w:r>
      <w:r>
        <w:rPr>
          <w:rStyle w:val="Satznummer"/>
        </w:rPr>
        <w:t>2</w:t>
      </w:r>
      <w:hyperlink w:anchor="b505" w:history="1">
        <w:r>
          <w:rPr>
            <w:color w:val="0A3A8C"/>
            <w:u w:val="single"/>
          </w:rPr>
          <w:t xml:space="preserve">§ 349</w:t>
        </w:r>
      </w:hyperlink>
      <w:r>
        <w:t xml:space="preserve"> Abs. 3 ist nicht anzuwenden.</w:t>
      </w:r>
    </w:p>
    <w:p>
      <w:pPr>
        <w:pStyle w:val="Heading3"/>
      </w:pPr>
      <w:bookmarkStart w:id="554" w:name="b553"/>
      <w:r>
        <w:t>§ 386 Ladung von Zeugen und Sachverständigen</w:t>
      </w:r>
      <w:r>
        <w:t xml:space="preserve"> </w:t>
      </w:r>
      <w:r>
        <w:rPr>
          <w:rStyle w:val="Suchmarke"/>
        </w:rPr>
        <w:t>#386#</w:t>
      </w:r>
      <w:bookmarkEnd w:id="554"/>
    </w:p>
    <w:p>
      <w:r>
        <w:t>(1) Der Vorsitzende des Gerichts bestimmt, welche Personen als Zeugen oder Sachverständige zur Hauptverhandlung geladen werden sollen.</w:t>
      </w:r>
    </w:p>
    <w:p>
      <w:r>
        <w:t>(2) Dem Privatkläger wie dem Angeklagten steht das Recht der unmittelbaren Ladung zu.</w:t>
      </w:r>
    </w:p>
    <w:p>
      <w:pPr>
        <w:pStyle w:val="Heading3"/>
      </w:pPr>
      <w:bookmarkStart w:id="555" w:name="b554"/>
      <w:r>
        <w:t>§ 387 Vertretung in der Hauptverhandlung</w:t>
      </w:r>
      <w:r>
        <w:t xml:space="preserve"> </w:t>
      </w:r>
      <w:r>
        <w:rPr>
          <w:rStyle w:val="Suchmarke"/>
        </w:rPr>
        <w:t>#387#</w:t>
      </w:r>
      <w:bookmarkEnd w:id="555"/>
    </w:p>
    <w:p>
      <w:r>
        <w:t>(1) In der Hauptverhandlung kann auch der Angeklagte im Beistand eines Rechtsanwalts erscheinen oder sich auf Grund einer nachgewiesenen Vollmacht durch einen solchen vertreten lassen.</w:t>
      </w:r>
    </w:p>
    <w:p>
      <w:r>
        <w:t xml:space="preserve">(2) Die Vorschrift des </w:t>
      </w:r>
      <w:hyperlink w:anchor="b245" w:history="1">
        <w:r>
          <w:rPr>
            <w:color w:val="0A3A8C"/>
            <w:u w:val="single"/>
          </w:rPr>
          <w:t xml:space="preserve">§ 139</w:t>
        </w:r>
      </w:hyperlink>
      <w:r>
        <w:t xml:space="preserve"> gilt für den Anwalt des Klägers und für den des Angeklagten.</w:t>
      </w:r>
    </w:p>
    <w:p>
      <w:r>
        <w:t>(3) Das Gericht ist befugt, das persönliche Erscheinen des Klägers sowie des Angeklagten anzuordnen, auch den Angeklagten vorführen zu lassen.</w:t>
      </w:r>
    </w:p>
    <w:p>
      <w:pPr>
        <w:pStyle w:val="Heading3"/>
      </w:pPr>
      <w:bookmarkStart w:id="556" w:name="b555"/>
      <w:r>
        <w:t>§ 388 Widerklage</w:t>
      </w:r>
      <w:r>
        <w:t xml:space="preserve"> </w:t>
      </w:r>
      <w:r>
        <w:rPr>
          <w:rStyle w:val="Suchmarke"/>
        </w:rPr>
        <w:t>#388#</w:t>
      </w:r>
      <w:bookmarkEnd w:id="556"/>
    </w:p>
    <w:p>
      <w:r>
        <w:t>(1) Hat der Verletzte die Privatklage erhoben, so kann der Beschuldigte bis zur Beendigung des letzten Wortes (</w:t>
      </w:r>
      <w:hyperlink w:anchor="b405" w:history="1">
        <w:r>
          <w:rPr>
            <w:color w:val="0A3A8C"/>
            <w:u w:val="single"/>
          </w:rPr>
          <w:t xml:space="preserve">§ 258</w:t>
        </w:r>
      </w:hyperlink>
      <w:r>
        <w:t xml:space="preserve"> Abs. 2 Halbsatz 2) im ersten Rechtszug mittels einer Widerklage die Bestrafung des Klägers beantragen, wenn er von diesem gleichfalls durch eine Straftat verletzt worden ist, die im Wege der Privatklage verfolgt werden kann und mit der den Gegenstand der Klage bildenden Straftat in Zusammenhang steht.</w:t>
      </w:r>
    </w:p>
    <w:p>
      <w:r>
        <w:t xml:space="preserve">(2) </w:t>
      </w:r>
      <w:r>
        <w:rPr>
          <w:rStyle w:val="Satznummer"/>
        </w:rPr>
        <w:t>1</w:t>
      </w:r>
      <w:r>
        <w:t>Ist der Kläger nicht der Verletzte (</w:t>
      </w:r>
      <w:hyperlink w:anchor="b540" w:history="1">
        <w:r>
          <w:rPr>
            <w:color w:val="0A3A8C"/>
            <w:u w:val="single"/>
          </w:rPr>
          <w:t xml:space="preserve">§ 374</w:t>
        </w:r>
      </w:hyperlink>
      <w:r>
        <w:t xml:space="preserve"> Abs. 2), so kann der Beschuldigte die Widerklage gegen den Verletzten erheben. </w:t>
      </w:r>
      <w:r>
        <w:rPr>
          <w:rStyle w:val="Satznummer"/>
        </w:rPr>
        <w:t>2</w:t>
      </w:r>
      <w:r>
        <w:t>In diesem Falle bedarf es der Zustellung der Widerklage an den Verletzten und dessen Ladung zur Hauptverhandlung, sofern die Widerklage nicht in der Hauptverhandlung in Anwesenheit des Verletzten erhoben wird.</w:t>
      </w:r>
    </w:p>
    <w:p>
      <w:r>
        <w:t>(3) Über Klage und Widerklage ist gleichzeitig zu erkennen.</w:t>
      </w:r>
    </w:p>
    <w:p>
      <w:r>
        <w:t>(4) Die Zurücknahme der Klage ist auf das Verfahren über die Widerklage ohne Einfluß.</w:t>
      </w:r>
    </w:p>
    <w:p>
      <w:pPr>
        <w:pStyle w:val="Heading3"/>
      </w:pPr>
      <w:bookmarkStart w:id="557" w:name="b556"/>
      <w:r>
        <w:t>§ 389 Einstellung durch Urteil bei Verdacht eines Offizialdelikts</w:t>
      </w:r>
      <w:r>
        <w:t xml:space="preserve"> </w:t>
      </w:r>
      <w:r>
        <w:rPr>
          <w:rStyle w:val="Suchmarke"/>
        </w:rPr>
        <w:t>#389#</w:t>
      </w:r>
      <w:bookmarkEnd w:id="557"/>
    </w:p>
    <w:p>
      <w:r>
        <w:t>(1) Findet das Gericht nach verhandelter Sache, daß die für festgestellt zu erachtenden Tatsachen eine Straftat darstellen, auf die das in diesem Abschnitt vorgeschriebene Verfahren nicht anzuwenden ist, so hat es durch Urteil, das diese Tatsachen hervorheben muß, die Einstellung des Verfahrens auszusprechen.</w:t>
      </w:r>
    </w:p>
    <w:p>
      <w:r>
        <w:t>(2) Die Verhandlungen sind in diesem Falle der Staatsanwaltschaft mitzuteilen.</w:t>
      </w:r>
    </w:p>
    <w:p>
      <w:pPr>
        <w:pStyle w:val="Heading3"/>
      </w:pPr>
      <w:bookmarkStart w:id="558" w:name="b557"/>
      <w:r>
        <w:t>§ 390 Rechtsmittel des Privatklägers</w:t>
      </w:r>
      <w:r>
        <w:t xml:space="preserve"> </w:t>
      </w:r>
      <w:r>
        <w:rPr>
          <w:rStyle w:val="Suchmarke"/>
        </w:rPr>
        <w:t>#390#</w:t>
      </w:r>
      <w:bookmarkEnd w:id="558"/>
    </w:p>
    <w:p>
      <w:r>
        <w:t xml:space="preserve">(1) </w:t>
      </w:r>
      <w:r>
        <w:rPr>
          <w:rStyle w:val="Satznummer"/>
        </w:rPr>
        <w:t>1</w:t>
      </w:r>
      <w:r>
        <w:t xml:space="preserve">Dem Privatkläger stehen die Rechtsmittel zu, die in dem Verfahren auf erhobene öffentliche Klage der Staatsanwaltschaft zustehen. </w:t>
      </w:r>
      <w:r>
        <w:rPr>
          <w:rStyle w:val="Satznummer"/>
        </w:rPr>
        <w:t>2</w:t>
      </w:r>
      <w:r>
        <w:t xml:space="preserve">Dasselbe gilt von dem Antrag auf Wiederaufnahme des Verfahrens in den Fällen des </w:t>
      </w:r>
      <w:hyperlink w:anchor="b521" w:history="1">
        <w:r>
          <w:rPr>
            <w:color w:val="0A3A8C"/>
            <w:u w:val="single"/>
          </w:rPr>
          <w:t xml:space="preserve">§ 362</w:t>
        </w:r>
      </w:hyperlink>
      <w:r>
        <w:t xml:space="preserve">. </w:t>
      </w:r>
      <w:r>
        <w:rPr>
          <w:rStyle w:val="Satznummer"/>
        </w:rPr>
        <w:t>3</w:t>
      </w:r>
      <w:r>
        <w:t xml:space="preserve">Die Vorschrift des </w:t>
      </w:r>
      <w:hyperlink w:anchor="b451" w:history="1">
        <w:r>
          <w:rPr>
            <w:color w:val="0A3A8C"/>
            <w:u w:val="single"/>
          </w:rPr>
          <w:t xml:space="preserve">§ 301</w:t>
        </w:r>
      </w:hyperlink>
      <w:r>
        <w:t xml:space="preserve"> ist auf das Rechtsmittel des Privatklägers anzuwenden.</w:t>
      </w:r>
    </w:p>
    <w:p>
      <w:r>
        <w:t>(2) Revisionsanträge und Anträge auf Wiederaufnahme des durch ein rechtskräftiges Urteil abgeschlossenen Verfahrens kann der Privatkläger nur mittels einer von einem Rechtsanwalt unterzeichneten Schrift anbringen.</w:t>
      </w:r>
    </w:p>
    <w:p>
      <w:r>
        <w:t xml:space="preserve">(3) </w:t>
      </w:r>
      <w:r>
        <w:rPr>
          <w:rStyle w:val="Satznummer"/>
        </w:rPr>
        <w:t>1</w:t>
      </w:r>
      <w:r>
        <w:t xml:space="preserve">Die in den </w:t>
      </w:r>
      <w:hyperlink w:anchor="b474" w:history="1">
        <w:r>
          <w:rPr>
            <w:color w:val="0A3A8C"/>
            <w:u w:val="single"/>
          </w:rPr>
          <w:t xml:space="preserve">§§ 320</w:t>
        </w:r>
      </w:hyperlink>
      <w:r>
        <w:t xml:space="preserve">, </w:t>
      </w:r>
      <w:hyperlink w:anchor="b475" w:history="1">
        <w:r>
          <w:rPr>
            <w:color w:val="0A3A8C"/>
            <w:u w:val="single"/>
          </w:rPr>
          <w:t xml:space="preserve">321</w:t>
        </w:r>
      </w:hyperlink>
      <w:r>
        <w:t xml:space="preserve"> und </w:t>
      </w:r>
      <w:hyperlink w:anchor="b503" w:history="1">
        <w:r>
          <w:rPr>
            <w:color w:val="0A3A8C"/>
            <w:u w:val="single"/>
          </w:rPr>
          <w:t xml:space="preserve">347</w:t>
        </w:r>
      </w:hyperlink>
      <w:r>
        <w:t xml:space="preserve"> angeordnete Vorlage und Einsendung der Akten erfolgt wie im Verfahren auf erhobene öffentliche Klage an und durch die Staatsanwaltschaft. </w:t>
      </w:r>
      <w:r>
        <w:rPr>
          <w:rStyle w:val="Satznummer"/>
        </w:rPr>
        <w:t>2</w:t>
      </w:r>
      <w:r>
        <w:t>Die Zustellung der Berufungs- und Revisionsschriften an den Gegner des Beschwerdeführers wird durch die Geschäftsstelle bewirkt.</w:t>
      </w:r>
    </w:p>
    <w:p>
      <w:r>
        <w:t xml:space="preserve">(4) Die Vorschrift des </w:t>
      </w:r>
      <w:hyperlink w:anchor="b546" w:history="1">
        <w:r>
          <w:rPr>
            <w:color w:val="0A3A8C"/>
            <w:u w:val="single"/>
          </w:rPr>
          <w:t xml:space="preserve">§ 379a</w:t>
        </w:r>
      </w:hyperlink>
      <w:r>
        <w:t xml:space="preserve"> über die Zahlung des Gebührenvorschusses und die Folgen nicht rechtzeitiger Zahlung gilt entsprechend.</w:t>
      </w:r>
    </w:p>
    <w:p>
      <w:r>
        <w:t xml:space="preserve">(5) </w:t>
      </w:r>
      <w:r>
        <w:rPr>
          <w:rStyle w:val="Satznummer"/>
        </w:rPr>
        <w:t>1</w:t>
      </w:r>
      <w:r>
        <w:t xml:space="preserve">Die Vorschrift des </w:t>
      </w:r>
      <w:hyperlink w:anchor="b550" w:history="1">
        <w:r>
          <w:rPr>
            <w:color w:val="0A3A8C"/>
            <w:u w:val="single"/>
          </w:rPr>
          <w:t xml:space="preserve">§ 383</w:t>
        </w:r>
      </w:hyperlink>
      <w:r>
        <w:t xml:space="preserve"> Abs. 2 Satz 1 und 2 über die Einstellung wegen Geringfügigkeit gilt auch im Berufungsverfahren. </w:t>
      </w:r>
      <w:r>
        <w:rPr>
          <w:rStyle w:val="Satznummer"/>
        </w:rPr>
        <w:t>2</w:t>
      </w:r>
      <w:r>
        <w:t>Der Beschluß ist nicht anfechtbar.</w:t>
      </w:r>
    </w:p>
    <w:p>
      <w:pPr>
        <w:pStyle w:val="Heading3"/>
      </w:pPr>
      <w:bookmarkStart w:id="559" w:name="b558"/>
      <w:r>
        <w:t>§ 391 Rücknahme der Privatklage; Verwerfung bei Versäumung; Wiedereinsetzung</w:t>
      </w:r>
      <w:r>
        <w:t xml:space="preserve"> </w:t>
      </w:r>
      <w:r>
        <w:rPr>
          <w:rStyle w:val="Suchmarke"/>
        </w:rPr>
        <w:t>#391#</w:t>
      </w:r>
      <w:bookmarkEnd w:id="559"/>
    </w:p>
    <w:p>
      <w:r>
        <w:t xml:space="preserve">(1) </w:t>
      </w:r>
      <w:r>
        <w:rPr>
          <w:rStyle w:val="Satznummer"/>
        </w:rPr>
        <w:t>1</w:t>
      </w:r>
      <w:r>
        <w:t xml:space="preserve">Die Privatklage kann in jeder Lage des Verfahrens zurückgenommen werden. </w:t>
      </w:r>
      <w:r>
        <w:rPr>
          <w:rStyle w:val="Satznummer"/>
        </w:rPr>
        <w:t>2</w:t>
      </w:r>
      <w:r>
        <w:t>Nach Beginn der Vernehmung des Angeklagten zur Sache in der Hauptverhandlung des ersten Rechtszuges bedarf die Zurücknahme der Zustimmung des Angeklagten.</w:t>
      </w:r>
    </w:p>
    <w:p>
      <w:r>
        <w:t>(2) Als Zurücknahme gilt es im Verfahren des ersten Rechtszuges und, soweit der Angeklagte die Berufung eingelegt hat, im Verfahren des zweiten Rechtszuges, wenn der Privatkläger in der Hauptverhandlung weder erscheint noch durch einen Rechtsanwalt vertreten wird oder in der Hauptverhandlung oder einem anderen Termin ausbleibt, obwohl das Gericht sein persönliches Erscheinen angeordnet hatte, oder eine Frist nicht einhält, die ihm unter Androhung der Einstellung des Verfahrens gesetzt war.</w:t>
      </w:r>
    </w:p>
    <w:p>
      <w:r>
        <w:t xml:space="preserve">(3) Soweit der Privatkläger die Berufung eingelegt hat, ist sie im Falle der vorbezeichneten Versäumungen unbeschadet der Vorschrift des </w:t>
      </w:r>
      <w:hyperlink w:anchor="b451" w:history="1">
        <w:r>
          <w:rPr>
            <w:color w:val="0A3A8C"/>
            <w:u w:val="single"/>
          </w:rPr>
          <w:t xml:space="preserve">§ 301</w:t>
        </w:r>
      </w:hyperlink>
      <w:r>
        <w:t xml:space="preserve"> sofort zu verwerfen.</w:t>
      </w:r>
    </w:p>
    <w:p>
      <w:r>
        <w:t xml:space="preserve">(4) Der Privatkläger kann binnen einer Woche nach der Versäumung die Wiedereinsetzung in den vorigen Stand unter den in den </w:t>
      </w:r>
      <w:hyperlink w:anchor="b64" w:history="1">
        <w:r>
          <w:rPr>
            <w:color w:val="0A3A8C"/>
            <w:u w:val="single"/>
          </w:rPr>
          <w:t xml:space="preserve">§§ 44</w:t>
        </w:r>
      </w:hyperlink>
      <w:r>
        <w:t xml:space="preserve"> und </w:t>
      </w:r>
      <w:hyperlink w:anchor="b65" w:history="1">
        <w:r>
          <w:rPr>
            <w:color w:val="0A3A8C"/>
            <w:u w:val="single"/>
          </w:rPr>
          <w:t xml:space="preserve">45</w:t>
        </w:r>
      </w:hyperlink>
      <w:r>
        <w:t xml:space="preserve"> bezeichneten Voraussetzungen beanspruchen.</w:t>
      </w:r>
    </w:p>
    <w:p>
      <w:pPr>
        <w:pStyle w:val="Heading3"/>
      </w:pPr>
      <w:bookmarkStart w:id="560" w:name="b559"/>
      <w:r>
        <w:t>§ 392 Wirkung der Rücknahme</w:t>
      </w:r>
      <w:r>
        <w:t xml:space="preserve"> </w:t>
      </w:r>
      <w:r>
        <w:rPr>
          <w:rStyle w:val="Suchmarke"/>
        </w:rPr>
        <w:t>#392#</w:t>
      </w:r>
      <w:bookmarkEnd w:id="560"/>
    </w:p>
    <w:p>
      <w:r>
        <w:t>Die zurückgenommene Privatklage kann nicht von neuem erhoben werden.</w:t>
      </w:r>
    </w:p>
    <w:p>
      <w:pPr>
        <w:pStyle w:val="Heading3"/>
      </w:pPr>
      <w:bookmarkStart w:id="561" w:name="b560"/>
      <w:r>
        <w:t>§ 393 Tod des Privatklägers</w:t>
      </w:r>
      <w:r>
        <w:t xml:space="preserve"> </w:t>
      </w:r>
      <w:r>
        <w:rPr>
          <w:rStyle w:val="Suchmarke"/>
        </w:rPr>
        <w:t>#393#</w:t>
      </w:r>
      <w:bookmarkEnd w:id="561"/>
    </w:p>
    <w:p>
      <w:r>
        <w:t>(1) Der Tod des Privatklägers hat die Einstellung des Verfahrens zur Folge.</w:t>
      </w:r>
    </w:p>
    <w:p>
      <w:r>
        <w:t>(2) Die Privatklage kann jedoch nach dem Tode des Klägers von den nach § 374 Abs. 2 zur Erhebung der Privatklage Berechtigten fortgesetzt werden.</w:t>
      </w:r>
    </w:p>
    <w:p>
      <w:r>
        <w:t>(3) Die Fortsetzung ist von dem Berechtigten bei Verlust des Rechts binnen zwei Monaten, vom Tode des Privatklägers an gerechnet, bei Gericht zu erklären.</w:t>
      </w:r>
    </w:p>
    <w:p>
      <w:pPr>
        <w:pStyle w:val="Heading3"/>
      </w:pPr>
      <w:bookmarkStart w:id="562" w:name="b561"/>
      <w:r>
        <w:t>§ 394 Bekanntmachung an den Beschuldigten</w:t>
      </w:r>
      <w:r>
        <w:t xml:space="preserve"> </w:t>
      </w:r>
      <w:r>
        <w:rPr>
          <w:rStyle w:val="Suchmarke"/>
        </w:rPr>
        <w:t>#394#</w:t>
      </w:r>
      <w:bookmarkEnd w:id="562"/>
    </w:p>
    <w:p>
      <w:r>
        <w:t>Die Zurücknahme der Privatklage und der Tod des Privatklägers sowie die Fortsetzung der Privatklage sind dem Beschuldigten bekanntzumachen.</w:t>
      </w:r>
    </w:p>
    <w:p>
      <w:pPr>
        <w:pStyle w:val="Heading2"/>
      </w:pPr>
      <w:bookmarkStart w:id="563" w:name="b562"/>
      <w:r>
        <w:t>Dritter Abschnitt Nebenklage</w:t>
      </w:r>
      <w:bookmarkEnd w:id="563"/>
    </w:p>
    <w:p>
      <w:pPr>
        <w:pStyle w:val="Heading3"/>
      </w:pPr>
      <w:bookmarkStart w:id="564" w:name="b563"/>
      <w:r>
        <w:t>§ 395 Befugnis zum Anschluss als Nebenkläger</w:t>
      </w:r>
      <w:r>
        <w:t xml:space="preserve"> </w:t>
      </w:r>
      <w:r>
        <w:rPr>
          <w:rStyle w:val="Suchmarke"/>
        </w:rPr>
        <w:t>#395#</w:t>
      </w:r>
      <w:bookmarkEnd w:id="564"/>
    </w:p>
    <w:p>
      <w:r>
        <w:t>(1) Der erhobenen öffentlichen Klage oder dem Antrag im Sicherungsverfahren kann sich mit der Nebenklage anschließen, wer verletzt ist durch eine rechtswidrige Tat nach</w:t>
      </w:r>
    </w:p>
    <w:p>
      <w:pPr>
        <w:tabs>
          <w:tab w:pos="567" w:val="left"/>
        </w:tabs>
        <w:ind w:left="567" w:hanging="567"/>
      </w:pPr>
      <w:r>
        <w:t>1.</w:t>
      </w:r>
      <w:r>
        <w:tab/>
      </w:r>
      <w:r>
        <w:t>den §§ 174 bis 182, 184i bis 184k des Strafgesetzbuches,</w:t>
      </w:r>
    </w:p>
    <w:p>
      <w:pPr>
        <w:tabs>
          <w:tab w:pos="567" w:val="left"/>
        </w:tabs>
        <w:ind w:left="567" w:hanging="567"/>
      </w:pPr>
      <w:r>
        <w:t>2.</w:t>
      </w:r>
      <w:r>
        <w:tab/>
      </w:r>
      <w:r>
        <w:t>den §§ 211 und 212 des Strafgesetzbuches, die versucht wurde,</w:t>
      </w:r>
    </w:p>
    <w:p>
      <w:pPr>
        <w:tabs>
          <w:tab w:pos="567" w:val="left"/>
        </w:tabs>
        <w:ind w:left="567" w:hanging="567"/>
      </w:pPr>
      <w:r>
        <w:t>2a.</w:t>
      </w:r>
      <w:r>
        <w:tab/>
      </w:r>
      <w:r>
        <w:t>den §§ 6 bis 8, 11 und 12 des Völkerstrafgesetzbuches gegen das Leben, die versucht wurde, sofern auch hier ein unmittelbarer Zusammenhang zwischen der verfahrensgegenständlichen Tat und der Rechtsgutverletzung besteht,</w:t>
      </w:r>
    </w:p>
    <w:p>
      <w:pPr>
        <w:tabs>
          <w:tab w:pos="567" w:val="left"/>
        </w:tabs>
        <w:ind w:left="567" w:hanging="567"/>
      </w:pPr>
      <w:r>
        <w:t>3.</w:t>
      </w:r>
      <w:r>
        <w:tab/>
      </w:r>
      <w:r>
        <w:t>den §§ 221, 223 bis 226a und 340 des Strafgesetzbuches,</w:t>
      </w:r>
    </w:p>
    <w:p>
      <w:pPr>
        <w:tabs>
          <w:tab w:pos="567" w:val="left"/>
        </w:tabs>
        <w:ind w:left="567" w:hanging="567"/>
      </w:pPr>
      <w:r>
        <w:t>4.</w:t>
      </w:r>
      <w:r>
        <w:tab/>
      </w:r>
      <w:r>
        <w:t>den §§ 232 bis 238, 239 Absatz 3, §§ 239a, 239b und 240 Absatz 4 des Strafgesetzbuches,</w:t>
      </w:r>
    </w:p>
    <w:p>
      <w:pPr>
        <w:tabs>
          <w:tab w:pos="567" w:val="left"/>
        </w:tabs>
        <w:ind w:left="567" w:hanging="567"/>
      </w:pPr>
      <w:r>
        <w:t>4a.</w:t>
      </w:r>
      <w:r>
        <w:tab/>
      </w:r>
      <w:r>
        <w:t>den §§ 6 bis 8 und 10 bis 12 des Völkerstrafgesetzbuches in seinen Rechten auf körperliche Unversehrtheit, Freiheit oder auf religiöse, sexuelle oder reproduktive Selbstbestimmung oder als Kind in seinem Recht auf ungestörte körperliche und seelische Entwicklung, sofern auch hier ein unmittelbarer Zusammenhang zwischen der verfahrensgegenständlichen Tat und der Rechtsgutverletzung besteht,</w:t>
      </w:r>
    </w:p>
    <w:p>
      <w:pPr>
        <w:tabs>
          <w:tab w:pos="567" w:val="left"/>
        </w:tabs>
        <w:ind w:left="567" w:hanging="567"/>
      </w:pPr>
      <w:r>
        <w:t>5.</w:t>
      </w:r>
      <w:r>
        <w:tab/>
      </w:r>
      <w:r>
        <w:t>§ 4 des Gewaltschutzgesetzes,</w:t>
      </w:r>
    </w:p>
    <w:p>
      <w:pPr>
        <w:tabs>
          <w:tab w:pos="567" w:val="left"/>
        </w:tabs>
        <w:ind w:left="567" w:hanging="567"/>
      </w:pPr>
      <w:r>
        <w:t>6.</w:t>
      </w:r>
      <w:r>
        <w:tab/>
      </w:r>
      <w:r>
        <w:t>§ 142 des Patentgesetzes, § 25 des Gebrauchsmustergesetzes, § 10 des Halbleiterschutzgesetzes, § 39 des Sortenschutzgesetzes, den §§ 143 und 144 des Markengesetzes, den §§ 51 und 65 des Designgesetzes, den §§ 106 bis 108b des Urheberrechtsgesetzes, § 33 des Gesetzes betreffend das Urheberrecht an Werken der bildenden Künste und der Photographie, § 16 des Gesetzes gegen den unlauteren Wettbewerb und § 23 des Gesetzes zum Schutz von Geschäftsgeheimnissen.</w:t>
      </w:r>
    </w:p>
    <w:p>
      <w:r>
        <w:t>(2) Die gleiche Befugnis steht Personen zu,</w:t>
      </w:r>
    </w:p>
    <w:p>
      <w:pPr>
        <w:tabs>
          <w:tab w:pos="567" w:val="left"/>
        </w:tabs>
        <w:ind w:left="567" w:hanging="567"/>
      </w:pPr>
      <w:r>
        <w:t>1.</w:t>
      </w:r>
      <w:r>
        <w:tab/>
      </w:r>
      <w:r>
        <w:t>deren Kinder, Eltern, Geschwister, Ehegatten oder Lebenspartner durch eine rechtswidrige Tat getötet wurden oder</w:t>
      </w:r>
    </w:p>
    <w:p>
      <w:pPr>
        <w:tabs>
          <w:tab w:pos="567" w:val="left"/>
        </w:tabs>
        <w:ind w:left="567" w:hanging="567"/>
      </w:pPr>
      <w:r>
        <w:t>2.</w:t>
      </w:r>
      <w:r>
        <w:tab/>
      </w:r>
      <w:r>
        <w:t>die durch einen Antrag auf gerichtliche Entscheidung (</w:t>
      </w:r>
      <w:hyperlink w:anchor="b317" w:history="1">
        <w:r>
          <w:rPr>
            <w:color w:val="0A3A8C"/>
            <w:u w:val="single"/>
          </w:rPr>
          <w:t xml:space="preserve">§ 172</w:t>
        </w:r>
      </w:hyperlink>
      <w:r>
        <w:t>) die Erhebung der öffentlichen Klage herbeigeführt haben.</w:t>
      </w:r>
    </w:p>
    <w:p>
      <w:r>
        <w:t>(3) Wer durch eine andere rechtswidrige Tat, insbesondere nach den §§ 185 bis 189, 229, 244 Absatz 1 Nummer 3, Absatz 4, §§ 249 bis 255 und 316a des Strafgesetzbuches, verletzt ist, kann sich der erhobenen öffentlichen Klage mit der Nebenklage anschließen, wenn dies aus besonderen Gründen, insbesondere wegen der schweren Folgen der Tat, zur Wahrnehmung seiner Interessen geboten erscheint.</w:t>
      </w:r>
    </w:p>
    <w:p>
      <w:r>
        <w:t xml:space="preserve">(4) </w:t>
      </w:r>
      <w:r>
        <w:rPr>
          <w:rStyle w:val="Satznummer"/>
        </w:rPr>
        <w:t>1</w:t>
      </w:r>
      <w:r>
        <w:t xml:space="preserve">Der Anschluss ist in jeder Lage des Verfahrens zulässig. </w:t>
      </w:r>
      <w:r>
        <w:rPr>
          <w:rStyle w:val="Satznummer"/>
        </w:rPr>
        <w:t>2</w:t>
      </w:r>
      <w:r>
        <w:t>Er kann nach ergangenem Urteil auch zur Einlegung von Rechtsmitteln geschehen.</w:t>
      </w:r>
    </w:p>
    <w:p>
      <w:r>
        <w:t xml:space="preserve">(5) </w:t>
      </w:r>
      <w:r>
        <w:rPr>
          <w:rStyle w:val="Satznummer"/>
        </w:rPr>
        <w:t>1</w:t>
      </w:r>
      <w:r>
        <w:t xml:space="preserve">Wird die Verfolgung nach </w:t>
      </w:r>
      <w:hyperlink w:anchor="b275" w:history="1">
        <w:r>
          <w:rPr>
            <w:color w:val="0A3A8C"/>
            <w:u w:val="single"/>
          </w:rPr>
          <w:t xml:space="preserve">§ 154a</w:t>
        </w:r>
      </w:hyperlink>
      <w:r>
        <w:t xml:space="preserve"> beschränkt, so berührt dies nicht das Recht, sich der erhobenen öffentlichen Klage als Nebenkläger anzuschließen. </w:t>
      </w:r>
      <w:r>
        <w:rPr>
          <w:rStyle w:val="Satznummer"/>
        </w:rPr>
        <w:t>2</w:t>
      </w:r>
      <w:r>
        <w:t xml:space="preserve">Wird der Nebenkläger zum Verfahren zugelassen, entfällt eine Beschränkung nach </w:t>
      </w:r>
      <w:hyperlink w:anchor="b275" w:history="1">
        <w:r>
          <w:rPr>
            <w:color w:val="0A3A8C"/>
            <w:u w:val="single"/>
          </w:rPr>
          <w:t xml:space="preserve">§ 154a</w:t>
        </w:r>
      </w:hyperlink>
      <w:r>
        <w:t xml:space="preserve"> Absatz 1 oder 2, soweit sie die Nebenklage betrifft.</w:t>
      </w:r>
    </w:p>
    <w:p>
      <w:pPr>
        <w:pStyle w:val="Heading3"/>
      </w:pPr>
      <w:bookmarkStart w:id="565" w:name="b564"/>
      <w:r>
        <w:t>§ 396 Anschlusserklärung; Entscheidung über die Befugnis zum Anschluss</w:t>
      </w:r>
      <w:r>
        <w:t xml:space="preserve"> </w:t>
      </w:r>
      <w:r>
        <w:rPr>
          <w:rStyle w:val="Suchmarke"/>
        </w:rPr>
        <w:t>#396#</w:t>
      </w:r>
      <w:bookmarkEnd w:id="565"/>
    </w:p>
    <w:p>
      <w:r>
        <w:t xml:space="preserve">(1) </w:t>
      </w:r>
      <w:r>
        <w:rPr>
          <w:rStyle w:val="Satznummer"/>
        </w:rPr>
        <w:t>1</w:t>
      </w:r>
      <w:r>
        <w:t xml:space="preserve">Die Anschlußerklärung ist bei dem Gericht schriftlich einzureichen. </w:t>
      </w:r>
      <w:r>
        <w:rPr>
          <w:rStyle w:val="Satznummer"/>
        </w:rPr>
        <w:t>2</w:t>
      </w:r>
      <w:r>
        <w:t xml:space="preserve">Eine vor Erhebung der öffentlichen Klage bei der Staatsanwaltschaft oder dem Gericht eingegangene Anschlußerklärung wird mit der Erhebung der öffentlichen Klage wirksam. </w:t>
      </w:r>
      <w:r>
        <w:rPr>
          <w:rStyle w:val="Satznummer"/>
        </w:rPr>
        <w:t>3</w:t>
      </w:r>
      <w:r>
        <w:t>Im Verfahren bei Strafbefehlen wird der Anschluß wirksam, wenn Termin zur Hauptverhandlung anberaumt (</w:t>
      </w:r>
      <w:hyperlink w:anchor="b594" w:history="1">
        <w:r>
          <w:rPr>
            <w:color w:val="0A3A8C"/>
            <w:u w:val="single"/>
          </w:rPr>
          <w:t xml:space="preserve">§ 408</w:t>
        </w:r>
      </w:hyperlink>
      <w:r>
        <w:t xml:space="preserve"> Abs. 3 Satz 2, </w:t>
      </w:r>
      <w:hyperlink w:anchor="b599" w:history="1">
        <w:r>
          <w:rPr>
            <w:color w:val="0A3A8C"/>
            <w:u w:val="single"/>
          </w:rPr>
          <w:t xml:space="preserve">§ 411</w:t>
        </w:r>
      </w:hyperlink>
      <w:r>
        <w:t xml:space="preserve"> Abs. 1) oder der Antrag auf Erlaß eines Strafbefehls abgelehnt worden ist.</w:t>
      </w:r>
    </w:p>
    <w:p>
      <w:r>
        <w:t xml:space="preserve">(2) </w:t>
      </w:r>
      <w:r>
        <w:rPr>
          <w:rStyle w:val="Satznummer"/>
        </w:rPr>
        <w:t>1</w:t>
      </w:r>
      <w:r>
        <w:t xml:space="preserve">Das Gericht entscheidet über die Berechtigung zum Anschluß als Nebenkläger nach Anhörung der Staatsanwaltschaft. </w:t>
      </w:r>
      <w:r>
        <w:rPr>
          <w:rStyle w:val="Satznummer"/>
        </w:rPr>
        <w:t>2</w:t>
      </w:r>
      <w:r>
        <w:t xml:space="preserve">In den Fällen des </w:t>
      </w:r>
      <w:hyperlink w:anchor="b563" w:history="1">
        <w:r>
          <w:rPr>
            <w:color w:val="0A3A8C"/>
            <w:u w:val="single"/>
          </w:rPr>
          <w:t xml:space="preserve">§ 395</w:t>
        </w:r>
      </w:hyperlink>
      <w:r>
        <w:t xml:space="preserve"> Abs. 3 entscheidet es nach Anhörung auch des Angeschuldigten darüber, ob der Anschluß aus den dort genannten Gründen geboten ist; diese Entscheidung ist unanfechtbar.</w:t>
      </w:r>
    </w:p>
    <w:p>
      <w:r>
        <w:t xml:space="preserve">(3) Erwägt das Gericht, das Verfahren nach </w:t>
      </w:r>
      <w:hyperlink w:anchor="b267" w:history="1">
        <w:r>
          <w:rPr>
            <w:color w:val="0A3A8C"/>
            <w:u w:val="single"/>
          </w:rPr>
          <w:t xml:space="preserve">§ 153</w:t>
        </w:r>
      </w:hyperlink>
      <w:r>
        <w:t xml:space="preserve"> Abs. 2, </w:t>
      </w:r>
      <w:hyperlink w:anchor="b268" w:history="1">
        <w:r>
          <w:rPr>
            <w:color w:val="0A3A8C"/>
            <w:u w:val="single"/>
          </w:rPr>
          <w:t xml:space="preserve">§ 153a</w:t>
        </w:r>
      </w:hyperlink>
      <w:r>
        <w:t xml:space="preserve"> Abs. 2, </w:t>
      </w:r>
      <w:hyperlink w:anchor="b269" w:history="1">
        <w:r>
          <w:rPr>
            <w:color w:val="0A3A8C"/>
            <w:u w:val="single"/>
          </w:rPr>
          <w:t xml:space="preserve">§ 153b</w:t>
        </w:r>
      </w:hyperlink>
      <w:r>
        <w:t xml:space="preserve"> Abs. 2 oder </w:t>
      </w:r>
      <w:hyperlink w:anchor="b274" w:history="1">
        <w:r>
          <w:rPr>
            <w:color w:val="0A3A8C"/>
            <w:u w:val="single"/>
          </w:rPr>
          <w:t xml:space="preserve">§ 154</w:t>
        </w:r>
      </w:hyperlink>
      <w:r>
        <w:t xml:space="preserve"> Abs. 2 einzustellen, so entscheidet es zunächst über die Berechtigung zum Anschluß.</w:t>
      </w:r>
    </w:p>
    <w:p>
      <w:pPr>
        <w:pStyle w:val="Heading3"/>
      </w:pPr>
      <w:bookmarkStart w:id="566" w:name="b565"/>
      <w:r>
        <w:t>§ 397 Verfahrensrechte des Nebenklägers</w:t>
      </w:r>
      <w:r>
        <w:t xml:space="preserve"> </w:t>
      </w:r>
      <w:r>
        <w:rPr>
          <w:rStyle w:val="Suchmarke"/>
        </w:rPr>
        <w:t>#397#</w:t>
      </w:r>
      <w:bookmarkEnd w:id="566"/>
    </w:p>
    <w:p>
      <w:r>
        <w:t xml:space="preserve">(1) </w:t>
      </w:r>
      <w:r>
        <w:rPr>
          <w:rStyle w:val="Satznummer"/>
        </w:rPr>
        <w:t>1</w:t>
      </w:r>
      <w:r>
        <w:t xml:space="preserve">Der Nebenkläger ist, auch wenn er als Zeuge vernommen werden soll, zur Anwesenheit in der Hauptverhandlung berechtigt. </w:t>
      </w:r>
      <w:r>
        <w:rPr>
          <w:rStyle w:val="Satznummer"/>
        </w:rPr>
        <w:t>2</w:t>
      </w:r>
      <w:r>
        <w:t xml:space="preserve">Er ist zur Hauptverhandlung zu laden; </w:t>
      </w:r>
      <w:hyperlink w:anchor="b254" w:history="1">
        <w:r>
          <w:rPr>
            <w:color w:val="0A3A8C"/>
            <w:u w:val="single"/>
          </w:rPr>
          <w:t xml:space="preserve">§ 145a</w:t>
        </w:r>
      </w:hyperlink>
      <w:r>
        <w:t xml:space="preserve"> Absatz 2 Satz 1 und </w:t>
      </w:r>
      <w:hyperlink w:anchor="b349" w:history="1">
        <w:r>
          <w:rPr>
            <w:color w:val="0A3A8C"/>
            <w:u w:val="single"/>
          </w:rPr>
          <w:t xml:space="preserve">§ 217</w:t>
        </w:r>
      </w:hyperlink>
      <w:r>
        <w:t xml:space="preserve"> Absatz 1 und 3 gelten entsprechend. </w:t>
      </w:r>
      <w:r>
        <w:rPr>
          <w:rStyle w:val="Satznummer"/>
        </w:rPr>
        <w:t>3</w:t>
      </w:r>
      <w:r>
        <w:t>Die Befugnis zur Ablehnung eines Richters (</w:t>
      </w:r>
      <w:hyperlink w:anchor="b30" w:history="1">
        <w:r>
          <w:rPr>
            <w:color w:val="0A3A8C"/>
            <w:u w:val="single"/>
          </w:rPr>
          <w:t xml:space="preserve">§§ 24</w:t>
        </w:r>
      </w:hyperlink>
      <w:r>
        <w:t xml:space="preserve">, </w:t>
      </w:r>
      <w:hyperlink w:anchor="b38" w:history="1">
        <w:r>
          <w:rPr>
            <w:color w:val="0A3A8C"/>
            <w:u w:val="single"/>
          </w:rPr>
          <w:t xml:space="preserve">31</w:t>
        </w:r>
      </w:hyperlink>
      <w:r>
        <w:t>) oder Sachverständigen (</w:t>
      </w:r>
      <w:hyperlink w:anchor="b102" w:history="1">
        <w:r>
          <w:rPr>
            <w:color w:val="0A3A8C"/>
            <w:u w:val="single"/>
          </w:rPr>
          <w:t xml:space="preserve">§ 74</w:t>
        </w:r>
      </w:hyperlink>
      <w:r>
        <w:t>), das Fragerecht (</w:t>
      </w:r>
      <w:hyperlink w:anchor="b380" w:history="1">
        <w:r>
          <w:rPr>
            <w:color w:val="0A3A8C"/>
            <w:u w:val="single"/>
          </w:rPr>
          <w:t xml:space="preserve">§ 240</w:t>
        </w:r>
      </w:hyperlink>
      <w:r>
        <w:t xml:space="preserve"> Absatz 2), das Recht zur Beanstandung von Anordnungen des Vorsitzenden (</w:t>
      </w:r>
      <w:hyperlink w:anchor="b378" w:history="1">
        <w:r>
          <w:rPr>
            <w:color w:val="0A3A8C"/>
            <w:u w:val="single"/>
          </w:rPr>
          <w:t xml:space="preserve">§ 238</w:t>
        </w:r>
      </w:hyperlink>
      <w:r>
        <w:t xml:space="preserve"> Absatz 2) und von Fragen (</w:t>
      </w:r>
      <w:hyperlink w:anchor="b383" w:history="1">
        <w:r>
          <w:rPr>
            <w:color w:val="0A3A8C"/>
            <w:u w:val="single"/>
          </w:rPr>
          <w:t xml:space="preserve">§ 242</w:t>
        </w:r>
      </w:hyperlink>
      <w:r>
        <w:t>), das Beweisantragsrecht (</w:t>
      </w:r>
      <w:hyperlink w:anchor="b385" w:history="1">
        <w:r>
          <w:rPr>
            <w:color w:val="0A3A8C"/>
            <w:u w:val="single"/>
          </w:rPr>
          <w:t xml:space="preserve">§ 244</w:t>
        </w:r>
      </w:hyperlink>
      <w:r>
        <w:t xml:space="preserve"> Absatz 3 bis 6) sowie das Recht zur Abgabe von Erklärungen (</w:t>
      </w:r>
      <w:hyperlink w:anchor="b401" w:history="1">
        <w:r>
          <w:rPr>
            <w:color w:val="0A3A8C"/>
            <w:u w:val="single"/>
          </w:rPr>
          <w:t xml:space="preserve">§§ 257</w:t>
        </w:r>
      </w:hyperlink>
      <w:r>
        <w:t xml:space="preserve">, </w:t>
      </w:r>
      <w:hyperlink w:anchor="b405" w:history="1">
        <w:r>
          <w:rPr>
            <w:color w:val="0A3A8C"/>
            <w:u w:val="single"/>
          </w:rPr>
          <w:t xml:space="preserve">258</w:t>
        </w:r>
      </w:hyperlink>
      <w:r>
        <w:t xml:space="preserve">) stehen auch dem Nebenkläger zu. </w:t>
      </w:r>
      <w:r>
        <w:rPr>
          <w:rStyle w:val="Satznummer"/>
        </w:rPr>
        <w:t>4</w:t>
      </w:r>
      <w:r>
        <w:t xml:space="preserve">Dieser ist, soweit gesetzlich nichts anderes bestimmt ist, im selben Umfang zuzuziehen und zu hören wie die Staatsanwaltschaft. </w:t>
      </w:r>
      <w:r>
        <w:rPr>
          <w:rStyle w:val="Satznummer"/>
        </w:rPr>
        <w:t>5</w:t>
      </w:r>
      <w:r>
        <w:t xml:space="preserve">Entscheidungen, die der Staatsanwaltschaft bekannt gemacht werden, sind auch dem Nebenkläger bekannt zu geben; </w:t>
      </w:r>
      <w:hyperlink w:anchor="b254" w:history="1">
        <w:r>
          <w:rPr>
            <w:color w:val="0A3A8C"/>
            <w:u w:val="single"/>
          </w:rPr>
          <w:t xml:space="preserve">§ 145a</w:t>
        </w:r>
      </w:hyperlink>
      <w:r>
        <w:t xml:space="preserve"> Absatz 1 und 3 gilt entsprechend.</w:t>
      </w:r>
    </w:p>
    <w:p>
      <w:r>
        <w:t xml:space="preserve">(2) </w:t>
      </w:r>
      <w:r>
        <w:rPr>
          <w:rStyle w:val="Satznummer"/>
        </w:rPr>
        <w:t>1</w:t>
      </w:r>
      <w:r>
        <w:t xml:space="preserve">Der Nebenkläger kann sich des Beistands eines Rechtsanwalts bedienen oder sich durch einen solchen vertreten lassen. </w:t>
      </w:r>
      <w:r>
        <w:rPr>
          <w:rStyle w:val="Satznummer"/>
        </w:rPr>
        <w:t>2</w:t>
      </w:r>
      <w:r>
        <w:t xml:space="preserve">Der Rechtsanwalt ist zur Anwesenheit in der Hauptverhandlung berechtigt. </w:t>
      </w:r>
      <w:r>
        <w:rPr>
          <w:rStyle w:val="Satznummer"/>
        </w:rPr>
        <w:t>3</w:t>
      </w:r>
      <w:r>
        <w:t>Er ist vom Termin der Hauptverhandlung zu benachrichtigen, wenn seine Wahl dem Gericht angezeigt oder er als Beistand bestellt wurde.</w:t>
      </w:r>
    </w:p>
    <w:p>
      <w:r>
        <w:t>(3) Ist der Nebenkläger der deutschen Sprache nicht mächtig, erhält er auf Antrag nach Maßgabe des § 187 Absatz 2 des Gerichtsverfassungsgesetzes eine Übersetzung schriftlicher Unterlagen, soweit dies zur Ausübung seiner strafprozessualen Rechte erforderlich ist.</w:t>
      </w:r>
    </w:p>
    <w:p>
      <w:pPr>
        <w:pStyle w:val="Heading3"/>
      </w:pPr>
      <w:bookmarkStart w:id="567" w:name="b566"/>
      <w:r>
        <w:t>§ 397a Bestellung eines Beistands; Prozesskostenhilfe</w:t>
      </w:r>
      <w:r>
        <w:t xml:space="preserve"> </w:t>
      </w:r>
      <w:r>
        <w:rPr>
          <w:rStyle w:val="Suchmarke"/>
        </w:rPr>
        <w:t>#397a#</w:t>
      </w:r>
      <w:bookmarkEnd w:id="567"/>
    </w:p>
    <w:p>
      <w:r>
        <w:t>(1) Dem Nebenkläger ist auf seinen Antrag ein Rechtsanwalt als Beistand zu bestellen, wenn er</w:t>
      </w:r>
    </w:p>
    <w:p>
      <w:pPr>
        <w:tabs>
          <w:tab w:pos="567" w:val="left"/>
        </w:tabs>
        <w:ind w:left="567" w:hanging="567"/>
      </w:pPr>
      <w:r>
        <w:t>1.</w:t>
      </w:r>
      <w:r>
        <w:tab/>
      </w:r>
      <w:r>
        <w:t>durch ein Verbrechen nach den §§ 177, 232 bis 232b und 233a des Strafgesetzbuches oder durch einen besonders schweren Fall eines Vergehens nach § 177 Absatz 6 des Strafgesetzbuches verletzt ist,</w:t>
      </w:r>
    </w:p>
    <w:p>
      <w:pPr>
        <w:tabs>
          <w:tab w:pos="567" w:val="left"/>
        </w:tabs>
        <w:ind w:left="567" w:hanging="567"/>
      </w:pPr>
      <w:r>
        <w:t>1a.</w:t>
      </w:r>
      <w:r>
        <w:tab/>
      </w:r>
      <w:r>
        <w:t>durch eine Straftat nach § 184j des Strafgesetzbuches verletzt ist und der Begehung dieser Straftat ein Verbrechen nach § 177 des Strafgesetzbuches oder ein besonders schwerer Fall eines Vergehens nach § 177 Absatz 6 des Strafgesetzbuches zugrunde liegt,</w:t>
      </w:r>
    </w:p>
    <w:p>
      <w:pPr>
        <w:tabs>
          <w:tab w:pos="567" w:val="left"/>
        </w:tabs>
        <w:ind w:left="567" w:hanging="567"/>
      </w:pPr>
      <w:r>
        <w:t>2.</w:t>
      </w:r>
      <w:r>
        <w:tab/>
      </w:r>
      <w:r>
        <w:t>durch eine versuchte rechtswidrige Tat nach den §§ 211 und 212 des Strafgesetzbuches oder, sofern auch hier ein unmittelbarer Zusammenhang zwischen der verfahrensgegenständlichen Tat und der Rechtsgutverletzung besteht, nach den §§ 6 bis 8, 11 sowie 12 des Völkerstrafgesetzbuches, die sich gegen das Leben richtet, verletzt ist oder wenn er Angehöriger eines durch eine rechtswidrige Tat Getöteten (</w:t>
      </w:r>
      <w:hyperlink w:anchor="b563" w:history="1">
        <w:r>
          <w:rPr>
            <w:color w:val="0A3A8C"/>
            <w:u w:val="single"/>
          </w:rPr>
          <w:t xml:space="preserve">§ 395</w:t>
        </w:r>
      </w:hyperlink>
      <w:r>
        <w:t xml:space="preserve"> Absatz 2 Nummer 1) ist,</w:t>
      </w:r>
    </w:p>
    <w:p>
      <w:pPr>
        <w:tabs>
          <w:tab w:pos="567" w:val="left"/>
        </w:tabs>
        <w:ind w:left="567" w:hanging="567"/>
      </w:pPr>
      <w:r>
        <w:t>3.</w:t>
      </w:r>
      <w:r>
        <w:tab/>
      </w:r>
      <w:r>
        <w:t>durch ein Verbrechen nach den §§ 226, 226a, 234 bis 235, 238 bis 239b, 249, 250, 252, 255 und 316a des Strafgesetzbuches verletzt ist, das bei ihm zu schweren körperlichen oder seelischen Schäden geführt hat oder voraussichtlich führen wird,</w:t>
      </w:r>
    </w:p>
    <w:p>
      <w:pPr>
        <w:tabs>
          <w:tab w:pos="567" w:val="left"/>
        </w:tabs>
        <w:ind w:left="567" w:hanging="567"/>
      </w:pPr>
      <w:r>
        <w:t>4.</w:t>
      </w:r>
      <w:r>
        <w:tab/>
      </w:r>
      <w:r>
        <w:t>durch eine rechtswidrige Tat nach den §§ 174 bis 182, 184i bis 184k und 225 des Strafgesetzbuchs verletzt ist und er zur Zeit der Tat das 18. Lebensjahr noch nicht vollendet hatte oder seine Interessen selbst nicht ausreichend wahrnehmen kann,</w:t>
      </w:r>
    </w:p>
    <w:p>
      <w:pPr>
        <w:tabs>
          <w:tab w:pos="567" w:val="left"/>
        </w:tabs>
        <w:ind w:left="567" w:hanging="567"/>
      </w:pPr>
      <w:r>
        <w:t>5.</w:t>
      </w:r>
      <w:r>
        <w:tab/>
      </w:r>
      <w:r>
        <w:t>durch eine rechtswidrige Tat nach den §§ 221, 226, 226a, 232 bis 235, 237, 238 Absatz 2 und 3, §§ 239a, 239b, 240 Absatz 4, §§ 249, 250, 252, 255 und 316a des Strafgesetzbuches verletzt ist und er bei Antragstellung das 18. Lebensjahr noch nicht vollendet hat oder seine Interessen selbst nicht ausreichend wahrnehmen kann oder</w:t>
      </w:r>
    </w:p>
    <w:p>
      <w:pPr>
        <w:tabs>
          <w:tab w:pos="567" w:val="left"/>
        </w:tabs>
        <w:ind w:left="567" w:hanging="567"/>
      </w:pPr>
      <w:r>
        <w:t>6.</w:t>
      </w:r>
      <w:r>
        <w:tab/>
      </w:r>
      <w:r>
        <w:t>durch ein Verbrechen nach dem Völkerstrafgesetzbuch verletzt ist, das ihn nach § 395 Absatz 1 Nummer 4a zur Nebenklage berechtigt.</w:t>
      </w:r>
    </w:p>
    <w:p>
      <w:r>
        <w:t xml:space="preserve">(2) </w:t>
      </w:r>
      <w:r>
        <w:rPr>
          <w:rStyle w:val="Satznummer"/>
        </w:rPr>
        <w:t>1</w:t>
      </w:r>
      <w:r>
        <w:t xml:space="preserve">Liegen die Voraussetzungen für eine Bestellung nach Absatz 1 nicht vor, so ist dem Nebenkläger für die Hinzuziehung eines Rechtsanwalts auf Antrag Prozesskostenhilfe nach denselben Vorschriften wie in bürgerlichen Rechtsstreitigkeiten zu bewilligen, wenn er seine Interessen selbst nicht ausreichend wahrnehmen kann oder ihm dies nicht zuzumuten ist. </w:t>
      </w:r>
      <w:r>
        <w:rPr>
          <w:rStyle w:val="Satznummer"/>
        </w:rPr>
        <w:t>2</w:t>
      </w:r>
      <w:hyperlink w:anchor="b192" w:history="1">
        <w:r>
          <w:rPr>
            <w:color w:val="0A3A8C"/>
            <w:u w:val="single"/>
          </w:rPr>
          <w:t xml:space="preserve">§ 114</w:t>
        </w:r>
      </w:hyperlink>
      <w:r>
        <w:t xml:space="preserve"> Absatz 1 Satz 1 zweiter Halbsatz sowie Absatz 2 und § 121 Absatz 1 bis 3 der Zivilprozessordnung sind nicht anzuwenden.</w:t>
      </w:r>
    </w:p>
    <w:p>
      <w:r>
        <w:t xml:space="preserve">(3) </w:t>
      </w:r>
      <w:r>
        <w:rPr>
          <w:rStyle w:val="Satznummer"/>
        </w:rPr>
        <w:t>1</w:t>
      </w:r>
      <w:r>
        <w:t xml:space="preserve">Anträge nach den Absätzen 1 und 2 können schon vor der Erklärung des Anschlusses gestellt werden. </w:t>
      </w:r>
      <w:r>
        <w:rPr>
          <w:rStyle w:val="Satznummer"/>
        </w:rPr>
        <w:t>2</w:t>
      </w:r>
      <w:r>
        <w:t xml:space="preserve">Über die Bestellung des Rechtsanwalts, für die </w:t>
      </w:r>
      <w:hyperlink w:anchor="b249" w:history="1">
        <w:r>
          <w:rPr>
            <w:color w:val="0A3A8C"/>
            <w:u w:val="single"/>
          </w:rPr>
          <w:t xml:space="preserve">§ 142</w:t>
        </w:r>
      </w:hyperlink>
      <w:r>
        <w:t xml:space="preserve"> Absatz 5 Satz 1 und 3 entsprechend gilt, und die Bewilligung der Prozesskostenhilfe entscheidet der Vorsitzende des mit der Sache befassten Gerichts.</w:t>
      </w:r>
    </w:p>
    <w:p>
      <w:pPr>
        <w:pStyle w:val="Heading3"/>
      </w:pPr>
      <w:bookmarkStart w:id="568" w:name="b567"/>
      <w:r>
        <w:t>§ 397b Gemeinschaftliche Nebenklagevertretung</w:t>
      </w:r>
      <w:r>
        <w:t xml:space="preserve"> </w:t>
      </w:r>
      <w:r>
        <w:rPr>
          <w:rStyle w:val="Suchmarke"/>
        </w:rPr>
        <w:t>#397b#</w:t>
      </w:r>
      <w:bookmarkEnd w:id="568"/>
    </w:p>
    <w:p>
      <w:r>
        <w:t xml:space="preserve">(1) </w:t>
      </w:r>
      <w:r>
        <w:rPr>
          <w:rStyle w:val="Satznummer"/>
        </w:rPr>
        <w:t>1</w:t>
      </w:r>
      <w:r>
        <w:t xml:space="preserve">Verfolgen mehrere Nebenkläger gleichgelagerte Interessen, so kann ihnen das Gericht einen gemeinschaftlichen Rechtsanwalt als Beistand bestellen oder beiordnen. </w:t>
      </w:r>
      <w:r>
        <w:rPr>
          <w:rStyle w:val="Satznummer"/>
        </w:rPr>
        <w:t>2</w:t>
      </w:r>
      <w:r>
        <w:t>Gleichgelagerte Interessen liegen in der Regel vor, wenn es sich</w:t>
      </w:r>
    </w:p>
    <w:p>
      <w:pPr>
        <w:tabs>
          <w:tab w:pos="567" w:val="left"/>
        </w:tabs>
        <w:ind w:left="567" w:hanging="567"/>
      </w:pPr>
      <w:r>
        <w:t>1.</w:t>
      </w:r>
      <w:r>
        <w:tab/>
      </w:r>
      <w:r>
        <w:t>bei den Nebenklägern um mehrere Angehörige desselben durch eine rechtswidrige Tat Getöteten (</w:t>
      </w:r>
      <w:hyperlink w:anchor="b563" w:history="1">
        <w:r>
          <w:rPr>
            <w:color w:val="0A3A8C"/>
            <w:u w:val="single"/>
          </w:rPr>
          <w:t xml:space="preserve">§ 395</w:t>
        </w:r>
      </w:hyperlink>
      <w:r>
        <w:t xml:space="preserve"> Absatz 2 Nummer 1) handelt oder</w:t>
      </w:r>
    </w:p>
    <w:p>
      <w:pPr>
        <w:tabs>
          <w:tab w:pos="567" w:val="left"/>
        </w:tabs>
        <w:ind w:left="567" w:hanging="567"/>
      </w:pPr>
      <w:r>
        <w:t>2.</w:t>
      </w:r>
      <w:r>
        <w:tab/>
      </w:r>
      <w:r>
        <w:t xml:space="preserve">um mehrere Nebenkläger handelt, die Verletzte solcher Taten im Sinne des </w:t>
      </w:r>
      <w:hyperlink w:anchor="b563" w:history="1">
        <w:r>
          <w:rPr>
            <w:color w:val="0A3A8C"/>
            <w:u w:val="single"/>
          </w:rPr>
          <w:t xml:space="preserve">§ 395</w:t>
        </w:r>
      </w:hyperlink>
      <w:r>
        <w:t xml:space="preserve"> Absatz 1 Nummer 2a und 4a sind, denen der gleiche Lebenssachverhalt zugrunde liegt, wobei es dem Gericht unbenommen bleibt, zusätzliche sachnahe Kriterien im Einzelfall zu berücksichtigen.</w:t>
      </w:r>
    </w:p>
    <w:p>
      <w:r>
        <w:t xml:space="preserve">(2) </w:t>
      </w:r>
      <w:r>
        <w:rPr>
          <w:rStyle w:val="Satznummer"/>
        </w:rPr>
        <w:t>1</w:t>
      </w:r>
      <w:r>
        <w:t xml:space="preserve">Vor der Bestellung oder Beiordnung eines gemeinschaftlichen Rechtsanwalts soll den betroffenen Nebenklägern Gelegenheit gegeben werden, sich dazu zu äußern. </w:t>
      </w:r>
      <w:r>
        <w:rPr>
          <w:rStyle w:val="Satznummer"/>
        </w:rPr>
        <w:t>2</w:t>
      </w:r>
      <w:r>
        <w:t>Wird ein gemeinschaftlicher Rechtsanwalt nach Absatz 1 bestellt oder hinzugezogen, sind bereits erfolgte Bestellungen oder Beiordnungen aufzuheben.</w:t>
      </w:r>
    </w:p>
    <w:p>
      <w:r>
        <w:t>(3) Wird ein Rechtsanwalt nicht als Beistand bestellt oder nicht beigeordnet, weil nach Absatz 1 ein anderer Rechtsanwalt bestellt oder beigeordnet worden ist, so stellt das Gericht fest, ob die Voraussetzungen nach § 397a Absatz 3 Satz 2 in Bezug auf den nicht als Beistand bestellten oder nicht beigeordneten Rechtsanwalt vorgelegen hätten.</w:t>
      </w:r>
    </w:p>
    <w:p>
      <w:r>
        <w:t xml:space="preserve">(4) </w:t>
      </w:r>
      <w:r>
        <w:rPr>
          <w:rStyle w:val="Satznummer"/>
        </w:rPr>
        <w:t>1</w:t>
      </w:r>
      <w:r>
        <w:t xml:space="preserve">Die in </w:t>
      </w:r>
      <w:hyperlink w:anchor="b565" w:history="1">
        <w:r>
          <w:rPr>
            <w:color w:val="0A3A8C"/>
            <w:u w:val="single"/>
          </w:rPr>
          <w:t xml:space="preserve">§ 397</w:t>
        </w:r>
      </w:hyperlink>
      <w:r>
        <w:t xml:space="preserve"> Absatz 1 Satz 3 und 4 genannten Verfahrensrechte der Nebenkläger werden in den Fällen des Absatzes 1 Satz 2 Nummer 2 nur durch den bestellten oder beigeordneten Beistand ausgeübt, sofern es sich um Nebenkläger handelt, deren Befugnis zum Anschluss an die öffentliche Klage nur aufgrund des </w:t>
      </w:r>
      <w:hyperlink w:anchor="b563" w:history="1">
        <w:r>
          <w:rPr>
            <w:color w:val="0A3A8C"/>
            <w:u w:val="single"/>
          </w:rPr>
          <w:t xml:space="preserve">§ 395</w:t>
        </w:r>
      </w:hyperlink>
      <w:r>
        <w:t xml:space="preserve"> Absatz 1 Nummer 2a oder 4a begründet ist. </w:t>
      </w:r>
      <w:r>
        <w:rPr>
          <w:rStyle w:val="Satznummer"/>
        </w:rPr>
        <w:t>2</w:t>
      </w:r>
      <w:r>
        <w:t xml:space="preserve">Das Gericht kann dem Nebenkläger gestatten, sein Recht auf Abgabe von Erklärungen nach </w:t>
      </w:r>
      <w:hyperlink w:anchor="b405" w:history="1">
        <w:r>
          <w:rPr>
            <w:color w:val="0A3A8C"/>
            <w:u w:val="single"/>
          </w:rPr>
          <w:t xml:space="preserve">§ 258</w:t>
        </w:r>
      </w:hyperlink>
      <w:r>
        <w:t xml:space="preserve"> Absatz 1 in Verbindung mit </w:t>
      </w:r>
      <w:hyperlink w:anchor="b565" w:history="1">
        <w:r>
          <w:rPr>
            <w:color w:val="0A3A8C"/>
            <w:u w:val="single"/>
          </w:rPr>
          <w:t xml:space="preserve">§ 397</w:t>
        </w:r>
      </w:hyperlink>
      <w:r>
        <w:t xml:space="preserve"> Absatz 1 Satz 3 selbst auszuüben.</w:t>
      </w:r>
    </w:p>
    <w:p>
      <w:pPr>
        <w:pStyle w:val="Heading3"/>
      </w:pPr>
      <w:bookmarkStart w:id="569" w:name="b568"/>
      <w:r>
        <w:t>§ 398 Fortgang des Verfahrens bei Anschluss</w:t>
      </w:r>
      <w:r>
        <w:t xml:space="preserve"> </w:t>
      </w:r>
      <w:r>
        <w:rPr>
          <w:rStyle w:val="Suchmarke"/>
        </w:rPr>
        <w:t>#398#</w:t>
      </w:r>
      <w:bookmarkEnd w:id="569"/>
    </w:p>
    <w:p>
      <w:r>
        <w:t>(1) Der Fortgang des Verfahrens wird durch den Anschluß nicht aufgehalten.</w:t>
      </w:r>
    </w:p>
    <w:p>
      <w:r>
        <w:t>(2) Die bereits anberaumte Hauptverhandlung sowie andere Termine finden an den bestimmten Tagen statt, auch wenn der Nebenkläger wegen Kürze der Zeit nicht mehr geladen oder benachrichtigt werden konnte.</w:t>
      </w:r>
    </w:p>
    <w:p>
      <w:pPr>
        <w:pStyle w:val="Heading3"/>
      </w:pPr>
      <w:bookmarkStart w:id="570" w:name="b569"/>
      <w:r>
        <w:t>§ 399 Bekanntmachung und Anfechtbarkeit früherer Entscheidungen</w:t>
      </w:r>
      <w:r>
        <w:t xml:space="preserve"> </w:t>
      </w:r>
      <w:r>
        <w:rPr>
          <w:rStyle w:val="Suchmarke"/>
        </w:rPr>
        <w:t>#399#</w:t>
      </w:r>
      <w:bookmarkEnd w:id="570"/>
    </w:p>
    <w:p>
      <w:r>
        <w:t xml:space="preserve">(1) Entscheidungen, die schon vor dem Anschluß ergangen und der Staatsanwaltschaft bekanntgemacht waren, bedürfen außer in den Fällen des </w:t>
      </w:r>
      <w:hyperlink w:anchor="b571" w:history="1">
        <w:r>
          <w:rPr>
            <w:color w:val="0A3A8C"/>
            <w:u w:val="single"/>
          </w:rPr>
          <w:t xml:space="preserve">§ 401</w:t>
        </w:r>
      </w:hyperlink>
      <w:r>
        <w:t xml:space="preserve"> Abs. 1 Satz 2 keiner Bekanntmachung an den Nebenkläger.</w:t>
      </w:r>
    </w:p>
    <w:p>
      <w:r>
        <w:t>(2) Die Anfechtung solcher Entscheidungen steht auch dem Nebenkläger nicht mehr zu, wenn für die Staatsanwaltschaft die Frist zur Anfechtung abgelaufen ist.</w:t>
      </w:r>
    </w:p>
    <w:p>
      <w:pPr>
        <w:pStyle w:val="Heading3"/>
      </w:pPr>
      <w:bookmarkStart w:id="571" w:name="b570"/>
      <w:r>
        <w:t>§ 400 Rechtsmittelbefugnis des Nebenklägers</w:t>
      </w:r>
      <w:r>
        <w:t xml:space="preserve"> </w:t>
      </w:r>
      <w:r>
        <w:rPr>
          <w:rStyle w:val="Suchmarke"/>
        </w:rPr>
        <w:t>#400#</w:t>
      </w:r>
      <w:bookmarkEnd w:id="571"/>
    </w:p>
    <w:p>
      <w:r>
        <w:t>(1) Der Nebenkläger kann das Urteil nicht mit dem Ziel anfechten, daß eine andere Rechtsfolge der Tat verhängt wird oder daß der Angeklagte wegen einer Gesetzesverletzung verurteilt wird, die nicht zum Anschluß des Nebenklägers berechtigt.</w:t>
      </w:r>
    </w:p>
    <w:p>
      <w:r>
        <w:t xml:space="preserve">(2) </w:t>
      </w:r>
      <w:r>
        <w:rPr>
          <w:rStyle w:val="Satznummer"/>
        </w:rPr>
        <w:t>1</w:t>
      </w:r>
      <w:r>
        <w:t xml:space="preserve">Dem Nebenkläger steht die sofortige Beschwerde gegen den Beschluß zu, durch den die Eröffnung des Hauptverfahrens abgelehnt oder das Verfahren nach den </w:t>
      </w:r>
      <w:hyperlink w:anchor="b335" w:history="1">
        <w:r>
          <w:rPr>
            <w:color w:val="0A3A8C"/>
            <w:u w:val="single"/>
          </w:rPr>
          <w:t xml:space="preserve">§§ 206a</w:t>
        </w:r>
      </w:hyperlink>
      <w:r>
        <w:t xml:space="preserve"> und </w:t>
      </w:r>
      <w:hyperlink w:anchor="b336" w:history="1">
        <w:r>
          <w:rPr>
            <w:color w:val="0A3A8C"/>
            <w:u w:val="single"/>
          </w:rPr>
          <w:t xml:space="preserve">206b</w:t>
        </w:r>
      </w:hyperlink>
      <w:r>
        <w:t xml:space="preserve"> eingestellt wird, soweit er die Tat betrifft, auf Grund deren der Nebenkläger zum Anschluß befugt ist. </w:t>
      </w:r>
      <w:r>
        <w:rPr>
          <w:rStyle w:val="Satznummer"/>
        </w:rPr>
        <w:t>2</w:t>
      </w:r>
      <w:r>
        <w:t>Im übrigen ist der Beschluß, durch den das Verfahren eingestellt wird, für den Nebenkläger unanfechtbar.</w:t>
      </w:r>
    </w:p>
    <w:p>
      <w:pPr>
        <w:pStyle w:val="Heading3"/>
      </w:pPr>
      <w:bookmarkStart w:id="572" w:name="b571"/>
      <w:r>
        <w:t>§ 401 Einlegung eines Rechtsmittels durch den Nebenkläger</w:t>
      </w:r>
      <w:r>
        <w:t xml:space="preserve"> </w:t>
      </w:r>
      <w:r>
        <w:rPr>
          <w:rStyle w:val="Suchmarke"/>
        </w:rPr>
        <w:t>#401#</w:t>
      </w:r>
      <w:bookmarkEnd w:id="572"/>
    </w:p>
    <w:p>
      <w:r>
        <w:t xml:space="preserve">(1) </w:t>
      </w:r>
      <w:r>
        <w:rPr>
          <w:rStyle w:val="Satznummer"/>
        </w:rPr>
        <w:t>1</w:t>
      </w:r>
      <w:r>
        <w:t xml:space="preserve">Der Rechtsmittel kann sich der Nebenkläger unabhängig von der Staatsanwaltschaft bedienen. </w:t>
      </w:r>
      <w:r>
        <w:rPr>
          <w:rStyle w:val="Satznummer"/>
        </w:rPr>
        <w:t>2</w:t>
      </w:r>
      <w:r>
        <w:t xml:space="preserve">Geschieht der Anschluß nach ergangenem Urteil zur Einlegung eines Rechtsmittels, so ist dem Nebenkläger das angefochtene Urteil sofort zuzustellen. </w:t>
      </w:r>
      <w:r>
        <w:rPr>
          <w:rStyle w:val="Satznummer"/>
        </w:rPr>
        <w:t>3</w:t>
      </w:r>
      <w:r>
        <w:t>Die Frist zur Begründung des Rechtsmittels beginnt mit Ablauf der für die Staatsanwaltschaft laufenden Frist zur Einlegung des Rechtsmittels oder, wenn das Urteil dem Nebenkläger noch nicht zugestellt war, mit der Zustellung des Urteils an ihn auch dann, wenn eine Entscheidung über die Berechtigung des Nebenklägers zum Anschluß noch nicht ergangen ist.</w:t>
      </w:r>
    </w:p>
    <w:p>
      <w:r>
        <w:t xml:space="preserve">(2) </w:t>
      </w:r>
      <w:r>
        <w:rPr>
          <w:rStyle w:val="Satznummer"/>
        </w:rPr>
        <w:t>1</w:t>
      </w:r>
      <w:r>
        <w:t xml:space="preserve">War der Nebenkläger in der Hauptverhandlung anwesend oder durch einen Anwalt vertreten, so beginnt für ihn die Frist zur Einlegung des Rechtsmittels auch dann mit der Verkündung des Urteils, wenn er bei dieser nicht mehr zugegen oder vertreten war; er kann die Wiedereinsetzung in den vorigen Stand gegen die Versäumung der Frist nicht wegen fehlender Rechtsmittelbelehrung beanspruchen. </w:t>
      </w:r>
      <w:r>
        <w:rPr>
          <w:rStyle w:val="Satznummer"/>
        </w:rPr>
        <w:t>2</w:t>
      </w:r>
      <w:r>
        <w:t>Ist der Nebenkläger in der Hauptverhandlung überhaupt nicht anwesend oder vertreten gewesen, so beginnt die Frist mit der Zustellung der Urteilsformel an ihn.</w:t>
      </w:r>
    </w:p>
    <w:p>
      <w:r>
        <w:t xml:space="preserve">(3) </w:t>
      </w:r>
      <w:r>
        <w:rPr>
          <w:rStyle w:val="Satznummer"/>
        </w:rPr>
        <w:t>1</w:t>
      </w:r>
      <w:r>
        <w:t xml:space="preserve">Hat allein der Nebenkläger Berufung eingelegt, so ist diese, wenn bei Beginn einer Hauptverhandlung weder der Nebenkläger noch für ihn ein Rechtsanwalt erschienen ist, unbeschadet der Vorschrift des </w:t>
      </w:r>
      <w:hyperlink w:anchor="b451" w:history="1">
        <w:r>
          <w:rPr>
            <w:color w:val="0A3A8C"/>
            <w:u w:val="single"/>
          </w:rPr>
          <w:t xml:space="preserve">§ 301</w:t>
        </w:r>
      </w:hyperlink>
      <w:r>
        <w:t xml:space="preserve"> sofort zu verwerfen. </w:t>
      </w:r>
      <w:r>
        <w:rPr>
          <w:rStyle w:val="Satznummer"/>
        </w:rPr>
        <w:t>2</w:t>
      </w:r>
      <w:r>
        <w:t xml:space="preserve">Der Nebenkläger kann binnen einer Woche nach der Versäumung unter den Voraussetzungen der </w:t>
      </w:r>
      <w:hyperlink w:anchor="b64" w:history="1">
        <w:r>
          <w:rPr>
            <w:color w:val="0A3A8C"/>
            <w:u w:val="single"/>
          </w:rPr>
          <w:t xml:space="preserve">§§ 44</w:t>
        </w:r>
      </w:hyperlink>
      <w:r>
        <w:t xml:space="preserve"> und </w:t>
      </w:r>
      <w:hyperlink w:anchor="b65" w:history="1">
        <w:r>
          <w:rPr>
            <w:color w:val="0A3A8C"/>
            <w:u w:val="single"/>
          </w:rPr>
          <w:t xml:space="preserve">45</w:t>
        </w:r>
      </w:hyperlink>
      <w:r>
        <w:t xml:space="preserve"> die Wiedereinsetzung in den vorigen Stand beanspruchen.</w:t>
      </w:r>
    </w:p>
    <w:p>
      <w:r>
        <w:t>(4) Wird auf ein nur von dem Nebenkläger eingelegtes Rechtsmittel die angefochtene Entscheidung aufgehoben, so liegt der Betrieb der Sache wiederum der Staatsanwaltschaft ob.</w:t>
      </w:r>
    </w:p>
    <w:p>
      <w:pPr>
        <w:pStyle w:val="Heading3"/>
      </w:pPr>
      <w:bookmarkStart w:id="573" w:name="b572"/>
      <w:r>
        <w:t>§ 402 Widerruf der Anschlusserklärung; Tod des Nebenklägers</w:t>
      </w:r>
      <w:r>
        <w:t xml:space="preserve"> </w:t>
      </w:r>
      <w:r>
        <w:rPr>
          <w:rStyle w:val="Suchmarke"/>
        </w:rPr>
        <w:t>#402#</w:t>
      </w:r>
      <w:bookmarkEnd w:id="573"/>
    </w:p>
    <w:p>
      <w:r>
        <w:t>Die Anschlußerklärung verliert durch Widerruf sowie durch den Tod des Nebenklägers ihre Wirkung.</w:t>
      </w:r>
    </w:p>
    <w:p>
      <w:pPr>
        <w:pStyle w:val="Heading2"/>
      </w:pPr>
      <w:bookmarkStart w:id="574" w:name="b573"/>
      <w:r>
        <w:t>Vierter Abschnitt Adhäsionsverfahren</w:t>
      </w:r>
      <w:bookmarkEnd w:id="574"/>
    </w:p>
    <w:p>
      <w:pPr>
        <w:pStyle w:val="Heading3"/>
      </w:pPr>
      <w:bookmarkStart w:id="575" w:name="b574"/>
      <w:r>
        <w:t>§ 403 Geltendmachung eines Anspruchs im Adhäsionsverfahren</w:t>
      </w:r>
      <w:r>
        <w:t xml:space="preserve"> </w:t>
      </w:r>
      <w:r>
        <w:rPr>
          <w:rStyle w:val="Suchmarke"/>
        </w:rPr>
        <w:t>#403#</w:t>
      </w:r>
      <w:bookmarkEnd w:id="575"/>
    </w:p>
    <w:p>
      <w:r>
        <w:rPr>
          <w:rStyle w:val="Satznummer"/>
        </w:rPr>
        <w:t>1</w:t>
      </w:r>
      <w:r>
        <w:t xml:space="preserve">Der Verletzte oder sein Erbe kann gegen den Beschuldigten einen aus der Straftat erwachsenen vermögensrechtlichen Anspruch, der zur Zuständigkeit der ordentlichen Gerichte gehört und noch nicht anderweit gerichtlich anhängig gemacht ist, im Strafverfahren geltend machen, im Verfahren vor dem Amtsgericht ohne Rücksicht auf den Wert des Streitgegenstandes. </w:t>
      </w:r>
      <w:r>
        <w:rPr>
          <w:rStyle w:val="Satznummer"/>
        </w:rPr>
        <w:t>2</w:t>
      </w:r>
      <w:r>
        <w:t>Das gleiche Recht steht auch anderen zu, die einen solchen Anspruch geltend machen.</w:t>
      </w:r>
    </w:p>
    <w:p>
      <w:pPr>
        <w:pStyle w:val="Heading3"/>
      </w:pPr>
      <w:bookmarkStart w:id="576" w:name="b575"/>
      <w:r>
        <w:t>§ 404 Antrag; Prozesskostenhilfe</w:t>
      </w:r>
      <w:r>
        <w:t xml:space="preserve"> </w:t>
      </w:r>
      <w:r>
        <w:rPr>
          <w:rStyle w:val="Suchmarke"/>
        </w:rPr>
        <w:t>#404#</w:t>
      </w:r>
      <w:bookmarkEnd w:id="576"/>
    </w:p>
    <w:p>
      <w:r>
        <w:t xml:space="preserve">(1) </w:t>
      </w:r>
      <w:r>
        <w:rPr>
          <w:rStyle w:val="Satznummer"/>
        </w:rPr>
        <w:t>1</w:t>
      </w:r>
      <w:r>
        <w:t xml:space="preserve">Der Antrag, durch den der Anspruch geltend gemacht wird, kann schriftlich oder mündlich zu Protokoll des Urkundsbeamten, in der Hauptverhandlung auch mündlich bis zum Beginn der Schlußvorträge gestellt werden. </w:t>
      </w:r>
      <w:r>
        <w:rPr>
          <w:rStyle w:val="Satznummer"/>
        </w:rPr>
        <w:t>2</w:t>
      </w:r>
      <w:r>
        <w:t xml:space="preserve">Er muß den Gegenstand und Grund des Anspruchs bestimmt bezeichnen und soll die Beweismittel enthalten. </w:t>
      </w:r>
      <w:r>
        <w:rPr>
          <w:rStyle w:val="Satznummer"/>
        </w:rPr>
        <w:t>3</w:t>
      </w:r>
      <w:r>
        <w:t>Ist der Antrag außerhalb der Hauptverhandlung gestellt, so wird er dem Beschuldigten zugestellt.</w:t>
      </w:r>
    </w:p>
    <w:p>
      <w:r>
        <w:t xml:space="preserve">(2) </w:t>
      </w:r>
      <w:r>
        <w:rPr>
          <w:rStyle w:val="Satznummer"/>
        </w:rPr>
        <w:t>1</w:t>
      </w:r>
      <w:r>
        <w:t xml:space="preserve">Die Antragstellung hat dieselben Wirkungen wie die Erhebung der Klage im bürgerlichen Rechtsstreit. </w:t>
      </w:r>
      <w:r>
        <w:rPr>
          <w:rStyle w:val="Satznummer"/>
        </w:rPr>
        <w:t>2</w:t>
      </w:r>
      <w:r>
        <w:t>Sie treten mit Eingang des Antrages bei Gericht ein.</w:t>
      </w:r>
    </w:p>
    <w:p>
      <w:r>
        <w:t xml:space="preserve">(3) </w:t>
      </w:r>
      <w:r>
        <w:rPr>
          <w:rStyle w:val="Satznummer"/>
        </w:rPr>
        <w:t>1</w:t>
      </w:r>
      <w:r>
        <w:t xml:space="preserve">Ist der Antrag vor Beginn der Hauptverhandlung gestellt, so wird der Antragsteller von Ort und Zeit der Hauptverhandlung benachrichtigt. </w:t>
      </w:r>
      <w:r>
        <w:rPr>
          <w:rStyle w:val="Satznummer"/>
        </w:rPr>
        <w:t>2</w:t>
      </w:r>
      <w:r>
        <w:t>Der Antragsteller, sein gesetzlicher Vertreter und der Ehegatte oder Lebenspartner des Antragsberechtigten können an der Hauptverhandlung teilnehmen.</w:t>
      </w:r>
    </w:p>
    <w:p>
      <w:r>
        <w:t>(4) Der Antrag kann bis zur Verkündung des Urteils zurückgenommen werden.</w:t>
      </w:r>
    </w:p>
    <w:p>
      <w:r>
        <w:t xml:space="preserve">(5) </w:t>
      </w:r>
      <w:r>
        <w:rPr>
          <w:rStyle w:val="Satznummer"/>
        </w:rPr>
        <w:t>1</w:t>
      </w:r>
      <w:r>
        <w:t xml:space="preserve">Dem Antragsteller und dem Angeschuldigten ist auf Antrag Prozeßkostenhilfe nach denselben Vorschriften wie in bürgerlichen Rechtsstreitigkeiten zu bewilligen, sobald die Klage erhoben ist. </w:t>
      </w:r>
      <w:r>
        <w:rPr>
          <w:rStyle w:val="Satznummer"/>
        </w:rPr>
        <w:t>2</w:t>
      </w:r>
      <w:r>
        <w:t xml:space="preserve">§ 121 Abs. 2 der Zivilprozeßordnung gilt mit der Maßgabe, daß dem Angeschuldigten, der einen Verteidiger hat, dieser beigeordnet werden soll; dem Antragsteller, der sich im Hauptverfahren des Beistandes eines Rechtsanwalts bedient, soll dieser beigeordnet werden. </w:t>
      </w:r>
      <w:r>
        <w:rPr>
          <w:rStyle w:val="Satznummer"/>
        </w:rPr>
        <w:t>3</w:t>
      </w:r>
      <w:r>
        <w:t>Zuständig für die Entscheidung ist das mit der Sache befaßte Gericht; die Entscheidung ist nicht anfechtbar.</w:t>
      </w:r>
    </w:p>
    <w:p>
      <w:pPr>
        <w:pStyle w:val="Heading3"/>
      </w:pPr>
      <w:bookmarkStart w:id="577" w:name="b576"/>
      <w:r>
        <w:t>§ 405 Vergleich</w:t>
      </w:r>
      <w:r>
        <w:t xml:space="preserve"> </w:t>
      </w:r>
      <w:r>
        <w:rPr>
          <w:rStyle w:val="Suchmarke"/>
        </w:rPr>
        <w:t>#405#</w:t>
      </w:r>
      <w:bookmarkEnd w:id="577"/>
    </w:p>
    <w:p>
      <w:r>
        <w:t xml:space="preserve">(1) </w:t>
      </w:r>
      <w:r>
        <w:rPr>
          <w:rStyle w:val="Satznummer"/>
        </w:rPr>
        <w:t>1</w:t>
      </w:r>
      <w:r>
        <w:t xml:space="preserve">Auf Antrag der nach § 403 zur Geltendmachung eines Anspruchs Berechtigten und des Angeklagten nimmt das Gericht einen Vergleich über die aus der Straftat erwachsenen Ansprüche in das Protokoll auf. </w:t>
      </w:r>
      <w:r>
        <w:rPr>
          <w:rStyle w:val="Satznummer"/>
        </w:rPr>
        <w:t>2</w:t>
      </w:r>
      <w:r>
        <w:t>Es soll auf übereinstimmenden Antrag der in Satz 1 Genannten einen Vergleichsvorschlag unterbreiten.</w:t>
      </w:r>
    </w:p>
    <w:p>
      <w:r>
        <w:t>(2) Für die Entscheidung über Einwendungen gegen die Rechtswirksamkeit des Vergleichs ist das Gericht der bürgerlichen Rechtspflege zuständig, in dessen Bezirk das Strafgericht des ersten Rechtszuges seinen Sitz hat.</w:t>
      </w:r>
    </w:p>
    <w:p>
      <w:pPr>
        <w:pStyle w:val="Heading3"/>
      </w:pPr>
      <w:bookmarkStart w:id="578" w:name="b577"/>
      <w:r>
        <w:t>§ 406 Entscheidung über den Antrag im Strafurteil; Absehen von einer Entscheidung</w:t>
      </w:r>
      <w:r>
        <w:t xml:space="preserve"> </w:t>
      </w:r>
      <w:r>
        <w:rPr>
          <w:rStyle w:val="Suchmarke"/>
        </w:rPr>
        <w:t>#406#</w:t>
      </w:r>
      <w:bookmarkEnd w:id="578"/>
    </w:p>
    <w:p>
      <w:r>
        <w:t xml:space="preserve">(1) </w:t>
      </w:r>
      <w:r>
        <w:rPr>
          <w:rStyle w:val="Satznummer"/>
        </w:rPr>
        <w:t>1</w:t>
      </w:r>
      <w:r>
        <w:t xml:space="preserve">Das Gericht gibt dem Antrag in dem Urteil statt, mit dem der Angeklagte wegen einer Straftat schuldig gesprochen oder gegen ihn eine Maßregel der Besserung und Sicherung angeordnet wird, soweit der Antrag wegen dieser Straftat begründet ist. </w:t>
      </w:r>
      <w:r>
        <w:rPr>
          <w:rStyle w:val="Satznummer"/>
        </w:rPr>
        <w:t>2</w:t>
      </w:r>
      <w:r>
        <w:t xml:space="preserve">Die Entscheidung kann sich auf den Grund oder einen Teil des geltend gemachten Anspruchs beschränken; § 318 der Zivilprozessordnung gilt entsprechend. </w:t>
      </w:r>
      <w:r>
        <w:rPr>
          <w:rStyle w:val="Satznummer"/>
        </w:rPr>
        <w:t>3</w:t>
      </w:r>
      <w:r>
        <w:t xml:space="preserve">Das Gericht sieht von einer Entscheidung ab, wenn der Antrag unzulässig ist oder soweit er unbegründet erscheint. </w:t>
      </w:r>
      <w:r>
        <w:rPr>
          <w:rStyle w:val="Satznummer"/>
        </w:rPr>
        <w:t>4</w:t>
      </w:r>
      <w:r>
        <w:t xml:space="preserve">Im Übrigen kann das Gericht von einer Entscheidung nur absehen, wenn sich der Antrag auch unter Berücksichtigung der berechtigten Belange des Antragstellers zur Erledigung im Strafverfahren nicht eignet. </w:t>
      </w:r>
      <w:r>
        <w:rPr>
          <w:rStyle w:val="Satznummer"/>
        </w:rPr>
        <w:t>5</w:t>
      </w:r>
      <w:r>
        <w:t xml:space="preserve">Der Antrag ist insbesondere dann zur Erledigung im Strafverfahren nicht geeignet, wenn seine weitere Prüfung, auch soweit eine Entscheidung nur über den Grund oder einen Teil des Anspruchs in Betracht kommt, das Verfahren erheblich verzögern würde. </w:t>
      </w:r>
      <w:r>
        <w:rPr>
          <w:rStyle w:val="Satznummer"/>
        </w:rPr>
        <w:t>6</w:t>
      </w:r>
      <w:r>
        <w:t>Soweit der Antragsteller den Anspruch auf Zuerkennung eines Schmerzensgeldes (§ 253 Abs. 2 des Bürgerlichen Gesetzbuches) geltend macht, ist das Absehen von einer Entscheidung nur nach Satz 3 zulässig.</w:t>
      </w:r>
    </w:p>
    <w:p>
      <w:r>
        <w:t>(2) Erkennt der Angeklagte den vom Antragsteller gegen ihn geltend gemachten Anspruch ganz oder teilweise an, ist er gemäß dem Anerkenntnis zu verurteilen.</w:t>
      </w:r>
    </w:p>
    <w:p>
      <w:r>
        <w:t xml:space="preserve">(3) </w:t>
      </w:r>
      <w:r>
        <w:rPr>
          <w:rStyle w:val="Satznummer"/>
        </w:rPr>
        <w:t>1</w:t>
      </w:r>
      <w:r>
        <w:t xml:space="preserve">Die Entscheidung über den Antrag steht einem im bürgerlichen Rechtsstreit ergangenen Urteil gleich. </w:t>
      </w:r>
      <w:r>
        <w:rPr>
          <w:rStyle w:val="Satznummer"/>
        </w:rPr>
        <w:t>2</w:t>
      </w:r>
      <w:r>
        <w:t xml:space="preserve">Das Gericht erklärt die Entscheidung für vorläufig vollstreckbar; die §§ 708 bis 712 sowie die §§ 714 und 716 der Zivilprozessordnung gelten entsprechend. </w:t>
      </w:r>
      <w:r>
        <w:rPr>
          <w:rStyle w:val="Satznummer"/>
        </w:rPr>
        <w:t>3</w:t>
      </w:r>
      <w:r>
        <w:t xml:space="preserve">Soweit der Anspruch nicht zuerkannt ist, kann er anderweit geltend gemacht werden. </w:t>
      </w:r>
      <w:r>
        <w:rPr>
          <w:rStyle w:val="Satznummer"/>
        </w:rPr>
        <w:t>4</w:t>
      </w:r>
      <w:r>
        <w:t>Ist über den Grund des Anspruchs rechtskräftig entschieden, so findet die Verhandlung über den Betrag nach § 304 Abs. 2 der Zivilprozeßordnung vor dem zuständigen Zivilgericht statt.</w:t>
      </w:r>
    </w:p>
    <w:p>
      <w:r>
        <w:t>(4) Der Antragsteller erhält eine Abschrift des Urteils mit Gründen oder einen Auszug daraus.</w:t>
      </w:r>
    </w:p>
    <w:p>
      <w:r>
        <w:t xml:space="preserve">(5) </w:t>
      </w:r>
      <w:r>
        <w:rPr>
          <w:rStyle w:val="Satznummer"/>
        </w:rPr>
        <w:t>1</w:t>
      </w:r>
      <w:r>
        <w:t xml:space="preserve">Erwägt das Gericht, von einer Entscheidung über den Antrag abzusehen, weist es die Verfahrensbeteiligten so früh wie möglich darauf hin. </w:t>
      </w:r>
      <w:r>
        <w:rPr>
          <w:rStyle w:val="Satznummer"/>
        </w:rPr>
        <w:t>2</w:t>
      </w:r>
      <w:r>
        <w:t>Sobald das Gericht nach Anhörung des Antragstellers die Voraussetzungen für eine Entscheidung über den Antrag für nicht gegeben erachtet, sieht es durch Beschluss von einer Entscheidung über den Antrag ab.</w:t>
      </w:r>
    </w:p>
    <w:p>
      <w:pPr>
        <w:pStyle w:val="Heading3"/>
      </w:pPr>
      <w:bookmarkStart w:id="579" w:name="b578"/>
      <w:r>
        <w:t>§ 406a Rechtsmittel</w:t>
      </w:r>
      <w:r>
        <w:t xml:space="preserve"> </w:t>
      </w:r>
      <w:r>
        <w:rPr>
          <w:rStyle w:val="Suchmarke"/>
        </w:rPr>
        <w:t>#406a#</w:t>
      </w:r>
      <w:bookmarkEnd w:id="579"/>
    </w:p>
    <w:p>
      <w:r>
        <w:t xml:space="preserve">(1) </w:t>
      </w:r>
      <w:r>
        <w:rPr>
          <w:rStyle w:val="Satznummer"/>
        </w:rPr>
        <w:t>1</w:t>
      </w:r>
      <w:r>
        <w:t xml:space="preserve">Gegen den Beschluss, mit dem nach § 406 Abs. 5 Satz 2 von einer Entscheidung über den Antrag abgesehen wird, ist sofortige Beschwerde zulässig, wenn der Antrag vor Beginn der Hauptverhandlung gestellt worden und solange keine den Rechtszug abschließende Entscheidung ergangen ist. </w:t>
      </w:r>
      <w:r>
        <w:rPr>
          <w:rStyle w:val="Satznummer"/>
        </w:rPr>
        <w:t>2</w:t>
      </w:r>
      <w:r>
        <w:t>Im Übrigen steht dem Antragsteller ein Rechtsmittel nicht zu.</w:t>
      </w:r>
    </w:p>
    <w:p>
      <w:r>
        <w:t xml:space="preserve">(2) </w:t>
      </w:r>
      <w:r>
        <w:rPr>
          <w:rStyle w:val="Satznummer"/>
        </w:rPr>
        <w:t>1</w:t>
      </w:r>
      <w:r>
        <w:t xml:space="preserve">Soweit das Gericht dem Antrag stattgibt, kann der Angeklagte die Entscheidung auch ohne den strafrechtlichen Teil des Urteils mit dem sonst zulässigen Rechtsmittel anfechten. </w:t>
      </w:r>
      <w:r>
        <w:rPr>
          <w:rStyle w:val="Satznummer"/>
        </w:rPr>
        <w:t>2</w:t>
      </w:r>
      <w:r>
        <w:t xml:space="preserve">In diesem Falle kann über das Rechtsmittel durch Beschluss in nichtöffentlicher Sitzung entschieden werden. </w:t>
      </w:r>
      <w:r>
        <w:rPr>
          <w:rStyle w:val="Satznummer"/>
        </w:rPr>
        <w:t>3</w:t>
      </w:r>
      <w:r>
        <w:t>Ist das zulässige Rechtsmittel die Berufung, findet auf Antrag des Angeklagten oder des Antragstellers eine mündliche Anhörung der Beteiligten statt.</w:t>
      </w:r>
    </w:p>
    <w:p>
      <w:r>
        <w:t xml:space="preserve">(3) </w:t>
      </w:r>
      <w:r>
        <w:rPr>
          <w:rStyle w:val="Satznummer"/>
        </w:rPr>
        <w:t>1</w:t>
      </w:r>
      <w:r>
        <w:t xml:space="preserve">Die dem Antrag stattgebende Entscheidung ist aufzuheben, wenn der Angeklagte unter Aufhebung der Verurteilung wegen der Straftat, auf welche die Entscheidung über den Antrag gestützt worden ist, weder schuldig gesprochen noch gegen ihn eine Maßregel der Besserung und Sicherung angeordnet wird. </w:t>
      </w:r>
      <w:r>
        <w:rPr>
          <w:rStyle w:val="Satznummer"/>
        </w:rPr>
        <w:t>2</w:t>
      </w:r>
      <w:r>
        <w:t>Dies gilt auch, wenn das Urteil insoweit nicht angefochten ist.</w:t>
      </w:r>
    </w:p>
    <w:p>
      <w:pPr>
        <w:pStyle w:val="Heading3"/>
      </w:pPr>
      <w:bookmarkStart w:id="580" w:name="b579"/>
      <w:r>
        <w:t>§ 406b Vollstreckung</w:t>
      </w:r>
      <w:r>
        <w:t xml:space="preserve"> </w:t>
      </w:r>
      <w:r>
        <w:rPr>
          <w:rStyle w:val="Suchmarke"/>
        </w:rPr>
        <w:t>#406b#</w:t>
      </w:r>
      <w:bookmarkEnd w:id="580"/>
    </w:p>
    <w:p>
      <w:r>
        <w:rPr>
          <w:rStyle w:val="Satznummer"/>
        </w:rPr>
        <w:t>1</w:t>
      </w:r>
      <w:r>
        <w:t xml:space="preserve">Die Vollstreckung richtet sich nach den Vorschriften, die für die Vollstreckung von Urteilen und Prozessvergleichen in bürgerlichen Rechtsstreitigkeiten gelten. </w:t>
      </w:r>
      <w:r>
        <w:rPr>
          <w:rStyle w:val="Satznummer"/>
        </w:rPr>
        <w:t>2</w:t>
      </w:r>
      <w:r>
        <w:t xml:space="preserve">Für das Verfahren nach den §§ 323, 731, 767, 768, 887 bis 890 der Zivilprozeßordnung ist das Gericht der bürgerlichen Rechtspflege zuständig, in dessen Bezirk das Strafgericht des ersten Rechtszuges seinen Sitz hat. </w:t>
      </w:r>
      <w:r>
        <w:rPr>
          <w:rStyle w:val="Satznummer"/>
        </w:rPr>
        <w:t>3</w:t>
      </w:r>
      <w:r>
        <w:t>Einwendungen, die den im Urteil festgestellten Anspruch selbst betreffen, sind nur insoweit zulässig, als die Gründe, auf denen sie beruhen, nach Schluß der Hauptverhandlung des ersten Rechtszuges und, wenn das Berufungsgericht entschieden hat, nach Schluß der Hauptverhandlung im Berufungsrechtszug entstanden sind.</w:t>
      </w:r>
    </w:p>
    <w:p>
      <w:pPr>
        <w:pStyle w:val="Heading3"/>
      </w:pPr>
      <w:bookmarkStart w:id="581" w:name="b580"/>
      <w:r>
        <w:t>§ 406c Wiederaufnahme des Verfahrens</w:t>
      </w:r>
      <w:r>
        <w:t xml:space="preserve"> </w:t>
      </w:r>
      <w:r>
        <w:rPr>
          <w:rStyle w:val="Suchmarke"/>
        </w:rPr>
        <w:t>#406c#</w:t>
      </w:r>
      <w:bookmarkEnd w:id="581"/>
    </w:p>
    <w:p>
      <w:r>
        <w:t xml:space="preserve">(1) </w:t>
      </w:r>
      <w:r>
        <w:rPr>
          <w:rStyle w:val="Satznummer"/>
        </w:rPr>
        <w:t>1</w:t>
      </w:r>
      <w:r>
        <w:t xml:space="preserve">Den Antrag auf Wiederaufnahme des Verfahrens kann der Angeklagte darauf beschränken, eine wesentlich andere Entscheidung über den Anspruch herbeizuführen. </w:t>
      </w:r>
      <w:r>
        <w:rPr>
          <w:rStyle w:val="Satznummer"/>
        </w:rPr>
        <w:t>2</w:t>
      </w:r>
      <w:r>
        <w:t>Das Gericht entscheidet dann ohne Erneuerung der Hauptverhandlung durch Beschluß.</w:t>
      </w:r>
    </w:p>
    <w:p>
      <w:r>
        <w:t xml:space="preserve">(2) Richtet sich der Antrag auf Wiederaufnahme des Verfahrens nur gegen den strafrechtlichen Teil des Urteils, so gilt </w:t>
      </w:r>
      <w:hyperlink w:anchor="b578" w:history="1">
        <w:r>
          <w:rPr>
            <w:color w:val="0A3A8C"/>
            <w:u w:val="single"/>
          </w:rPr>
          <w:t xml:space="preserve">§ 406a</w:t>
        </w:r>
      </w:hyperlink>
      <w:r>
        <w:t xml:space="preserve"> Abs. 3 entsprechend.</w:t>
      </w:r>
    </w:p>
    <w:p>
      <w:pPr>
        <w:pStyle w:val="Heading2"/>
      </w:pPr>
      <w:bookmarkStart w:id="582" w:name="b581"/>
      <w:r>
        <w:t>Fünfter Abschnitt Sonstige Befugnisse des Verletzten</w:t>
      </w:r>
      <w:bookmarkEnd w:id="582"/>
    </w:p>
    <w:p>
      <w:pPr>
        <w:pStyle w:val="Heading3"/>
      </w:pPr>
      <w:bookmarkStart w:id="583" w:name="b582"/>
      <w:r>
        <w:t>§ 406d Auskunft über den Stand des Verfahrens</w:t>
      </w:r>
      <w:r>
        <w:t xml:space="preserve"> </w:t>
      </w:r>
      <w:r>
        <w:rPr>
          <w:rStyle w:val="Suchmarke"/>
        </w:rPr>
        <w:t>#406d#</w:t>
      </w:r>
      <w:bookmarkEnd w:id="583"/>
    </w:p>
    <w:p>
      <w:r>
        <w:t xml:space="preserve">(1) </w:t>
      </w:r>
      <w:r>
        <w:rPr>
          <w:rStyle w:val="Satznummer"/>
        </w:rPr>
        <w:t>1</w:t>
      </w:r>
      <w:r>
        <w:t>Dem Verletzten ist, soweit es ihn betrifft, auf Antrag mitzuteilen:</w:t>
      </w:r>
    </w:p>
    <w:p>
      <w:pPr>
        <w:tabs>
          <w:tab w:pos="567" w:val="left"/>
        </w:tabs>
        <w:ind w:left="567" w:hanging="567"/>
      </w:pPr>
      <w:r>
        <w:t>1.</w:t>
      </w:r>
      <w:r>
        <w:tab/>
      </w:r>
      <w:r>
        <w:t>die Einstellung des Verfahrens,</w:t>
      </w:r>
    </w:p>
    <w:p>
      <w:pPr>
        <w:tabs>
          <w:tab w:pos="567" w:val="left"/>
        </w:tabs>
        <w:ind w:left="567" w:hanging="567"/>
      </w:pPr>
      <w:r>
        <w:t>2.</w:t>
      </w:r>
      <w:r>
        <w:tab/>
      </w:r>
      <w:r>
        <w:t>der Ort und Zeitpunkt der Hauptverhandlung sowie die gegen den Angeklagten erhobenen Beschuldigungen,</w:t>
      </w:r>
    </w:p>
    <w:p>
      <w:pPr>
        <w:tabs>
          <w:tab w:pos="567" w:val="left"/>
        </w:tabs>
        <w:ind w:left="567" w:hanging="567"/>
      </w:pPr>
      <w:r>
        <w:t>3.</w:t>
      </w:r>
      <w:r>
        <w:tab/>
      </w:r>
      <w:r>
        <w:t>der Ausgang des gerichtlichen Verfahrens.</w:t>
      </w:r>
    </w:p>
    <w:p>
      <w:r>
        <w:rPr>
          <w:rStyle w:val="Satznummer"/>
        </w:rPr>
        <w:t>2</w:t>
      </w:r>
      <w:r>
        <w:t>Ist der Verletzte der deutschen Sprache nicht mächtig, so werden ihm auf Antrag Ort und Zeitpunkt der Hauptverhandlung in einer ihm verständlichen Sprache mitgeteilt.</w:t>
      </w:r>
    </w:p>
    <w:p>
      <w:r>
        <w:t xml:space="preserve">(2) </w:t>
      </w:r>
      <w:r>
        <w:rPr>
          <w:rStyle w:val="Satznummer"/>
        </w:rPr>
        <w:t>1</w:t>
      </w:r>
      <w:r>
        <w:t>Dem Verletzten ist auf Antrag mitzuteilen, ob</w:t>
      </w:r>
    </w:p>
    <w:p>
      <w:pPr>
        <w:tabs>
          <w:tab w:pos="567" w:val="left"/>
        </w:tabs>
        <w:ind w:left="567" w:hanging="567"/>
      </w:pPr>
      <w:r>
        <w:t>1.</w:t>
      </w:r>
      <w:r>
        <w:tab/>
      </w:r>
      <w:r>
        <w:t>dem Verurteilten die Weisung erteilt worden ist, zu dem Verletzten keinen Kontakt aufzunehmen oder mit ihm nicht zu verkehren;</w:t>
      </w:r>
    </w:p>
    <w:p>
      <w:pPr>
        <w:tabs>
          <w:tab w:pos="567" w:val="left"/>
        </w:tabs>
        <w:ind w:left="567" w:hanging="567"/>
      </w:pPr>
      <w:r>
        <w:t>2.</w:t>
      </w:r>
      <w:r>
        <w:tab/>
      </w:r>
      <w:r>
        <w:t xml:space="preserve">freiheitsentziehende Maßnahmen gegen den Beschuldigten oder den Verurteilten angeordnet oder beendet oder ob erstmalig Vollzugslockerungen oder Urlaub gewährt werden, wenn er ein berechtigtes Interesse darlegt und kein überwiegendes schutzwürdiges Interesse der betroffenen Person am Ausschluss der Mitteilung vorliegt; in den in </w:t>
      </w:r>
      <w:hyperlink w:anchor="b563" w:history="1">
        <w:r>
          <w:rPr>
            <w:color w:val="0A3A8C"/>
            <w:u w:val="single"/>
          </w:rPr>
          <w:t xml:space="preserve">§ 395</w:t>
        </w:r>
      </w:hyperlink>
      <w:r>
        <w:t xml:space="preserve"> Absatz 1 Nummer 1 bis 5 genannten Fällen sowie in den Fällen des </w:t>
      </w:r>
      <w:hyperlink w:anchor="b563" w:history="1">
        <w:r>
          <w:rPr>
            <w:color w:val="0A3A8C"/>
            <w:u w:val="single"/>
          </w:rPr>
          <w:t xml:space="preserve">§ 395</w:t>
        </w:r>
      </w:hyperlink>
      <w:r>
        <w:t xml:space="preserve"> Absatz 3, in denen der Verletzte zur Nebenklage zugelassen wurde, bedarf es der Darlegung eines berechtigten Interesses nicht;</w:t>
      </w:r>
    </w:p>
    <w:p>
      <w:pPr>
        <w:tabs>
          <w:tab w:pos="567" w:val="left"/>
        </w:tabs>
        <w:ind w:left="567" w:hanging="567"/>
      </w:pPr>
      <w:r>
        <w:t>3.</w:t>
      </w:r>
      <w:r>
        <w:tab/>
      </w:r>
      <w:r>
        <w:t>der Beschuldigte oder Verurteilte sich einer freiheitsentziehenden Maßnahme durch Flucht entzogen hat und welche Maßnahmen zum Schutz des Verletzten deswegen gegebenenfalls getroffen worden sind;</w:t>
      </w:r>
    </w:p>
    <w:p>
      <w:pPr>
        <w:tabs>
          <w:tab w:pos="567" w:val="left"/>
        </w:tabs>
        <w:ind w:left="567" w:hanging="567"/>
      </w:pPr>
      <w:r>
        <w:t>4.</w:t>
      </w:r>
      <w:r>
        <w:tab/>
      </w:r>
      <w:r>
        <w:t>dem Verurteilten erneut Vollzugslockerung oder Urlaub gewährt wird, wenn dafür ein berechtigtes Interesse dargelegt oder ersichtlich ist und kein überwiegendes schutzwürdiges Interesse des Verurteilten am Ausschluss der Mitteilung vorliegt.</w:t>
      </w:r>
    </w:p>
    <w:p>
      <w:r>
        <w:rPr>
          <w:rStyle w:val="Satznummer"/>
        </w:rPr>
        <w:t>2</w:t>
      </w:r>
      <w:r>
        <w:t>Die Mitteilung erfolgt durch die Stelle, welche die Entscheidung gegenüber dem Beschuldigten oder Verurteilten getroffen hat; in den Fällen des Satzes 1 Nummer 3 erfolgt die Mitteilung durch die zuständige Staatsanwaltschaft.</w:t>
      </w:r>
    </w:p>
    <w:p>
      <w:r>
        <w:t xml:space="preserve">(3) </w:t>
      </w:r>
      <w:r>
        <w:rPr>
          <w:rStyle w:val="Satznummer"/>
        </w:rPr>
        <w:t>1</w:t>
      </w:r>
      <w:r>
        <w:t xml:space="preserve">Der Verletzte ist über die Informationsrechte aus Absatz 2 Satz 1 nach der Urteilsverkündung oder Einstellung des Verfahrens zu belehren. </w:t>
      </w:r>
      <w:r>
        <w:rPr>
          <w:rStyle w:val="Satznummer"/>
        </w:rPr>
        <w:t>2</w:t>
      </w:r>
      <w:r>
        <w:t>Über die Informationsrechte aus Absatz 2 Satz 1 Nummer 2 und 3 ist der Verletzte zudem bei Anzeigeerstattung zu belehren, wenn die Anordnung von Untersuchungshaft gegen den Beschuldigten zu erwarten ist.</w:t>
      </w:r>
    </w:p>
    <w:p>
      <w:r>
        <w:t xml:space="preserve">(4) </w:t>
      </w:r>
      <w:r>
        <w:rPr>
          <w:rStyle w:val="Satznummer"/>
        </w:rPr>
        <w:t>1</w:t>
      </w:r>
      <w:r>
        <w:t xml:space="preserve">Mitteilungen können unterbleiben, sofern sie nicht unter einer Anschrift möglich sind, die der Verletzte angegeben hat. </w:t>
      </w:r>
      <w:r>
        <w:rPr>
          <w:rStyle w:val="Satznummer"/>
        </w:rPr>
        <w:t>2</w:t>
      </w:r>
      <w:r>
        <w:t xml:space="preserve">Hat der Verletzte einen Rechtsanwalt als Beistand gewählt, ist ihm ein solcher beigeordnet worden oder wird er durch einen solchen vertreten, so gilt </w:t>
      </w:r>
      <w:hyperlink w:anchor="b254" w:history="1">
        <w:r>
          <w:rPr>
            <w:color w:val="0A3A8C"/>
            <w:u w:val="single"/>
          </w:rPr>
          <w:t xml:space="preserve">§ 145a</w:t>
        </w:r>
      </w:hyperlink>
      <w:r>
        <w:t xml:space="preserve"> entsprechend.</w:t>
      </w:r>
    </w:p>
    <w:p>
      <w:pPr>
        <w:pStyle w:val="Heading3"/>
      </w:pPr>
      <w:bookmarkStart w:id="584" w:name="b583"/>
      <w:r>
        <w:t>§ 406e Akteneinsicht</w:t>
      </w:r>
      <w:r>
        <w:t xml:space="preserve"> </w:t>
      </w:r>
      <w:r>
        <w:rPr>
          <w:rStyle w:val="Suchmarke"/>
        </w:rPr>
        <w:t>#406e#</w:t>
      </w:r>
      <w:bookmarkEnd w:id="584"/>
    </w:p>
    <w:p>
      <w:r>
        <w:t xml:space="preserve">(1) </w:t>
      </w:r>
      <w:r>
        <w:rPr>
          <w:rStyle w:val="Satznummer"/>
        </w:rPr>
        <w:t>1</w:t>
      </w:r>
      <w:r>
        <w:t xml:space="preserve">Für den Verletzten kann ein Rechtsanwalt die Akten, die dem Gericht vorliegen oder diesem im Falle der Erhebung der öffentlichen Klage vorzulegen wären, einsehen sowie amtlich verwahrte Beweisstücke besichtigen, soweit er hierfür ein berechtigtes Interesse darlegt. </w:t>
      </w:r>
      <w:r>
        <w:rPr>
          <w:rStyle w:val="Satznummer"/>
        </w:rPr>
        <w:t>2</w:t>
      </w:r>
      <w:r>
        <w:t xml:space="preserve">In den in </w:t>
      </w:r>
      <w:hyperlink w:anchor="b563" w:history="1">
        <w:r>
          <w:rPr>
            <w:color w:val="0A3A8C"/>
            <w:u w:val="single"/>
          </w:rPr>
          <w:t xml:space="preserve">§ 395</w:t>
        </w:r>
      </w:hyperlink>
      <w:r>
        <w:t xml:space="preserve"> genannten Fällen bedarf es der Darlegung eines berechtigten Interesses nicht.</w:t>
      </w:r>
    </w:p>
    <w:p>
      <w:r>
        <w:t xml:space="preserve">(2) </w:t>
      </w:r>
      <w:r>
        <w:rPr>
          <w:rStyle w:val="Satznummer"/>
        </w:rPr>
        <w:t>1</w:t>
      </w:r>
      <w:r>
        <w:t xml:space="preserve">Die Einsicht in die Akten ist zu versagen, soweit überwiegende schutzwürdige Interessen des Beschuldigten oder anderer Personen entgegenstehen. </w:t>
      </w:r>
      <w:r>
        <w:rPr>
          <w:rStyle w:val="Satznummer"/>
        </w:rPr>
        <w:t>2</w:t>
      </w:r>
      <w:r>
        <w:t xml:space="preserve">Sie kann versagt werden, soweit der Untersuchungszweck, auch in einem anderen Strafverfahren, gefährdet erscheint. </w:t>
      </w:r>
      <w:r>
        <w:rPr>
          <w:rStyle w:val="Satznummer"/>
        </w:rPr>
        <w:t>3</w:t>
      </w:r>
      <w:r>
        <w:t xml:space="preserve">Sie kann auch versagt werden, wenn durch sie das Verfahren erheblich verzögert würde, es sei denn, dass die Staatsanwaltschaft in den in </w:t>
      </w:r>
      <w:hyperlink w:anchor="b563" w:history="1">
        <w:r>
          <w:rPr>
            <w:color w:val="0A3A8C"/>
            <w:u w:val="single"/>
          </w:rPr>
          <w:t xml:space="preserve">§ 395</w:t>
        </w:r>
      </w:hyperlink>
      <w:r>
        <w:t xml:space="preserve"> genannten Fällen den Abschluss der Ermittlungen in den Akten vermerkt hat.</w:t>
      </w:r>
    </w:p>
    <w:p>
      <w:r>
        <w:t xml:space="preserve">(3) </w:t>
      </w:r>
      <w:r>
        <w:rPr>
          <w:rStyle w:val="Satznummer"/>
        </w:rPr>
        <w:t>1</w:t>
      </w:r>
      <w:r>
        <w:t xml:space="preserve">Der Verletzte, der nicht durch einen Rechtsanwalt vertreten wird, ist in entsprechender Anwendung der Absätze 1 und 2 befugt, die Akten einzusehen und amtlich verwahrte Beweisstücke unter Aufsicht zu besichtigen. </w:t>
      </w:r>
      <w:r>
        <w:rPr>
          <w:rStyle w:val="Satznummer"/>
        </w:rPr>
        <w:t>2</w:t>
      </w:r>
      <w:r>
        <w:t xml:space="preserve">Werden die Akten nicht elektronisch geführt, können ihm an Stelle der Einsichtnahme in die Akten Kopien aus den Akten übermittelt werden. </w:t>
      </w:r>
      <w:r>
        <w:rPr>
          <w:rStyle w:val="Satznummer"/>
        </w:rPr>
        <w:t>3</w:t>
      </w:r>
      <w:hyperlink w:anchor="b711" w:history="1">
        <w:r>
          <w:rPr>
            <w:color w:val="0A3A8C"/>
            <w:u w:val="single"/>
          </w:rPr>
          <w:t xml:space="preserve">§ 480</w:t>
        </w:r>
      </w:hyperlink>
      <w:r>
        <w:t xml:space="preserve"> Absatz 1 Satz 3 und 4 gilt entsprechend.</w:t>
      </w:r>
    </w:p>
    <w:p>
      <w:r>
        <w:t>(4) Die Absätze 1 bis 3 gelten auch für die in § 403 Satz 2 Genannten.</w:t>
      </w:r>
    </w:p>
    <w:p>
      <w:r>
        <w:t xml:space="preserve">(5) </w:t>
      </w:r>
      <w:r>
        <w:rPr>
          <w:rStyle w:val="Satznummer"/>
        </w:rPr>
        <w:t>1</w:t>
      </w:r>
      <w:r>
        <w:t xml:space="preserve">Über die Gewährung der Akteneinsicht entscheidet im vorbereitenden Verfahren und nach rechtskräftigem Abschluß des Verfahrens die Staatsanwaltschaft, im übrigen der Vorsitzende des mit der Sache befaßten Gerichts. </w:t>
      </w:r>
      <w:r>
        <w:rPr>
          <w:rStyle w:val="Satznummer"/>
        </w:rPr>
        <w:t>2</w:t>
      </w:r>
      <w:r>
        <w:t xml:space="preserve">Gegen die Entscheidung der Staatsanwaltschaft nach Satz 1 kann gerichtliche Entscheidung durch das nach </w:t>
      </w:r>
      <w:hyperlink w:anchor="b294" w:history="1">
        <w:r>
          <w:rPr>
            <w:color w:val="0A3A8C"/>
            <w:u w:val="single"/>
          </w:rPr>
          <w:t xml:space="preserve">§ 162</w:t>
        </w:r>
      </w:hyperlink>
      <w:r>
        <w:t xml:space="preserve"> zuständige Gericht beantragt werden. </w:t>
      </w:r>
      <w:r>
        <w:rPr>
          <w:rStyle w:val="Satznummer"/>
        </w:rPr>
        <w:t>3</w:t>
      </w:r>
      <w:r>
        <w:t xml:space="preserve">Die </w:t>
      </w:r>
      <w:hyperlink w:anchor="b447" w:history="1">
        <w:r>
          <w:rPr>
            <w:color w:val="0A3A8C"/>
            <w:u w:val="single"/>
          </w:rPr>
          <w:t xml:space="preserve">§§ 297</w:t>
        </w:r>
      </w:hyperlink>
      <w:r>
        <w:t xml:space="preserve"> bis </w:t>
      </w:r>
      <w:hyperlink w:anchor="b450" w:history="1">
        <w:r>
          <w:rPr>
            <w:color w:val="0A3A8C"/>
            <w:u w:val="single"/>
          </w:rPr>
          <w:t xml:space="preserve">300</w:t>
        </w:r>
      </w:hyperlink>
      <w:r>
        <w:t xml:space="preserve">, </w:t>
      </w:r>
      <w:hyperlink w:anchor="b452" w:history="1">
        <w:r>
          <w:rPr>
            <w:color w:val="0A3A8C"/>
            <w:u w:val="single"/>
          </w:rPr>
          <w:t xml:space="preserve">302</w:t>
        </w:r>
      </w:hyperlink>
      <w:r>
        <w:t xml:space="preserve">, </w:t>
      </w:r>
      <w:hyperlink w:anchor="b458" w:history="1">
        <w:r>
          <w:rPr>
            <w:color w:val="0A3A8C"/>
            <w:u w:val="single"/>
          </w:rPr>
          <w:t xml:space="preserve">306</w:t>
        </w:r>
      </w:hyperlink>
      <w:r>
        <w:t xml:space="preserve"> bis </w:t>
      </w:r>
      <w:hyperlink w:anchor="b461" w:history="1">
        <w:r>
          <w:rPr>
            <w:color w:val="0A3A8C"/>
            <w:u w:val="single"/>
          </w:rPr>
          <w:t xml:space="preserve">309</w:t>
        </w:r>
      </w:hyperlink>
      <w:r>
        <w:t xml:space="preserve">, </w:t>
      </w:r>
      <w:hyperlink w:anchor="b464" w:history="1">
        <w:r>
          <w:rPr>
            <w:color w:val="0A3A8C"/>
            <w:u w:val="single"/>
          </w:rPr>
          <w:t xml:space="preserve">311a</w:t>
        </w:r>
      </w:hyperlink>
      <w:r>
        <w:t xml:space="preserve"> und </w:t>
      </w:r>
      <w:hyperlink w:anchor="b702" w:history="1">
        <w:r>
          <w:rPr>
            <w:color w:val="0A3A8C"/>
            <w:u w:val="single"/>
          </w:rPr>
          <w:t xml:space="preserve">473a</w:t>
        </w:r>
      </w:hyperlink>
      <w:r>
        <w:t xml:space="preserve"> gelten entsprechend. </w:t>
      </w:r>
      <w:r>
        <w:rPr>
          <w:rStyle w:val="Satznummer"/>
        </w:rPr>
        <w:t>4</w:t>
      </w:r>
      <w:r>
        <w:t xml:space="preserve">Die Entscheidung des Gerichts ist unanfechtbar, solange die Ermittlungen noch nicht abgeschlossen sind. </w:t>
      </w:r>
      <w:r>
        <w:rPr>
          <w:rStyle w:val="Satznummer"/>
        </w:rPr>
        <w:t>5</w:t>
      </w:r>
      <w:r>
        <w:t>Diese Entscheidungen werden nicht mit Gründen versehen, soweit durch deren Offenlegung der Untersuchungszweck gefährdet werden könnte.</w:t>
      </w:r>
    </w:p>
    <w:p>
      <w:pPr>
        <w:pStyle w:val="Heading3"/>
      </w:pPr>
      <w:bookmarkStart w:id="585" w:name="b584"/>
      <w:r>
        <w:t>§ 406f Verletztenbeistand</w:t>
      </w:r>
      <w:r>
        <w:t xml:space="preserve"> </w:t>
      </w:r>
      <w:r>
        <w:rPr>
          <w:rStyle w:val="Suchmarke"/>
        </w:rPr>
        <w:t>#406f#</w:t>
      </w:r>
      <w:bookmarkEnd w:id="585"/>
    </w:p>
    <w:p>
      <w:r>
        <w:t xml:space="preserve">(1) </w:t>
      </w:r>
      <w:r>
        <w:rPr>
          <w:rStyle w:val="Satznummer"/>
        </w:rPr>
        <w:t>1</w:t>
      </w:r>
      <w:r>
        <w:t xml:space="preserve">Verletzte können sich des Beistands eines Rechtsanwalts bedienen oder sich durch einen solchen vertreten lassen. </w:t>
      </w:r>
      <w:r>
        <w:rPr>
          <w:rStyle w:val="Satznummer"/>
        </w:rPr>
        <w:t>2</w:t>
      </w:r>
      <w:r>
        <w:t>Einem zur Vernehmung des Verletzten erschienenen anwaltlichen Beistand ist die Anwesenheit gestattet.</w:t>
      </w:r>
    </w:p>
    <w:p>
      <w:r>
        <w:t xml:space="preserve">(2) </w:t>
      </w:r>
      <w:r>
        <w:rPr>
          <w:rStyle w:val="Satznummer"/>
        </w:rPr>
        <w:t>1</w:t>
      </w:r>
      <w:r>
        <w:t xml:space="preserve">Bei einer Vernehmung von Verletzten ist auf deren Antrag einer zur Vernehmung erschienenen Person ihres Vertrauens die Anwesenheit zu gestatten, es sei denn, dass dies den Untersuchungszweck gefährden könnte. </w:t>
      </w:r>
      <w:r>
        <w:rPr>
          <w:rStyle w:val="Satznummer"/>
        </w:rPr>
        <w:t>2</w:t>
      </w:r>
      <w:r>
        <w:t xml:space="preserve">Die Entscheidung trifft die die Vernehmung leitende Person; die Entscheidung ist nicht anfechtbar. </w:t>
      </w:r>
      <w:r>
        <w:rPr>
          <w:rStyle w:val="Satznummer"/>
        </w:rPr>
        <w:t>3</w:t>
      </w:r>
      <w:r>
        <w:t>Die Gründe einer Ablehnung sind aktenkundig zu machen.</w:t>
      </w:r>
    </w:p>
    <w:p>
      <w:pPr>
        <w:pStyle w:val="Heading3"/>
      </w:pPr>
      <w:bookmarkStart w:id="586" w:name="b585"/>
      <w:r>
        <w:t>§ 406g Psychosoziale Prozessbegleitung</w:t>
      </w:r>
      <w:r>
        <w:t xml:space="preserve"> </w:t>
      </w:r>
      <w:r>
        <w:rPr>
          <w:rStyle w:val="Suchmarke"/>
        </w:rPr>
        <w:t>#406g#</w:t>
      </w:r>
      <w:bookmarkEnd w:id="586"/>
    </w:p>
    <w:p>
      <w:r>
        <w:t xml:space="preserve">(1) </w:t>
      </w:r>
      <w:r>
        <w:rPr>
          <w:rStyle w:val="Satznummer"/>
        </w:rPr>
        <w:t>1</w:t>
      </w:r>
      <w:r>
        <w:t xml:space="preserve">Verletzte können sich des Beistands eines psychosozialen Prozessbegleiters bedienen. </w:t>
      </w:r>
      <w:r>
        <w:rPr>
          <w:rStyle w:val="Satznummer"/>
        </w:rPr>
        <w:t>2</w:t>
      </w:r>
      <w:r>
        <w:t>Dem psychosozialen Prozessbegleiter ist es gestattet, bei Vernehmungen des Verletzten und während der Hauptverhandlung gemeinsam mit dem Verletzten anwesend zu sein.</w:t>
      </w:r>
    </w:p>
    <w:p>
      <w:r>
        <w:t>(2) Die Grundsätze der psychosozialen Prozessbegleitung sowie die Anforderungen an die Qualifikation und die Vergütung des psychosozialen Prozessbegleiters richten sich nach dem Gesetz über die psychosoziale Prozessbegleitung im Strafverfahren vom 21. Dezember 2015 (BGBl. I S. 2525, 2529) in der jeweils geltenden Fassung.</w:t>
      </w:r>
    </w:p>
    <w:p>
      <w:r>
        <w:t xml:space="preserve">(3) </w:t>
      </w:r>
      <w:r>
        <w:rPr>
          <w:rStyle w:val="Satznummer"/>
        </w:rPr>
        <w:t>1</w:t>
      </w:r>
      <w:r>
        <w:t xml:space="preserve">Unter den in </w:t>
      </w:r>
      <w:hyperlink w:anchor="b566" w:history="1">
        <w:r>
          <w:rPr>
            <w:color w:val="0A3A8C"/>
            <w:u w:val="single"/>
          </w:rPr>
          <w:t xml:space="preserve">§ 397a</w:t>
        </w:r>
      </w:hyperlink>
      <w:r>
        <w:t xml:space="preserve"> Absatz 1 Nummer 4 bis 6 bezeichneten Voraussetzungen ist dem Verletzten auf seinen Antrag ein psychosozialer Prozessbegleiter beizuordnen. </w:t>
      </w:r>
      <w:r>
        <w:rPr>
          <w:rStyle w:val="Satznummer"/>
        </w:rPr>
        <w:t>2</w:t>
      </w:r>
      <w:r>
        <w:t xml:space="preserve">Unter den in </w:t>
      </w:r>
      <w:hyperlink w:anchor="b566" w:history="1">
        <w:r>
          <w:rPr>
            <w:color w:val="0A3A8C"/>
            <w:u w:val="single"/>
          </w:rPr>
          <w:t xml:space="preserve">§ 397a</w:t>
        </w:r>
      </w:hyperlink>
      <w:r>
        <w:t xml:space="preserve"> Absatz 1 Nummer 1 bis 3 bezeichneten Voraussetzungen kann dem Verletzten auf seinen Antrag ein psychosozialer Prozessbegleiter beigeordnet werden, wenn die besondere Schutzbedürftigkeit des Verletzten dies erfordert. </w:t>
      </w:r>
      <w:r>
        <w:rPr>
          <w:rStyle w:val="Satznummer"/>
        </w:rPr>
        <w:t>3</w:t>
      </w:r>
      <w:r>
        <w:t xml:space="preserve">Die Beiordnung ist für den Verletzten kostenfrei. </w:t>
      </w:r>
      <w:r>
        <w:rPr>
          <w:rStyle w:val="Satznummer"/>
        </w:rPr>
        <w:t>4</w:t>
      </w:r>
      <w:r>
        <w:t xml:space="preserve">Für die Beiordnung gilt </w:t>
      </w:r>
      <w:hyperlink w:anchor="b249" w:history="1">
        <w:r>
          <w:rPr>
            <w:color w:val="0A3A8C"/>
            <w:u w:val="single"/>
          </w:rPr>
          <w:t xml:space="preserve">§ 142</w:t>
        </w:r>
      </w:hyperlink>
      <w:r>
        <w:t xml:space="preserve"> Absatz 5 Satz 1 und 3 entsprechend. </w:t>
      </w:r>
      <w:r>
        <w:rPr>
          <w:rStyle w:val="Satznummer"/>
        </w:rPr>
        <w:t>5</w:t>
      </w:r>
      <w:r>
        <w:t xml:space="preserve">Im Vorverfahren entscheidet das nach </w:t>
      </w:r>
      <w:hyperlink w:anchor="b294" w:history="1">
        <w:r>
          <w:rPr>
            <w:color w:val="0A3A8C"/>
            <w:u w:val="single"/>
          </w:rPr>
          <w:t xml:space="preserve">§ 162</w:t>
        </w:r>
      </w:hyperlink>
      <w:r>
        <w:t xml:space="preserve"> zuständige Gericht.</w:t>
      </w:r>
    </w:p>
    <w:p>
      <w:r>
        <w:t xml:space="preserve">(4) </w:t>
      </w:r>
      <w:r>
        <w:rPr>
          <w:rStyle w:val="Satznummer"/>
        </w:rPr>
        <w:t>1</w:t>
      </w:r>
      <w:r>
        <w:t xml:space="preserve">Einem nicht beigeordneten psychosozialen Prozessbegleiter kann die Anwesenheit bei einer Vernehmung des Verletzten untersagt werden, wenn dies den Untersuchungszweck gefährden könnte. </w:t>
      </w:r>
      <w:r>
        <w:rPr>
          <w:rStyle w:val="Satznummer"/>
        </w:rPr>
        <w:t>2</w:t>
      </w:r>
      <w:r>
        <w:t xml:space="preserve">Die Entscheidung trifft die die Vernehmung leitende Person; die Entscheidung ist nicht anfechtbar. </w:t>
      </w:r>
      <w:r>
        <w:rPr>
          <w:rStyle w:val="Satznummer"/>
        </w:rPr>
        <w:t>3</w:t>
      </w:r>
      <w:r>
        <w:t>Die Gründe einer Ablehnung sind aktenkundig zu machen.</w:t>
      </w:r>
    </w:p>
    <w:p>
      <w:pPr>
        <w:pStyle w:val="Heading3"/>
      </w:pPr>
      <w:bookmarkStart w:id="587" w:name="b586"/>
      <w:r>
        <w:t>§ 406h Beistand des nebenklageberechtigten Verletzten</w:t>
      </w:r>
      <w:r>
        <w:t xml:space="preserve"> </w:t>
      </w:r>
      <w:r>
        <w:rPr>
          <w:rStyle w:val="Suchmarke"/>
        </w:rPr>
        <w:t>#406h#</w:t>
      </w:r>
      <w:bookmarkEnd w:id="587"/>
    </w:p>
    <w:p>
      <w:r>
        <w:t xml:space="preserve">(1) </w:t>
      </w:r>
      <w:r>
        <w:rPr>
          <w:rStyle w:val="Satznummer"/>
        </w:rPr>
        <w:t>1</w:t>
      </w:r>
      <w:r>
        <w:t xml:space="preserve">Nach § 395 zum Anschluss mit der Nebenklage Befugte können sich auch vor Erhebung der öffentlichen Klage und ohne Erklärung eines Anschlusses eines Rechtsanwalts als Beistand bedienen oder sich durch einen solchen vertreten lassen. </w:t>
      </w:r>
      <w:r>
        <w:rPr>
          <w:rStyle w:val="Satznummer"/>
        </w:rPr>
        <w:t>2</w:t>
      </w:r>
      <w:r>
        <w:t xml:space="preserve">Sie sind zur Anwesenheit in der Hauptverhandlung berechtigt, auch wenn sie als Zeugen vernommen werden sollen. </w:t>
      </w:r>
      <w:r>
        <w:rPr>
          <w:rStyle w:val="Satznummer"/>
        </w:rPr>
        <w:t>3</w:t>
      </w:r>
      <w:r>
        <w:t>Ist zweifelhaft, ob eine Person nebenklagebefugt ist, entscheidet über das Anwesenheitsrecht das Gericht nach Anhörung der Person und der Staatsanwaltschaft; die Entscheidung ist unanfechtbar.</w:t>
      </w:r>
    </w:p>
    <w:p>
      <w:r>
        <w:t xml:space="preserve">(2) </w:t>
      </w:r>
      <w:r>
        <w:rPr>
          <w:rStyle w:val="Satznummer"/>
        </w:rPr>
        <w:t>1</w:t>
      </w:r>
      <w:r>
        <w:t xml:space="preserve">Der Rechtsanwalt des Nebenklagebefugten ist zur Anwesenheit in der Hauptverhandlung berechtigt; Absatz 1 Satz 3 gilt entsprechend. </w:t>
      </w:r>
      <w:r>
        <w:rPr>
          <w:rStyle w:val="Satznummer"/>
        </w:rPr>
        <w:t>2</w:t>
      </w:r>
      <w:r>
        <w:t xml:space="preserve">Er ist vom Termin der Hauptverhandlung zu benachrichtigen, wenn seine Wahl dem Gericht angezeigt oder er als Beistand bestellt wurde. </w:t>
      </w:r>
      <w:r>
        <w:rPr>
          <w:rStyle w:val="Satznummer"/>
        </w:rPr>
        <w:t>3</w:t>
      </w:r>
      <w:r>
        <w:t xml:space="preserve">Die Sätze 1 und 2 gelten bei richterlichen Vernehmungen und der Einnahme richterlichen Augenscheins entsprechend, es sei denn, dass die Anwesenheit oder die Benachrichtigung des Rechtsanwalts den Untersuchungszweck gefährden könnte. </w:t>
      </w:r>
      <w:r>
        <w:rPr>
          <w:rStyle w:val="Satznummer"/>
        </w:rPr>
        <w:t>4</w:t>
      </w:r>
      <w:r>
        <w:t xml:space="preserve">Nach richterlichen Vernehmungen ist dem Rechtsanwalt Gelegenheit zu geben, sich dazu zu erklären oder Fragen an die vernommene Person zu stellen. </w:t>
      </w:r>
      <w:r>
        <w:rPr>
          <w:rStyle w:val="Satznummer"/>
        </w:rPr>
        <w:t>5</w:t>
      </w:r>
      <w:r>
        <w:t xml:space="preserve">Ungeeignete oder nicht zur Sache gehörende Fragen oder Erklärungen können zurückgewiesen werden. </w:t>
      </w:r>
      <w:r>
        <w:rPr>
          <w:rStyle w:val="Satznummer"/>
        </w:rPr>
        <w:t>6</w:t>
      </w:r>
      <w:hyperlink w:anchor="b382" w:history="1">
        <w:r>
          <w:rPr>
            <w:color w:val="0A3A8C"/>
            <w:u w:val="single"/>
          </w:rPr>
          <w:t xml:space="preserve">§ 241a</w:t>
        </w:r>
      </w:hyperlink>
      <w:r>
        <w:t xml:space="preserve"> gilt entsprechend.</w:t>
      </w:r>
    </w:p>
    <w:p>
      <w:r>
        <w:t xml:space="preserve">(3) </w:t>
      </w:r>
      <w:r>
        <w:rPr>
          <w:rStyle w:val="Satznummer"/>
        </w:rPr>
        <w:t>1</w:t>
      </w:r>
      <w:r>
        <w:t xml:space="preserve">Die </w:t>
      </w:r>
      <w:hyperlink w:anchor="b566" w:history="1">
        <w:r>
          <w:rPr>
            <w:color w:val="0A3A8C"/>
            <w:u w:val="single"/>
          </w:rPr>
          <w:t xml:space="preserve">§§ 397a</w:t>
        </w:r>
      </w:hyperlink>
      <w:r>
        <w:t xml:space="preserve"> und </w:t>
      </w:r>
      <w:hyperlink w:anchor="b567" w:history="1">
        <w:r>
          <w:rPr>
            <w:color w:val="0A3A8C"/>
            <w:u w:val="single"/>
          </w:rPr>
          <w:t xml:space="preserve">397b</w:t>
        </w:r>
      </w:hyperlink>
      <w:r>
        <w:t xml:space="preserve"> gelten entsprechend für</w:t>
      </w:r>
    </w:p>
    <w:p>
      <w:pPr>
        <w:tabs>
          <w:tab w:pos="567" w:val="left"/>
        </w:tabs>
        <w:ind w:left="567" w:hanging="567"/>
      </w:pPr>
      <w:r>
        <w:t>1.</w:t>
      </w:r>
      <w:r>
        <w:tab/>
      </w:r>
      <w:r>
        <w:t>die Bestellung eines Rechtsanwalts und</w:t>
      </w:r>
    </w:p>
    <w:p>
      <w:pPr>
        <w:tabs>
          <w:tab w:pos="567" w:val="left"/>
        </w:tabs>
        <w:ind w:left="567" w:hanging="567"/>
      </w:pPr>
      <w:r>
        <w:t>2.</w:t>
      </w:r>
      <w:r>
        <w:tab/>
      </w:r>
      <w:r>
        <w:t>die Bewilligung von Prozesskostenhilfe für die Hinzuziehung eines Rechtsanwalts.</w:t>
      </w:r>
    </w:p>
    <w:p>
      <w:r>
        <w:rPr>
          <w:rStyle w:val="Satznummer"/>
        </w:rPr>
        <w:t>2</w:t>
      </w:r>
      <w:r>
        <w:t xml:space="preserve">Im vorbereitenden Verfahren entscheidet das nach </w:t>
      </w:r>
      <w:hyperlink w:anchor="b294" w:history="1">
        <w:r>
          <w:rPr>
            <w:color w:val="0A3A8C"/>
            <w:u w:val="single"/>
          </w:rPr>
          <w:t xml:space="preserve">§ 162</w:t>
        </w:r>
      </w:hyperlink>
      <w:r>
        <w:t xml:space="preserve"> zuständige Gericht.</w:t>
      </w:r>
    </w:p>
    <w:p>
      <w:r>
        <w:t xml:space="preserve">(4) </w:t>
      </w:r>
      <w:r>
        <w:rPr>
          <w:rStyle w:val="Satznummer"/>
        </w:rPr>
        <w:t>1</w:t>
      </w:r>
      <w:r>
        <w:t xml:space="preserve">Auf Antrag dessen, der zum Anschluß als Nebenkläger berechtigt ist, kann in den Fällen des </w:t>
      </w:r>
      <w:hyperlink w:anchor="b566" w:history="1">
        <w:r>
          <w:rPr>
            <w:color w:val="0A3A8C"/>
            <w:u w:val="single"/>
          </w:rPr>
          <w:t xml:space="preserve">§ 397a</w:t>
        </w:r>
      </w:hyperlink>
      <w:r>
        <w:t xml:space="preserve"> Abs. 2 einstweilen ein Rechtsanwalt als Beistand bestellt werden, wenn</w:t>
      </w:r>
    </w:p>
    <w:p>
      <w:pPr>
        <w:tabs>
          <w:tab w:pos="567" w:val="left"/>
        </w:tabs>
        <w:ind w:left="567" w:hanging="567"/>
      </w:pPr>
      <w:r>
        <w:t>1.</w:t>
      </w:r>
      <w:r>
        <w:tab/>
      </w:r>
      <w:r>
        <w:t>dies aus besonderen Gründen geboten ist,</w:t>
      </w:r>
    </w:p>
    <w:p>
      <w:pPr>
        <w:tabs>
          <w:tab w:pos="567" w:val="left"/>
        </w:tabs>
        <w:ind w:left="567" w:hanging="567"/>
      </w:pPr>
      <w:r>
        <w:t>2.</w:t>
      </w:r>
      <w:r>
        <w:tab/>
      </w:r>
      <w:r>
        <w:t>die Mitwirkung eines Beistands eilbedürftig ist und</w:t>
      </w:r>
    </w:p>
    <w:p>
      <w:pPr>
        <w:tabs>
          <w:tab w:pos="567" w:val="left"/>
        </w:tabs>
        <w:ind w:left="567" w:hanging="567"/>
      </w:pPr>
      <w:r>
        <w:t>3.</w:t>
      </w:r>
      <w:r>
        <w:tab/>
      </w:r>
      <w:r>
        <w:t>die Bewilligung von Prozeßkostenhilfe möglich erscheint, eine rechtzeitige Entscheidung hierüber aber nicht zu erwarten ist.</w:t>
      </w:r>
    </w:p>
    <w:p>
      <w:r>
        <w:rPr>
          <w:rStyle w:val="Satznummer"/>
        </w:rPr>
        <w:t>2</w:t>
      </w:r>
      <w:r>
        <w:t xml:space="preserve">Für die Bestellung gelten </w:t>
      </w:r>
      <w:hyperlink w:anchor="b249" w:history="1">
        <w:r>
          <w:rPr>
            <w:color w:val="0A3A8C"/>
            <w:u w:val="single"/>
          </w:rPr>
          <w:t xml:space="preserve">§ 142</w:t>
        </w:r>
      </w:hyperlink>
      <w:r>
        <w:t xml:space="preserve"> Absatz 5 Satz 1 und 3 und </w:t>
      </w:r>
      <w:hyperlink w:anchor="b294" w:history="1">
        <w:r>
          <w:rPr>
            <w:color w:val="0A3A8C"/>
            <w:u w:val="single"/>
          </w:rPr>
          <w:t xml:space="preserve">§ 162</w:t>
        </w:r>
      </w:hyperlink>
      <w:r>
        <w:t xml:space="preserve"> entsprechend. </w:t>
      </w:r>
      <w:r>
        <w:rPr>
          <w:rStyle w:val="Satznummer"/>
        </w:rPr>
        <w:t>3</w:t>
      </w:r>
      <w:r>
        <w:t>Die Bestellung endet, wenn nicht innerhalb einer vom Richter zu bestimmenden Frist ein Antrag auf Bewilligung von Prozeßkostenhilfe gestellt oder wenn die Bewilligung von Prozeßkostenhilfe abgelehnt wird.</w:t>
      </w:r>
    </w:p>
    <w:p>
      <w:pPr>
        <w:pStyle w:val="Heading3"/>
      </w:pPr>
      <w:bookmarkStart w:id="588" w:name="b587"/>
      <w:r>
        <w:t>§ 406i Unterrichtung des Verletzten über seine Befugnisse im Strafverfahren</w:t>
      </w:r>
      <w:r>
        <w:t xml:space="preserve"> </w:t>
      </w:r>
      <w:r>
        <w:rPr>
          <w:rStyle w:val="Suchmarke"/>
        </w:rPr>
        <w:t>#406i#</w:t>
      </w:r>
      <w:bookmarkEnd w:id="588"/>
    </w:p>
    <w:p>
      <w:r>
        <w:t xml:space="preserve">(1) Verletzte sind möglichst frühzeitig, regelmäßig schriftlich und soweit möglich in einer für sie verständlichen Sprache über ihre aus den </w:t>
      </w:r>
      <w:hyperlink w:anchor="b582" w:history="1">
        <w:r>
          <w:rPr>
            <w:color w:val="0A3A8C"/>
            <w:u w:val="single"/>
          </w:rPr>
          <w:t xml:space="preserve">§§ 406d</w:t>
        </w:r>
      </w:hyperlink>
      <w:r>
        <w:t xml:space="preserve"> bis </w:t>
      </w:r>
      <w:hyperlink w:anchor="b586" w:history="1">
        <w:r>
          <w:rPr>
            <w:color w:val="0A3A8C"/>
            <w:u w:val="single"/>
          </w:rPr>
          <w:t xml:space="preserve">406h</w:t>
        </w:r>
      </w:hyperlink>
      <w:r>
        <w:t xml:space="preserve"> folgenden Befugnisse im Strafverfahren zu unterrichten und insbesondere auch auf Folgendes hinzuweisen:</w:t>
      </w:r>
    </w:p>
    <w:p>
      <w:pPr>
        <w:tabs>
          <w:tab w:pos="567" w:val="left"/>
        </w:tabs>
        <w:ind w:left="567" w:hanging="567"/>
      </w:pPr>
      <w:r>
        <w:t>1.</w:t>
      </w:r>
      <w:r>
        <w:tab/>
      </w:r>
      <w:r>
        <w:t xml:space="preserve">sie können nach Maßgabe des </w:t>
      </w:r>
      <w:hyperlink w:anchor="b287" w:history="1">
        <w:r>
          <w:rPr>
            <w:color w:val="0A3A8C"/>
            <w:u w:val="single"/>
          </w:rPr>
          <w:t xml:space="preserve">§ 158</w:t>
        </w:r>
      </w:hyperlink>
      <w:r>
        <w:t xml:space="preserve"> eine Straftat zur Anzeige bringen oder einen Strafantrag stellen;</w:t>
      </w:r>
    </w:p>
    <w:p>
      <w:pPr>
        <w:tabs>
          <w:tab w:pos="567" w:val="left"/>
        </w:tabs>
        <w:ind w:left="567" w:hanging="567"/>
      </w:pPr>
      <w:r>
        <w:t>2.</w:t>
      </w:r>
      <w:r>
        <w:tab/>
      </w:r>
      <w:r>
        <w:t xml:space="preserve">sie können sich unter den Voraussetzungen der </w:t>
      </w:r>
      <w:hyperlink w:anchor="b563" w:history="1">
        <w:r>
          <w:rPr>
            <w:color w:val="0A3A8C"/>
            <w:u w:val="single"/>
          </w:rPr>
          <w:t xml:space="preserve">§§ 395</w:t>
        </w:r>
      </w:hyperlink>
      <w:r>
        <w:t xml:space="preserve"> und </w:t>
      </w:r>
      <w:hyperlink w:anchor="b564" w:history="1">
        <w:r>
          <w:rPr>
            <w:color w:val="0A3A8C"/>
            <w:u w:val="single"/>
          </w:rPr>
          <w:t xml:space="preserve">396</w:t>
        </w:r>
      </w:hyperlink>
      <w:r>
        <w:t xml:space="preserve"> oder des § 80 Absatz 3 des Jugendgerichtsgesetzes der erhobenen öffentlichen Klage mit der Nebenklage anschließen und dabei</w:t>
      </w:r>
    </w:p>
    <w:p>
      <w:pPr>
        <w:tabs>
          <w:tab w:pos="1134" w:val="left"/>
        </w:tabs>
        <w:ind w:left="1134" w:hanging="567"/>
      </w:pPr>
      <w:r>
        <w:t>a)</w:t>
      </w:r>
      <w:r>
        <w:tab/>
      </w:r>
      <w:r>
        <w:t xml:space="preserve">nach </w:t>
      </w:r>
      <w:hyperlink w:anchor="b566" w:history="1">
        <w:r>
          <w:rPr>
            <w:color w:val="0A3A8C"/>
            <w:u w:val="single"/>
          </w:rPr>
          <w:t xml:space="preserve">§ 397a</w:t>
        </w:r>
      </w:hyperlink>
      <w:r>
        <w:t xml:space="preserve"> beantragen, dass ihnen ein anwaltlicher Beistand bestellt oder für dessen Hinzuziehung Prozesskostenhilfe bewilligt wird,</w:t>
      </w:r>
    </w:p>
    <w:p>
      <w:pPr>
        <w:tabs>
          <w:tab w:pos="1134" w:val="left"/>
        </w:tabs>
        <w:ind w:left="1134" w:hanging="567"/>
      </w:pPr>
      <w:r>
        <w:t>b)</w:t>
      </w:r>
      <w:r>
        <w:tab/>
      </w:r>
      <w:r>
        <w:t xml:space="preserve">nach Maßgabe des </w:t>
      </w:r>
      <w:hyperlink w:anchor="b565" w:history="1">
        <w:r>
          <w:rPr>
            <w:color w:val="0A3A8C"/>
            <w:u w:val="single"/>
          </w:rPr>
          <w:t xml:space="preserve">§ 397</w:t>
        </w:r>
      </w:hyperlink>
      <w:r>
        <w:t xml:space="preserve"> Absatz 3 und der §§ 185 und 187 des Gerichtsverfassungsgesetzes einen Anspruch auf Dolmetschung und Übersetzung im Strafverfahren geltend machen;</w:t>
      </w:r>
    </w:p>
    <w:p>
      <w:pPr>
        <w:tabs>
          <w:tab w:pos="567" w:val="left"/>
        </w:tabs>
        <w:ind w:left="567" w:hanging="567"/>
      </w:pPr>
      <w:r>
        <w:t>3.</w:t>
      </w:r>
      <w:r>
        <w:tab/>
      </w:r>
      <w:r>
        <w:t xml:space="preserve">sie können einen aus der Straftat erwachsenen vermögensrechtlichen Anspruch nach Maßgabe der </w:t>
      </w:r>
      <w:hyperlink w:anchor="b574" w:history="1">
        <w:r>
          <w:rPr>
            <w:color w:val="0A3A8C"/>
            <w:u w:val="single"/>
          </w:rPr>
          <w:t xml:space="preserve">§§ 403</w:t>
        </w:r>
      </w:hyperlink>
      <w:r>
        <w:t xml:space="preserve"> bis </w:t>
      </w:r>
      <w:hyperlink w:anchor="b580" w:history="1">
        <w:r>
          <w:rPr>
            <w:color w:val="0A3A8C"/>
            <w:u w:val="single"/>
          </w:rPr>
          <w:t xml:space="preserve">406c</w:t>
        </w:r>
      </w:hyperlink>
      <w:r>
        <w:t xml:space="preserve"> und des § 81 des Jugendgerichtsgesetzes im Strafverfahren geltend machen;</w:t>
      </w:r>
    </w:p>
    <w:p>
      <w:pPr>
        <w:tabs>
          <w:tab w:pos="567" w:val="left"/>
        </w:tabs>
        <w:ind w:left="567" w:hanging="567"/>
      </w:pPr>
      <w:r>
        <w:t>4.</w:t>
      </w:r>
      <w:r>
        <w:tab/>
      </w:r>
      <w:r>
        <w:t>sie können, soweit sie als Zeugen von der Staatsanwaltschaft oder dem Gericht vernommen werden, einen Anspruch auf Entschädigung nach Maßgabe des Justizvergütungs- und -entschädigungsgesetzes geltend machen;</w:t>
      </w:r>
    </w:p>
    <w:p>
      <w:pPr>
        <w:tabs>
          <w:tab w:pos="567" w:val="left"/>
        </w:tabs>
        <w:ind w:left="567" w:hanging="567"/>
      </w:pPr>
      <w:r>
        <w:t>5.</w:t>
      </w:r>
      <w:r>
        <w:tab/>
      </w:r>
      <w:r>
        <w:t xml:space="preserve">sie können nach Maßgabe des </w:t>
      </w:r>
      <w:hyperlink w:anchor="b282" w:history="1">
        <w:r>
          <w:rPr>
            <w:color w:val="0A3A8C"/>
            <w:u w:val="single"/>
          </w:rPr>
          <w:t xml:space="preserve">§ 155a</w:t>
        </w:r>
      </w:hyperlink>
      <w:r>
        <w:t xml:space="preserve"> eine Wiedergutmachung im Wege eines Täter-Opfer-Ausgleichs erreichen.</w:t>
      </w:r>
    </w:p>
    <w:p>
      <w:r>
        <w:t xml:space="preserve">(2) Liegen Anhaltspunkte für eine besondere Schutzbedürftigkeit des Verletzten vor, soll der Verletzte im weiteren Verfahren an geeigneter Stelle auf die Vorschriften hingewiesen werden, die seinem Schutze dienen, insbesondere auf </w:t>
      </w:r>
      <w:hyperlink w:anchor="b94" w:history="1">
        <w:r>
          <w:rPr>
            <w:color w:val="0A3A8C"/>
            <w:u w:val="single"/>
          </w:rPr>
          <w:t xml:space="preserve">§ 68a</w:t>
        </w:r>
      </w:hyperlink>
      <w:r>
        <w:t xml:space="preserve"> Absatz 1, die </w:t>
      </w:r>
      <w:hyperlink w:anchor="b389" w:history="1">
        <w:r>
          <w:rPr>
            <w:color w:val="0A3A8C"/>
            <w:u w:val="single"/>
          </w:rPr>
          <w:t xml:space="preserve">§§ 247</w:t>
        </w:r>
      </w:hyperlink>
      <w:r>
        <w:t xml:space="preserve"> und </w:t>
      </w:r>
      <w:hyperlink w:anchor="b390" w:history="1">
        <w:r>
          <w:rPr>
            <w:color w:val="0A3A8C"/>
            <w:u w:val="single"/>
          </w:rPr>
          <w:t xml:space="preserve">247a</w:t>
        </w:r>
      </w:hyperlink>
      <w:r>
        <w:t xml:space="preserve"> sowie die §§ 171b und 172 Nummer 1a des Gerichtsverfassungsgesetzes.</w:t>
      </w:r>
    </w:p>
    <w:p>
      <w:r>
        <w:t xml:space="preserve">(3) Minderjährige Verletzte und ihre Vertreter sollten darüber hinaus im weiteren Verfahren an geeigneter Stelle auf die Vorschriften hingewiesen werden, die ihrem Schutze dienen, insbesondere auf die </w:t>
      </w:r>
      <w:hyperlink w:anchor="b82" w:history="1">
        <w:r>
          <w:rPr>
            <w:color w:val="0A3A8C"/>
            <w:u w:val="single"/>
          </w:rPr>
          <w:t xml:space="preserve">§§ 58a</w:t>
        </w:r>
      </w:hyperlink>
      <w:r>
        <w:t xml:space="preserve"> und </w:t>
      </w:r>
      <w:hyperlink w:anchor="b399" w:history="1">
        <w:r>
          <w:rPr>
            <w:color w:val="0A3A8C"/>
            <w:u w:val="single"/>
          </w:rPr>
          <w:t xml:space="preserve">255a</w:t>
        </w:r>
      </w:hyperlink>
      <w:r>
        <w:t xml:space="preserve"> Absatz 2, wenn die Anwendung dieser Vorschriften in Betracht kommt, sowie auf </w:t>
      </w:r>
      <w:hyperlink w:anchor="b382" w:history="1">
        <w:r>
          <w:rPr>
            <w:color w:val="0A3A8C"/>
            <w:u w:val="single"/>
          </w:rPr>
          <w:t xml:space="preserve">§ 241a</w:t>
        </w:r>
      </w:hyperlink>
      <w:r>
        <w:t>.</w:t>
      </w:r>
    </w:p>
    <w:p>
      <w:pPr>
        <w:pStyle w:val="Heading3"/>
      </w:pPr>
      <w:bookmarkStart w:id="589" w:name="b588"/>
      <w:r>
        <w:t>§ 406j Unterrichtung des Verletzten über seine Befugnisse außerhalb des Strafverfahrens</w:t>
      </w:r>
      <w:r>
        <w:t xml:space="preserve"> </w:t>
      </w:r>
      <w:r>
        <w:rPr>
          <w:rStyle w:val="Suchmarke"/>
        </w:rPr>
        <w:t>#406j#</w:t>
      </w:r>
      <w:bookmarkEnd w:id="589"/>
    </w:p>
    <w:p>
      <w:r>
        <w:t>Verletzte sind möglichst frühzeitig, regelmäßig schriftlich und soweit möglich in einer für sie verständlichen Sprache über folgende Befugnisse zu unterrichten, die sie außerhalb des Strafverfahrens haben:</w:t>
      </w:r>
    </w:p>
    <w:p>
      <w:pPr>
        <w:tabs>
          <w:tab w:pos="567" w:val="left"/>
        </w:tabs>
        <w:ind w:left="567" w:hanging="567"/>
      </w:pPr>
      <w:r>
        <w:t>1.</w:t>
      </w:r>
      <w:r>
        <w:tab/>
      </w:r>
      <w:r>
        <w:t xml:space="preserve">sie können einen aus der Straftat erwachsenen vermögensrechtlichen Anspruch, soweit er nicht nach Maßgabe der </w:t>
      </w:r>
      <w:hyperlink w:anchor="b574" w:history="1">
        <w:r>
          <w:rPr>
            <w:color w:val="0A3A8C"/>
            <w:u w:val="single"/>
          </w:rPr>
          <w:t xml:space="preserve">§§ 403</w:t>
        </w:r>
      </w:hyperlink>
      <w:r>
        <w:t xml:space="preserve"> bis </w:t>
      </w:r>
      <w:hyperlink w:anchor="b580" w:history="1">
        <w:r>
          <w:rPr>
            <w:color w:val="0A3A8C"/>
            <w:u w:val="single"/>
          </w:rPr>
          <w:t xml:space="preserve">406c</w:t>
        </w:r>
      </w:hyperlink>
      <w:r>
        <w:t xml:space="preserve"> und des § 81 des Jugendgerichtsgesetzes im Strafverfahren geltend gemacht wird, auf dem Zivilrechtsweg geltend machen und dabei beantragen, dass ihnen für die Hinzuziehung eines anwaltlichen Beistands Prozesskostenhilfe bewilligt wird;</w:t>
      </w:r>
    </w:p>
    <w:p>
      <w:pPr>
        <w:tabs>
          <w:tab w:pos="567" w:val="left"/>
        </w:tabs>
        <w:ind w:left="567" w:hanging="567"/>
      </w:pPr>
      <w:r>
        <w:t>2.</w:t>
      </w:r>
      <w:r>
        <w:tab/>
      </w:r>
      <w:r>
        <w:t>sie können nach Maßgabe des Gewaltschutzgesetzes den Erlass von Anordnungen gegen den Beschuldigten beantragen;</w:t>
      </w:r>
    </w:p>
    <w:p>
      <w:pPr>
        <w:tabs>
          <w:tab w:pos="567" w:val="left"/>
        </w:tabs>
        <w:ind w:left="567" w:hanging="567"/>
      </w:pPr>
      <w:r>
        <w:t>3.</w:t>
      </w:r>
      <w:r>
        <w:tab/>
      </w:r>
      <w:r>
        <w:t>sie können nach Maßgabe des Vierzehnten Buches Sozialgesetzbuch einen Anspruch auf Soziale Entschädigung geltend machen;</w:t>
      </w:r>
    </w:p>
    <w:p>
      <w:pPr>
        <w:tabs>
          <w:tab w:pos="567" w:val="left"/>
        </w:tabs>
        <w:ind w:left="567" w:hanging="567"/>
      </w:pPr>
      <w:r>
        <w:t>4.</w:t>
      </w:r>
      <w:r>
        <w:tab/>
      </w:r>
      <w:r>
        <w:t>sie können nach Maßgabe von Verwaltungsvorschriften des Bundes oder der Länder gegebenenfalls Entschädigungsansprüche geltend machen;</w:t>
      </w:r>
    </w:p>
    <w:p>
      <w:pPr>
        <w:tabs>
          <w:tab w:pos="567" w:val="left"/>
        </w:tabs>
        <w:ind w:left="567" w:hanging="567"/>
      </w:pPr>
      <w:r>
        <w:t>5.</w:t>
      </w:r>
      <w:r>
        <w:tab/>
      </w:r>
      <w:r>
        <w:t>sie können Unterstützung und Hilfe durch Opferhilfeeinrichtungen erhalten, etwa</w:t>
      </w:r>
    </w:p>
    <w:p>
      <w:pPr>
        <w:tabs>
          <w:tab w:pos="1134" w:val="left"/>
        </w:tabs>
        <w:ind w:left="1134" w:hanging="567"/>
      </w:pPr>
      <w:r>
        <w:t>a)</w:t>
      </w:r>
      <w:r>
        <w:tab/>
      </w:r>
      <w:r>
        <w:t>in Form einer Beratung,</w:t>
      </w:r>
    </w:p>
    <w:p>
      <w:pPr>
        <w:tabs>
          <w:tab w:pos="1134" w:val="left"/>
        </w:tabs>
        <w:ind w:left="1134" w:hanging="567"/>
      </w:pPr>
      <w:r>
        <w:t>b)</w:t>
      </w:r>
      <w:r>
        <w:tab/>
      </w:r>
      <w:r>
        <w:t>durch Bereitstellung oder Vermittlung einer Unterkunft in einer Schutzeinrichtung oder</w:t>
      </w:r>
    </w:p>
    <w:p>
      <w:pPr>
        <w:tabs>
          <w:tab w:pos="1134" w:val="left"/>
        </w:tabs>
        <w:ind w:left="1134" w:hanging="567"/>
      </w:pPr>
      <w:r>
        <w:t>c)</w:t>
      </w:r>
      <w:r>
        <w:tab/>
      </w:r>
      <w:r>
        <w:t>durch Vermittlung von therapeutischen Angeboten wie medizinischer oder psychologischer Hilfe oder weiteren verfügbaren Unterstützungsangeboten im psychosozialen Bereich.</w:t>
      </w:r>
    </w:p>
    <w:p>
      <w:pPr>
        <w:pStyle w:val="Heading3"/>
      </w:pPr>
      <w:bookmarkStart w:id="590" w:name="b589"/>
      <w:r>
        <w:t>§ 406k Weitere Informationen</w:t>
      </w:r>
      <w:r>
        <w:t xml:space="preserve"> </w:t>
      </w:r>
      <w:r>
        <w:rPr>
          <w:rStyle w:val="Suchmarke"/>
        </w:rPr>
        <w:t>#406k#</w:t>
      </w:r>
      <w:bookmarkEnd w:id="590"/>
    </w:p>
    <w:p>
      <w:r>
        <w:t xml:space="preserve">(1) Die Informationen nach den </w:t>
      </w:r>
      <w:hyperlink w:anchor="b587" w:history="1">
        <w:r>
          <w:rPr>
            <w:color w:val="0A3A8C"/>
            <w:u w:val="single"/>
          </w:rPr>
          <w:t xml:space="preserve">§§ 406i</w:t>
        </w:r>
      </w:hyperlink>
      <w:r>
        <w:t xml:space="preserve"> und </w:t>
      </w:r>
      <w:hyperlink w:anchor="b588" w:history="1">
        <w:r>
          <w:rPr>
            <w:color w:val="0A3A8C"/>
            <w:u w:val="single"/>
          </w:rPr>
          <w:t xml:space="preserve">406j</w:t>
        </w:r>
      </w:hyperlink>
      <w:r>
        <w:t xml:space="preserve"> sollen jeweils Angaben dazu enthalten,</w:t>
      </w:r>
    </w:p>
    <w:p>
      <w:pPr>
        <w:tabs>
          <w:tab w:pos="567" w:val="left"/>
        </w:tabs>
        <w:ind w:left="567" w:hanging="567"/>
      </w:pPr>
      <w:r>
        <w:t>1.</w:t>
      </w:r>
      <w:r>
        <w:tab/>
      </w:r>
      <w:r>
        <w:t>an welche Stellen sich die Verletzten wenden können, um die beschriebenen Möglichkeiten wahrzunehmen, und</w:t>
      </w:r>
    </w:p>
    <w:p>
      <w:pPr>
        <w:tabs>
          <w:tab w:pos="567" w:val="left"/>
        </w:tabs>
        <w:ind w:left="567" w:hanging="567"/>
      </w:pPr>
      <w:r>
        <w:t>2.</w:t>
      </w:r>
      <w:r>
        <w:tab/>
      </w:r>
      <w:r>
        <w:t>wer die beschriebenen Angebote gegebenenfalls erbringt.</w:t>
      </w:r>
    </w:p>
    <w:p>
      <w:r>
        <w:t xml:space="preserve">(2) </w:t>
      </w:r>
      <w:r>
        <w:rPr>
          <w:rStyle w:val="Satznummer"/>
        </w:rPr>
        <w:t>1</w:t>
      </w:r>
      <w:r>
        <w:t xml:space="preserve">Liegen die Voraussetzungen einer bestimmten Befugnis im Einzelfall offensichtlich nicht vor, kann die betreffende Unterrichtung unterbleiben. </w:t>
      </w:r>
      <w:r>
        <w:rPr>
          <w:rStyle w:val="Satznummer"/>
        </w:rPr>
        <w:t>2</w:t>
      </w:r>
      <w:r>
        <w:t>Gegenüber Verletzten, die keine zustellungsfähige Anschrift angegeben haben, besteht keine schriftliche Hinweispflicht.</w:t>
      </w:r>
    </w:p>
    <w:p>
      <w:pPr>
        <w:pStyle w:val="Heading3"/>
      </w:pPr>
      <w:bookmarkStart w:id="591" w:name="b590"/>
      <w:r>
        <w:t>§ 406l Befugnisse von Angehörigen und Erben von Verletzten</w:t>
      </w:r>
      <w:r>
        <w:t xml:space="preserve"> </w:t>
      </w:r>
      <w:r>
        <w:rPr>
          <w:rStyle w:val="Suchmarke"/>
        </w:rPr>
        <w:t>#406l#</w:t>
      </w:r>
      <w:bookmarkEnd w:id="591"/>
    </w:p>
    <w:p>
      <w:hyperlink w:anchor="b587" w:history="1">
        <w:r>
          <w:rPr>
            <w:color w:val="0A3A8C"/>
            <w:u w:val="single"/>
          </w:rPr>
          <w:t xml:space="preserve">§ 406i</w:t>
        </w:r>
      </w:hyperlink>
      <w:r>
        <w:t xml:space="preserve"> Absatz 1 sowie die </w:t>
      </w:r>
      <w:hyperlink w:anchor="b588" w:history="1">
        <w:r>
          <w:rPr>
            <w:color w:val="0A3A8C"/>
            <w:u w:val="single"/>
          </w:rPr>
          <w:t xml:space="preserve">§§ 406j</w:t>
        </w:r>
      </w:hyperlink>
      <w:r>
        <w:t xml:space="preserve"> und </w:t>
      </w:r>
      <w:hyperlink w:anchor="b589" w:history="1">
        <w:r>
          <w:rPr>
            <w:color w:val="0A3A8C"/>
            <w:u w:val="single"/>
          </w:rPr>
          <w:t xml:space="preserve">406k</w:t>
        </w:r>
      </w:hyperlink>
      <w:r>
        <w:t xml:space="preserve"> gelten auch für Angehörige und Erben von Verletzten, soweit ihnen die entsprechenden Befugnisse zustehen.</w:t>
      </w:r>
    </w:p>
    <w:p>
      <w:pPr>
        <w:pStyle w:val="Heading1"/>
      </w:pPr>
      <w:bookmarkStart w:id="592" w:name="b591"/>
      <w:r>
        <w:t>Sechstes Buch Besondere Arten des Verfahrens</w:t>
      </w:r>
      <w:bookmarkEnd w:id="592"/>
    </w:p>
    <w:p>
      <w:pPr>
        <w:pStyle w:val="Heading2"/>
      </w:pPr>
      <w:bookmarkStart w:id="593" w:name="b592"/>
      <w:r>
        <w:t>Erster Abschnitt Verfahren bei Strafbefehlen</w:t>
      </w:r>
      <w:bookmarkEnd w:id="593"/>
    </w:p>
    <w:p>
      <w:pPr>
        <w:pStyle w:val="Heading3"/>
      </w:pPr>
      <w:bookmarkStart w:id="594" w:name="b593"/>
      <w:r>
        <w:t>§ 407 Zulässigkeit</w:t>
      </w:r>
      <w:r>
        <w:t xml:space="preserve"> </w:t>
      </w:r>
      <w:r>
        <w:rPr>
          <w:rStyle w:val="Suchmarke"/>
        </w:rPr>
        <w:t>#407#</w:t>
      </w:r>
      <w:bookmarkEnd w:id="594"/>
    </w:p>
    <w:p>
      <w:r>
        <w:t xml:space="preserve">(1) </w:t>
      </w:r>
      <w:r>
        <w:rPr>
          <w:rStyle w:val="Satznummer"/>
        </w:rPr>
        <w:t>1</w:t>
      </w:r>
      <w:r>
        <w:t xml:space="preserve">Im Verfahren vor dem Strafrichter und im Verfahren, das zur Zuständigkeit des Schöffengerichts gehört, können bei Vergehen auf schriftlichen Antrag der Staatsanwaltschaft die Rechtsfolgen der Tat durch schriftlichen Strafbefehl ohne Hauptverhandlung festgesetzt werden. </w:t>
      </w:r>
      <w:r>
        <w:rPr>
          <w:rStyle w:val="Satznummer"/>
        </w:rPr>
        <w:t>2</w:t>
      </w:r>
      <w:r>
        <w:t xml:space="preserve">Die Staatsanwaltschaft stellt diesen Antrag, wenn sie nach dem Ergebnis der Ermittlungen eine Hauptverhandlung nicht für erforderlich erachtet. </w:t>
      </w:r>
      <w:r>
        <w:rPr>
          <w:rStyle w:val="Satznummer"/>
        </w:rPr>
        <w:t>3</w:t>
      </w:r>
      <w:r>
        <w:t xml:space="preserve">Der Antrag ist auf bestimmte Rechtsfolgen zu richten. </w:t>
      </w:r>
      <w:r>
        <w:rPr>
          <w:rStyle w:val="Satznummer"/>
        </w:rPr>
        <w:t>4</w:t>
      </w:r>
      <w:r>
        <w:t>Durch ihn wird die öffentliche Klage erhoben.</w:t>
      </w:r>
    </w:p>
    <w:p>
      <w:r>
        <w:t xml:space="preserve">(2) </w:t>
      </w:r>
      <w:r>
        <w:rPr>
          <w:rStyle w:val="Satznummer"/>
        </w:rPr>
        <w:t>1</w:t>
      </w:r>
      <w:r>
        <w:t>Durch Strafbefehl dürfen nur die folgenden Rechtsfolgen der Tat, allein oder nebeneinander, festgesetzt werden:</w:t>
      </w:r>
    </w:p>
    <w:p>
      <w:pPr>
        <w:tabs>
          <w:tab w:pos="567" w:val="left"/>
        </w:tabs>
        <w:ind w:left="567" w:hanging="567"/>
      </w:pPr>
      <w:r>
        <w:t>1.</w:t>
      </w:r>
      <w:r>
        <w:tab/>
      </w:r>
      <w:r>
        <w:t>Geldstrafe, Verwarnung mit Strafvorbehalt, Fahrverbot, Einziehung, Vernichtung, Unbrauchbarmachung, Bekanntgabe der Verurteilung und Geldbuße gegen eine juristische Person oder Personenvereinigung,</w:t>
      </w:r>
    </w:p>
    <w:p>
      <w:pPr>
        <w:tabs>
          <w:tab w:pos="567" w:val="left"/>
        </w:tabs>
        <w:ind w:left="567" w:hanging="567"/>
      </w:pPr>
      <w:r>
        <w:t>2.</w:t>
      </w:r>
      <w:r>
        <w:tab/>
      </w:r>
      <w:r>
        <w:t>Entziehung der Fahrerlaubnis, bei der die Sperre nicht mehr als zwei Jahre beträgt,</w:t>
      </w:r>
    </w:p>
    <w:p>
      <w:pPr>
        <w:tabs>
          <w:tab w:pos="567" w:val="left"/>
        </w:tabs>
        <w:ind w:left="567" w:hanging="567"/>
      </w:pPr>
      <w:r>
        <w:t>2a.</w:t>
      </w:r>
      <w:r>
        <w:tab/>
      </w:r>
      <w:r>
        <w:t>Verbot des Haltens oder Betreuens von sowie des Handels oder des sonstigen berufsmäßigen Umgangs mit Tieren jeder oder einer bestimmten Art für die Dauer von einem Jahr bis zu drei Jahren sowie</w:t>
      </w:r>
    </w:p>
    <w:p>
      <w:pPr>
        <w:tabs>
          <w:tab w:pos="567" w:val="left"/>
        </w:tabs>
        <w:ind w:left="567" w:hanging="567"/>
      </w:pPr>
      <w:r>
        <w:t>3.</w:t>
      </w:r>
      <w:r>
        <w:tab/>
      </w:r>
      <w:r>
        <w:t>Absehen von Strafe.</w:t>
      </w:r>
    </w:p>
    <w:p>
      <w:r>
        <w:rPr>
          <w:rStyle w:val="Satznummer"/>
        </w:rPr>
        <w:t>2</w:t>
      </w:r>
      <w:r>
        <w:t>Hat der Angeschuldigte einen Verteidiger, so kann auch Freiheitsstrafe bis zu einem Jahr festgesetzt werden, wenn deren Vollstreckung zur Bewährung ausgesetzt wird.</w:t>
      </w:r>
    </w:p>
    <w:p>
      <w:r>
        <w:t>(3) Der vorherigen Anhörung des Angeschuldigten durch das Gericht (</w:t>
      </w:r>
      <w:hyperlink w:anchor="b48" w:history="1">
        <w:r>
          <w:rPr>
            <w:color w:val="0A3A8C"/>
            <w:u w:val="single"/>
          </w:rPr>
          <w:t xml:space="preserve">§ 33</w:t>
        </w:r>
      </w:hyperlink>
      <w:r>
        <w:t xml:space="preserve"> Abs. 3) bedarf es nicht.</w:t>
      </w:r>
    </w:p>
    <w:p>
      <w:pPr>
        <w:pStyle w:val="Heading3"/>
      </w:pPr>
      <w:bookmarkStart w:id="595" w:name="b594"/>
      <w:r>
        <w:t>§ 408 Richterliche Entscheidung über einen Strafbefehlsantrag</w:t>
      </w:r>
      <w:r>
        <w:t xml:space="preserve"> </w:t>
      </w:r>
      <w:r>
        <w:rPr>
          <w:rStyle w:val="Suchmarke"/>
        </w:rPr>
        <w:t>#408#</w:t>
      </w:r>
      <w:bookmarkEnd w:id="595"/>
    </w:p>
    <w:p>
      <w:r>
        <w:t xml:space="preserve">(1) </w:t>
      </w:r>
      <w:r>
        <w:rPr>
          <w:rStyle w:val="Satznummer"/>
        </w:rPr>
        <w:t>1</w:t>
      </w:r>
      <w:r>
        <w:t xml:space="preserve">Hält der Vorsitzende des Schöffengerichts die Zuständigkeit des Strafrichters für begründet, so gibt er die Sache durch Vermittlung der Staatsanwaltschaft an diesen ab; der Beschluß ist für den Strafrichter bindend, der Staatsanwaltschaft steht sofortige Beschwerde zu. </w:t>
      </w:r>
      <w:r>
        <w:rPr>
          <w:rStyle w:val="Satznummer"/>
        </w:rPr>
        <w:t>2</w:t>
      </w:r>
      <w:r>
        <w:t>Hält der Strafrichter die Zuständigkeit des Schöffengerichts für begründet, so legt er die Akten durch Vermittlung der Staatsanwaltschaft dessen Vorsitzenden zur Entscheidung vor.</w:t>
      </w:r>
    </w:p>
    <w:p>
      <w:r>
        <w:t xml:space="preserve">(2) </w:t>
      </w:r>
      <w:r>
        <w:rPr>
          <w:rStyle w:val="Satznummer"/>
        </w:rPr>
        <w:t>1</w:t>
      </w:r>
      <w:r>
        <w:t xml:space="preserve">Erachtet der Richter den Angeschuldigten nicht für hinreichend verdächtig, so lehnt er den Erlaß eines Strafbefehls ab. </w:t>
      </w:r>
      <w:r>
        <w:rPr>
          <w:rStyle w:val="Satznummer"/>
        </w:rPr>
        <w:t>2</w:t>
      </w:r>
      <w:r>
        <w:t>Die Entscheidung steht dem Beschluß gleich, durch den die Eröffnung des Hauptverfahrens abgelehnt worden ist (</w:t>
      </w:r>
      <w:hyperlink w:anchor="b332" w:history="1">
        <w:r>
          <w:rPr>
            <w:color w:val="0A3A8C"/>
            <w:u w:val="single"/>
          </w:rPr>
          <w:t xml:space="preserve">§§ 204</w:t>
        </w:r>
      </w:hyperlink>
      <w:r>
        <w:t xml:space="preserve">, </w:t>
      </w:r>
      <w:hyperlink w:anchor="b341" w:history="1">
        <w:r>
          <w:rPr>
            <w:color w:val="0A3A8C"/>
            <w:u w:val="single"/>
          </w:rPr>
          <w:t xml:space="preserve">210</w:t>
        </w:r>
      </w:hyperlink>
      <w:r>
        <w:t xml:space="preserve"> Abs. 2, </w:t>
      </w:r>
      <w:hyperlink w:anchor="b342" w:history="1">
        <w:r>
          <w:rPr>
            <w:color w:val="0A3A8C"/>
            <w:u w:val="single"/>
          </w:rPr>
          <w:t xml:space="preserve">§ 211</w:t>
        </w:r>
      </w:hyperlink>
      <w:r>
        <w:t>).</w:t>
      </w:r>
    </w:p>
    <w:p>
      <w:r>
        <w:t xml:space="preserve">(3) </w:t>
      </w:r>
      <w:r>
        <w:rPr>
          <w:rStyle w:val="Satznummer"/>
        </w:rPr>
        <w:t>1</w:t>
      </w:r>
      <w:r>
        <w:t xml:space="preserve">Der Richter hat dem Antrag der Staatsanwaltschaft zu entsprechen, wenn dem Erlaß des Strafbefehls keine Bedenken entgegenstehen. </w:t>
      </w:r>
      <w:r>
        <w:rPr>
          <w:rStyle w:val="Satznummer"/>
        </w:rPr>
        <w:t>2</w:t>
      </w:r>
      <w:r>
        <w:t xml:space="preserve">Er beraumt Hauptverhandlung an, wenn er Bedenken hat, ohne eine solche zu entscheiden, oder wenn er von der rechtlichen Beurteilung im Strafbefehlsantrag abweichen oder eine andere als die beantragte Rechtsfolge festsetzen will und die Staatsanwaltschaft bei ihrem Antrag beharrt. </w:t>
      </w:r>
      <w:r>
        <w:rPr>
          <w:rStyle w:val="Satznummer"/>
        </w:rPr>
        <w:t>3</w:t>
      </w:r>
      <w:r>
        <w:t>Mit der Ladung ist dem Angeklagten eine Abschrift des Strafbefehlsantrags ohne die beantragte Rechtsfolge mitzuteilen.</w:t>
      </w:r>
    </w:p>
    <w:p>
      <w:pPr>
        <w:pStyle w:val="Heading3"/>
      </w:pPr>
      <w:bookmarkStart w:id="596" w:name="b595"/>
      <w:r>
        <w:t>§ 408a Strafbefehlsantrag nach Eröffnung des Hauptverfahrens</w:t>
      </w:r>
      <w:r>
        <w:t xml:space="preserve"> </w:t>
      </w:r>
      <w:r>
        <w:rPr>
          <w:rStyle w:val="Suchmarke"/>
        </w:rPr>
        <w:t>#408a#</w:t>
      </w:r>
      <w:bookmarkEnd w:id="596"/>
    </w:p>
    <w:p>
      <w:r>
        <w:t xml:space="preserve">(1) </w:t>
      </w:r>
      <w:r>
        <w:rPr>
          <w:rStyle w:val="Satznummer"/>
        </w:rPr>
        <w:t>1</w:t>
      </w:r>
      <w:r>
        <w:t xml:space="preserve">Ist das Hauptverfahren bereits eröffnet, so kann im Verfahren vor dem Strafrichter und dem Schöffengericht die Staatsanwaltschaft einen Strafbefehlsantrag stellen, wenn die Voraussetzungen des </w:t>
      </w:r>
      <w:hyperlink w:anchor="b593" w:history="1">
        <w:r>
          <w:rPr>
            <w:color w:val="0A3A8C"/>
            <w:u w:val="single"/>
          </w:rPr>
          <w:t xml:space="preserve">§ 407</w:t>
        </w:r>
      </w:hyperlink>
      <w:r>
        <w:t xml:space="preserve"> Abs. 1 Satz 1 und 2 vorliegen und wenn der Durchführung einer Hauptverhandlung das Ausbleiben oder die Abwesenheit des Angeklagten oder ein anderer wichtiger Grund entgegensteht. </w:t>
      </w:r>
      <w:r>
        <w:rPr>
          <w:rStyle w:val="Satznummer"/>
        </w:rPr>
        <w:t>2</w:t>
      </w:r>
      <w:r>
        <w:t xml:space="preserve">In der Hauptverhandlung kann der Staatsanwalt den Antrag mündlich stellen; der wesentliche Inhalt des Strafbefehlsantrages ist in das Sitzungsprotokoll aufzunehmen. </w:t>
      </w:r>
      <w:r>
        <w:rPr>
          <w:rStyle w:val="Satznummer"/>
        </w:rPr>
        <w:t>3</w:t>
      </w:r>
      <w:hyperlink w:anchor="b593" w:history="1">
        <w:r>
          <w:rPr>
            <w:color w:val="0A3A8C"/>
            <w:u w:val="single"/>
          </w:rPr>
          <w:t xml:space="preserve">§ 407</w:t>
        </w:r>
      </w:hyperlink>
      <w:r>
        <w:t xml:space="preserve"> Abs. 1 Satz 4, </w:t>
      </w:r>
      <w:hyperlink w:anchor="b594" w:history="1">
        <w:r>
          <w:rPr>
            <w:color w:val="0A3A8C"/>
            <w:u w:val="single"/>
          </w:rPr>
          <w:t xml:space="preserve">§ 408</w:t>
        </w:r>
      </w:hyperlink>
      <w:r>
        <w:t xml:space="preserve"> finden keine Anwendung.</w:t>
      </w:r>
    </w:p>
    <w:p>
      <w:r>
        <w:t xml:space="preserve">(2) </w:t>
      </w:r>
      <w:r>
        <w:rPr>
          <w:rStyle w:val="Satznummer"/>
        </w:rPr>
        <w:t>1</w:t>
      </w:r>
      <w:r>
        <w:t xml:space="preserve">Der Richter hat dem Antrag zu entsprechen, wenn die Voraussetzungen des </w:t>
      </w:r>
      <w:hyperlink w:anchor="b594" w:history="1">
        <w:r>
          <w:rPr>
            <w:color w:val="0A3A8C"/>
            <w:u w:val="single"/>
          </w:rPr>
          <w:t xml:space="preserve">§ 408</w:t>
        </w:r>
      </w:hyperlink>
      <w:r>
        <w:t xml:space="preserve"> Abs. 3 Satz 1 vorliegen. </w:t>
      </w:r>
      <w:r>
        <w:rPr>
          <w:rStyle w:val="Satznummer"/>
        </w:rPr>
        <w:t>2</w:t>
      </w:r>
      <w:r>
        <w:t>Andernfalls lehnt er den Antrag durch unanfechtbaren Beschluß ab und setzt das Hauptverfahren fort.</w:t>
      </w:r>
    </w:p>
    <w:p>
      <w:pPr>
        <w:pStyle w:val="Heading3"/>
      </w:pPr>
      <w:bookmarkStart w:id="597" w:name="b596"/>
      <w:r>
        <w:t>§ 408b Bestellung eines Verteidigers bei beantragter Freiheitsstrafe</w:t>
      </w:r>
      <w:r>
        <w:t xml:space="preserve"> </w:t>
      </w:r>
      <w:r>
        <w:rPr>
          <w:rStyle w:val="Suchmarke"/>
        </w:rPr>
        <w:t>#408b#</w:t>
      </w:r>
      <w:bookmarkEnd w:id="597"/>
    </w:p>
    <w:p>
      <w:r>
        <w:t xml:space="preserve">Erwägt der Richter, dem Antrag der Staatsanwaltschaft auf Erlaß eines Strafbefehls mit der in </w:t>
      </w:r>
      <w:hyperlink w:anchor="b593" w:history="1">
        <w:r>
          <w:rPr>
            <w:color w:val="0A3A8C"/>
            <w:u w:val="single"/>
          </w:rPr>
          <w:t xml:space="preserve">§ 407</w:t>
        </w:r>
      </w:hyperlink>
      <w:r>
        <w:t xml:space="preserve"> Abs. 2 Satz 2 genannten Rechtsfolge zu entsprechen, so bestellt er dem Angeschuldigten, der noch keinen Verteidiger hat, einen Pflichtverteidiger.</w:t>
      </w:r>
    </w:p>
    <w:p>
      <w:pPr>
        <w:pStyle w:val="Heading3"/>
      </w:pPr>
      <w:bookmarkStart w:id="598" w:name="b597"/>
      <w:r>
        <w:t>§ 409 Inhalt des Strafbefehls</w:t>
      </w:r>
      <w:r>
        <w:t xml:space="preserve"> </w:t>
      </w:r>
      <w:r>
        <w:rPr>
          <w:rStyle w:val="Suchmarke"/>
        </w:rPr>
        <w:t>#409#</w:t>
      </w:r>
      <w:bookmarkEnd w:id="598"/>
    </w:p>
    <w:p>
      <w:r>
        <w:t xml:space="preserve">(1) </w:t>
      </w:r>
      <w:r>
        <w:rPr>
          <w:rStyle w:val="Satznummer"/>
        </w:rPr>
        <w:t>1</w:t>
      </w:r>
      <w:r>
        <w:t>Der Strafbefehl enthält</w:t>
      </w:r>
    </w:p>
    <w:p>
      <w:pPr>
        <w:tabs>
          <w:tab w:pos="567" w:val="left"/>
        </w:tabs>
        <w:ind w:left="567" w:hanging="567"/>
      </w:pPr>
      <w:r>
        <w:t>1.</w:t>
      </w:r>
      <w:r>
        <w:tab/>
      </w:r>
      <w:r>
        <w:t>die Angaben zur Person des Angeklagten und etwaiger Nebenbeteiligter,</w:t>
      </w:r>
    </w:p>
    <w:p>
      <w:pPr>
        <w:tabs>
          <w:tab w:pos="567" w:val="left"/>
        </w:tabs>
        <w:ind w:left="567" w:hanging="567"/>
      </w:pPr>
      <w:r>
        <w:t>2.</w:t>
      </w:r>
      <w:r>
        <w:tab/>
      </w:r>
      <w:r>
        <w:t>den Namen des Verteidigers,</w:t>
      </w:r>
    </w:p>
    <w:p>
      <w:pPr>
        <w:tabs>
          <w:tab w:pos="567" w:val="left"/>
        </w:tabs>
        <w:ind w:left="567" w:hanging="567"/>
      </w:pPr>
      <w:r>
        <w:t>3.</w:t>
      </w:r>
      <w:r>
        <w:tab/>
      </w:r>
      <w:r>
        <w:t>die Bezeichnung der Tat, die dem Angeklagten zur Last gelegt wird, Zeit und Ort ihrer Begehung und die Bezeichnung der gesetzlichen Merkmale der Straftat,</w:t>
      </w:r>
    </w:p>
    <w:p>
      <w:pPr>
        <w:tabs>
          <w:tab w:pos="567" w:val="left"/>
        </w:tabs>
        <w:ind w:left="567" w:hanging="567"/>
      </w:pPr>
      <w:r>
        <w:t>4.</w:t>
      </w:r>
      <w:r>
        <w:tab/>
      </w:r>
      <w:r>
        <w:t>die angewendeten Vorschriften nach Paragraph, Absatz, Nummer, Buchstabe und mit der Bezeichnung des Gesetzes,</w:t>
      </w:r>
    </w:p>
    <w:p>
      <w:pPr>
        <w:tabs>
          <w:tab w:pos="567" w:val="left"/>
        </w:tabs>
        <w:ind w:left="567" w:hanging="567"/>
      </w:pPr>
      <w:r>
        <w:t>5.</w:t>
      </w:r>
      <w:r>
        <w:tab/>
      </w:r>
      <w:r>
        <w:t>die Beweismittel,</w:t>
      </w:r>
    </w:p>
    <w:p>
      <w:pPr>
        <w:tabs>
          <w:tab w:pos="567" w:val="left"/>
        </w:tabs>
        <w:ind w:left="567" w:hanging="567"/>
      </w:pPr>
      <w:r>
        <w:t>6.</w:t>
      </w:r>
      <w:r>
        <w:tab/>
      </w:r>
      <w:r>
        <w:t>die Festsetzung der Rechtsfolgen,</w:t>
      </w:r>
    </w:p>
    <w:p>
      <w:pPr>
        <w:tabs>
          <w:tab w:pos="567" w:val="left"/>
        </w:tabs>
        <w:ind w:left="567" w:hanging="567"/>
      </w:pPr>
      <w:r>
        <w:t>7.</w:t>
      </w:r>
      <w:r>
        <w:tab/>
      </w:r>
      <w:r>
        <w:t xml:space="preserve">die Belehrung über die Möglichkeit des Einspruchs und die dafür vorgeschriebene Frist und Form sowie den Hinweis, daß der Strafbefehl rechtskräftig und vollstreckbar wird, soweit gegen ihn kein Einspruch nach </w:t>
      </w:r>
      <w:hyperlink w:anchor="b598" w:history="1">
        <w:r>
          <w:rPr>
            <w:color w:val="0A3A8C"/>
            <w:u w:val="single"/>
          </w:rPr>
          <w:t xml:space="preserve">§ 410</w:t>
        </w:r>
      </w:hyperlink>
      <w:r>
        <w:t xml:space="preserve"> eingelegt wird.</w:t>
      </w:r>
    </w:p>
    <w:p>
      <w:r>
        <w:rPr>
          <w:rStyle w:val="Satznummer"/>
        </w:rPr>
        <w:t>2</w:t>
      </w:r>
      <w:r>
        <w:t xml:space="preserve">Wird gegen den Angeklagten eine Freiheitsstrafe verhängt, wird er mit Strafvorbehalt verwarnt oder wird gegen ihn ein Fahrverbot angeordnet, so ist er zugleich nach </w:t>
      </w:r>
      <w:hyperlink w:anchor="b417" w:history="1">
        <w:r>
          <w:rPr>
            <w:color w:val="0A3A8C"/>
            <w:u w:val="single"/>
          </w:rPr>
          <w:t xml:space="preserve">§ 268a</w:t>
        </w:r>
      </w:hyperlink>
      <w:r>
        <w:t xml:space="preserve"> Abs. 3 oder </w:t>
      </w:r>
      <w:hyperlink w:anchor="b419" w:history="1">
        <w:r>
          <w:rPr>
            <w:color w:val="0A3A8C"/>
            <w:u w:val="single"/>
          </w:rPr>
          <w:t xml:space="preserve">§ 268c</w:t>
        </w:r>
      </w:hyperlink>
      <w:r>
        <w:t xml:space="preserve"> Satz 1 zu belehren. </w:t>
      </w:r>
      <w:r>
        <w:rPr>
          <w:rStyle w:val="Satznummer"/>
        </w:rPr>
        <w:t>3</w:t>
      </w:r>
      <w:hyperlink w:anchor="b415" w:history="1">
        <w:r>
          <w:rPr>
            <w:color w:val="0A3A8C"/>
            <w:u w:val="single"/>
          </w:rPr>
          <w:t xml:space="preserve">§ 267</w:t>
        </w:r>
      </w:hyperlink>
      <w:r>
        <w:t xml:space="preserve"> Abs. 6 Satz 2 gilt entsprechend.</w:t>
      </w:r>
    </w:p>
    <w:p>
      <w:r>
        <w:t>(2) Der Strafbefehl wird auch dem gesetzlichen Vertreter des Angeklagten mitgeteilt.</w:t>
      </w:r>
    </w:p>
    <w:p>
      <w:pPr>
        <w:pStyle w:val="Heading3"/>
      </w:pPr>
      <w:bookmarkStart w:id="599" w:name="b598"/>
      <w:r>
        <w:t>§ 410 Einspruch; Form und Frist des Einspruchs; Rechtskraft</w:t>
      </w:r>
      <w:r>
        <w:t xml:space="preserve"> </w:t>
      </w:r>
      <w:r>
        <w:rPr>
          <w:rStyle w:val="Suchmarke"/>
        </w:rPr>
        <w:t>#410#</w:t>
      </w:r>
      <w:bookmarkEnd w:id="599"/>
    </w:p>
    <w:p>
      <w:r>
        <w:t xml:space="preserve">(1) </w:t>
      </w:r>
      <w:r>
        <w:rPr>
          <w:rStyle w:val="Satznummer"/>
        </w:rPr>
        <w:t>1</w:t>
      </w:r>
      <w:r>
        <w:t xml:space="preserve">Der Angeklagte kann gegen den Strafbefehl innerhalb von zwei Wochen nach Zustellung bei dem Gericht, das den Strafbefehl erlassen hat, schriftlich oder zu Protokoll der Geschäftsstelle Einspruch einlegen. </w:t>
      </w:r>
      <w:r>
        <w:rPr>
          <w:rStyle w:val="Satznummer"/>
        </w:rPr>
        <w:t>2</w:t>
      </w:r>
      <w:r>
        <w:t xml:space="preserve">Die </w:t>
      </w:r>
      <w:hyperlink w:anchor="b447" w:history="1">
        <w:r>
          <w:rPr>
            <w:color w:val="0A3A8C"/>
            <w:u w:val="single"/>
          </w:rPr>
          <w:t xml:space="preserve">§§ 297</w:t>
        </w:r>
      </w:hyperlink>
      <w:r>
        <w:t xml:space="preserve"> bis </w:t>
      </w:r>
      <w:hyperlink w:anchor="b450" w:history="1">
        <w:r>
          <w:rPr>
            <w:color w:val="0A3A8C"/>
            <w:u w:val="single"/>
          </w:rPr>
          <w:t xml:space="preserve">300</w:t>
        </w:r>
      </w:hyperlink>
      <w:r>
        <w:t xml:space="preserve"> und </w:t>
      </w:r>
      <w:hyperlink w:anchor="b452" w:history="1">
        <w:r>
          <w:rPr>
            <w:color w:val="0A3A8C"/>
            <w:u w:val="single"/>
          </w:rPr>
          <w:t xml:space="preserve">§ 302</w:t>
        </w:r>
      </w:hyperlink>
      <w:r>
        <w:t xml:space="preserve"> Abs. 1 Satz 1, Abs. 2 gelten entsprechend.</w:t>
      </w:r>
    </w:p>
    <w:p>
      <w:r>
        <w:t>(2) Der Einspruch kann auf bestimmte Beschwerdepunkte beschränkt werden.</w:t>
      </w:r>
    </w:p>
    <w:p>
      <w:r>
        <w:t>(3) Soweit gegen einen Strafbefehl nicht rechtzeitig Einspruch erhoben worden ist, steht er einem rechtskräftigen Urteil gleich.</w:t>
      </w:r>
    </w:p>
    <w:p>
      <w:pPr>
        <w:pStyle w:val="Heading3"/>
      </w:pPr>
      <w:bookmarkStart w:id="600" w:name="b599"/>
      <w:r>
        <w:t>§ 411 Verwerfung wegen Unzulässigkeit; Termin zur Hauptverhandlung</w:t>
      </w:r>
      <w:r>
        <w:t xml:space="preserve"> </w:t>
      </w:r>
      <w:r>
        <w:rPr>
          <w:rStyle w:val="Suchmarke"/>
        </w:rPr>
        <w:t>#411#</w:t>
      </w:r>
      <w:bookmarkEnd w:id="600"/>
    </w:p>
    <w:p>
      <w:r>
        <w:t xml:space="preserve">(1) </w:t>
      </w:r>
      <w:r>
        <w:rPr>
          <w:rStyle w:val="Satznummer"/>
        </w:rPr>
        <w:t>1</w:t>
      </w:r>
      <w:r>
        <w:t xml:space="preserve">Ist der Einspruch verspätet eingelegt oder sonst unzulässig, so wird er ohne Hauptverhandlung durch Beschluß verworfen; gegen den Beschluß ist sofortige Beschwerde zulässig. </w:t>
      </w:r>
      <w:r>
        <w:rPr>
          <w:rStyle w:val="Satznummer"/>
        </w:rPr>
        <w:t>2</w:t>
      </w:r>
      <w:r>
        <w:t xml:space="preserve">Andernfalls wird Termin zur Hauptverhandlung anberaumt. </w:t>
      </w:r>
      <w:r>
        <w:rPr>
          <w:rStyle w:val="Satznummer"/>
        </w:rPr>
        <w:t>3</w:t>
      </w:r>
      <w:r>
        <w:t>Hat der Angeklagte seinen Einspruch auf die Höhe der Tagessätze einer festgesetzten Geldstrafe beschränkt, kann das Gericht mit Zustimmung des Angeklagten, des Verteidigers und der Staatsanwaltschaft ohne Hauptverhandlung durch Beschluss entscheiden; von der Festsetzung im Strafbefehl darf nicht zum Nachteil des Angeklagten abgewichen werden; gegen den Beschluss ist sofortige Beschwerde zulässig.</w:t>
      </w:r>
    </w:p>
    <w:p>
      <w:r>
        <w:t xml:space="preserve">(2) </w:t>
      </w:r>
      <w:r>
        <w:rPr>
          <w:rStyle w:val="Satznummer"/>
        </w:rPr>
        <w:t>1</w:t>
      </w:r>
      <w:r>
        <w:t xml:space="preserve">Der Angeklagte kann sich in der Hauptverhandlung durch einen Verteidiger mit nachgewiesener Vertretungsvollmacht vertreten lassen. </w:t>
      </w:r>
      <w:r>
        <w:rPr>
          <w:rStyle w:val="Satznummer"/>
        </w:rPr>
        <w:t>2</w:t>
      </w:r>
      <w:hyperlink w:anchor="b610" w:history="1">
        <w:r>
          <w:rPr>
            <w:color w:val="0A3A8C"/>
            <w:u w:val="single"/>
          </w:rPr>
          <w:t xml:space="preserve">§ 420</w:t>
        </w:r>
      </w:hyperlink>
      <w:r>
        <w:t xml:space="preserve"> ist anzuwenden.</w:t>
      </w:r>
    </w:p>
    <w:p>
      <w:r>
        <w:t xml:space="preserve">(3) </w:t>
      </w:r>
      <w:r>
        <w:rPr>
          <w:rStyle w:val="Satznummer"/>
        </w:rPr>
        <w:t>1</w:t>
      </w:r>
      <w:r>
        <w:t xml:space="preserve">Die Klage und der Einspruch können bis zur Verkündung des Urteils im ersten Rechtszug zurückgenommen werden. </w:t>
      </w:r>
      <w:r>
        <w:rPr>
          <w:rStyle w:val="Satznummer"/>
        </w:rPr>
        <w:t>2</w:t>
      </w:r>
      <w:hyperlink w:anchor="b453" w:history="1">
        <w:r>
          <w:rPr>
            <w:color w:val="0A3A8C"/>
            <w:u w:val="single"/>
          </w:rPr>
          <w:t xml:space="preserve">§ 303</w:t>
        </w:r>
      </w:hyperlink>
      <w:r>
        <w:t xml:space="preserve"> gilt entsprechend. </w:t>
      </w:r>
      <w:r>
        <w:rPr>
          <w:rStyle w:val="Satznummer"/>
        </w:rPr>
        <w:t>3</w:t>
      </w:r>
      <w:r>
        <w:t xml:space="preserve">Ist der Strafbefehl im Verfahren nach </w:t>
      </w:r>
      <w:hyperlink w:anchor="b595" w:history="1">
        <w:r>
          <w:rPr>
            <w:color w:val="0A3A8C"/>
            <w:u w:val="single"/>
          </w:rPr>
          <w:t xml:space="preserve">§ 408a</w:t>
        </w:r>
      </w:hyperlink>
      <w:r>
        <w:t xml:space="preserve"> erlassen worden, so kann die Klage nicht zurückgenommen werden.</w:t>
      </w:r>
    </w:p>
    <w:p>
      <w:r>
        <w:t>(4) Bei der Urteilsfällung ist das Gericht an den im Strafbefehl enthaltenen Ausspruch nicht gebunden, soweit Einspruch eingelegt ist.</w:t>
      </w:r>
    </w:p>
    <w:p>
      <w:pPr>
        <w:pStyle w:val="Heading3"/>
      </w:pPr>
      <w:bookmarkStart w:id="601" w:name="b600"/>
      <w:r>
        <w:t>§ 412 Ausbleiben des Angeklagten; Einspruchsverwerfung</w:t>
      </w:r>
      <w:r>
        <w:t xml:space="preserve"> </w:t>
      </w:r>
      <w:r>
        <w:rPr>
          <w:rStyle w:val="Suchmarke"/>
        </w:rPr>
        <w:t>#412#</w:t>
      </w:r>
      <w:bookmarkEnd w:id="601"/>
    </w:p>
    <w:p>
      <w:r>
        <w:rPr>
          <w:rStyle w:val="Satznummer"/>
        </w:rPr>
        <w:t>1</w:t>
      </w:r>
      <w:hyperlink w:anchor="b484" w:history="1">
        <w:r>
          <w:rPr>
            <w:color w:val="0A3A8C"/>
            <w:u w:val="single"/>
          </w:rPr>
          <w:t xml:space="preserve">§ 329</w:t>
        </w:r>
      </w:hyperlink>
      <w:r>
        <w:t xml:space="preserve"> Absatz 1, 3, 6 und 7 ist entsprechend anzuwenden. </w:t>
      </w:r>
      <w:r>
        <w:rPr>
          <w:rStyle w:val="Satznummer"/>
        </w:rPr>
        <w:t>2</w:t>
      </w:r>
      <w:r>
        <w:t xml:space="preserve">Hat der gesetzliche Vertreter Einspruch eingelegt, so ist auch </w:t>
      </w:r>
      <w:hyperlink w:anchor="b485" w:history="1">
        <w:r>
          <w:rPr>
            <w:color w:val="0A3A8C"/>
            <w:u w:val="single"/>
          </w:rPr>
          <w:t xml:space="preserve">§ 330</w:t>
        </w:r>
      </w:hyperlink>
      <w:r>
        <w:t xml:space="preserve"> entsprechend anzuwenden.</w:t>
      </w:r>
    </w:p>
    <w:p>
      <w:pPr>
        <w:pStyle w:val="Heading2"/>
      </w:pPr>
      <w:bookmarkStart w:id="602" w:name="b601"/>
      <w:r>
        <w:t>Zweiter Abschnitt Sicherungsverfahren</w:t>
      </w:r>
      <w:bookmarkEnd w:id="602"/>
    </w:p>
    <w:p>
      <w:pPr>
        <w:pStyle w:val="Heading3"/>
      </w:pPr>
      <w:bookmarkStart w:id="603" w:name="b602"/>
      <w:r>
        <w:t>§ 413 Zulässigkeit</w:t>
      </w:r>
      <w:r>
        <w:t xml:space="preserve"> </w:t>
      </w:r>
      <w:r>
        <w:rPr>
          <w:rStyle w:val="Suchmarke"/>
        </w:rPr>
        <w:t>#413#</w:t>
      </w:r>
      <w:bookmarkEnd w:id="603"/>
    </w:p>
    <w:p>
      <w:r>
        <w:t>Führt die Staatsanwaltschaft das Strafverfahren wegen Schuldunfähigkeit oder Verhandlungsunfähigkeit des Täters nicht durch, so kann sie den Antrag stellen, Maßregeln der Besserung und Sicherung sowie als Nebenfolge die Einziehung selbständig anzuordnen, wenn dies gesetzlich zulässig ist und die Anordnung nach dem Ergebnis der Ermittlungen zu erwarten ist (Sicherungsverfahren).</w:t>
      </w:r>
    </w:p>
    <w:p>
      <w:pPr>
        <w:pStyle w:val="Heading3"/>
      </w:pPr>
      <w:bookmarkStart w:id="604" w:name="b603"/>
      <w:r>
        <w:t>§ 414 Verfahren; Antragsschrift</w:t>
      </w:r>
      <w:r>
        <w:t xml:space="preserve"> </w:t>
      </w:r>
      <w:r>
        <w:rPr>
          <w:rStyle w:val="Suchmarke"/>
        </w:rPr>
        <w:t>#414#</w:t>
      </w:r>
      <w:bookmarkEnd w:id="604"/>
    </w:p>
    <w:p>
      <w:r>
        <w:t>(1) Für das Sicherungsverfahren gelten sinngemäß die Vorschriften über das Strafverfahren, soweit nichts anderes bestimmt ist.</w:t>
      </w:r>
    </w:p>
    <w:p>
      <w:r>
        <w:t xml:space="preserve">(2) </w:t>
      </w:r>
      <w:r>
        <w:rPr>
          <w:rStyle w:val="Satznummer"/>
        </w:rPr>
        <w:t>1</w:t>
      </w:r>
      <w:r>
        <w:t xml:space="preserve">Der Antrag steht der öffentlichen Klage gleich. </w:t>
      </w:r>
      <w:r>
        <w:rPr>
          <w:rStyle w:val="Satznummer"/>
        </w:rPr>
        <w:t>2</w:t>
      </w:r>
      <w:r>
        <w:t xml:space="preserve">An die Stelle der Anklageschrift tritt eine Antragsschrift, die den Erfordernissen der Anklageschrift entsprechen muß. </w:t>
      </w:r>
      <w:r>
        <w:rPr>
          <w:rStyle w:val="Satznummer"/>
        </w:rPr>
        <w:t>3</w:t>
      </w:r>
      <w:r>
        <w:t xml:space="preserve">In der Antragsschrift ist die Maßregel der Besserung und Sicherung zu bezeichnen, deren Anordnung die Staatsanwaltschaft beantragt. </w:t>
      </w:r>
      <w:r>
        <w:rPr>
          <w:rStyle w:val="Satznummer"/>
        </w:rPr>
        <w:t>4</w:t>
      </w:r>
      <w:r>
        <w:t>Wird im Urteil eine Maßregel der Besserung und Sicherung nicht angeordnet, so ist auf Ablehnung des Antrages zu erkennen.</w:t>
      </w:r>
    </w:p>
    <w:p>
      <w:r>
        <w:t>(3) Im Vorverfahren soll einem Sachverständigen Gelegenheit zur Vorbereitung des in der Hauptverhandlung zu erstattenden Gutachtens gegeben werden.</w:t>
      </w:r>
    </w:p>
    <w:p>
      <w:pPr>
        <w:pStyle w:val="Heading3"/>
      </w:pPr>
      <w:bookmarkStart w:id="605" w:name="b604"/>
      <w:r>
        <w:t>§ 415 Hauptverhandlung ohne Beschuldigten</w:t>
      </w:r>
      <w:r>
        <w:t xml:space="preserve"> </w:t>
      </w:r>
      <w:r>
        <w:rPr>
          <w:rStyle w:val="Suchmarke"/>
        </w:rPr>
        <w:t>#415#</w:t>
      </w:r>
      <w:bookmarkEnd w:id="605"/>
    </w:p>
    <w:p>
      <w:r>
        <w:t>(1) Ist im Sicherungsverfahren das Erscheinen des Beschuldigten vor Gericht wegen seines Zustandes unmöglich oder aus Gründen der öffentlichen Sicherheit oder Ordnung unangebracht, so kann das Gericht die Hauptverhandlung durchführen, ohne daß der Beschuldigte zugegen ist.</w:t>
      </w:r>
    </w:p>
    <w:p>
      <w:r>
        <w:t xml:space="preserve">(2) </w:t>
      </w:r>
      <w:r>
        <w:rPr>
          <w:rStyle w:val="Satznummer"/>
        </w:rPr>
        <w:t>1</w:t>
      </w:r>
      <w:r>
        <w:t xml:space="preserve">In diesem Falle ist der Beschuldigte vor der Hauptverhandlung durch einen beauftragten Richter unter Zuziehung eines Sachverständigen zu vernehmen. </w:t>
      </w:r>
      <w:r>
        <w:rPr>
          <w:rStyle w:val="Satznummer"/>
        </w:rPr>
        <w:t>2</w:t>
      </w:r>
      <w:r>
        <w:t xml:space="preserve">Von dem Vernehmungstermin sind die Staatsanwaltschaft, der Beschuldigte, der Verteidiger und der gesetzliche Vertreter zu benachrichtigen. </w:t>
      </w:r>
      <w:r>
        <w:rPr>
          <w:rStyle w:val="Satznummer"/>
        </w:rPr>
        <w:t>3</w:t>
      </w:r>
      <w:r>
        <w:t>Der Anwesenheit des Staatsanwalts, des Verteidigers und des gesetzlichen Vertreters bei der Vernehmung bedarf es nicht.</w:t>
      </w:r>
    </w:p>
    <w:p>
      <w:r>
        <w:t>(3) Fordert es die Rücksicht auf den Zustand des Beschuldigten oder ist eine ordnungsgemäße Durchführung der Hauptverhandlung sonst nicht möglich, so kann das Gericht im Sicherungsverfahren nach der Vernehmung des Beschuldigten zur Sache die Hauptverhandlung durchführen, auch wenn der Beschuldigte nicht oder nur zeitweise zugegen ist.</w:t>
      </w:r>
    </w:p>
    <w:p>
      <w:r>
        <w:t xml:space="preserve">(4) </w:t>
      </w:r>
      <w:r>
        <w:rPr>
          <w:rStyle w:val="Satznummer"/>
        </w:rPr>
        <w:t>1</w:t>
      </w:r>
      <w:r>
        <w:t xml:space="preserve">Soweit eine Hauptverhandlung ohne den Beschuldigten stattfindet, können seine früheren Erklärungen, die in einem richterlichen Protokoll enthalten sind, verlesen werden. </w:t>
      </w:r>
      <w:r>
        <w:rPr>
          <w:rStyle w:val="Satznummer"/>
        </w:rPr>
        <w:t>2</w:t>
      </w:r>
      <w:r>
        <w:t>Das Protokoll über die Vorvernehmung nach Absatz 2 Satz 1 ist zu verlesen.</w:t>
      </w:r>
    </w:p>
    <w:p>
      <w:r>
        <w:t xml:space="preserve">(5) </w:t>
      </w:r>
      <w:r>
        <w:rPr>
          <w:rStyle w:val="Satznummer"/>
        </w:rPr>
        <w:t>1</w:t>
      </w:r>
      <w:r>
        <w:t xml:space="preserve">In der Hauptverhandlung ist ein Sachverständiger über den Zustand des Beschuldigten zu vernehmen. </w:t>
      </w:r>
      <w:r>
        <w:rPr>
          <w:rStyle w:val="Satznummer"/>
        </w:rPr>
        <w:t>2</w:t>
      </w:r>
      <w:r>
        <w:t>Hat der Sachverständige den Beschuldigten nicht schon früher untersucht, so soll ihm dazu vor der Hauptverhandlung Gelegenheit gegeben werden.</w:t>
      </w:r>
    </w:p>
    <w:p>
      <w:pPr>
        <w:pStyle w:val="Heading3"/>
      </w:pPr>
      <w:bookmarkStart w:id="606" w:name="b605"/>
      <w:r>
        <w:t>§ 416 Übergang in das Strafverfahren</w:t>
      </w:r>
      <w:r>
        <w:t xml:space="preserve"> </w:t>
      </w:r>
      <w:r>
        <w:rPr>
          <w:rStyle w:val="Suchmarke"/>
        </w:rPr>
        <w:t>#416#</w:t>
      </w:r>
      <w:bookmarkEnd w:id="606"/>
    </w:p>
    <w:p>
      <w:r>
        <w:t xml:space="preserve">(1) </w:t>
      </w:r>
      <w:r>
        <w:rPr>
          <w:rStyle w:val="Satznummer"/>
        </w:rPr>
        <w:t>1</w:t>
      </w:r>
      <w:r>
        <w:t xml:space="preserve">Ergibt sich im Sicherungsverfahren nach Eröffnung des Hauptverfahrens die Schuldfähigkeit des Beschuldigten und ist das Gericht für das Strafverfahren nicht zuständig, so spricht es durch Beschluß seine Unzuständigkeit aus und verweist die Sache an das zuständige Gericht. </w:t>
      </w:r>
      <w:r>
        <w:rPr>
          <w:rStyle w:val="Satznummer"/>
        </w:rPr>
        <w:t>2</w:t>
      </w:r>
      <w:hyperlink w:anchor="b422" w:history="1">
        <w:r>
          <w:rPr>
            <w:color w:val="0A3A8C"/>
            <w:u w:val="single"/>
          </w:rPr>
          <w:t xml:space="preserve">§ 270</w:t>
        </w:r>
      </w:hyperlink>
      <w:r>
        <w:t xml:space="preserve"> Abs. 2 und 3 gilt entsprechend.</w:t>
      </w:r>
    </w:p>
    <w:p>
      <w:r>
        <w:t xml:space="preserve">(2) </w:t>
      </w:r>
      <w:r>
        <w:rPr>
          <w:rStyle w:val="Satznummer"/>
        </w:rPr>
        <w:t>1</w:t>
      </w:r>
      <w:r>
        <w:t xml:space="preserve">Ergibt sich im Sicherungsverfahren nach Eröffnung des Hauptverfahrens die Schuldfähigkeit des Beschuldigten und ist das Gericht auch für das Strafverfahren zuständig, so ist der Beschuldigte auf die veränderte Rechtslage hinzuweisen und ihm Gelegenheit zur Verteidigung zu geben. </w:t>
      </w:r>
      <w:r>
        <w:rPr>
          <w:rStyle w:val="Satznummer"/>
        </w:rPr>
        <w:t>2</w:t>
      </w:r>
      <w:r>
        <w:t xml:space="preserve">Behauptet er, auf die Verteidigung nicht genügend vorbereitet zu sein, so ist auf seinen Antrag die Hauptverhandlung auszusetzen. </w:t>
      </w:r>
      <w:r>
        <w:rPr>
          <w:rStyle w:val="Satznummer"/>
        </w:rPr>
        <w:t>3</w:t>
      </w:r>
      <w:r>
        <w:t>Ist auf Grund des § 415 in Abwesenheit des Beschuldigten verhandelt worden, so sind diejenigen Teile der Hauptverhandlung zu wiederholen, bei denen der Beschuldigte nicht zugegen war.</w:t>
      </w:r>
    </w:p>
    <w:p>
      <w:r>
        <w:t>(3) Die Absätze 1 und 2 gelten entsprechend, wenn sich im Sicherungsverfahren nach Eröffnung des Hauptverfahrens ergibt, daß der Beschuldigte verhandlungsfähig ist und das Sicherungsverfahren wegen seiner Verhandlungsunfähigkeit durchgeführt wird.</w:t>
      </w:r>
    </w:p>
    <w:p>
      <w:pPr>
        <w:pStyle w:val="Heading2"/>
      </w:pPr>
      <w:bookmarkStart w:id="607" w:name="b606"/>
      <w:r>
        <w:t>Abschnitt 2a Beschleunigtes Verfahren</w:t>
      </w:r>
      <w:bookmarkEnd w:id="607"/>
    </w:p>
    <w:p>
      <w:pPr>
        <w:pStyle w:val="Heading3"/>
      </w:pPr>
      <w:bookmarkStart w:id="608" w:name="b607"/>
      <w:r>
        <w:t>§ 417 Zulässigkeit</w:t>
      </w:r>
      <w:r>
        <w:t xml:space="preserve"> </w:t>
      </w:r>
      <w:r>
        <w:rPr>
          <w:rStyle w:val="Suchmarke"/>
        </w:rPr>
        <w:t>#417#</w:t>
      </w:r>
      <w:bookmarkEnd w:id="608"/>
    </w:p>
    <w:p>
      <w:r>
        <w:t>Im Verfahren vor dem Strafrichter und dem Schöffengericht stellt die Staatsanwaltschaft schriftlich oder mündlich den Antrag auf Entscheidung im beschleunigten Verfahren, wenn die Sache auf Grund des einfachen Sachverhalts oder der klaren Beweislage zur sofortigen Verhandlung geeignet ist.</w:t>
      </w:r>
    </w:p>
    <w:p>
      <w:pPr>
        <w:pStyle w:val="Heading3"/>
      </w:pPr>
      <w:bookmarkStart w:id="609" w:name="b608"/>
      <w:r>
        <w:t>§ 418 Durchführung der Hauptverhandlung</w:t>
      </w:r>
      <w:r>
        <w:t xml:space="preserve"> </w:t>
      </w:r>
      <w:r>
        <w:rPr>
          <w:rStyle w:val="Suchmarke"/>
        </w:rPr>
        <w:t>#418#</w:t>
      </w:r>
      <w:bookmarkEnd w:id="609"/>
    </w:p>
    <w:p>
      <w:r>
        <w:t xml:space="preserve">(1) </w:t>
      </w:r>
      <w:r>
        <w:rPr>
          <w:rStyle w:val="Satznummer"/>
        </w:rPr>
        <w:t>1</w:t>
      </w:r>
      <w:r>
        <w:t xml:space="preserve">Stellt die Staatsanwaltschaft den Antrag, so wird die Hauptverhandlung sofort oder in kurzer Frist durchgeführt, ohne daß es einer Entscheidung über die Eröffnung des Hauptverfahrens bedarf. </w:t>
      </w:r>
      <w:r>
        <w:rPr>
          <w:rStyle w:val="Satznummer"/>
        </w:rPr>
        <w:t>2</w:t>
      </w:r>
      <w:r>
        <w:t>Zwischen dem Eingang des Antrags bei Gericht und dem Beginn der Hauptverhandlung sollen nicht mehr als sechs Wochen liegen.</w:t>
      </w:r>
    </w:p>
    <w:p>
      <w:r>
        <w:t xml:space="preserve">(2) </w:t>
      </w:r>
      <w:r>
        <w:rPr>
          <w:rStyle w:val="Satznummer"/>
        </w:rPr>
        <w:t>1</w:t>
      </w:r>
      <w:r>
        <w:t xml:space="preserve">Der Beschuldigte wird nur dann geladen, wenn er sich nicht freiwillig zur Hauptverhandlung stellt oder nicht dem Gericht vorgeführt wird. </w:t>
      </w:r>
      <w:r>
        <w:rPr>
          <w:rStyle w:val="Satznummer"/>
        </w:rPr>
        <w:t>2</w:t>
      </w:r>
      <w:r>
        <w:t xml:space="preserve">Mit der Ladung wird ihm mitgeteilt, was ihm zur Last gelegt wird. </w:t>
      </w:r>
      <w:r>
        <w:rPr>
          <w:rStyle w:val="Satznummer"/>
        </w:rPr>
        <w:t>3</w:t>
      </w:r>
      <w:r>
        <w:t>Die Ladungsfrist beträgt vierundzwanzig Stunden.</w:t>
      </w:r>
    </w:p>
    <w:p>
      <w:r>
        <w:t xml:space="preserve">(3) </w:t>
      </w:r>
      <w:r>
        <w:rPr>
          <w:rStyle w:val="Satznummer"/>
        </w:rPr>
        <w:t>1</w:t>
      </w:r>
      <w:r>
        <w:t xml:space="preserve">Der Einreichung einer Anklageschrift bedarf es nicht. </w:t>
      </w:r>
      <w:r>
        <w:rPr>
          <w:rStyle w:val="Satznummer"/>
        </w:rPr>
        <w:t>2</w:t>
      </w:r>
      <w:r>
        <w:t xml:space="preserve">Wird eine solche nicht eingereicht, so wird die Anklage bei Beginn der Hauptverhandlung mündlich erhoben und ihr wesentlicher Inhalt in das Sitzungsprotokoll aufgenommen. </w:t>
      </w:r>
      <w:r>
        <w:rPr>
          <w:rStyle w:val="Satznummer"/>
        </w:rPr>
        <w:t>3</w:t>
      </w:r>
      <w:hyperlink w:anchor="b595" w:history="1">
        <w:r>
          <w:rPr>
            <w:color w:val="0A3A8C"/>
            <w:u w:val="single"/>
          </w:rPr>
          <w:t xml:space="preserve">§ 408a</w:t>
        </w:r>
      </w:hyperlink>
      <w:r>
        <w:t xml:space="preserve"> gilt entsprechend.</w:t>
      </w:r>
    </w:p>
    <w:p>
      <w:r>
        <w:t>(4) Ist eine Freiheitsstrafe von mindestens sechs Monaten zu erwarten, so wird dem Beschuldigten, der noch keinen Verteidiger hat, für das beschleunigte Verfahren vor dem Amtsgericht ein Verteidiger bestellt.</w:t>
      </w:r>
    </w:p>
    <w:p>
      <w:pPr>
        <w:pStyle w:val="Heading3"/>
      </w:pPr>
      <w:bookmarkStart w:id="610" w:name="b609"/>
      <w:r>
        <w:t>§ 419 Entscheidung des Gerichts; Strafmaß</w:t>
      </w:r>
      <w:r>
        <w:t xml:space="preserve"> </w:t>
      </w:r>
      <w:r>
        <w:rPr>
          <w:rStyle w:val="Suchmarke"/>
        </w:rPr>
        <w:t>#419#</w:t>
      </w:r>
      <w:bookmarkEnd w:id="610"/>
    </w:p>
    <w:p>
      <w:r>
        <w:t xml:space="preserve">(1) </w:t>
      </w:r>
      <w:r>
        <w:rPr>
          <w:rStyle w:val="Satznummer"/>
        </w:rPr>
        <w:t>1</w:t>
      </w:r>
      <w:r>
        <w:t xml:space="preserve">Der Strafrichter oder das Schöffengericht hat dem Antrag zu entsprechen, wenn sich die Sache zur Verhandlung in diesem Verfahren eignet. </w:t>
      </w:r>
      <w:r>
        <w:rPr>
          <w:rStyle w:val="Satznummer"/>
        </w:rPr>
        <w:t>2</w:t>
      </w:r>
      <w:r>
        <w:t xml:space="preserve">Eine höhere Freiheitsstrafe als Freiheitsstrafe von einem Jahr oder eine Maßregel der Besserung und Sicherung darf in diesem Verfahren nicht verhängt werden. </w:t>
      </w:r>
      <w:r>
        <w:rPr>
          <w:rStyle w:val="Satznummer"/>
        </w:rPr>
        <w:t>3</w:t>
      </w:r>
      <w:r>
        <w:t>Die Entziehung der Fahrerlaubnis ist zulässig.</w:t>
      </w:r>
    </w:p>
    <w:p>
      <w:r>
        <w:t xml:space="preserve">(2) </w:t>
      </w:r>
      <w:r>
        <w:rPr>
          <w:rStyle w:val="Satznummer"/>
        </w:rPr>
        <w:t>1</w:t>
      </w:r>
      <w:r>
        <w:t xml:space="preserve">Die Entscheidung im beschleunigten Verfahren kann auch in der Hauptverhandlung bis zur Verkündung des Urteils abgelehnt werden. </w:t>
      </w:r>
      <w:r>
        <w:rPr>
          <w:rStyle w:val="Satznummer"/>
        </w:rPr>
        <w:t>2</w:t>
      </w:r>
      <w:r>
        <w:t>Der Beschluß ist nicht anfechtbar.</w:t>
      </w:r>
    </w:p>
    <w:p>
      <w:r>
        <w:t>(3) Wird die Entscheidung im beschleunigten Verfahren abgelehnt, so beschließt das Gericht die Eröffnung des Hauptverfahrens, wenn der Angeschuldigte einer Straftat hinreichend verdächtig erscheint (</w:t>
      </w:r>
      <w:hyperlink w:anchor="b331" w:history="1">
        <w:r>
          <w:rPr>
            <w:color w:val="0A3A8C"/>
            <w:u w:val="single"/>
          </w:rPr>
          <w:t xml:space="preserve">§ 203</w:t>
        </w:r>
      </w:hyperlink>
      <w:r>
        <w:t>); wird nicht eröffnet und die Entscheidung im beschleunigten Verfahren abgelehnt, so kann von der Einreichung einer neuen Anklageschrift abgesehen werden.</w:t>
      </w:r>
    </w:p>
    <w:p>
      <w:pPr>
        <w:pStyle w:val="Heading3"/>
      </w:pPr>
      <w:bookmarkStart w:id="611" w:name="b610"/>
      <w:r>
        <w:t>§ 420 Beweisaufnahme</w:t>
      </w:r>
      <w:r>
        <w:t xml:space="preserve"> </w:t>
      </w:r>
      <w:r>
        <w:rPr>
          <w:rStyle w:val="Suchmarke"/>
        </w:rPr>
        <w:t>#420#</w:t>
      </w:r>
      <w:bookmarkEnd w:id="611"/>
    </w:p>
    <w:p>
      <w:r>
        <w:t>(1) Die Vernehmung eines Zeugen, Sachverständigen oder Mitbeschuldigten darf durch Verlesung von Protokollen über eine frühere Vernehmung sowie von Urkunden, die eine von ihnen erstellte Äußerung enthalten, ersetzt werden.</w:t>
      </w:r>
    </w:p>
    <w:p>
      <w:r>
        <w:t xml:space="preserve">(2) Erklärungen von Behörden und sonstigen Stellen über ihre dienstlichen Wahrnehmungen, Untersuchungen und Erkenntnisse sowie über diejenigen ihrer Angehörigen dürfen auch dann verlesen werden, wenn die Voraussetzungen des </w:t>
      </w:r>
      <w:hyperlink w:anchor="b400" w:history="1">
        <w:r>
          <w:rPr>
            <w:color w:val="0A3A8C"/>
            <w:u w:val="single"/>
          </w:rPr>
          <w:t xml:space="preserve">§ 256</w:t>
        </w:r>
      </w:hyperlink>
      <w:r>
        <w:t xml:space="preserve"> nicht vorliegen.</w:t>
      </w:r>
    </w:p>
    <w:p>
      <w:r>
        <w:t>(3) Das Verfahren nach den Absätzen 1 und 2 bedarf der Zustimmung des Angeklagten, des Verteidigers und der Staatsanwaltschaft, soweit sie in der Hauptverhandlung anwesend sind.</w:t>
      </w:r>
    </w:p>
    <w:p>
      <w:r>
        <w:t>(4) Im Verfahren vor dem Strafrichter bestimmt dieser unbeschadet des § 244 Abs. 2 den Umfang der Beweisaufnahme.</w:t>
      </w:r>
    </w:p>
    <w:p>
      <w:pPr>
        <w:pStyle w:val="Heading2"/>
      </w:pPr>
      <w:bookmarkStart w:id="612" w:name="b611"/>
      <w:r>
        <w:t>Dritter Abschnitt Verfahren bei Einziehung und Vermögensbeschlagnahme</w:t>
      </w:r>
      <w:bookmarkEnd w:id="612"/>
    </w:p>
    <w:p>
      <w:pPr>
        <w:pStyle w:val="Heading3"/>
      </w:pPr>
      <w:bookmarkStart w:id="613" w:name="b612"/>
      <w:r>
        <w:t>§ 421 Absehen von der Einziehung</w:t>
      </w:r>
      <w:r>
        <w:t xml:space="preserve"> </w:t>
      </w:r>
      <w:r>
        <w:rPr>
          <w:rStyle w:val="Suchmarke"/>
        </w:rPr>
        <w:t>#421#</w:t>
      </w:r>
      <w:bookmarkEnd w:id="613"/>
    </w:p>
    <w:p>
      <w:r>
        <w:t>(1) Das Gericht kann mit Zustimmung der Staatsanwaltschaft von der Einziehung absehen, wenn</w:t>
      </w:r>
    </w:p>
    <w:p>
      <w:pPr>
        <w:tabs>
          <w:tab w:pos="567" w:val="left"/>
        </w:tabs>
        <w:ind w:left="567" w:hanging="567"/>
      </w:pPr>
      <w:r>
        <w:t>1.</w:t>
      </w:r>
      <w:r>
        <w:tab/>
      </w:r>
      <w:r>
        <w:t>das Erlangte nur einen geringen Wert hat,</w:t>
      </w:r>
    </w:p>
    <w:p>
      <w:pPr>
        <w:tabs>
          <w:tab w:pos="567" w:val="left"/>
        </w:tabs>
        <w:ind w:left="567" w:hanging="567"/>
      </w:pPr>
      <w:r>
        <w:t>2.</w:t>
      </w:r>
      <w:r>
        <w:tab/>
      </w:r>
      <w:r>
        <w:t>die Einziehung nach den §§ 74 und 74c des Strafgesetzbuchs neben der zu erwartenden Strafe oder Maßregel der Besserung und Sicherung nicht ins Gewicht fällt oder</w:t>
      </w:r>
    </w:p>
    <w:p>
      <w:pPr>
        <w:tabs>
          <w:tab w:pos="567" w:val="left"/>
        </w:tabs>
        <w:ind w:left="567" w:hanging="567"/>
      </w:pPr>
      <w:r>
        <w:t>3.</w:t>
      </w:r>
      <w:r>
        <w:tab/>
      </w:r>
      <w:r>
        <w:t>das Verfahren, soweit es die Einziehung betrifft, einen unangemessenen Aufwand erfordern oder die Herbeiführung der Entscheidung über die anderen Rechtsfolgen der Tat unangemessen erschweren würde.</w:t>
      </w:r>
    </w:p>
    <w:p>
      <w:r>
        <w:t xml:space="preserve">(2) </w:t>
      </w:r>
      <w:r>
        <w:rPr>
          <w:rStyle w:val="Satznummer"/>
        </w:rPr>
        <w:t>1</w:t>
      </w:r>
      <w:r>
        <w:t xml:space="preserve">Das Gericht kann die Wiedereinbeziehung in jeder Lage des Verfahrens anordnen. </w:t>
      </w:r>
      <w:r>
        <w:rPr>
          <w:rStyle w:val="Satznummer"/>
        </w:rPr>
        <w:t>2</w:t>
      </w:r>
      <w:r>
        <w:t xml:space="preserve">Einem darauf gerichteten Antrag der Staatsanwaltschaft hat es zu entsprechen. </w:t>
      </w:r>
      <w:r>
        <w:rPr>
          <w:rStyle w:val="Satznummer"/>
        </w:rPr>
        <w:t>3</w:t>
      </w:r>
      <w:hyperlink w:anchor="b412" w:history="1">
        <w:r>
          <w:rPr>
            <w:color w:val="0A3A8C"/>
            <w:u w:val="single"/>
          </w:rPr>
          <w:t xml:space="preserve">§ 265</w:t>
        </w:r>
      </w:hyperlink>
      <w:r>
        <w:t xml:space="preserve"> gilt entsprechend.</w:t>
      </w:r>
    </w:p>
    <w:p>
      <w:r>
        <w:t xml:space="preserve">(3) </w:t>
      </w:r>
      <w:r>
        <w:rPr>
          <w:rStyle w:val="Satznummer"/>
        </w:rPr>
        <w:t>1</w:t>
      </w:r>
      <w:r>
        <w:t xml:space="preserve">Im vorbereitenden Verfahren kann die Staatsanwaltschaft das Verfahren auf die anderen Rechtsfolgen beschränken. </w:t>
      </w:r>
      <w:r>
        <w:rPr>
          <w:rStyle w:val="Satznummer"/>
        </w:rPr>
        <w:t>2</w:t>
      </w:r>
      <w:r>
        <w:t>Die Beschränkung ist aktenkundig zu machen.</w:t>
      </w:r>
    </w:p>
    <w:p>
      <w:pPr>
        <w:pStyle w:val="Heading3"/>
      </w:pPr>
      <w:bookmarkStart w:id="614" w:name="b613"/>
      <w:r>
        <w:t>§ 422 Abtrennung der Einziehung</w:t>
      </w:r>
      <w:r>
        <w:t xml:space="preserve"> </w:t>
      </w:r>
      <w:r>
        <w:rPr>
          <w:rStyle w:val="Suchmarke"/>
        </w:rPr>
        <w:t>#422#</w:t>
      </w:r>
      <w:bookmarkEnd w:id="614"/>
    </w:p>
    <w:p>
      <w:r>
        <w:rPr>
          <w:rStyle w:val="Satznummer"/>
        </w:rPr>
        <w:t>1</w:t>
      </w:r>
      <w:r>
        <w:t xml:space="preserve">Würde die Herbeiführung einer Entscheidung über die Einziehung nach den §§ 73 bis 73c des Strafgesetzbuches die Entscheidung über die anderen Rechtsfolgen der Tat unangemessen erschweren oder verzögern, kann das Gericht das Verfahren über die Einziehung abtrennen. </w:t>
      </w:r>
      <w:r>
        <w:rPr>
          <w:rStyle w:val="Satznummer"/>
        </w:rPr>
        <w:t>2</w:t>
      </w:r>
      <w:r>
        <w:t>Das Gericht kann die Verbindung in jeder Lage des Verfahrens wieder anordnen.</w:t>
      </w:r>
    </w:p>
    <w:p>
      <w:pPr>
        <w:pStyle w:val="Heading3"/>
      </w:pPr>
      <w:bookmarkStart w:id="615" w:name="b614"/>
      <w:r>
        <w:t>§ 423 Einziehung nach Abtrennung</w:t>
      </w:r>
      <w:r>
        <w:t xml:space="preserve"> </w:t>
      </w:r>
      <w:r>
        <w:rPr>
          <w:rStyle w:val="Suchmarke"/>
        </w:rPr>
        <w:t>#423#</w:t>
      </w:r>
      <w:bookmarkEnd w:id="615"/>
    </w:p>
    <w:p>
      <w:r>
        <w:t xml:space="preserve">(1) </w:t>
      </w:r>
      <w:r>
        <w:rPr>
          <w:rStyle w:val="Satznummer"/>
        </w:rPr>
        <w:t>1</w:t>
      </w:r>
      <w:r>
        <w:t xml:space="preserve">Trennt das Gericht das Verfahren nach </w:t>
      </w:r>
      <w:hyperlink w:anchor="b613" w:history="1">
        <w:r>
          <w:rPr>
            <w:color w:val="0A3A8C"/>
            <w:u w:val="single"/>
          </w:rPr>
          <w:t xml:space="preserve">§ 422</w:t>
        </w:r>
      </w:hyperlink>
      <w:r>
        <w:t xml:space="preserve"> ab, trifft es die Entscheidung über die Einziehung nach der Rechtskraft des Urteils in der Hauptsache. </w:t>
      </w:r>
      <w:r>
        <w:rPr>
          <w:rStyle w:val="Satznummer"/>
        </w:rPr>
        <w:t>2</w:t>
      </w:r>
      <w:r>
        <w:t>Das Gericht ist an die Entscheidung in der Hauptsache und die tatsächlichen Feststellungen, auf denen diese beruht, gebunden.</w:t>
      </w:r>
    </w:p>
    <w:p>
      <w:r>
        <w:t>(2) Die Entscheidung über die Einziehung soll spätestens sechs Monate nach dem Eintritt der Rechtskraft des Urteils in der Hauptsache getroffen werden.</w:t>
      </w:r>
    </w:p>
    <w:p>
      <w:r>
        <w:t xml:space="preserve">(3) </w:t>
      </w:r>
      <w:r>
        <w:rPr>
          <w:rStyle w:val="Satznummer"/>
        </w:rPr>
        <w:t>1</w:t>
      </w:r>
      <w:r>
        <w:t xml:space="preserve">Das Gericht entscheidet durch Beschluss. </w:t>
      </w:r>
      <w:r>
        <w:rPr>
          <w:rStyle w:val="Satznummer"/>
        </w:rPr>
        <w:t>2</w:t>
      </w:r>
      <w:r>
        <w:t>Die Entscheidung ist mit sofortiger Beschwerde anfechtbar.</w:t>
      </w:r>
    </w:p>
    <w:p>
      <w:r>
        <w:t xml:space="preserve">(4) </w:t>
      </w:r>
      <w:r>
        <w:rPr>
          <w:rStyle w:val="Satznummer"/>
        </w:rPr>
        <w:t>1</w:t>
      </w:r>
      <w:r>
        <w:t xml:space="preserve">Abweichend von Absatz 3 kann das Gericht anordnen, dass die Entscheidung auf Grund mündlicher Verhandlung durch Urteil ergeht. </w:t>
      </w:r>
      <w:r>
        <w:rPr>
          <w:rStyle w:val="Satznummer"/>
        </w:rPr>
        <w:t>2</w:t>
      </w:r>
      <w:r>
        <w:t xml:space="preserve">Das Gericht muss die Anordnung nach Satz 1 treffen, wenn die Staatsanwaltschaft oder derjenige, gegen den sich die Einziehung richtet, dies beantragt. </w:t>
      </w:r>
      <w:r>
        <w:rPr>
          <w:rStyle w:val="Satznummer"/>
        </w:rPr>
        <w:t>3</w:t>
      </w:r>
      <w:r>
        <w:t xml:space="preserve">Die </w:t>
      </w:r>
      <w:hyperlink w:anchor="b479" w:history="1">
        <w:r>
          <w:rPr>
            <w:color w:val="0A3A8C"/>
            <w:u w:val="single"/>
          </w:rPr>
          <w:t xml:space="preserve">§§ 324</w:t>
        </w:r>
      </w:hyperlink>
      <w:r>
        <w:t xml:space="preserve"> und </w:t>
      </w:r>
      <w:hyperlink w:anchor="b618" w:history="1">
        <w:r>
          <w:rPr>
            <w:color w:val="0A3A8C"/>
            <w:u w:val="single"/>
          </w:rPr>
          <w:t xml:space="preserve">427</w:t>
        </w:r>
      </w:hyperlink>
      <w:r>
        <w:t xml:space="preserve"> bis </w:t>
      </w:r>
      <w:hyperlink w:anchor="b622" w:history="1">
        <w:r>
          <w:rPr>
            <w:color w:val="0A3A8C"/>
            <w:u w:val="single"/>
          </w:rPr>
          <w:t xml:space="preserve">431</w:t>
        </w:r>
      </w:hyperlink>
      <w:r>
        <w:t xml:space="preserve"> gelten entsprechend; ergänzend finden die Vorschriften über die Hauptverhandlung entsprechende Anwendung.</w:t>
      </w:r>
    </w:p>
    <w:p>
      <w:pPr>
        <w:pStyle w:val="Heading3"/>
      </w:pPr>
      <w:bookmarkStart w:id="616" w:name="b615"/>
      <w:r>
        <w:t>§ 424 Einziehungsbeteiligte am Strafverfahren</w:t>
      </w:r>
      <w:r>
        <w:t xml:space="preserve"> </w:t>
      </w:r>
      <w:r>
        <w:rPr>
          <w:rStyle w:val="Suchmarke"/>
        </w:rPr>
        <w:t>#424#</w:t>
      </w:r>
      <w:bookmarkEnd w:id="616"/>
    </w:p>
    <w:p>
      <w:r>
        <w:t>(1) Richtet sich die Einziehung gegen eine Person, die nicht Beschuldigter ist, so wird sie auf Anordnung des Gerichts am Strafverfahren beteiligt, soweit dieses die Einziehung betrifft (Einziehungsbeteiligter).</w:t>
      </w:r>
    </w:p>
    <w:p>
      <w:r>
        <w:t xml:space="preserve">(2) </w:t>
      </w:r>
      <w:r>
        <w:rPr>
          <w:rStyle w:val="Satznummer"/>
        </w:rPr>
        <w:t>1</w:t>
      </w:r>
      <w:r>
        <w:t xml:space="preserve">Die Anordnung der Verfahrensbeteiligung unterbleibt, wenn derjenige, der von ihr betroffen wäre, erklärt, dass er gegen die Einziehung des Gegenstandes keine Einwendungen vorbringen wolle. </w:t>
      </w:r>
      <w:r>
        <w:rPr>
          <w:rStyle w:val="Satznummer"/>
        </w:rPr>
        <w:t>2</w:t>
      </w:r>
      <w:r>
        <w:t xml:space="preserve">Die Erklärung ist schriftlich abzugeben oder von dem Gericht, der Staatsanwaltschaft oder ihren Ermittlungspersonen in Gegenwart des Betroffenen zu protokollieren oder auf sonstige Weise zu dokumentieren. </w:t>
      </w:r>
      <w:r>
        <w:rPr>
          <w:rStyle w:val="Satznummer"/>
        </w:rPr>
        <w:t>3</w:t>
      </w:r>
      <w:r>
        <w:t>War die Anordnung zum Zeitpunkt der Erklärung bereits ergangen, wird sie aufgehoben.</w:t>
      </w:r>
    </w:p>
    <w:p>
      <w:r>
        <w:t>(3) Die Verfahrensbeteiligung kann bis zum Ausspruch der Einziehung und, wenn eine zulässige Berufung eingelegt ist, bis zur Beendigung der Schlussvorträge im Berufungsverfahren angeordnet werden.</w:t>
      </w:r>
    </w:p>
    <w:p>
      <w:r>
        <w:t xml:space="preserve">(4) </w:t>
      </w:r>
      <w:r>
        <w:rPr>
          <w:rStyle w:val="Satznummer"/>
        </w:rPr>
        <w:t>1</w:t>
      </w:r>
      <w:r>
        <w:t xml:space="preserve">Der Beschluss, durch den die Verfahrensbeteiligung angeordnet wird, kann nicht angefochten werden. </w:t>
      </w:r>
      <w:r>
        <w:rPr>
          <w:rStyle w:val="Satznummer"/>
        </w:rPr>
        <w:t>2</w:t>
      </w:r>
      <w:r>
        <w:t>Wird die Verfahrensbeteiligung abgelehnt, ist sofortige Beschwerde zulässig.</w:t>
      </w:r>
    </w:p>
    <w:p>
      <w:r>
        <w:t>(5) Durch die Verfahrensbeteiligung wird der Fortgang des Verfahrens nicht aufgehalten.</w:t>
      </w:r>
    </w:p>
    <w:p>
      <w:pPr>
        <w:pStyle w:val="Heading3"/>
      </w:pPr>
      <w:bookmarkStart w:id="617" w:name="b616"/>
      <w:r>
        <w:t>§ 425 Absehen von der Verfahrensbeteiligung</w:t>
      </w:r>
      <w:r>
        <w:t xml:space="preserve"> </w:t>
      </w:r>
      <w:r>
        <w:rPr>
          <w:rStyle w:val="Suchmarke"/>
        </w:rPr>
        <w:t>#425#</w:t>
      </w:r>
      <w:bookmarkEnd w:id="617"/>
    </w:p>
    <w:p>
      <w:r>
        <w:t>(1) In den Fällen der §§ 74a und 74b des Strafgesetzbuches kann das Gericht von der Anordnung der Verfahrensbeteiligung absehen, wenn wegen bestimmter Tatsachen anzunehmen ist, dass sie nicht ausgeführt werden kann.</w:t>
      </w:r>
    </w:p>
    <w:p>
      <w:r>
        <w:t xml:space="preserve">(2) </w:t>
      </w:r>
      <w:r>
        <w:rPr>
          <w:rStyle w:val="Satznummer"/>
        </w:rPr>
        <w:t>1</w:t>
      </w:r>
      <w:r>
        <w:t>Absatz 1 gilt entsprechend, wenn</w:t>
      </w:r>
    </w:p>
    <w:p>
      <w:pPr>
        <w:tabs>
          <w:tab w:pos="567" w:val="left"/>
        </w:tabs>
        <w:ind w:left="567" w:hanging="567"/>
      </w:pPr>
      <w:r>
        <w:t>1.</w:t>
      </w:r>
      <w:r>
        <w:tab/>
      </w:r>
      <w:r>
        <w:t>eine Partei, Vereinigung oder Einrichtung außerhalb des räumlichen Geltungsbereichs dieses Gesetzes zu beteiligen wäre, die Bestrebungen gegen den Bestand oder die Sicherheit der Bundesrepublik Deutschland oder gegen einen der in § 92 Absatz 2 des Strafgesetzbuches bezeichneten Verfassungsgrundsätze verfolgt, und</w:t>
      </w:r>
    </w:p>
    <w:p>
      <w:pPr>
        <w:tabs>
          <w:tab w:pos="567" w:val="left"/>
        </w:tabs>
        <w:ind w:left="567" w:hanging="567"/>
      </w:pPr>
      <w:r>
        <w:t>2.</w:t>
      </w:r>
      <w:r>
        <w:tab/>
      </w:r>
      <w:r>
        <w:t>den Umständen nach anzunehmen ist, dass diese Partei, Vereinigung oder Einrichtung oder einer ihrer Mittelsmänner den Gegenstand zur Förderung ihrer Bestrebungen zur Verfügung gestellt hat.</w:t>
      </w:r>
    </w:p>
    <w:p>
      <w:r>
        <w:rPr>
          <w:rStyle w:val="Satznummer"/>
        </w:rPr>
        <w:t>2</w:t>
      </w:r>
      <w:r>
        <w:t>Vor der Entscheidung über die Einziehung des Gegenstandes ist der Besitzer der Sache oder der zur Verfügung über das Recht Befugte zu hören, wenn dies ausführbar ist.</w:t>
      </w:r>
    </w:p>
    <w:p>
      <w:pPr>
        <w:pStyle w:val="Heading3"/>
      </w:pPr>
      <w:bookmarkStart w:id="618" w:name="b617"/>
      <w:r>
        <w:t>§ 426 Anhörung von möglichen Einziehungsbeteiligten im vorbereitenden Verfahren</w:t>
      </w:r>
      <w:r>
        <w:t xml:space="preserve"> </w:t>
      </w:r>
      <w:r>
        <w:rPr>
          <w:rStyle w:val="Suchmarke"/>
        </w:rPr>
        <w:t>#426#</w:t>
      </w:r>
      <w:bookmarkEnd w:id="618"/>
    </w:p>
    <w:p>
      <w:r>
        <w:t xml:space="preserve">(1) </w:t>
      </w:r>
      <w:r>
        <w:rPr>
          <w:rStyle w:val="Satznummer"/>
        </w:rPr>
        <w:t>1</w:t>
      </w:r>
      <w:r>
        <w:t xml:space="preserve">Ergeben sich im vorbereitenden Verfahren Anhaltspunkte dafür, dass jemand als Einziehungsbeteiligter in Betracht kommt, ist er zu hören. </w:t>
      </w:r>
      <w:r>
        <w:rPr>
          <w:rStyle w:val="Satznummer"/>
        </w:rPr>
        <w:t>2</w:t>
      </w:r>
      <w:r>
        <w:t xml:space="preserve">Dies gilt nur, wenn die Anhörung ausführbar erscheint. </w:t>
      </w:r>
      <w:r>
        <w:rPr>
          <w:rStyle w:val="Satznummer"/>
        </w:rPr>
        <w:t>3</w:t>
      </w:r>
      <w:hyperlink w:anchor="b616" w:history="1">
        <w:r>
          <w:rPr>
            <w:color w:val="0A3A8C"/>
            <w:u w:val="single"/>
          </w:rPr>
          <w:t xml:space="preserve">§ 425</w:t>
        </w:r>
      </w:hyperlink>
      <w:r>
        <w:t xml:space="preserve"> Absatz 2 gilt entsprechend.</w:t>
      </w:r>
    </w:p>
    <w:p>
      <w:r>
        <w:t>(2) Erklärt derjenige, der als Einziehungsbeteiligter in Betracht kommt, dass er gegen die Einziehung Einwendungen vorbringen wolle, gelten im Fall seiner Vernehmung die Vorschriften über die Vernehmung des Beschuldigten insoweit entsprechend, als seine Verfahrensbeteiligung in Betracht kommt.</w:t>
      </w:r>
    </w:p>
    <w:p>
      <w:pPr>
        <w:pStyle w:val="Heading3"/>
      </w:pPr>
      <w:bookmarkStart w:id="619" w:name="b618"/>
      <w:r>
        <w:t>§ 427 Befugnisse des Einziehungsbeteiligten im Hauptverfahren</w:t>
      </w:r>
      <w:r>
        <w:t xml:space="preserve"> </w:t>
      </w:r>
      <w:r>
        <w:rPr>
          <w:rStyle w:val="Suchmarke"/>
        </w:rPr>
        <w:t>#427#</w:t>
      </w:r>
      <w:bookmarkEnd w:id="619"/>
    </w:p>
    <w:p>
      <w:r>
        <w:t xml:space="preserve">(1) </w:t>
      </w:r>
      <w:r>
        <w:rPr>
          <w:rStyle w:val="Satznummer"/>
        </w:rPr>
        <w:t>1</w:t>
      </w:r>
      <w:r>
        <w:t xml:space="preserve">Von der Eröffnung des Hauptverfahrens an hat der Einziehungsbeteiligte, soweit dieses Gesetz nichts anderes bestimmt, die Befugnisse, die einem Angeklagten zustehen. </w:t>
      </w:r>
      <w:r>
        <w:rPr>
          <w:rStyle w:val="Satznummer"/>
        </w:rPr>
        <w:t>2</w:t>
      </w:r>
      <w:r>
        <w:t>Im beschleunigten Verfahren gilt dies vom Beginn der Hauptverhandlung, im Strafbefehlsverfahren vom Erlass des Strafbefehls an.</w:t>
      </w:r>
    </w:p>
    <w:p>
      <w:r>
        <w:t xml:space="preserve">(2) </w:t>
      </w:r>
      <w:r>
        <w:rPr>
          <w:rStyle w:val="Satznummer"/>
        </w:rPr>
        <w:t>1</w:t>
      </w:r>
      <w:r>
        <w:t xml:space="preserve">Das Gericht kann zur Aufklärung des Sachverhalts das persönliche Erscheinen des Einziehungsbeteiligten anordnen. </w:t>
      </w:r>
      <w:r>
        <w:rPr>
          <w:rStyle w:val="Satznummer"/>
        </w:rPr>
        <w:t>2</w:t>
      </w:r>
      <w:r>
        <w:t>Bleibt der Einziehungsbeteiligte, dessen persönliches Erscheinen angeordnet ist, ohne genügende Entschuldigung aus, so kann das Gericht seine Vorführung anordnen, wenn er unter Hinweis auf diese Möglichkeit durch Zustellung geladen worden ist.</w:t>
      </w:r>
    </w:p>
    <w:p>
      <w:pPr>
        <w:pStyle w:val="Heading3"/>
      </w:pPr>
      <w:bookmarkStart w:id="620" w:name="b619"/>
      <w:r>
        <w:t>§ 428 Vertretung des Einziehungsbeteiligten</w:t>
      </w:r>
      <w:r>
        <w:t xml:space="preserve"> </w:t>
      </w:r>
      <w:r>
        <w:rPr>
          <w:rStyle w:val="Suchmarke"/>
        </w:rPr>
        <w:t>#428#</w:t>
      </w:r>
      <w:bookmarkEnd w:id="620"/>
    </w:p>
    <w:p>
      <w:r>
        <w:t xml:space="preserve">(1) </w:t>
      </w:r>
      <w:r>
        <w:rPr>
          <w:rStyle w:val="Satznummer"/>
        </w:rPr>
        <w:t>1</w:t>
      </w:r>
      <w:r>
        <w:t xml:space="preserve">Der Einziehungsbeteiligte kann sich in jeder Lage des Verfahrens durch einen Rechtsanwalt mit nachgewiesener Vertretungsvollmacht vertreten lassen. </w:t>
      </w:r>
      <w:r>
        <w:rPr>
          <w:rStyle w:val="Satznummer"/>
        </w:rPr>
        <w:t>2</w:t>
      </w:r>
      <w:r>
        <w:t xml:space="preserve">Die für die Verteidigung geltenden Vorschriften der </w:t>
      </w:r>
      <w:hyperlink w:anchor="b239" w:history="1">
        <w:r>
          <w:rPr>
            <w:color w:val="0A3A8C"/>
            <w:u w:val="single"/>
          </w:rPr>
          <w:t xml:space="preserve">§§ 137</w:t>
        </w:r>
      </w:hyperlink>
      <w:r>
        <w:t xml:space="preserve"> bis </w:t>
      </w:r>
      <w:hyperlink w:anchor="b245" w:history="1">
        <w:r>
          <w:rPr>
            <w:color w:val="0A3A8C"/>
            <w:u w:val="single"/>
          </w:rPr>
          <w:t xml:space="preserve">139</w:t>
        </w:r>
      </w:hyperlink>
      <w:r>
        <w:t xml:space="preserve">, </w:t>
      </w:r>
      <w:hyperlink w:anchor="b254" w:history="1">
        <w:r>
          <w:rPr>
            <w:color w:val="0A3A8C"/>
            <w:u w:val="single"/>
          </w:rPr>
          <w:t xml:space="preserve">145a</w:t>
        </w:r>
      </w:hyperlink>
      <w:r>
        <w:t xml:space="preserve"> bis </w:t>
      </w:r>
      <w:hyperlink w:anchor="b260" w:history="1">
        <w:r>
          <w:rPr>
            <w:color w:val="0A3A8C"/>
            <w:u w:val="single"/>
          </w:rPr>
          <w:t xml:space="preserve">149</w:t>
        </w:r>
      </w:hyperlink>
      <w:r>
        <w:t xml:space="preserve"> und </w:t>
      </w:r>
      <w:hyperlink w:anchor="b350" w:history="1">
        <w:r>
          <w:rPr>
            <w:color w:val="0A3A8C"/>
            <w:u w:val="single"/>
          </w:rPr>
          <w:t xml:space="preserve">218</w:t>
        </w:r>
      </w:hyperlink>
      <w:r>
        <w:t xml:space="preserve"> sind entsprechend anzuwenden.</w:t>
      </w:r>
    </w:p>
    <w:p>
      <w:r>
        <w:t xml:space="preserve">(2) </w:t>
      </w:r>
      <w:r>
        <w:rPr>
          <w:rStyle w:val="Satznummer"/>
        </w:rPr>
        <w:t>1</w:t>
      </w:r>
      <w:r>
        <w:t xml:space="preserve">Der Vorsitzende bestellt dem Einziehungsbeteiligten auf Antrag oder von Amts wegen einen Rechtsanwalt, wenn wegen der Schwierigkeit der Sach- oder Rechtslage, soweit sie die Einziehung betrifft, die Mitwirkung eines Rechtsanwalts geboten erscheint oder wenn ersichtlich ist, dass der Einziehungsbeteiligte seine Rechte nicht selbst wahrnehmen kann. </w:t>
      </w:r>
      <w:r>
        <w:rPr>
          <w:rStyle w:val="Satznummer"/>
        </w:rPr>
        <w:t>2</w:t>
      </w:r>
      <w:r>
        <w:t>Dem Antrag eines seh-, hör- oder sprachbehinderten Einziehungsbeteiligten ist zu entsprechen.</w:t>
      </w:r>
    </w:p>
    <w:p>
      <w:r>
        <w:t>(3) Für das vorbereitende Verfahren gilt Absatz 1 entsprechend.</w:t>
      </w:r>
    </w:p>
    <w:p>
      <w:pPr>
        <w:pStyle w:val="Heading3"/>
      </w:pPr>
      <w:bookmarkStart w:id="621" w:name="b620"/>
      <w:r>
        <w:t>§ 429 Terminsnachricht an den Einziehungsbeteiligten</w:t>
      </w:r>
      <w:r>
        <w:t xml:space="preserve"> </w:t>
      </w:r>
      <w:r>
        <w:rPr>
          <w:rStyle w:val="Suchmarke"/>
        </w:rPr>
        <w:t>#429#</w:t>
      </w:r>
      <w:bookmarkEnd w:id="621"/>
    </w:p>
    <w:p>
      <w:r>
        <w:t xml:space="preserve">(1) Dem Einziehungsbeteiligten wird der Termin zur Hauptverhandlung durch Zustellung bekanntgemacht; </w:t>
      </w:r>
      <w:hyperlink w:anchor="b59" w:history="1">
        <w:r>
          <w:rPr>
            <w:color w:val="0A3A8C"/>
            <w:u w:val="single"/>
          </w:rPr>
          <w:t xml:space="preserve">§ 40</w:t>
        </w:r>
      </w:hyperlink>
      <w:r>
        <w:t xml:space="preserve"> gilt entsprechend.</w:t>
      </w:r>
    </w:p>
    <w:p>
      <w:r>
        <w:t>(2) Mit der Terminsnachricht wird dem Einziehungsbeteiligten, soweit er an dem Verfahren beteiligt ist, die Anklageschrift und in den Fällen des § 207 Absatz 2 der Eröffnungsbeschluss mitgeteilt.</w:t>
      </w:r>
    </w:p>
    <w:p>
      <w:r>
        <w:t>(3) Zugleich wird der Einziehungsbeteiligte darauf hingewiesen, dass</w:t>
      </w:r>
    </w:p>
    <w:p>
      <w:pPr>
        <w:tabs>
          <w:tab w:pos="567" w:val="left"/>
        </w:tabs>
        <w:ind w:left="567" w:hanging="567"/>
      </w:pPr>
      <w:r>
        <w:t>1.</w:t>
      </w:r>
      <w:r>
        <w:tab/>
      </w:r>
      <w:r>
        <w:t>auch ohne ihn verhandelt werden kann,</w:t>
      </w:r>
    </w:p>
    <w:p>
      <w:pPr>
        <w:tabs>
          <w:tab w:pos="567" w:val="left"/>
        </w:tabs>
        <w:ind w:left="567" w:hanging="567"/>
      </w:pPr>
      <w:r>
        <w:t>2.</w:t>
      </w:r>
      <w:r>
        <w:tab/>
      </w:r>
      <w:r>
        <w:t>er sich durch einen Rechtsanwalt mit nachgewiesener Vertretungsvollmacht vertreten lassen kann und</w:t>
      </w:r>
    </w:p>
    <w:p>
      <w:pPr>
        <w:tabs>
          <w:tab w:pos="567" w:val="left"/>
        </w:tabs>
        <w:ind w:left="567" w:hanging="567"/>
      </w:pPr>
      <w:r>
        <w:t>3.</w:t>
      </w:r>
      <w:r>
        <w:tab/>
      </w:r>
      <w:r>
        <w:t>über die Einziehung auch ihm gegenüber entschieden wird.</w:t>
      </w:r>
    </w:p>
    <w:p>
      <w:pPr>
        <w:pStyle w:val="Heading3"/>
      </w:pPr>
      <w:bookmarkStart w:id="622" w:name="b621"/>
      <w:r>
        <w:t>§ 430 Stellung in der Hauptverhandlung</w:t>
      </w:r>
      <w:r>
        <w:t xml:space="preserve"> </w:t>
      </w:r>
      <w:r>
        <w:rPr>
          <w:rStyle w:val="Suchmarke"/>
        </w:rPr>
        <w:t>#430#</w:t>
      </w:r>
      <w:bookmarkEnd w:id="622"/>
    </w:p>
    <w:p>
      <w:r>
        <w:t xml:space="preserve">(1) </w:t>
      </w:r>
      <w:r>
        <w:rPr>
          <w:rStyle w:val="Satznummer"/>
        </w:rPr>
        <w:t>1</w:t>
      </w:r>
      <w:r>
        <w:t xml:space="preserve">Bleibt der Einziehungsbeteiligte in der Hauptverhandlung trotz ordnungsgemäßer Terminsnachricht aus, kann ohne ihn verhandelt werden; </w:t>
      </w:r>
      <w:hyperlink w:anchor="b375" w:history="1">
        <w:r>
          <w:rPr>
            <w:color w:val="0A3A8C"/>
            <w:u w:val="single"/>
          </w:rPr>
          <w:t xml:space="preserve">§ 235</w:t>
        </w:r>
      </w:hyperlink>
      <w:r>
        <w:t xml:space="preserve"> ist nicht anzuwenden. </w:t>
      </w:r>
      <w:r>
        <w:rPr>
          <w:rStyle w:val="Satznummer"/>
        </w:rPr>
        <w:t>2</w:t>
      </w:r>
      <w:r>
        <w:t>Gleiches gilt, wenn sich der Einziehungsbeteiligte aus der Hauptverhandlung entfernt oder bei der Fortsetzung einer unterbrochenen Hauptverhandlung ausbleibt.</w:t>
      </w:r>
    </w:p>
    <w:p>
      <w:r>
        <w:t xml:space="preserve">(2) Auf Beweisanträge des Einziehungsbeteiligten zur Frage der Schuld des Angeklagten ist </w:t>
      </w:r>
      <w:hyperlink w:anchor="b385" w:history="1">
        <w:r>
          <w:rPr>
            <w:color w:val="0A3A8C"/>
            <w:u w:val="single"/>
          </w:rPr>
          <w:t xml:space="preserve">§ 244</w:t>
        </w:r>
      </w:hyperlink>
      <w:r>
        <w:t xml:space="preserve"> Absatz 3 Satz 2, Absatz 4 bis 6 nicht anzuwenden.</w:t>
      </w:r>
    </w:p>
    <w:p>
      <w:r>
        <w:t xml:space="preserve">(3) </w:t>
      </w:r>
      <w:r>
        <w:rPr>
          <w:rStyle w:val="Satznummer"/>
        </w:rPr>
        <w:t>1</w:t>
      </w:r>
      <w:r>
        <w:t xml:space="preserve">Ordnet das Gericht die Einziehung eines Gegenstandes nach § 74b Absatz 1 des Strafgesetzbuches an, ohne dass eine Entschädigung nach § 74b Absatz 2 des Strafgesetzbuches zu gewähren ist, spricht es zugleich aus, dass dem Einziehungsbeteiligten eine Entschädigung nicht zusteht. </w:t>
      </w:r>
      <w:r>
        <w:rPr>
          <w:rStyle w:val="Satznummer"/>
        </w:rPr>
        <w:t>2</w:t>
      </w:r>
      <w:r>
        <w:t xml:space="preserve">Dies gilt nicht, wenn das Gericht eine Entschädigung des Einziehungsbeteiligten nach § 74b Absatz 3 Satz 2 des Strafgesetzbuches für geboten hält; in diesem Fall entscheidet es zugleich über die Höhe der Entschädigung. </w:t>
      </w:r>
      <w:r>
        <w:rPr>
          <w:rStyle w:val="Satznummer"/>
        </w:rPr>
        <w:t>3</w:t>
      </w:r>
      <w:r>
        <w:t>Das Gericht weist den Einziehungsbeteiligten zuvor auf die Möglichkeit einer solchen Entscheidung hin und gibt ihm Gelegenheit, sich zu äußern.</w:t>
      </w:r>
    </w:p>
    <w:p>
      <w:r>
        <w:t xml:space="preserve">(4) </w:t>
      </w:r>
      <w:r>
        <w:rPr>
          <w:rStyle w:val="Satznummer"/>
        </w:rPr>
        <w:t>1</w:t>
      </w:r>
      <w:r>
        <w:t xml:space="preserve">War der Einziehungsbeteiligte bei der Verkündung des Urteils nicht zugegen und auch nicht vertreten, so beginnt die Frist zur Einlegung eines Rechtsmittels mit der Zustellung der Urteilsformel an ihn. </w:t>
      </w:r>
      <w:r>
        <w:rPr>
          <w:rStyle w:val="Satznummer"/>
        </w:rPr>
        <w:t>2</w:t>
      </w:r>
      <w:r>
        <w:t>Bei der Zustellung des Urteils kann das Gericht anordnen, dass Teile des Urteils, welche die Einziehung nicht betreffen, ausgeschieden werden.</w:t>
      </w:r>
    </w:p>
    <w:p>
      <w:pPr>
        <w:pStyle w:val="Heading3"/>
      </w:pPr>
      <w:bookmarkStart w:id="623" w:name="b622"/>
      <w:r>
        <w:t>§ 431 Rechtsmittelverfahren</w:t>
      </w:r>
      <w:r>
        <w:t xml:space="preserve"> </w:t>
      </w:r>
      <w:r>
        <w:rPr>
          <w:rStyle w:val="Suchmarke"/>
        </w:rPr>
        <w:t>#431#</w:t>
      </w:r>
      <w:bookmarkEnd w:id="623"/>
    </w:p>
    <w:p>
      <w:r>
        <w:t xml:space="preserve">(1) </w:t>
      </w:r>
      <w:r>
        <w:rPr>
          <w:rStyle w:val="Satznummer"/>
        </w:rPr>
        <w:t>1</w:t>
      </w:r>
      <w:r>
        <w:t>Im Rechtsmittelverfahren erstreckt sich die Prüfung, ob die Einziehung dem Einziehungsbeteiligten gegenüber gerechtfertigt ist, auf den Schuldspruch des angefochtenen Urteils nur, wenn der Einziehungsbeteiligte</w:t>
      </w:r>
    </w:p>
    <w:p>
      <w:pPr>
        <w:tabs>
          <w:tab w:pos="567" w:val="left"/>
        </w:tabs>
        <w:ind w:left="567" w:hanging="567"/>
      </w:pPr>
      <w:r>
        <w:t>1.</w:t>
      </w:r>
      <w:r>
        <w:tab/>
      </w:r>
      <w:r>
        <w:t>insoweit Einwendungen vorbringt und</w:t>
      </w:r>
    </w:p>
    <w:p>
      <w:pPr>
        <w:tabs>
          <w:tab w:pos="567" w:val="left"/>
        </w:tabs>
        <w:ind w:left="567" w:hanging="567"/>
      </w:pPr>
      <w:r>
        <w:t>2.</w:t>
      </w:r>
      <w:r>
        <w:tab/>
      </w:r>
      <w:r>
        <w:t>im vorausgegangenen Verfahren ohne sein Verschulden zum Schuldspruch nicht gehört worden ist.</w:t>
      </w:r>
    </w:p>
    <w:p>
      <w:r>
        <w:rPr>
          <w:rStyle w:val="Satznummer"/>
        </w:rPr>
        <w:t>2</w:t>
      </w:r>
      <w:r>
        <w:t>Erstreckt sich hiernach die Prüfung auch auf den Schuldspruch, legt das Gericht die zur Schuld getroffenen Feststellungen zugrunde, soweit nicht das Vorbringen des Einziehungsbeteiligten eine erneute Prüfung erfordert.</w:t>
      </w:r>
    </w:p>
    <w:p>
      <w:r>
        <w:t>(2) Im Berufungsverfahren gilt Absatz 1 nicht, wenn zugleich auf ein Rechtsmittel eines anderen Beteiligten über den Schuldspruch zu entscheiden ist.</w:t>
      </w:r>
    </w:p>
    <w:p>
      <w:r>
        <w:t>(3) Im Revisionsverfahren sind die Einwendungen gegen den Schuldspruch innerhalb der Begründungsfrist vorzubringen.</w:t>
      </w:r>
    </w:p>
    <w:p>
      <w:r>
        <w:t xml:space="preserve">(4) </w:t>
      </w:r>
      <w:r>
        <w:rPr>
          <w:rStyle w:val="Satznummer"/>
        </w:rPr>
        <w:t>1</w:t>
      </w:r>
      <w:r>
        <w:t xml:space="preserve">Wird nur die Entscheidung über die Höhe der Entschädigung angefochten, kann über das Rechtsmittel durch Beschluss entschieden werden, wenn die Beteiligten nicht widersprechen. </w:t>
      </w:r>
      <w:r>
        <w:rPr>
          <w:rStyle w:val="Satznummer"/>
        </w:rPr>
        <w:t>2</w:t>
      </w:r>
      <w:r>
        <w:t>Das Gericht weist sie zuvor auf die Möglichkeit eines solchen Verfahrens und des Widerspruchs hin und gibt ihnen Gelegenheit, sich zu äußern.</w:t>
      </w:r>
    </w:p>
    <w:p>
      <w:pPr>
        <w:pStyle w:val="Heading3"/>
      </w:pPr>
      <w:bookmarkStart w:id="624" w:name="b623"/>
      <w:r>
        <w:t>§ 432 Einziehung durch Strafbefehl</w:t>
      </w:r>
      <w:r>
        <w:t xml:space="preserve"> </w:t>
      </w:r>
      <w:r>
        <w:rPr>
          <w:rStyle w:val="Suchmarke"/>
        </w:rPr>
        <w:t>#432#</w:t>
      </w:r>
      <w:bookmarkEnd w:id="624"/>
    </w:p>
    <w:p>
      <w:r>
        <w:t xml:space="preserve">(1) </w:t>
      </w:r>
      <w:r>
        <w:rPr>
          <w:rStyle w:val="Satznummer"/>
        </w:rPr>
        <w:t>1</w:t>
      </w:r>
      <w:r>
        <w:t xml:space="preserve">Wird die Einziehung durch Strafbefehl angeordnet, so wird der Strafbefehl auch dem Einziehungsbeteiligten zugestellt, soweit er an dem Verfahren beteiligt ist. </w:t>
      </w:r>
      <w:r>
        <w:rPr>
          <w:rStyle w:val="Satznummer"/>
        </w:rPr>
        <w:t>2</w:t>
      </w:r>
      <w:hyperlink w:anchor="b620" w:history="1">
        <w:r>
          <w:rPr>
            <w:color w:val="0A3A8C"/>
            <w:u w:val="single"/>
          </w:rPr>
          <w:t xml:space="preserve">§ 429</w:t>
        </w:r>
      </w:hyperlink>
      <w:r>
        <w:t xml:space="preserve"> Absatz 3 Nummer 2 gilt entsprechend.</w:t>
      </w:r>
    </w:p>
    <w:p>
      <w:r>
        <w:t xml:space="preserve">(2) Ist nur über den Einspruch des Einziehungsbeteiligten zu entscheiden, so gilt </w:t>
      </w:r>
      <w:hyperlink w:anchor="b625" w:history="1">
        <w:r>
          <w:rPr>
            <w:color w:val="0A3A8C"/>
            <w:u w:val="single"/>
          </w:rPr>
          <w:t xml:space="preserve">§ 434</w:t>
        </w:r>
      </w:hyperlink>
      <w:r>
        <w:t xml:space="preserve"> Absatz 2 und 3 entsprechend.</w:t>
      </w:r>
    </w:p>
    <w:p>
      <w:pPr>
        <w:pStyle w:val="Heading3"/>
      </w:pPr>
      <w:bookmarkStart w:id="625" w:name="b624"/>
      <w:r>
        <w:t>§ 433 Nachverfahren</w:t>
      </w:r>
      <w:r>
        <w:t xml:space="preserve"> </w:t>
      </w:r>
      <w:r>
        <w:rPr>
          <w:rStyle w:val="Suchmarke"/>
        </w:rPr>
        <w:t>#433#</w:t>
      </w:r>
      <w:bookmarkEnd w:id="625"/>
    </w:p>
    <w:p>
      <w:r>
        <w:t>(1) Ist die Einziehung rechtskräftig angeordnet worden und macht jemand glaubhaft, dass er seine Rechte als Einziehungsbeteiligter ohne sein Verschulden weder im Verfahren des ersten Rechtszuges noch im Berufungsverfahren hat wahrnehmen können, so kann er in einem Nachverfahren geltend machen, dass die Einziehung ihm gegenüber nicht gerechtfertigt sei.</w:t>
      </w:r>
    </w:p>
    <w:p>
      <w:r>
        <w:t xml:space="preserve">(2) </w:t>
      </w:r>
      <w:r>
        <w:rPr>
          <w:rStyle w:val="Satznummer"/>
        </w:rPr>
        <w:t>1</w:t>
      </w:r>
      <w:r>
        <w:t xml:space="preserve">Das Nachverfahren ist binnen eines Monats nach Ablauf des Tages zu beantragen, an dem der Antragsteller von der rechtskräftigen Entscheidung Kenntnis erlangt hat. </w:t>
      </w:r>
      <w:r>
        <w:rPr>
          <w:rStyle w:val="Satznummer"/>
        </w:rPr>
        <w:t>2</w:t>
      </w:r>
      <w:r>
        <w:t>Der Antrag ist unzulässig, wenn seit Eintritt der Rechtskraft zwei Jahre verstrichen sind und die Vollstreckung beendet ist.</w:t>
      </w:r>
    </w:p>
    <w:p>
      <w:r>
        <w:t xml:space="preserve">(3) </w:t>
      </w:r>
      <w:r>
        <w:rPr>
          <w:rStyle w:val="Satznummer"/>
        </w:rPr>
        <w:t>1</w:t>
      </w:r>
      <w:r>
        <w:t xml:space="preserve">Durch den Antrag auf Durchführung des Nachverfahrens wird die Vollstreckung der Anordnung der Einziehung nicht gehemmt; das Gericht kann jedoch einen Aufschub sowie eine Unterbrechung der Vollstreckung anordnen. </w:t>
      </w:r>
      <w:r>
        <w:rPr>
          <w:rStyle w:val="Satznummer"/>
        </w:rPr>
        <w:t>2</w:t>
      </w:r>
      <w:r>
        <w:t>Wird in den Fällen des § 73b des Strafgesetzbuches, auch in Verbindung mit § 73c des Strafgesetzbuches, unter den Voraussetzungen des Absatzes 1 ein Nachverfahren beantragt, sollen bis zu dessen Abschluss Vollstreckungsmaßnahmen gegen den Antragsteller unterbleiben.</w:t>
      </w:r>
    </w:p>
    <w:p>
      <w:r>
        <w:t xml:space="preserve">(4) </w:t>
      </w:r>
      <w:r>
        <w:rPr>
          <w:rStyle w:val="Satznummer"/>
        </w:rPr>
        <w:t>1</w:t>
      </w:r>
      <w:r>
        <w:t xml:space="preserve">Für den Umfang der Prüfung gilt </w:t>
      </w:r>
      <w:hyperlink w:anchor="b622" w:history="1">
        <w:r>
          <w:rPr>
            <w:color w:val="0A3A8C"/>
            <w:u w:val="single"/>
          </w:rPr>
          <w:t xml:space="preserve">§ 431</w:t>
        </w:r>
      </w:hyperlink>
      <w:r>
        <w:t xml:space="preserve"> Absatz 1 entsprechend. </w:t>
      </w:r>
      <w:r>
        <w:rPr>
          <w:rStyle w:val="Satznummer"/>
        </w:rPr>
        <w:t>2</w:t>
      </w:r>
      <w:r>
        <w:t>Wird das vom Antragsteller behauptete Recht nicht erwiesen, ist der Antrag unbegründet.</w:t>
      </w:r>
    </w:p>
    <w:p>
      <w:r>
        <w:t xml:space="preserve">(5) Vor der Entscheidung kann das Gericht unter den Voraussetzungen des </w:t>
      </w:r>
      <w:hyperlink w:anchor="b612" w:history="1">
        <w:r>
          <w:rPr>
            <w:color w:val="0A3A8C"/>
            <w:u w:val="single"/>
          </w:rPr>
          <w:t xml:space="preserve">§ 421</w:t>
        </w:r>
      </w:hyperlink>
      <w:r>
        <w:t xml:space="preserve"> Absatz 1 mit Zustimmung der Staatsanwaltschaft die Anordnung der Einziehung aufheben.</w:t>
      </w:r>
    </w:p>
    <w:p>
      <w:r>
        <w:t xml:space="preserve">(6) Eine Wiederaufnahme des Verfahrens nach </w:t>
      </w:r>
      <w:hyperlink w:anchor="b518" w:history="1">
        <w:r>
          <w:rPr>
            <w:color w:val="0A3A8C"/>
            <w:u w:val="single"/>
          </w:rPr>
          <w:t xml:space="preserve">§ 359</w:t>
        </w:r>
      </w:hyperlink>
      <w:r>
        <w:t xml:space="preserve"> Nummer 5 zu dem Zweck, die Einwendungen nach Absatz 1 geltend zu machen, ist ausgeschlossen.</w:t>
      </w:r>
    </w:p>
    <w:p>
      <w:pPr>
        <w:pStyle w:val="Heading3"/>
      </w:pPr>
      <w:bookmarkStart w:id="626" w:name="b625"/>
      <w:r>
        <w:t>§ 434 Entscheidung im Nachverfahren</w:t>
      </w:r>
      <w:r>
        <w:t xml:space="preserve"> </w:t>
      </w:r>
      <w:r>
        <w:rPr>
          <w:rStyle w:val="Suchmarke"/>
        </w:rPr>
        <w:t>#434#</w:t>
      </w:r>
      <w:bookmarkEnd w:id="626"/>
    </w:p>
    <w:p>
      <w:r>
        <w:t xml:space="preserve">(1) </w:t>
      </w:r>
      <w:r>
        <w:rPr>
          <w:i/>
        </w:rPr>
        <w:t>Die Entscheidung über die Einziehung im Nachverfahren trifft das Gericht des ersten Rechtszuges.</w:t>
      </w:r>
    </w:p>
    <w:p>
      <w:r>
        <w:t>(2) Das Gericht entscheidet durch Beschluss, gegen den sofortige Beschwerde zulässig ist.</w:t>
      </w:r>
    </w:p>
    <w:p>
      <w:r>
        <w:t xml:space="preserve">(3) </w:t>
      </w:r>
      <w:r>
        <w:rPr>
          <w:rStyle w:val="Satznummer"/>
        </w:rPr>
        <w:t>1</w:t>
      </w:r>
      <w:r>
        <w:t xml:space="preserve">Über einen zulässigen Antrag wird auf Grund mündlicher Verhandlung durch Urteil entschieden, wenn die Staatsanwaltschaft oder sonst der Antragsteller es beantragt oder das Gericht dies anordnet; die Vorschriften über die Hauptverhandlung gelten entsprechend. </w:t>
      </w:r>
      <w:r>
        <w:rPr>
          <w:rStyle w:val="Satznummer"/>
        </w:rPr>
        <w:t>2</w:t>
      </w:r>
      <w:r>
        <w:t>Wer gegen das Urteil eine zulässige Berufung eingelegt hat, kann gegen das Berufungsurteil nicht mehr Revision einlegen.</w:t>
      </w:r>
    </w:p>
    <w:p>
      <w:r>
        <w:t xml:space="preserve">(4) Ist durch Urteil entschieden, so gilt </w:t>
      </w:r>
      <w:hyperlink w:anchor="b622" w:history="1">
        <w:r>
          <w:rPr>
            <w:color w:val="0A3A8C"/>
            <w:u w:val="single"/>
          </w:rPr>
          <w:t xml:space="preserve">§ 431</w:t>
        </w:r>
      </w:hyperlink>
      <w:r>
        <w:t xml:space="preserve"> Absatz 4 entsprechend.</w:t>
      </w:r>
    </w:p>
    <w:p>
      <w:pPr>
        <w:pStyle w:val="Heading3"/>
      </w:pPr>
      <w:bookmarkStart w:id="627" w:name="b626"/>
      <w:r>
        <w:t>§ 435 Selbständiges Einziehungsverfahren</w:t>
      </w:r>
      <w:r>
        <w:t xml:space="preserve"> </w:t>
      </w:r>
      <w:r>
        <w:rPr>
          <w:rStyle w:val="Suchmarke"/>
        </w:rPr>
        <w:t>#435#</w:t>
      </w:r>
      <w:bookmarkEnd w:id="627"/>
    </w:p>
    <w:p>
      <w:r>
        <w:t xml:space="preserve">(1) </w:t>
      </w:r>
      <w:r>
        <w:rPr>
          <w:rStyle w:val="Satznummer"/>
        </w:rPr>
        <w:t>1</w:t>
      </w:r>
      <w:r>
        <w:t xml:space="preserve">Die Staatsanwaltschaft und der Privatkläger können den Antrag stellen, die Einziehung selbständig anzuordnen, wenn dies gesetzlich zulässig und die Anordnung nach dem Ergebnis der Ermittlungen zu erwarten ist. </w:t>
      </w:r>
      <w:r>
        <w:rPr>
          <w:rStyle w:val="Satznummer"/>
        </w:rPr>
        <w:t>2</w:t>
      </w:r>
      <w:r>
        <w:t>Die Staatsanwaltschaft kann insbesondere von dem Antrag absehen, wenn das Erlangte nur einen geringen Wert hat oder das Verfahren einen unangemessenen Aufwand erfordern würde.</w:t>
      </w:r>
    </w:p>
    <w:p>
      <w:r>
        <w:t xml:space="preserve">(2) </w:t>
      </w:r>
      <w:r>
        <w:rPr>
          <w:rStyle w:val="Satznummer"/>
        </w:rPr>
        <w:t>1</w:t>
      </w:r>
      <w:r>
        <w:t xml:space="preserve">In dem Antrag ist der Gegenstand oder der Geldbetrag, der dessen Wert entspricht, zu bezeichnen. </w:t>
      </w:r>
      <w:r>
        <w:rPr>
          <w:rStyle w:val="Satznummer"/>
        </w:rPr>
        <w:t>2</w:t>
      </w:r>
      <w:r>
        <w:t xml:space="preserve">Ferner ist anzugeben, welche Tatsachen die Zulässigkeit der selbständigen Einziehung begründen. </w:t>
      </w:r>
      <w:r>
        <w:rPr>
          <w:rStyle w:val="Satznummer"/>
        </w:rPr>
        <w:t>3</w:t>
      </w:r>
      <w:r>
        <w:t xml:space="preserve">Im Übrigen gilt </w:t>
      </w:r>
      <w:hyperlink w:anchor="b327" w:history="1">
        <w:r>
          <w:rPr>
            <w:color w:val="0A3A8C"/>
            <w:u w:val="single"/>
          </w:rPr>
          <w:t xml:space="preserve">§ 200</w:t>
        </w:r>
      </w:hyperlink>
      <w:r>
        <w:t xml:space="preserve"> entsprechend.</w:t>
      </w:r>
    </w:p>
    <w:p>
      <w:r>
        <w:t xml:space="preserve">(3) </w:t>
      </w:r>
      <w:r>
        <w:rPr>
          <w:rStyle w:val="Satznummer"/>
        </w:rPr>
        <w:t>1</w:t>
      </w:r>
      <w:r>
        <w:t xml:space="preserve">Für das weitere Verfahren gelten die </w:t>
      </w:r>
      <w:hyperlink w:anchor="b328" w:history="1">
        <w:r>
          <w:rPr>
            <w:color w:val="0A3A8C"/>
            <w:u w:val="single"/>
          </w:rPr>
          <w:t xml:space="preserve">§§ 201</w:t>
        </w:r>
      </w:hyperlink>
      <w:r>
        <w:t xml:space="preserve"> bis </w:t>
      </w:r>
      <w:hyperlink w:anchor="b332" w:history="1">
        <w:r>
          <w:rPr>
            <w:color w:val="0A3A8C"/>
            <w:u w:val="single"/>
          </w:rPr>
          <w:t xml:space="preserve">204</w:t>
        </w:r>
      </w:hyperlink>
      <w:r>
        <w:t xml:space="preserve">, </w:t>
      </w:r>
      <w:hyperlink w:anchor="b337" w:history="1">
        <w:r>
          <w:rPr>
            <w:color w:val="0A3A8C"/>
            <w:u w:val="single"/>
          </w:rPr>
          <w:t xml:space="preserve">207</w:t>
        </w:r>
      </w:hyperlink>
      <w:r>
        <w:t xml:space="preserve">, </w:t>
      </w:r>
      <w:hyperlink w:anchor="b341" w:history="1">
        <w:r>
          <w:rPr>
            <w:color w:val="0A3A8C"/>
            <w:u w:val="single"/>
          </w:rPr>
          <w:t xml:space="preserve">210</w:t>
        </w:r>
      </w:hyperlink>
      <w:r>
        <w:t xml:space="preserve"> und </w:t>
      </w:r>
      <w:hyperlink w:anchor="b342" w:history="1">
        <w:r>
          <w:rPr>
            <w:color w:val="0A3A8C"/>
            <w:u w:val="single"/>
          </w:rPr>
          <w:t xml:space="preserve">211</w:t>
        </w:r>
      </w:hyperlink>
      <w:r>
        <w:t xml:space="preserve"> entsprechend, soweit dies ausführbar ist. </w:t>
      </w:r>
      <w:r>
        <w:rPr>
          <w:rStyle w:val="Satznummer"/>
        </w:rPr>
        <w:t>2</w:t>
      </w:r>
      <w:r>
        <w:t xml:space="preserve">Im Übrigen finden die </w:t>
      </w:r>
      <w:hyperlink w:anchor="b615" w:history="1">
        <w:r>
          <w:rPr>
            <w:color w:val="0A3A8C"/>
            <w:u w:val="single"/>
          </w:rPr>
          <w:t xml:space="preserve">§§ 424</w:t>
        </w:r>
      </w:hyperlink>
      <w:r>
        <w:t xml:space="preserve"> bis </w:t>
      </w:r>
      <w:hyperlink w:anchor="b621" w:history="1">
        <w:r>
          <w:rPr>
            <w:color w:val="0A3A8C"/>
            <w:u w:val="single"/>
          </w:rPr>
          <w:t xml:space="preserve">430</w:t>
        </w:r>
      </w:hyperlink>
      <w:r>
        <w:t xml:space="preserve"> und </w:t>
      </w:r>
      <w:hyperlink w:anchor="b624" w:history="1">
        <w:r>
          <w:rPr>
            <w:color w:val="0A3A8C"/>
            <w:u w:val="single"/>
          </w:rPr>
          <w:t xml:space="preserve">433</w:t>
        </w:r>
      </w:hyperlink>
      <w:r>
        <w:t xml:space="preserve"> entsprechende Anwendung.</w:t>
      </w:r>
    </w:p>
    <w:p>
      <w:r>
        <w:t xml:space="preserve">(4) </w:t>
      </w:r>
      <w:r>
        <w:rPr>
          <w:rStyle w:val="Satznummer"/>
        </w:rPr>
        <w:t>1</w:t>
      </w:r>
      <w:r>
        <w:t xml:space="preserve">Für Ermittlungen, die ausschließlich der Durchführung des selbständigen Einziehungsverfahrens dienen, gelten sinngemäß die Vorschriften über das Strafverfahren. </w:t>
      </w:r>
      <w:r>
        <w:rPr>
          <w:rStyle w:val="Satznummer"/>
        </w:rPr>
        <w:t>2</w:t>
      </w:r>
      <w:r>
        <w:t xml:space="preserve">Ermittlungsmaßnahmen, die nur gegen einen Beschuldigten zulässig sind, und verdeckte Maßnahmen im Sinne des </w:t>
      </w:r>
      <w:hyperlink w:anchor="b154" w:history="1">
        <w:r>
          <w:rPr>
            <w:color w:val="0A3A8C"/>
            <w:u w:val="single"/>
          </w:rPr>
          <w:t xml:space="preserve">§ 101</w:t>
        </w:r>
      </w:hyperlink>
      <w:r>
        <w:t xml:space="preserve"> Absatz 1 sind nicht zulässig.</w:t>
      </w:r>
    </w:p>
    <w:p>
      <w:pPr>
        <w:pStyle w:val="Heading3"/>
      </w:pPr>
      <w:bookmarkStart w:id="628" w:name="b627"/>
      <w:r>
        <w:t>§ 436 Entscheidung im selbständigen Einziehungsverfahren</w:t>
      </w:r>
      <w:r>
        <w:t xml:space="preserve"> </w:t>
      </w:r>
      <w:r>
        <w:rPr>
          <w:rStyle w:val="Suchmarke"/>
        </w:rPr>
        <w:t>#436#</w:t>
      </w:r>
      <w:bookmarkEnd w:id="628"/>
    </w:p>
    <w:p>
      <w:r>
        <w:t xml:space="preserve">(1) </w:t>
      </w:r>
      <w:r>
        <w:rPr>
          <w:rStyle w:val="Satznummer"/>
        </w:rPr>
        <w:t>1</w:t>
      </w:r>
      <w:r>
        <w:t xml:space="preserve">Die Entscheidung über die selbständige Einziehung trifft das Gericht, das im Fall der Strafverfolgung einer bestimmten Person zuständig wäre. </w:t>
      </w:r>
      <w:r>
        <w:rPr>
          <w:rStyle w:val="Satznummer"/>
        </w:rPr>
        <w:t>2</w:t>
      </w:r>
      <w:r>
        <w:t>Für die Entscheidung über die selbständige Einziehung ist örtlich zuständig auch das Gericht, in dessen Bezirk der Gegenstand sichergestellt worden ist.</w:t>
      </w:r>
    </w:p>
    <w:p>
      <w:r>
        <w:t xml:space="preserve">(2) </w:t>
      </w:r>
      <w:hyperlink w:anchor="b614" w:history="1">
        <w:r>
          <w:rPr>
            <w:color w:val="0A3A8C"/>
            <w:u w:val="single"/>
          </w:rPr>
          <w:t xml:space="preserve">§ 423</w:t>
        </w:r>
      </w:hyperlink>
      <w:r>
        <w:t xml:space="preserve"> Absatz 1 Satz 2 und </w:t>
      </w:r>
      <w:hyperlink w:anchor="b625" w:history="1">
        <w:r>
          <w:rPr>
            <w:color w:val="0A3A8C"/>
            <w:u w:val="single"/>
          </w:rPr>
          <w:t xml:space="preserve">§ 434</w:t>
        </w:r>
      </w:hyperlink>
      <w:r>
        <w:t xml:space="preserve"> Absatz 2 bis 4 gelten entsprechend.</w:t>
      </w:r>
    </w:p>
    <w:p>
      <w:pPr>
        <w:pStyle w:val="Heading3"/>
      </w:pPr>
      <w:bookmarkStart w:id="629" w:name="b628"/>
      <w:r>
        <w:t>§ 437 Besondere Regelungen für das selbständige Einziehungsverfahren</w:t>
      </w:r>
      <w:r>
        <w:t xml:space="preserve"> </w:t>
      </w:r>
      <w:r>
        <w:rPr>
          <w:rStyle w:val="Suchmarke"/>
        </w:rPr>
        <w:t>#437#</w:t>
      </w:r>
      <w:bookmarkEnd w:id="629"/>
    </w:p>
    <w:p>
      <w:r>
        <w:rPr>
          <w:rStyle w:val="Satznummer"/>
        </w:rPr>
        <w:t>1</w:t>
      </w:r>
      <w:r>
        <w:t xml:space="preserve">Bei der Entscheidung über die selbständige Einziehung nach § 76a Absatz 4 des Strafgesetzbuches kann das Gericht seine Überzeugung davon, dass der Gegenstand aus einer rechtswidrigen Tat herrührt, insbesondere auf ein grobes Missverhältnis zwischen dem Wert des Gegenstandes und den rechtmäßigen Einkünften des Betroffenen stützen. </w:t>
      </w:r>
      <w:r>
        <w:rPr>
          <w:rStyle w:val="Satznummer"/>
        </w:rPr>
        <w:t>2</w:t>
      </w:r>
      <w:r>
        <w:t>Darüber hinaus kann es bei seiner Entscheidung insbesondere auch berücksichtigen</w:t>
      </w:r>
    </w:p>
    <w:p>
      <w:pPr>
        <w:tabs>
          <w:tab w:pos="567" w:val="left"/>
        </w:tabs>
        <w:ind w:left="567" w:hanging="567"/>
      </w:pPr>
      <w:r>
        <w:t>1.</w:t>
      </w:r>
      <w:r>
        <w:tab/>
      </w:r>
      <w:r>
        <w:t>das Ergebnis der Ermittlungen zu der Tat, die Anlass für das Verfahren war,</w:t>
      </w:r>
    </w:p>
    <w:p>
      <w:pPr>
        <w:tabs>
          <w:tab w:pos="567" w:val="left"/>
        </w:tabs>
        <w:ind w:left="567" w:hanging="567"/>
      </w:pPr>
      <w:r>
        <w:t>2.</w:t>
      </w:r>
      <w:r>
        <w:tab/>
      </w:r>
      <w:r>
        <w:t>die Umstände, unter denen der Gegenstand aufgefunden und sichergestellt worden ist, sowie</w:t>
      </w:r>
    </w:p>
    <w:p>
      <w:pPr>
        <w:tabs>
          <w:tab w:pos="567" w:val="left"/>
        </w:tabs>
        <w:ind w:left="567" w:hanging="567"/>
      </w:pPr>
      <w:r>
        <w:t>3.</w:t>
      </w:r>
      <w:r>
        <w:tab/>
      </w:r>
      <w:r>
        <w:t>die sonstigen persönlichen und wirtschaftlichen Verhältnisse des Betroffenen.</w:t>
      </w:r>
    </w:p>
    <w:p>
      <w:pPr>
        <w:pStyle w:val="Heading3"/>
      </w:pPr>
      <w:bookmarkStart w:id="630" w:name="b629"/>
      <w:r>
        <w:t>§ 438 Nebenbetroffene am Strafverfahren</w:t>
      </w:r>
      <w:r>
        <w:t xml:space="preserve"> </w:t>
      </w:r>
      <w:r>
        <w:rPr>
          <w:rStyle w:val="Suchmarke"/>
        </w:rPr>
        <w:t>#438#</w:t>
      </w:r>
      <w:bookmarkEnd w:id="630"/>
    </w:p>
    <w:p>
      <w:r>
        <w:t xml:space="preserve">(1) </w:t>
      </w:r>
      <w:r>
        <w:rPr>
          <w:rStyle w:val="Satznummer"/>
        </w:rPr>
        <w:t>1</w:t>
      </w:r>
      <w:r>
        <w:t>Ist über die Einziehung eines Gegenstandes zu entscheiden, ordnet das Gericht an, dass eine Person, die weder Angeschuldigte ist noch als Einziehungsbeteiligte in Betracht kommt, als Nebenbetroffene an dem Verfahren beteiligt wird, soweit es die Einziehung betrifft, wenn es glaubhaft erscheint, dass</w:t>
      </w:r>
    </w:p>
    <w:p>
      <w:pPr>
        <w:tabs>
          <w:tab w:pos="567" w:val="left"/>
        </w:tabs>
        <w:ind w:left="567" w:hanging="567"/>
      </w:pPr>
      <w:r>
        <w:t>1.</w:t>
      </w:r>
      <w:r>
        <w:tab/>
      </w:r>
      <w:r>
        <w:t>dieser Person der Gegenstand gehört oder zusteht oder</w:t>
      </w:r>
    </w:p>
    <w:p>
      <w:pPr>
        <w:tabs>
          <w:tab w:pos="567" w:val="left"/>
        </w:tabs>
        <w:ind w:left="567" w:hanging="567"/>
      </w:pPr>
      <w:r>
        <w:t>2.</w:t>
      </w:r>
      <w:r>
        <w:tab/>
      </w:r>
      <w:r>
        <w:t>diese Person an dem Gegenstand ein sonstiges Recht hat, dessen Erlöschen nach § 75 Absatz 2 Satz 2 und 3 des Strafgesetzbuches im Falle der Einziehung angeordnet werden könnte.</w:t>
      </w:r>
    </w:p>
    <w:p>
      <w:r>
        <w:rPr>
          <w:rStyle w:val="Satznummer"/>
        </w:rPr>
        <w:t>2</w:t>
      </w:r>
      <w:r>
        <w:t xml:space="preserve">Für die Anordnung der Verfahrensbeteiligung gelten </w:t>
      </w:r>
      <w:hyperlink w:anchor="b615" w:history="1">
        <w:r>
          <w:rPr>
            <w:color w:val="0A3A8C"/>
            <w:u w:val="single"/>
          </w:rPr>
          <w:t xml:space="preserve">§ 424</w:t>
        </w:r>
      </w:hyperlink>
      <w:r>
        <w:t xml:space="preserve"> Absatz 2 bis 5 und </w:t>
      </w:r>
      <w:hyperlink w:anchor="b616" w:history="1">
        <w:r>
          <w:rPr>
            <w:color w:val="0A3A8C"/>
            <w:u w:val="single"/>
          </w:rPr>
          <w:t xml:space="preserve">§ 425</w:t>
        </w:r>
      </w:hyperlink>
      <w:r>
        <w:t xml:space="preserve"> entsprechend.</w:t>
      </w:r>
    </w:p>
    <w:p>
      <w:r>
        <w:t xml:space="preserve">(2) </w:t>
      </w:r>
      <w:r>
        <w:rPr>
          <w:rStyle w:val="Satznummer"/>
        </w:rPr>
        <w:t>1</w:t>
      </w:r>
      <w:r>
        <w:t>Das Gericht kann anordnen, dass sich die Beteiligung nicht auf die Frage der Schuld des Angeschuldigten erstreckt, wenn</w:t>
      </w:r>
    </w:p>
    <w:p>
      <w:pPr>
        <w:tabs>
          <w:tab w:pos="567" w:val="left"/>
        </w:tabs>
        <w:ind w:left="567" w:hanging="567"/>
      </w:pPr>
      <w:r>
        <w:t>1.</w:t>
      </w:r>
      <w:r>
        <w:tab/>
      </w:r>
      <w:r>
        <w:t>die Einziehung im Fall des Absatzes 1 Nummer 1 nur unter der Voraussetzung in Betracht kommt, dass der Gegenstand demjenigen gehört oder zusteht, gegen den sich die Einziehung richtet, oder</w:t>
      </w:r>
    </w:p>
    <w:p>
      <w:pPr>
        <w:tabs>
          <w:tab w:pos="567" w:val="left"/>
        </w:tabs>
        <w:ind w:left="567" w:hanging="567"/>
      </w:pPr>
      <w:r>
        <w:t>2.</w:t>
      </w:r>
      <w:r>
        <w:tab/>
      </w:r>
      <w:r>
        <w:t>der Gegenstand nach den Umständen, welche die Einziehung begründen können, auch auf Grund von Rechtsvorschriften außerhalb des Strafrechts ohne Entschädigung dauerhaft entzogen werden könnte.</w:t>
      </w:r>
    </w:p>
    <w:p>
      <w:r>
        <w:rPr>
          <w:rStyle w:val="Satznummer"/>
        </w:rPr>
        <w:t>2</w:t>
      </w:r>
      <w:hyperlink w:anchor="b615" w:history="1">
        <w:r>
          <w:rPr>
            <w:color w:val="0A3A8C"/>
            <w:u w:val="single"/>
          </w:rPr>
          <w:t xml:space="preserve">§ 424</w:t>
        </w:r>
      </w:hyperlink>
      <w:r>
        <w:t xml:space="preserve"> Absatz 4 Satz 2 gilt entsprechend.</w:t>
      </w:r>
    </w:p>
    <w:p>
      <w:r>
        <w:t xml:space="preserve">(3) Im Übrigen gelten die </w:t>
      </w:r>
      <w:hyperlink w:anchor="b617" w:history="1">
        <w:r>
          <w:rPr>
            <w:color w:val="0A3A8C"/>
            <w:u w:val="single"/>
          </w:rPr>
          <w:t xml:space="preserve">§§ 426</w:t>
        </w:r>
      </w:hyperlink>
      <w:r>
        <w:t xml:space="preserve"> bis </w:t>
      </w:r>
      <w:hyperlink w:anchor="b625" w:history="1">
        <w:r>
          <w:rPr>
            <w:color w:val="0A3A8C"/>
            <w:u w:val="single"/>
          </w:rPr>
          <w:t xml:space="preserve">434</w:t>
        </w:r>
      </w:hyperlink>
      <w:r>
        <w:t xml:space="preserve"> entsprechend mit der Maßgabe, dass in den Fällen des </w:t>
      </w:r>
      <w:hyperlink w:anchor="b623" w:history="1">
        <w:r>
          <w:rPr>
            <w:color w:val="0A3A8C"/>
            <w:u w:val="single"/>
          </w:rPr>
          <w:t xml:space="preserve">§ 432</w:t>
        </w:r>
      </w:hyperlink>
      <w:r>
        <w:t xml:space="preserve"> Absatz 2 und des </w:t>
      </w:r>
      <w:hyperlink w:anchor="b624" w:history="1">
        <w:r>
          <w:rPr>
            <w:color w:val="0A3A8C"/>
            <w:u w:val="single"/>
          </w:rPr>
          <w:t xml:space="preserve">§ 433</w:t>
        </w:r>
      </w:hyperlink>
      <w:r>
        <w:t xml:space="preserve"> das Gericht den Schuldspruch nicht nachprüft, wenn nach den Umständen, welche die Einziehung begründet haben, eine Anordnung nach Absatz 2 zulässig wäre.</w:t>
      </w:r>
    </w:p>
    <w:p>
      <w:pPr>
        <w:pStyle w:val="Heading3"/>
      </w:pPr>
      <w:bookmarkStart w:id="631" w:name="b630"/>
      <w:r>
        <w:t>§ 439 Der Einziehung gleichstehende Rechtsfolgen</w:t>
      </w:r>
      <w:r>
        <w:t xml:space="preserve"> </w:t>
      </w:r>
      <w:r>
        <w:rPr>
          <w:rStyle w:val="Suchmarke"/>
        </w:rPr>
        <w:t>#439#</w:t>
      </w:r>
      <w:bookmarkEnd w:id="631"/>
    </w:p>
    <w:p>
      <w:r>
        <w:t>Vernichtung, Unbrauchbarmachung und Beseitigung eines gesetzwidrigen Zustandes stehen im Sinne der §§ 421 bis 436 der Einziehung gleich.</w:t>
      </w:r>
    </w:p>
    <w:p>
      <w:pPr>
        <w:pStyle w:val="Heading3"/>
      </w:pPr>
      <w:bookmarkStart w:id="632" w:name="b631"/>
      <w:r>
        <w:t>§§ 440 bis 442 (weggefallen)</w:t>
      </w:r>
      <w:bookmarkEnd w:id="632"/>
    </w:p>
    <w:p>
      <w:pPr>
        <w:pStyle w:val="Heading3"/>
      </w:pPr>
      <w:bookmarkStart w:id="633" w:name="b632"/>
      <w:r>
        <w:t>§ 443 Vermögensbeschlagnahme</w:t>
      </w:r>
      <w:r>
        <w:t xml:space="preserve"> </w:t>
      </w:r>
      <w:r>
        <w:rPr>
          <w:rStyle w:val="Suchmarke"/>
        </w:rPr>
        <w:t>#443#</w:t>
      </w:r>
      <w:bookmarkEnd w:id="633"/>
    </w:p>
    <w:p>
      <w:r>
        <w:t xml:space="preserve">(1) </w:t>
      </w:r>
      <w:r>
        <w:rPr>
          <w:rStyle w:val="Satznummer"/>
        </w:rPr>
        <w:t>1</w:t>
      </w:r>
      <w:r>
        <w:t>Das im Geltungsbereich dieses Gesetzes befindliche Vermögen oder einzelne Vermögensgegenstände eines Beschuldigten, gegen den wegen einer Straftat nach</w:t>
      </w:r>
    </w:p>
    <w:p>
      <w:pPr>
        <w:tabs>
          <w:tab w:pos="567" w:val="left"/>
        </w:tabs>
        <w:ind w:left="567" w:hanging="567"/>
      </w:pPr>
      <w:r>
        <w:t>1.</w:t>
      </w:r>
      <w:r>
        <w:tab/>
      </w:r>
      <w:r>
        <w:t xml:space="preserve">den </w:t>
      </w:r>
      <w:hyperlink w:anchor="b110" w:history="1">
        <w:r>
          <w:rPr>
            <w:color w:val="0A3A8C"/>
            <w:u w:val="single"/>
          </w:rPr>
          <w:t xml:space="preserve">§§ 81</w:t>
        </w:r>
      </w:hyperlink>
      <w:r>
        <w:t xml:space="preserve"> bis </w:t>
      </w:r>
      <w:hyperlink w:anchor="b120" w:history="1">
        <w:r>
          <w:rPr>
            <w:color w:val="0A3A8C"/>
            <w:u w:val="single"/>
          </w:rPr>
          <w:t xml:space="preserve">83</w:t>
        </w:r>
      </w:hyperlink>
      <w:r>
        <w:t xml:space="preserve"> Abs. 1, § 89a oder § 89c Absatz 1 bis 4 und 8, den </w:t>
      </w:r>
      <w:hyperlink w:anchor="b132" w:history="1">
        <w:r>
          <w:rPr>
            <w:color w:val="0A3A8C"/>
            <w:u w:val="single"/>
          </w:rPr>
          <w:t xml:space="preserve">§§ 94</w:t>
        </w:r>
      </w:hyperlink>
      <w:r>
        <w:t xml:space="preserve"> oder </w:t>
      </w:r>
      <w:hyperlink w:anchor="b135" w:history="1">
        <w:r>
          <w:rPr>
            <w:color w:val="0A3A8C"/>
            <w:u w:val="single"/>
          </w:rPr>
          <w:t xml:space="preserve">96</w:t>
        </w:r>
      </w:hyperlink>
      <w:r>
        <w:t xml:space="preserve"> Abs. 1, den §§ 97a oder </w:t>
      </w:r>
      <w:hyperlink w:anchor="b142" w:history="1">
        <w:r>
          <w:rPr>
            <w:color w:val="0A3A8C"/>
            <w:u w:val="single"/>
          </w:rPr>
          <w:t xml:space="preserve">100</w:t>
        </w:r>
      </w:hyperlink>
      <w:r>
        <w:t xml:space="preserve">, den </w:t>
      </w:r>
      <w:hyperlink w:anchor="b222" w:history="1">
        <w:r>
          <w:rPr>
            <w:color w:val="0A3A8C"/>
            <w:u w:val="single"/>
          </w:rPr>
          <w:t xml:space="preserve">§§ 129</w:t>
        </w:r>
      </w:hyperlink>
      <w:r>
        <w:t xml:space="preserve"> oder 129a, auch in Verbindung mit § 129b Abs. 1, des Strafgesetzbuches,</w:t>
      </w:r>
    </w:p>
    <w:p>
      <w:pPr>
        <w:tabs>
          <w:tab w:pos="567" w:val="left"/>
        </w:tabs>
        <w:ind w:left="567" w:hanging="567"/>
      </w:pPr>
      <w:r>
        <w:t>2.</w:t>
      </w:r>
      <w:r>
        <w:tab/>
      </w:r>
      <w:r>
        <w:t>einer in § 330 Abs. 1 Satz 1 des Strafgesetzbuches in Bezug genommenen Vorschrift unter der Voraussetzung, daß der Beschuldigte verdächtig ist, vorsätzlich Leib oder Leben eines anderen oder fremde Sachen von bedeutendem Wert gefährdet zu haben, oder unter einer der in § 330 Abs. 1 Satz 2 Nr. 1 bis 3 des Strafgesetzbuches genannten Voraussetzungen oder nach § 330 Abs. 2, § 330a Abs. 1, 2 des Strafgesetzbuches,</w:t>
      </w:r>
    </w:p>
    <w:p>
      <w:pPr>
        <w:tabs>
          <w:tab w:pos="567" w:val="left"/>
        </w:tabs>
        <w:ind w:left="567" w:hanging="567"/>
      </w:pPr>
      <w:r>
        <w:t>3.</w:t>
      </w:r>
      <w:r>
        <w:tab/>
      </w:r>
      <w:r>
        <w:t xml:space="preserve">den §§ 51, 52 Abs. 1 Nr. 1, 2 Buchstabe c und d, Abs. 5, 6 des Waffengesetzes, den §§ 17 und 18 des Außenwirtschaftsgesetzes, wenn die Tat vorsätzlich begangen wird, oder nach </w:t>
      </w:r>
      <w:hyperlink w:anchor="b24" w:history="1">
        <w:r>
          <w:rPr>
            <w:color w:val="0A3A8C"/>
            <w:u w:val="single"/>
          </w:rPr>
          <w:t xml:space="preserve">§ 19</w:t>
        </w:r>
      </w:hyperlink>
      <w:r>
        <w:t xml:space="preserve"> Abs. 1 bis 3, </w:t>
      </w:r>
      <w:hyperlink w:anchor="b25" w:history="1">
        <w:r>
          <w:rPr>
            <w:color w:val="0A3A8C"/>
            <w:u w:val="single"/>
          </w:rPr>
          <w:t xml:space="preserve">§ 20</w:t>
        </w:r>
      </w:hyperlink>
      <w:r>
        <w:t xml:space="preserve"> Abs. 1 oder 2, jeweils auch in Verbindung mit </w:t>
      </w:r>
      <w:hyperlink w:anchor="b26" w:history="1">
        <w:r>
          <w:rPr>
            <w:color w:val="0A3A8C"/>
            <w:u w:val="single"/>
          </w:rPr>
          <w:t xml:space="preserve">§ 21</w:t>
        </w:r>
      </w:hyperlink>
      <w:r>
        <w:t>, oder § 22a Abs. 1 bis 3 des Gesetzes über die Kontrolle von Kriegswaffen,</w:t>
      </w:r>
    </w:p>
    <w:p>
      <w:pPr>
        <w:tabs>
          <w:tab w:pos="567" w:val="left"/>
        </w:tabs>
        <w:ind w:left="567" w:hanging="567"/>
      </w:pPr>
      <w:r>
        <w:t>4.</w:t>
      </w:r>
      <w:r>
        <w:tab/>
      </w:r>
      <w:r>
        <w:t>einer in § 29 Abs. 3 Satz 2 Nr. 1 des Betäubungsmittelgesetzes in Bezug genommenen Vorschrift unter den dort genannten Voraussetzungen oder einer Straftat nach den §§ 29a, 30 Abs. 1 Nr. 1, 2, 4, § 30a oder § 30b des Betäubungsmittelgesetzes,</w:t>
      </w:r>
    </w:p>
    <w:p>
      <w:pPr>
        <w:tabs>
          <w:tab w:pos="567" w:val="left"/>
        </w:tabs>
        <w:ind w:left="567" w:hanging="567"/>
      </w:pPr>
      <w:r>
        <w:t>5.</w:t>
      </w:r>
      <w:r>
        <w:tab/>
      </w:r>
      <w:r>
        <w:t>einer in § 34 Absatz 3 Satz 2 Nummer 1, 3 oder Nummer 4 des Konsumcannabisgesetzes in Bezug genommenen Vorschrift unter den dort genannten Voraussetzungen oder einer Straftat nach § 34 Absatz 4 des Konsumcannabisgesetzes oder</w:t>
      </w:r>
    </w:p>
    <w:p>
      <w:pPr>
        <w:tabs>
          <w:tab w:pos="567" w:val="left"/>
        </w:tabs>
        <w:ind w:left="567" w:hanging="567"/>
      </w:pPr>
      <w:r>
        <w:t>6.</w:t>
      </w:r>
      <w:r>
        <w:tab/>
      </w:r>
      <w:r>
        <w:t>einer in § 25 Absatz 4 Satz 2 Nummer 1, 3 oder Nummer 4 des Medizinal-Cannabisgesetzes in Bezug genommenen Vorschrift unter den dort genannten Voraussetzungen oder einer Straftat nach § 25 Absatz 5 des Medizinal-Cannabisgesetzes</w:t>
      </w:r>
    </w:p>
    <w:p>
      <w:r>
        <w:t xml:space="preserve">die öffentliche Klage erhoben oder Haftbefehl erlassen worden ist, können mit Beschlag belegt werden. </w:t>
      </w:r>
      <w:r>
        <w:rPr>
          <w:rStyle w:val="Satznummer"/>
        </w:rPr>
        <w:t>2</w:t>
      </w:r>
      <w:r>
        <w:t xml:space="preserve">Die Beschlagnahme umfaßt auch das Vermögen, das dem Beschuldigten später zufällt. </w:t>
      </w:r>
      <w:r>
        <w:rPr>
          <w:rStyle w:val="Satznummer"/>
        </w:rPr>
        <w:t>3</w:t>
      </w:r>
      <w:r>
        <w:t>Die Beschlagnahme ist spätestens nach Beendigung der Hauptverhandlung des ersten Rechtszuges aufzuheben.</w:t>
      </w:r>
    </w:p>
    <w:p>
      <w:r>
        <w:t xml:space="preserve">(2) </w:t>
      </w:r>
      <w:r>
        <w:rPr>
          <w:rStyle w:val="Satznummer"/>
        </w:rPr>
        <w:t>1</w:t>
      </w:r>
      <w:r>
        <w:t xml:space="preserve">Die Beschlagnahme wird durch den Richter angeordnet. </w:t>
      </w:r>
      <w:r>
        <w:rPr>
          <w:rStyle w:val="Satznummer"/>
        </w:rPr>
        <w:t>2</w:t>
      </w:r>
      <w:r>
        <w:t>Bei Gefahr im Verzug kann die Staatsanwaltschaft die Beschlagnahme vorläufig anordnen; die vorläufige Anordnung tritt außer Kraft, wenn sie nicht binnen drei Tagen vom Richter bestätigt wird.</w:t>
      </w:r>
    </w:p>
    <w:p>
      <w:r>
        <w:t xml:space="preserve">(3) Die Vorschriften der </w:t>
      </w:r>
      <w:hyperlink w:anchor="b439" w:history="1">
        <w:r>
          <w:rPr>
            <w:color w:val="0A3A8C"/>
            <w:u w:val="single"/>
          </w:rPr>
          <w:t xml:space="preserve">§§ 291</w:t>
        </w:r>
      </w:hyperlink>
      <w:r>
        <w:t xml:space="preserve"> bis </w:t>
      </w:r>
      <w:hyperlink w:anchor="b441" w:history="1">
        <w:r>
          <w:rPr>
            <w:color w:val="0A3A8C"/>
            <w:u w:val="single"/>
          </w:rPr>
          <w:t xml:space="preserve">293</w:t>
        </w:r>
      </w:hyperlink>
      <w:r>
        <w:t xml:space="preserve"> gelten entsprechend.</w:t>
      </w:r>
    </w:p>
    <w:p>
      <w:pPr>
        <w:pStyle w:val="Heading2"/>
      </w:pPr>
      <w:bookmarkStart w:id="634" w:name="b633"/>
      <w:r>
        <w:t>Vierter Abschnitt Verfahren bei Festsetzung von Geldbußen gegen juristische Personen und Personenvereinigungen</w:t>
      </w:r>
      <w:bookmarkEnd w:id="634"/>
    </w:p>
    <w:p>
      <w:pPr>
        <w:pStyle w:val="Heading3"/>
      </w:pPr>
      <w:bookmarkStart w:id="635" w:name="b634"/>
      <w:r>
        <w:t>§ 444 Verfahren</w:t>
      </w:r>
      <w:r>
        <w:t xml:space="preserve"> </w:t>
      </w:r>
      <w:r>
        <w:rPr>
          <w:rStyle w:val="Suchmarke"/>
        </w:rPr>
        <w:t>#444#</w:t>
      </w:r>
      <w:bookmarkEnd w:id="635"/>
    </w:p>
    <w:p>
      <w:r>
        <w:t xml:space="preserve">(1) </w:t>
      </w:r>
      <w:r>
        <w:rPr>
          <w:rStyle w:val="Satznummer"/>
        </w:rPr>
        <w:t>1</w:t>
      </w:r>
      <w:r>
        <w:t xml:space="preserve">Ist im Strafverfahren über die Festsetzung einer Geldbuße gegen eine juristische Person oder eine Personenvereinigung zu entscheiden (§ 30 des Gesetzes über Ordnungswidrigkeiten), so ordnet das Gericht deren Beteiligung an dem Verfahren an, soweit es die Tat betrifft. </w:t>
      </w:r>
      <w:r>
        <w:rPr>
          <w:rStyle w:val="Satznummer"/>
        </w:rPr>
        <w:t>2</w:t>
      </w:r>
      <w:hyperlink w:anchor="b615" w:history="1">
        <w:r>
          <w:rPr>
            <w:color w:val="0A3A8C"/>
            <w:u w:val="single"/>
          </w:rPr>
          <w:t xml:space="preserve">§ 424</w:t>
        </w:r>
      </w:hyperlink>
      <w:r>
        <w:t xml:space="preserve"> Absatz 3 und 4 gilt entsprechend.</w:t>
      </w:r>
    </w:p>
    <w:p>
      <w:r>
        <w:t xml:space="preserve">(2) </w:t>
      </w:r>
      <w:r>
        <w:rPr>
          <w:rStyle w:val="Satznummer"/>
        </w:rPr>
        <w:t>1</w:t>
      </w:r>
      <w:r>
        <w:t xml:space="preserve">Die juristische Person oder die Personenvereinigung wird zur Hauptverhandlung geladen; bleibt ihr Vertreter ohne genügende Entschuldigung aus, so kann ohne sie verhandelt werden. </w:t>
      </w:r>
      <w:r>
        <w:rPr>
          <w:rStyle w:val="Satznummer"/>
        </w:rPr>
        <w:t>2</w:t>
      </w:r>
      <w:r>
        <w:t xml:space="preserve">Für ihre Verfahrensbeteiligung gelten im übrigen die </w:t>
      </w:r>
      <w:hyperlink w:anchor="b617" w:history="1">
        <w:r>
          <w:rPr>
            <w:color w:val="0A3A8C"/>
            <w:u w:val="single"/>
          </w:rPr>
          <w:t xml:space="preserve">§§ 426</w:t>
        </w:r>
      </w:hyperlink>
      <w:r>
        <w:t xml:space="preserve"> bis </w:t>
      </w:r>
      <w:hyperlink w:anchor="b619" w:history="1">
        <w:r>
          <w:rPr>
            <w:color w:val="0A3A8C"/>
            <w:u w:val="single"/>
          </w:rPr>
          <w:t xml:space="preserve">428</w:t>
        </w:r>
      </w:hyperlink>
      <w:r>
        <w:t xml:space="preserve">, </w:t>
      </w:r>
      <w:hyperlink w:anchor="b620" w:history="1">
        <w:r>
          <w:rPr>
            <w:color w:val="0A3A8C"/>
            <w:u w:val="single"/>
          </w:rPr>
          <w:t xml:space="preserve">429</w:t>
        </w:r>
      </w:hyperlink>
      <w:r>
        <w:t xml:space="preserve"> Absatz 2 und 3 Nummer 1, </w:t>
      </w:r>
      <w:hyperlink w:anchor="b621" w:history="1">
        <w:r>
          <w:rPr>
            <w:color w:val="0A3A8C"/>
            <w:u w:val="single"/>
          </w:rPr>
          <w:t xml:space="preserve">§ 430</w:t>
        </w:r>
      </w:hyperlink>
      <w:r>
        <w:t xml:space="preserve"> Absatz 2 und 4, </w:t>
      </w:r>
      <w:hyperlink w:anchor="b622" w:history="1">
        <w:r>
          <w:rPr>
            <w:color w:val="0A3A8C"/>
            <w:u w:val="single"/>
          </w:rPr>
          <w:t xml:space="preserve">§ 431</w:t>
        </w:r>
      </w:hyperlink>
      <w:r>
        <w:t xml:space="preserve"> Absatz 1 bis 3, </w:t>
      </w:r>
      <w:hyperlink w:anchor="b623" w:history="1">
        <w:r>
          <w:rPr>
            <w:color w:val="0A3A8C"/>
            <w:u w:val="single"/>
          </w:rPr>
          <w:t xml:space="preserve">§ 432</w:t>
        </w:r>
      </w:hyperlink>
      <w:r>
        <w:t xml:space="preserve"> Absatz 1 und, soweit nur über ihren Einspruch zu entscheiden ist, </w:t>
      </w:r>
      <w:hyperlink w:anchor="b625" w:history="1">
        <w:r>
          <w:rPr>
            <w:color w:val="0A3A8C"/>
            <w:u w:val="single"/>
          </w:rPr>
          <w:t xml:space="preserve">§ 434</w:t>
        </w:r>
      </w:hyperlink>
      <w:r>
        <w:t xml:space="preserve"> Absatz 2 und 3 sinngemäß.</w:t>
      </w:r>
    </w:p>
    <w:p>
      <w:r>
        <w:t xml:space="preserve">(3) </w:t>
      </w:r>
      <w:r>
        <w:rPr>
          <w:rStyle w:val="Satznummer"/>
        </w:rPr>
        <w:t>1</w:t>
      </w:r>
      <w:r>
        <w:t xml:space="preserve">Für das selbständige Verfahren gelten die </w:t>
      </w:r>
      <w:hyperlink w:anchor="b626" w:history="1">
        <w:r>
          <w:rPr>
            <w:color w:val="0A3A8C"/>
            <w:u w:val="single"/>
          </w:rPr>
          <w:t xml:space="preserve">§§ 435</w:t>
        </w:r>
      </w:hyperlink>
      <w:r>
        <w:t xml:space="preserve">, </w:t>
      </w:r>
      <w:hyperlink w:anchor="b627" w:history="1">
        <w:r>
          <w:rPr>
            <w:color w:val="0A3A8C"/>
            <w:u w:val="single"/>
          </w:rPr>
          <w:t xml:space="preserve">436</w:t>
        </w:r>
      </w:hyperlink>
      <w:r>
        <w:t xml:space="preserve"> Absatz 1 und 2 in Verbindung mit </w:t>
      </w:r>
      <w:hyperlink w:anchor="b625" w:history="1">
        <w:r>
          <w:rPr>
            <w:color w:val="0A3A8C"/>
            <w:u w:val="single"/>
          </w:rPr>
          <w:t xml:space="preserve">§ 434</w:t>
        </w:r>
      </w:hyperlink>
      <w:r>
        <w:t xml:space="preserve"> Absatz 2 oder 3 sinngemäß. </w:t>
      </w:r>
      <w:r>
        <w:rPr>
          <w:rStyle w:val="Satznummer"/>
        </w:rPr>
        <w:t>2</w:t>
      </w:r>
      <w:r>
        <w:t>Örtlich zuständig ist auch das Gericht, in dessen Bezirk die juristische Person oder die Personenvereinigung ihren Sitz oder eine Zweigniederlassung hat.</w:t>
      </w:r>
    </w:p>
    <w:p>
      <w:pPr>
        <w:pStyle w:val="Heading3"/>
      </w:pPr>
      <w:bookmarkStart w:id="636" w:name="b635"/>
      <w:r>
        <w:t>§§ 445 bis 448 (weggefallen)</w:t>
      </w:r>
      <w:bookmarkEnd w:id="636"/>
    </w:p>
    <w:p>
      <w:pPr>
        <w:pStyle w:val="Heading1"/>
      </w:pPr>
      <w:bookmarkStart w:id="637" w:name="b636"/>
      <w:r>
        <w:t>Siebentes Buch Strafvollstreckung und Kosten des Verfahrens</w:t>
      </w:r>
      <w:bookmarkEnd w:id="637"/>
    </w:p>
    <w:p>
      <w:pPr>
        <w:pStyle w:val="Heading2"/>
      </w:pPr>
      <w:bookmarkStart w:id="638" w:name="b637"/>
      <w:r>
        <w:t>Erster Abschnitt Strafvollstreckung</w:t>
      </w:r>
      <w:bookmarkEnd w:id="638"/>
    </w:p>
    <w:p>
      <w:pPr>
        <w:pStyle w:val="Heading3"/>
      </w:pPr>
      <w:bookmarkStart w:id="639" w:name="b638"/>
      <w:r>
        <w:t>§ 449 Vollstreckbarkeit</w:t>
      </w:r>
      <w:r>
        <w:t xml:space="preserve"> </w:t>
      </w:r>
      <w:r>
        <w:rPr>
          <w:rStyle w:val="Suchmarke"/>
        </w:rPr>
        <w:t>#449#</w:t>
      </w:r>
      <w:bookmarkEnd w:id="639"/>
    </w:p>
    <w:p>
      <w:r>
        <w:t>Strafurteile sind nicht vollstreckbar, bevor sie rechtskräftig geworden sind.</w:t>
      </w:r>
    </w:p>
    <w:p>
      <w:pPr>
        <w:pStyle w:val="Heading3"/>
      </w:pPr>
      <w:bookmarkStart w:id="640" w:name="b639"/>
      <w:r>
        <w:t>§ 450 Anrechnung von Untersuchungshaft und Führerscheinentziehung</w:t>
      </w:r>
      <w:r>
        <w:t xml:space="preserve"> </w:t>
      </w:r>
      <w:r>
        <w:rPr>
          <w:rStyle w:val="Suchmarke"/>
        </w:rPr>
        <w:t>#450#</w:t>
      </w:r>
      <w:bookmarkEnd w:id="640"/>
    </w:p>
    <w:p>
      <w:r>
        <w:t>(1) Auf die zu vollstreckende Freiheitsstrafe ist unverkürzt die Untersuchungshaft anzurechnen, die der Angeklagte erlitten hat, seit er auf Einlegung eines Rechtsmittels verzichtet oder das eingelegte Rechtsmittel zurückgenommen hat oder seitdem die Einlegungsfrist abgelaufen ist, ohne daß er eine Erklärung abgegeben hat.</w:t>
      </w:r>
    </w:p>
    <w:p>
      <w:r>
        <w:t xml:space="preserve">(2) Hat nach dem Urteil eine Verwahrung, Sicherstellung oder Beschlagnahme des Führerscheins auf Grund des </w:t>
      </w:r>
      <w:hyperlink w:anchor="b171" w:history="1">
        <w:r>
          <w:rPr>
            <w:color w:val="0A3A8C"/>
            <w:u w:val="single"/>
          </w:rPr>
          <w:t xml:space="preserve">§ 111a</w:t>
        </w:r>
      </w:hyperlink>
      <w:r>
        <w:t xml:space="preserve"> Abs. 5 Satz 2 fortgedauert, so ist diese Zeit unverkürzt auf das Fahrverbot (§ 44 des Strafgesetzbuches) anzurechnen.</w:t>
      </w:r>
    </w:p>
    <w:p>
      <w:pPr>
        <w:pStyle w:val="Heading3"/>
      </w:pPr>
      <w:bookmarkStart w:id="641" w:name="b640"/>
      <w:r>
        <w:t>§ 450a Anrechnung einer im Ausland erlittenen Freiheitsentziehung</w:t>
      </w:r>
      <w:r>
        <w:t xml:space="preserve"> </w:t>
      </w:r>
      <w:r>
        <w:rPr>
          <w:rStyle w:val="Suchmarke"/>
        </w:rPr>
        <w:t>#450a#</w:t>
      </w:r>
      <w:bookmarkEnd w:id="641"/>
    </w:p>
    <w:p>
      <w:r>
        <w:t xml:space="preserve">(1) </w:t>
      </w:r>
      <w:r>
        <w:rPr>
          <w:rStyle w:val="Satznummer"/>
        </w:rPr>
        <w:t>1</w:t>
      </w:r>
      <w:r>
        <w:t xml:space="preserve">Auf die zu vollstreckende Freiheitsstrafe ist auch die im Ausland erlittene Freiheitsentziehung anzurechnen, die der Verurteilte in einem Auslieferungsverfahren zum Zwecke der Strafvollstreckung erlitten hat. </w:t>
      </w:r>
      <w:r>
        <w:rPr>
          <w:rStyle w:val="Satznummer"/>
        </w:rPr>
        <w:t>2</w:t>
      </w:r>
      <w:r>
        <w:t>Dies gilt auch dann, wenn der Verurteilte zugleich zum Zwecke der Strafverfolgung ausgeliefert worden ist.</w:t>
      </w:r>
    </w:p>
    <w:p>
      <w:r>
        <w:t>(2) Bei Auslieferung zum Zwecke der Vollstreckung mehrerer Strafen ist die im Ausland erlittene Freiheitsentziehung auf die höchste Strafe, bei Strafen gleicher Höhe auf die Strafe anzurechnen, die nach der Einlieferung des Verurteilten zuerst vollstreckt wird.</w:t>
      </w:r>
    </w:p>
    <w:p>
      <w:r>
        <w:t xml:space="preserve">(3) </w:t>
      </w:r>
      <w:r>
        <w:rPr>
          <w:rStyle w:val="Satznummer"/>
        </w:rPr>
        <w:t>1</w:t>
      </w:r>
      <w:r>
        <w:t xml:space="preserve">Das Gericht kann auf Antrag der Staatsanwaltschaft anordnen, daß die Anrechnung ganz oder zum Teil unterbleibt, wenn sie im Hinblick auf das Verhalten des Verurteilten nach dem Erlaß des Urteils, in dem die dem Urteil zugrunde liegenden tatsächlichen Feststellungen letztmalig geprüft werden konnten, nicht gerechtfertigt ist. </w:t>
      </w:r>
      <w:r>
        <w:rPr>
          <w:rStyle w:val="Satznummer"/>
        </w:rPr>
        <w:t>2</w:t>
      </w:r>
      <w:r>
        <w:t>Trifft das Gericht eine solche Anordnung, so wird die im Ausland erlittene Freiheitsentziehung, soweit ihre Dauer die Strafe nicht überschreitet, auch in einem anderen Verfahren auf die Strafe nicht angerechnet.</w:t>
      </w:r>
    </w:p>
    <w:p>
      <w:pPr>
        <w:pStyle w:val="Heading3"/>
      </w:pPr>
      <w:bookmarkStart w:id="642" w:name="b641"/>
      <w:r>
        <w:t>§ 451 Vollstreckungsbehörde</w:t>
      </w:r>
      <w:r>
        <w:t xml:space="preserve"> </w:t>
      </w:r>
      <w:r>
        <w:rPr>
          <w:rStyle w:val="Suchmarke"/>
        </w:rPr>
        <w:t>#451#</w:t>
      </w:r>
      <w:bookmarkEnd w:id="642"/>
    </w:p>
    <w:p>
      <w:r>
        <w:t>(1) Die Strafvollstreckung erfolgt durch die Staatsanwaltschaft als Vollstreckungsbehörde auf Grund einer von dem Urkundsbeamten der Geschäftsstelle zu erteilenden, mit der Bescheinigung der Vollstreckbarkeit versehenen Abschrift der Urteilsformel.</w:t>
      </w:r>
    </w:p>
    <w:p>
      <w:r>
        <w:t>(2) Den Amtsanwälten steht die Strafvollstreckung nur insoweit zu, als die Landesjustizverwaltung sie ihnen übertragen hat.</w:t>
      </w:r>
    </w:p>
    <w:p>
      <w:r>
        <w:t xml:space="preserve">(3) </w:t>
      </w:r>
      <w:r>
        <w:rPr>
          <w:rStyle w:val="Satznummer"/>
        </w:rPr>
        <w:t>1</w:t>
      </w:r>
      <w:r>
        <w:t xml:space="preserve">Die Staatsanwaltschaft, die Vollstreckungsbehörde ist, nimmt auch gegenüber der Strafvollstreckungskammer bei einem anderen Landgericht die staatsanwaltschaftlichen Aufgaben wahr. </w:t>
      </w:r>
      <w:r>
        <w:rPr>
          <w:rStyle w:val="Satznummer"/>
        </w:rPr>
        <w:t>2</w:t>
      </w:r>
      <w:r>
        <w:t>Sie kann ihre Aufgaben der für dieses Gericht zuständigen Staatsanwaltschaft übertragen, wenn dies im Interesse des Verurteilten geboten erscheint und die Staatsanwaltschaft am Ort der Strafvollstreckungskammer zustimmt.</w:t>
      </w:r>
    </w:p>
    <w:p>
      <w:pPr>
        <w:pStyle w:val="Heading3"/>
      </w:pPr>
      <w:bookmarkStart w:id="643" w:name="b642"/>
      <w:r>
        <w:t>§ 452 Begnadigungsrecht</w:t>
      </w:r>
      <w:r>
        <w:t xml:space="preserve"> </w:t>
      </w:r>
      <w:r>
        <w:rPr>
          <w:rStyle w:val="Suchmarke"/>
        </w:rPr>
        <w:t>#452#</w:t>
      </w:r>
      <w:bookmarkEnd w:id="643"/>
    </w:p>
    <w:p>
      <w:r>
        <w:rPr>
          <w:rStyle w:val="Satznummer"/>
        </w:rPr>
        <w:t>1</w:t>
      </w:r>
      <w:r>
        <w:t xml:space="preserve">In Sachen, in denen im ersten Rechtszug in Ausübung von Gerichtsbarkeit des Bundes entschieden worden ist, steht das Begnadigungsrecht dem Bund zu. </w:t>
      </w:r>
      <w:r>
        <w:rPr>
          <w:rStyle w:val="Satznummer"/>
        </w:rPr>
        <w:t>2</w:t>
      </w:r>
      <w:r>
        <w:t>In allen anderen Sachen steht es den Ländern zu.</w:t>
      </w:r>
    </w:p>
    <w:p>
      <w:pPr>
        <w:pStyle w:val="Heading3"/>
      </w:pPr>
      <w:bookmarkStart w:id="644" w:name="b643"/>
      <w:r>
        <w:t>§ 453 Nachträgliche Entscheidung über Strafaussetzung zur Bewährung oder Verwarnung mit Strafvorbehalt</w:t>
      </w:r>
      <w:r>
        <w:t xml:space="preserve"> </w:t>
      </w:r>
      <w:r>
        <w:rPr>
          <w:rStyle w:val="Suchmarke"/>
        </w:rPr>
        <w:t>#453#</w:t>
      </w:r>
      <w:bookmarkEnd w:id="644"/>
    </w:p>
    <w:p>
      <w:r>
        <w:t xml:space="preserve">(1) </w:t>
      </w:r>
      <w:r>
        <w:rPr>
          <w:rStyle w:val="Satznummer"/>
        </w:rPr>
        <w:t>1</w:t>
      </w:r>
      <w:r>
        <w:t xml:space="preserve">Die nachträglichen Entscheidungen, die sich auf eine Strafaussetzung zur Bewährung oder eine Verwarnung mit Strafvorbehalt beziehen (§§ 56a bis 56g, 58, 59a, 59b des Strafgesetzbuches), trifft das Gericht ohne mündliche Verhandlung durch Beschluß. </w:t>
      </w:r>
      <w:r>
        <w:rPr>
          <w:rStyle w:val="Satznummer"/>
        </w:rPr>
        <w:t>2</w:t>
      </w:r>
      <w:r>
        <w:t xml:space="preserve">Die Staatsanwaltschaft und der Angeklagte sind zu hören. </w:t>
      </w:r>
      <w:r>
        <w:rPr>
          <w:rStyle w:val="Satznummer"/>
        </w:rPr>
        <w:t>3</w:t>
      </w:r>
      <w:hyperlink w:anchor="b388" w:history="1">
        <w:r>
          <w:rPr>
            <w:color w:val="0A3A8C"/>
            <w:u w:val="single"/>
          </w:rPr>
          <w:t xml:space="preserve">§ 246a</w:t>
        </w:r>
      </w:hyperlink>
      <w:r>
        <w:t xml:space="preserve"> Absatz 2 und </w:t>
      </w:r>
      <w:hyperlink w:anchor="b647" w:history="1">
        <w:r>
          <w:rPr>
            <w:color w:val="0A3A8C"/>
            <w:u w:val="single"/>
          </w:rPr>
          <w:t xml:space="preserve">§ 454</w:t>
        </w:r>
      </w:hyperlink>
      <w:r>
        <w:t xml:space="preserve"> Absatz 2 Satz 4 gelten entsprechend. </w:t>
      </w:r>
      <w:r>
        <w:rPr>
          <w:rStyle w:val="Satznummer"/>
        </w:rPr>
        <w:t>4</w:t>
      </w:r>
      <w:r>
        <w:t xml:space="preserve">Hat das Gericht über einen Widerruf der Strafaussetzung wegen Verstoßes gegen Auflagen oder Weisungen zu entscheiden, so soll es dem Verurteilten Gelegenheit zur mündlichen Anhörung geben. </w:t>
      </w:r>
      <w:r>
        <w:rPr>
          <w:rStyle w:val="Satznummer"/>
        </w:rPr>
        <w:t>5</w:t>
      </w:r>
      <w:r>
        <w:t>Ist ein Bewährungshelfer bestellt, so unterrichtet ihn das Gericht, wenn eine Entscheidung über den Widerruf der Strafaussetzung oder den Straferlaß in Betracht kommt; über Erkenntnisse, die dem Gericht aus anderen Strafverfahren bekannt geworden sind, soll es ihn unterrichten, wenn der Zweck der Bewährungsaufsicht dies angezeigt erscheinen läßt.</w:t>
      </w:r>
    </w:p>
    <w:p>
      <w:r>
        <w:t xml:space="preserve">(2) </w:t>
      </w:r>
      <w:r>
        <w:rPr>
          <w:rStyle w:val="Satznummer"/>
        </w:rPr>
        <w:t>1</w:t>
      </w:r>
      <w:r>
        <w:t xml:space="preserve">Gegen die Entscheidungen nach Absatz 1 ist Beschwerde zulässig. </w:t>
      </w:r>
      <w:r>
        <w:rPr>
          <w:rStyle w:val="Satznummer"/>
        </w:rPr>
        <w:t>2</w:t>
      </w:r>
      <w:r>
        <w:t xml:space="preserve">Sie kann nur darauf gestützt werden, daß eine getroffene Anordnung gesetzwidrig ist oder daß die Bewährungszeit nachträglich verlängert worden ist. </w:t>
      </w:r>
      <w:r>
        <w:rPr>
          <w:rStyle w:val="Satznummer"/>
        </w:rPr>
        <w:t>3</w:t>
      </w:r>
      <w:r>
        <w:t>Der Widerruf der Aussetzung, der Erlaß der Strafe, der Widerruf des Erlasses, die Verurteilung zu der vorbehaltenen Strafe und die Feststellung, daß es bei der Verwarnung sein Bewenden hat (§§ 56f, 56g, 59b des Strafgesetzbuches), können mit sofortiger Beschwerde angefochten werden.</w:t>
      </w:r>
    </w:p>
    <w:p>
      <w:pPr>
        <w:pStyle w:val="Heading3"/>
      </w:pPr>
      <w:bookmarkStart w:id="645" w:name="b644"/>
      <w:r>
        <w:t>§ 453a Belehrung bei Strafaussetzung oder Verwarnung mit Strafvorbehalt</w:t>
      </w:r>
      <w:r>
        <w:t xml:space="preserve"> </w:t>
      </w:r>
      <w:r>
        <w:rPr>
          <w:rStyle w:val="Suchmarke"/>
        </w:rPr>
        <w:t>#453a#</w:t>
      </w:r>
      <w:bookmarkEnd w:id="645"/>
    </w:p>
    <w:p>
      <w:r>
        <w:t xml:space="preserve">(1) </w:t>
      </w:r>
      <w:r>
        <w:rPr>
          <w:rStyle w:val="Satznummer"/>
        </w:rPr>
        <w:t>1</w:t>
      </w:r>
      <w:r>
        <w:t xml:space="preserve">Ist der Angeklagte nicht nach </w:t>
      </w:r>
      <w:hyperlink w:anchor="b417" w:history="1">
        <w:r>
          <w:rPr>
            <w:color w:val="0A3A8C"/>
            <w:u w:val="single"/>
          </w:rPr>
          <w:t xml:space="preserve">§ 268a</w:t>
        </w:r>
      </w:hyperlink>
      <w:r>
        <w:t xml:space="preserve"> Abs. 3 belehrt worden, so wird die Belehrung durch das für die Entscheidungen nach </w:t>
      </w:r>
      <w:hyperlink w:anchor="b643" w:history="1">
        <w:r>
          <w:rPr>
            <w:color w:val="0A3A8C"/>
            <w:u w:val="single"/>
          </w:rPr>
          <w:t xml:space="preserve">§ 453</w:t>
        </w:r>
      </w:hyperlink>
      <w:r>
        <w:t xml:space="preserve"> zuständige Gericht erteilt. </w:t>
      </w:r>
      <w:r>
        <w:rPr>
          <w:rStyle w:val="Satznummer"/>
        </w:rPr>
        <w:t>2</w:t>
      </w:r>
      <w:r>
        <w:t>Der Vorsitzende kann mit der Belehrung einen beauftragten oder ersuchten Richter betrauen.</w:t>
      </w:r>
    </w:p>
    <w:p>
      <w:r>
        <w:t>(2) Die Belehrung soll außer in Fällen von geringer Bedeutung mündlich erteilt werden.</w:t>
      </w:r>
    </w:p>
    <w:p>
      <w:r>
        <w:t xml:space="preserve">(3) </w:t>
      </w:r>
      <w:r>
        <w:rPr>
          <w:rStyle w:val="Satznummer"/>
        </w:rPr>
        <w:t>1</w:t>
      </w:r>
      <w:r>
        <w:t xml:space="preserve">Der Angeklagte soll auch über die nachträglichen Entscheidungen belehrt werden. </w:t>
      </w:r>
      <w:r>
        <w:rPr>
          <w:rStyle w:val="Satznummer"/>
        </w:rPr>
        <w:t>2</w:t>
      </w:r>
      <w:r>
        <w:t>Absatz 1 gilt entsprechend.</w:t>
      </w:r>
    </w:p>
    <w:p>
      <w:pPr>
        <w:pStyle w:val="Heading3"/>
      </w:pPr>
      <w:bookmarkStart w:id="646" w:name="b645"/>
      <w:r>
        <w:t>§ 453b Bewährungsüberwachung</w:t>
      </w:r>
      <w:r>
        <w:t xml:space="preserve"> </w:t>
      </w:r>
      <w:r>
        <w:rPr>
          <w:rStyle w:val="Suchmarke"/>
        </w:rPr>
        <w:t>#453b#</w:t>
      </w:r>
      <w:bookmarkEnd w:id="646"/>
    </w:p>
    <w:p>
      <w:r>
        <w:t>(1) Das Gericht überwacht während der Bewährungszeit die Lebensführung des Verurteilten, namentlich die Erfüllung von Auflagen und Weisungen sowie von Anerbieten und Zusagen.</w:t>
      </w:r>
    </w:p>
    <w:p>
      <w:r>
        <w:t xml:space="preserve">(2) Die Überwachung obliegt dem für die Entscheidungen nach </w:t>
      </w:r>
      <w:hyperlink w:anchor="b643" w:history="1">
        <w:r>
          <w:rPr>
            <w:color w:val="0A3A8C"/>
            <w:u w:val="single"/>
          </w:rPr>
          <w:t xml:space="preserve">§ 453</w:t>
        </w:r>
      </w:hyperlink>
      <w:r>
        <w:t xml:space="preserve"> zuständigen Gericht.</w:t>
      </w:r>
    </w:p>
    <w:p>
      <w:pPr>
        <w:pStyle w:val="Heading3"/>
      </w:pPr>
      <w:bookmarkStart w:id="647" w:name="b646"/>
      <w:r>
        <w:t>§ 453c Vorläufige Maßnahmen vor Widerruf der Aussetzung</w:t>
      </w:r>
      <w:r>
        <w:t xml:space="preserve"> </w:t>
      </w:r>
      <w:r>
        <w:rPr>
          <w:rStyle w:val="Suchmarke"/>
        </w:rPr>
        <w:t>#453c#</w:t>
      </w:r>
      <w:bookmarkEnd w:id="647"/>
    </w:p>
    <w:p>
      <w:r>
        <w:t xml:space="preserve">(1) Sind hinreichende Gründe für die Annahme vorhanden, daß die Aussetzung widerrufen wird, so kann das Gericht bis zur Rechtskraft des Widerrufsbeschlusses, um sich der Person des Verurteilten zu versichern, vorläufige Maßnahmen treffen, notfalls, unter den Voraussetzungen des </w:t>
      </w:r>
      <w:hyperlink w:anchor="b189" w:history="1">
        <w:r>
          <w:rPr>
            <w:color w:val="0A3A8C"/>
            <w:u w:val="single"/>
          </w:rPr>
          <w:t xml:space="preserve">§ 112</w:t>
        </w:r>
      </w:hyperlink>
      <w:r>
        <w:t xml:space="preserve"> Abs. 2 Nr. 1 oder 2, oder, wenn bestimmte Tatsachen die Gefahr begründen, daß der Verurteilte erhebliche Straftaten begehen werde, einen Haftbefehl erlassen.</w:t>
      </w:r>
    </w:p>
    <w:p>
      <w:r>
        <w:t xml:space="preserve">(2) </w:t>
      </w:r>
      <w:r>
        <w:rPr>
          <w:rStyle w:val="Satznummer"/>
        </w:rPr>
        <w:t>1</w:t>
      </w:r>
      <w:r>
        <w:t xml:space="preserve">Die auf Grund eines Haftbefehls nach Absatz 1 erlittene Haft wird auf die zu vollstreckende Freiheitsstrafe angerechnet. </w:t>
      </w:r>
      <w:r>
        <w:rPr>
          <w:rStyle w:val="Satznummer"/>
        </w:rPr>
        <w:t>2</w:t>
      </w:r>
      <w:hyperlink w:anchor="b48" w:history="1">
        <w:r>
          <w:rPr>
            <w:color w:val="0A3A8C"/>
            <w:u w:val="single"/>
          </w:rPr>
          <w:t xml:space="preserve">§ 33</w:t>
        </w:r>
      </w:hyperlink>
      <w:r>
        <w:t xml:space="preserve"> Abs. 4 Satz 1 sowie die </w:t>
      </w:r>
      <w:hyperlink w:anchor="b192" w:history="1">
        <w:r>
          <w:rPr>
            <w:color w:val="0A3A8C"/>
            <w:u w:val="single"/>
          </w:rPr>
          <w:t xml:space="preserve">§§ 114</w:t>
        </w:r>
      </w:hyperlink>
      <w:r>
        <w:t xml:space="preserve"> bis </w:t>
      </w:r>
      <w:hyperlink w:anchor="b199" w:history="1">
        <w:r>
          <w:rPr>
            <w:color w:val="0A3A8C"/>
            <w:u w:val="single"/>
          </w:rPr>
          <w:t xml:space="preserve">115a</w:t>
        </w:r>
      </w:hyperlink>
      <w:r>
        <w:t xml:space="preserve">, </w:t>
      </w:r>
      <w:hyperlink w:anchor="b207" w:history="1">
        <w:r>
          <w:rPr>
            <w:color w:val="0A3A8C"/>
            <w:u w:val="single"/>
          </w:rPr>
          <w:t xml:space="preserve">119</w:t>
        </w:r>
      </w:hyperlink>
      <w:r>
        <w:t xml:space="preserve"> und </w:t>
      </w:r>
      <w:hyperlink w:anchor="b208" w:history="1">
        <w:r>
          <w:rPr>
            <w:color w:val="0A3A8C"/>
            <w:u w:val="single"/>
          </w:rPr>
          <w:t xml:space="preserve">119a</w:t>
        </w:r>
      </w:hyperlink>
      <w:r>
        <w:t xml:space="preserve"> gelten entsprechend.</w:t>
      </w:r>
    </w:p>
    <w:p>
      <w:pPr>
        <w:pStyle w:val="Heading3"/>
      </w:pPr>
      <w:bookmarkStart w:id="648" w:name="b647"/>
      <w:r>
        <w:t>§ 454 Aussetzung des Restes einer Freiheitsstrafe zur Bewährung</w:t>
      </w:r>
      <w:r>
        <w:t xml:space="preserve"> </w:t>
      </w:r>
      <w:r>
        <w:rPr>
          <w:rStyle w:val="Suchmarke"/>
        </w:rPr>
        <w:t>#454#</w:t>
      </w:r>
      <w:bookmarkEnd w:id="648"/>
    </w:p>
    <w:p>
      <w:r>
        <w:t xml:space="preserve">(1) </w:t>
      </w:r>
      <w:r>
        <w:rPr>
          <w:rStyle w:val="Satznummer"/>
        </w:rPr>
        <w:t>1</w:t>
      </w:r>
      <w:r>
        <w:t xml:space="preserve">Die Entscheidung, ob die Vollstreckung des Restes einer Freiheitsstrafe zur Bewährung ausgesetzt werden soll (§§ 57 bis 58 des Strafgesetzbuches) sowie die Entscheidung, daß vor Ablauf einer bestimmten Frist ein solcher Antrag des Verurteilten unzulässig ist, trifft das Gericht ohne mündliche Verhandlung durch Beschluß. </w:t>
      </w:r>
      <w:r>
        <w:rPr>
          <w:rStyle w:val="Satznummer"/>
        </w:rPr>
        <w:t>2</w:t>
      </w:r>
      <w:r>
        <w:t xml:space="preserve">Die Staatsanwaltschaft, der Verurteilte und die Vollzugsanstalt sind zu hören. </w:t>
      </w:r>
      <w:r>
        <w:rPr>
          <w:rStyle w:val="Satznummer"/>
        </w:rPr>
        <w:t>3</w:t>
      </w:r>
      <w:r>
        <w:t xml:space="preserve">Der Verurteilte ist mündlich zu hören. </w:t>
      </w:r>
      <w:r>
        <w:rPr>
          <w:rStyle w:val="Satznummer"/>
        </w:rPr>
        <w:t>4</w:t>
      </w:r>
      <w:r>
        <w:t>Von der mündlichen Anhörung des Verurteilten kann abgesehen werden, wenn</w:t>
      </w:r>
    </w:p>
    <w:p>
      <w:pPr>
        <w:tabs>
          <w:tab w:pos="567" w:val="left"/>
        </w:tabs>
        <w:ind w:left="567" w:hanging="567"/>
      </w:pPr>
      <w:r>
        <w:t>1.</w:t>
      </w:r>
      <w:r>
        <w:tab/>
      </w:r>
      <w:r>
        <w:t>die Staatsanwaltschaft und die Vollzugsanstalt die Aussetzung einer zeitigen Freiheitsstrafe befürworten und das Gericht die Aussetzung beabsichtigt,</w:t>
      </w:r>
    </w:p>
    <w:p>
      <w:pPr>
        <w:tabs>
          <w:tab w:pos="567" w:val="left"/>
        </w:tabs>
        <w:ind w:left="567" w:hanging="567"/>
      </w:pPr>
      <w:r>
        <w:t>2.</w:t>
      </w:r>
      <w:r>
        <w:tab/>
      </w:r>
      <w:r>
        <w:t>der Verurteilte die Aussetzung beantragt hat, zur Zeit der Antragstellung</w:t>
      </w:r>
    </w:p>
    <w:p>
      <w:pPr>
        <w:tabs>
          <w:tab w:pos="1134" w:val="left"/>
        </w:tabs>
        <w:ind w:left="1134" w:hanging="567"/>
      </w:pPr>
      <w:r>
        <w:t>a)</w:t>
      </w:r>
      <w:r>
        <w:tab/>
      </w:r>
      <w:r>
        <w:t>bei zeitiger Freiheitsstrafe noch nicht die Hälfte oder weniger als zwei Monate,</w:t>
      </w:r>
    </w:p>
    <w:p>
      <w:pPr>
        <w:tabs>
          <w:tab w:pos="1134" w:val="left"/>
        </w:tabs>
        <w:ind w:left="1134" w:hanging="567"/>
      </w:pPr>
      <w:r>
        <w:t>b)</w:t>
      </w:r>
      <w:r>
        <w:tab/>
      </w:r>
      <w:r>
        <w:t>bei lebenslanger Freiheitsstrafe weniger als dreizehn Jahre</w:t>
      </w:r>
    </w:p>
    <w:p>
      <w:pPr>
        <w:ind w:left="567"/>
      </w:pPr>
      <w:r>
        <w:t>der Strafe verbüßt hat und das Gericht den Antrag wegen verfrühter Antragstellung ablehnt oder</w:t>
      </w:r>
    </w:p>
    <w:p>
      <w:pPr>
        <w:tabs>
          <w:tab w:pos="567" w:val="left"/>
        </w:tabs>
        <w:ind w:left="567" w:hanging="567"/>
      </w:pPr>
      <w:r>
        <w:t>3.</w:t>
      </w:r>
      <w:r>
        <w:tab/>
      </w:r>
      <w:r>
        <w:t>der Antrag des Verurteilten unzulässig ist (§ 57 Abs. 7, § 57a Abs. 4 des Strafgesetzbuches).</w:t>
      </w:r>
    </w:p>
    <w:p>
      <w:r>
        <w:rPr>
          <w:rStyle w:val="Satznummer"/>
        </w:rPr>
        <w:t>5</w:t>
      </w:r>
      <w:r>
        <w:t>Das Gericht entscheidet zugleich, ob eine Anrechnung nach § 43 Abs. 10 Nr. 3 des Strafvollzugsgesetzes ausgeschlossen wird.</w:t>
      </w:r>
    </w:p>
    <w:p>
      <w:r>
        <w:t xml:space="preserve">(2) </w:t>
      </w:r>
      <w:r>
        <w:rPr>
          <w:rStyle w:val="Satznummer"/>
        </w:rPr>
        <w:t>1</w:t>
      </w:r>
      <w:r>
        <w:t>Das Gericht holt das Gutachten eines Sachverständigen über den Verurteilten ein, wenn es erwägt, die Vollstreckung des Restes</w:t>
      </w:r>
    </w:p>
    <w:p>
      <w:pPr>
        <w:tabs>
          <w:tab w:pos="567" w:val="left"/>
        </w:tabs>
        <w:ind w:left="567" w:hanging="567"/>
      </w:pPr>
      <w:r>
        <w:t>1.</w:t>
      </w:r>
      <w:r>
        <w:tab/>
      </w:r>
      <w:r>
        <w:t>der lebenslangen Freiheitsstrafe auszusetzen oder</w:t>
      </w:r>
    </w:p>
    <w:p>
      <w:pPr>
        <w:tabs>
          <w:tab w:pos="567" w:val="left"/>
        </w:tabs>
        <w:ind w:left="567" w:hanging="567"/>
      </w:pPr>
      <w:r>
        <w:t>2.</w:t>
      </w:r>
      <w:r>
        <w:tab/>
      </w:r>
      <w:r>
        <w:t>einer zeitigen Freiheitsstrafe von mehr als zwei Jahren wegen einer Straftat der in § 66 Abs. 3 Satz 1 des Strafgesetzbuches bezeichneten Art auszusetzen und nicht auszuschließen ist, daß Gründe der öffentlichen Sicherheit einer vorzeitigen Entlassung des Verurteilten entgegenstehen.</w:t>
      </w:r>
    </w:p>
    <w:p>
      <w:r>
        <w:rPr>
          <w:rStyle w:val="Satznummer"/>
        </w:rPr>
        <w:t>2</w:t>
      </w:r>
      <w:r>
        <w:t xml:space="preserve">Das Gutachten hat sich namentlich zu der Frage zu äußern, ob bei dem Verurteilten keine Gefahr mehr besteht, daß dessen durch die Tat zutage getretene Gefährlichkeit fortbesteht. </w:t>
      </w:r>
      <w:r>
        <w:rPr>
          <w:rStyle w:val="Satznummer"/>
        </w:rPr>
        <w:t>3</w:t>
      </w:r>
      <w:r>
        <w:t xml:space="preserve">Der Sachverständige ist mündlich zu hören, wobei der Staatsanwaltschaft, dem Verurteilten, seinem Verteidiger und der Vollzugsanstalt Gelegenheit zur Mitwirkung zu geben ist. </w:t>
      </w:r>
      <w:r>
        <w:rPr>
          <w:rStyle w:val="Satznummer"/>
        </w:rPr>
        <w:t>4</w:t>
      </w:r>
      <w:r>
        <w:t>Das Gericht kann von der mündlichen Anhörung des Sachverständigen absehen, wenn der Verurteilte, sein Verteidiger und die Staatsanwaltschaft darauf verzichten.</w:t>
      </w:r>
    </w:p>
    <w:p>
      <w:r>
        <w:t xml:space="preserve">(3) </w:t>
      </w:r>
      <w:r>
        <w:rPr>
          <w:rStyle w:val="Satznummer"/>
        </w:rPr>
        <w:t>1</w:t>
      </w:r>
      <w:r>
        <w:t xml:space="preserve">Gegen die Entscheidungen nach Absatz 1 ist sofortige Beschwerde zulässig. </w:t>
      </w:r>
      <w:r>
        <w:rPr>
          <w:rStyle w:val="Satznummer"/>
        </w:rPr>
        <w:t>2</w:t>
      </w:r>
      <w:r>
        <w:t>Die Beschwerde der Staatsanwaltschaft gegen den Beschluß, der die Aussetzung des Strafrestes anordnet, hat aufschiebende Wirkung.</w:t>
      </w:r>
    </w:p>
    <w:p>
      <w:r>
        <w:t xml:space="preserve">(4) </w:t>
      </w:r>
      <w:r>
        <w:rPr>
          <w:rStyle w:val="Satznummer"/>
        </w:rPr>
        <w:t>1</w:t>
      </w:r>
      <w:r>
        <w:t xml:space="preserve">Im Übrigen sind </w:t>
      </w:r>
      <w:hyperlink w:anchor="b388" w:history="1">
        <w:r>
          <w:rPr>
            <w:color w:val="0A3A8C"/>
            <w:u w:val="single"/>
          </w:rPr>
          <w:t xml:space="preserve">§ 246a</w:t>
        </w:r>
      </w:hyperlink>
      <w:r>
        <w:t xml:space="preserve"> Absatz 2, </w:t>
      </w:r>
      <w:hyperlink w:anchor="b417" w:history="1">
        <w:r>
          <w:rPr>
            <w:color w:val="0A3A8C"/>
            <w:u w:val="single"/>
          </w:rPr>
          <w:t xml:space="preserve">§ 268a</w:t>
        </w:r>
      </w:hyperlink>
      <w:r>
        <w:t xml:space="preserve"> Absatz 3, die </w:t>
      </w:r>
      <w:hyperlink w:anchor="b420" w:history="1">
        <w:r>
          <w:rPr>
            <w:color w:val="0A3A8C"/>
            <w:u w:val="single"/>
          </w:rPr>
          <w:t xml:space="preserve">§§ 268d</w:t>
        </w:r>
      </w:hyperlink>
      <w:r>
        <w:t xml:space="preserve">, </w:t>
      </w:r>
      <w:hyperlink w:anchor="b643" w:history="1">
        <w:r>
          <w:rPr>
            <w:color w:val="0A3A8C"/>
            <w:u w:val="single"/>
          </w:rPr>
          <w:t xml:space="preserve">453</w:t>
        </w:r>
      </w:hyperlink>
      <w:r>
        <w:t xml:space="preserve">, </w:t>
      </w:r>
      <w:hyperlink w:anchor="b644" w:history="1">
        <w:r>
          <w:rPr>
            <w:color w:val="0A3A8C"/>
            <w:u w:val="single"/>
          </w:rPr>
          <w:t xml:space="preserve">453a</w:t>
        </w:r>
      </w:hyperlink>
      <w:r>
        <w:t xml:space="preserve"> Absatz 1 und 3 sowie die </w:t>
      </w:r>
      <w:hyperlink w:anchor="b645" w:history="1">
        <w:r>
          <w:rPr>
            <w:color w:val="0A3A8C"/>
            <w:u w:val="single"/>
          </w:rPr>
          <w:t xml:space="preserve">§§ 453b</w:t>
        </w:r>
      </w:hyperlink>
      <w:r>
        <w:t xml:space="preserve"> und </w:t>
      </w:r>
      <w:hyperlink w:anchor="b646" w:history="1">
        <w:r>
          <w:rPr>
            <w:color w:val="0A3A8C"/>
            <w:u w:val="single"/>
          </w:rPr>
          <w:t xml:space="preserve">453c</w:t>
        </w:r>
      </w:hyperlink>
      <w:r>
        <w:t xml:space="preserve"> entsprechend anzuwenden. </w:t>
      </w:r>
      <w:r>
        <w:rPr>
          <w:rStyle w:val="Satznummer"/>
        </w:rPr>
        <w:t>2</w:t>
      </w:r>
      <w:r>
        <w:t xml:space="preserve">Die Belehrung über die Aussetzung des Strafrestes wird mündlich erteilt; die Belehrung kann auch der Vollzugsanstalt übertragen werden. </w:t>
      </w:r>
      <w:r>
        <w:rPr>
          <w:rStyle w:val="Satznummer"/>
        </w:rPr>
        <w:t>3</w:t>
      </w:r>
      <w:r>
        <w:t>Die Belehrung soll unmittelbar vor der Entlassung erteilt werden.</w:t>
      </w:r>
    </w:p>
    <w:p>
      <w:pPr>
        <w:pStyle w:val="Heading3"/>
      </w:pPr>
      <w:bookmarkStart w:id="649" w:name="b648"/>
      <w:r>
        <w:t>§ 454a Beginn der Bewährungszeit; Aufhebung der Aussetzung des Strafrestes</w:t>
      </w:r>
      <w:r>
        <w:t xml:space="preserve"> </w:t>
      </w:r>
      <w:r>
        <w:rPr>
          <w:rStyle w:val="Suchmarke"/>
        </w:rPr>
        <w:t>#454a#</w:t>
      </w:r>
      <w:bookmarkEnd w:id="649"/>
    </w:p>
    <w:p>
      <w:r>
        <w:t>(1) Beschließt das Gericht die Aussetzung der Vollstreckung des Restes einer Freiheitsstrafe mindestens drei Monate vor dem Zeitpunkt der Entlassung, so verlängert sich die Bewährungszeit um die Zeit von der Rechtskraft der Aussetzungsentscheidung bis zur Entlassung.</w:t>
      </w:r>
    </w:p>
    <w:p>
      <w:r>
        <w:t xml:space="preserve">(2) </w:t>
      </w:r>
      <w:r>
        <w:rPr>
          <w:rStyle w:val="Satznummer"/>
        </w:rPr>
        <w:t>1</w:t>
      </w:r>
      <w:r>
        <w:t xml:space="preserve">Das Gericht kann die Aussetzung der Vollstreckung des Restes einer Freiheitsstrafe bis zur Entlassung des Verurteilten wieder aufheben, wenn die Aussetzung aufgrund neu eingetretener oder bekanntgewordener Tatsachen unter Berücksichtigung des Sicherheitsinteresses der Allgemeinheit nicht mehr verantwortet werden kann; </w:t>
      </w:r>
      <w:hyperlink w:anchor="b647" w:history="1">
        <w:r>
          <w:rPr>
            <w:color w:val="0A3A8C"/>
            <w:u w:val="single"/>
          </w:rPr>
          <w:t xml:space="preserve">§ 454</w:t>
        </w:r>
      </w:hyperlink>
      <w:r>
        <w:t xml:space="preserve"> Abs. 1 Satz 1 und 2 sowie Abs. 3 Satz 1 gilt entsprechend. </w:t>
      </w:r>
      <w:r>
        <w:rPr>
          <w:rStyle w:val="Satznummer"/>
        </w:rPr>
        <w:t>2</w:t>
      </w:r>
      <w:r>
        <w:t>§ 57 Abs. 5 des Strafgesetzbuches bleibt unberührt.</w:t>
      </w:r>
    </w:p>
    <w:p>
      <w:pPr>
        <w:pStyle w:val="Heading3"/>
      </w:pPr>
      <w:bookmarkStart w:id="650" w:name="b649"/>
      <w:r>
        <w:t>§ 454b Vollstreckungsreihenfolge bei Freiheits- und Ersatzfreiheitsstrafen; Unterbrechung</w:t>
      </w:r>
      <w:r>
        <w:t xml:space="preserve"> </w:t>
      </w:r>
      <w:r>
        <w:rPr>
          <w:rStyle w:val="Suchmarke"/>
        </w:rPr>
        <w:t>#454b#</w:t>
      </w:r>
      <w:bookmarkEnd w:id="650"/>
    </w:p>
    <w:p>
      <w:r>
        <w:t>(1) Freiheitsstrafen und Ersatzfreiheitsstrafen sollen unmittelbar nacheinander vollstreckt werden.</w:t>
      </w:r>
    </w:p>
    <w:p>
      <w:r>
        <w:t xml:space="preserve">(2) </w:t>
      </w:r>
      <w:r>
        <w:rPr>
          <w:rStyle w:val="Satznummer"/>
        </w:rPr>
        <w:t>1</w:t>
      </w:r>
      <w:r>
        <w:t>Sind mehrere Freiheitsstrafen oder Freiheitsstrafen und Ersatzfreiheitsstrafen nacheinander zu vollstrecken, so unterbricht die Vollstreckungsbehörde die Vollstreckung der zunächst zu vollstreckenden Freiheitsstrafe, wenn</w:t>
      </w:r>
    </w:p>
    <w:p>
      <w:pPr>
        <w:tabs>
          <w:tab w:pos="567" w:val="left"/>
        </w:tabs>
        <w:ind w:left="567" w:hanging="567"/>
      </w:pPr>
      <w:r>
        <w:t>1.</w:t>
      </w:r>
      <w:r>
        <w:tab/>
      </w:r>
      <w:r>
        <w:t>unter den Voraussetzungen des § 57 Abs. 2 Nr. 1 des Strafgesetzbuches die Hälfte, mindestens jedoch sechs Monate,</w:t>
      </w:r>
    </w:p>
    <w:p>
      <w:pPr>
        <w:tabs>
          <w:tab w:pos="567" w:val="left"/>
        </w:tabs>
        <w:ind w:left="567" w:hanging="567"/>
      </w:pPr>
      <w:r>
        <w:t>2.</w:t>
      </w:r>
      <w:r>
        <w:tab/>
      </w:r>
      <w:r>
        <w:t>im übrigen bei zeitiger Freiheitsstrafe zwei Drittel, mindestens jedoch zwei Monate, oder</w:t>
      </w:r>
    </w:p>
    <w:p>
      <w:pPr>
        <w:tabs>
          <w:tab w:pos="567" w:val="left"/>
        </w:tabs>
        <w:ind w:left="567" w:hanging="567"/>
      </w:pPr>
      <w:r>
        <w:t>3.</w:t>
      </w:r>
      <w:r>
        <w:tab/>
      </w:r>
      <w:r>
        <w:t>bei lebenslanger Freiheitsstrafe fünfzehn Jahre</w:t>
      </w:r>
    </w:p>
    <w:p>
      <w:r>
        <w:t xml:space="preserve">der Strafe verbüßt sind. </w:t>
      </w:r>
      <w:r>
        <w:rPr>
          <w:rStyle w:val="Satznummer"/>
        </w:rPr>
        <w:t>2</w:t>
      </w:r>
      <w:r>
        <w:t xml:space="preserve">Dies gilt nicht für Strafreste, die auf Grund Widerrufs ihrer Aussetzung vollstreckt werden. </w:t>
      </w:r>
      <w:r>
        <w:rPr>
          <w:rStyle w:val="Satznummer"/>
        </w:rPr>
        <w:t>3</w:t>
      </w:r>
      <w:r>
        <w:t>Treten die Voraussetzungen für eine Unterbrechung der zunächst zu vollstreckenden Freiheitsstrafe bereits vor Vollstreckbarkeit der später zu vollstreckenden Freiheitsstrafe ein, erfolgt die Unterbrechung rückwirkend auf den Zeitpunkt des Eintritts der Vollstreckbarkeit.</w:t>
      </w:r>
    </w:p>
    <w:p>
      <w:r>
        <w:t>(3) Auf Antrag des Verurteilten kann die Vollstreckungsbehörde von der Unterbrechung der Vollstreckung von Freiheitsstrafen in den Fällen des Absatzes 2 Satz 1 Nummer 1 oder Nummer 2 absehen, wenn zu erwarten ist, dass nach deren vollständiger Verbüßung die Voraussetzungen einer Zurückstellung der Strafvollstreckung nach § 35 des Betäubungsmittelgesetzes für eine weitere zu vollstreckende Freiheitsstrafe erfüllt sein werden.</w:t>
      </w:r>
    </w:p>
    <w:p>
      <w:r>
        <w:t>(4) Hat die Vollstreckungsbehörde die Vollstreckung nach Absatz 2 unterbrochen, so trifft das Gericht die Entscheidungen nach den §§ 57 und 57a des Strafgesetzbuches erst, wenn über die Aussetzung der Vollstreckung der Reste aller Strafen gleichzeitig entschieden werden kann.</w:t>
      </w:r>
    </w:p>
    <w:p>
      <w:pPr>
        <w:pStyle w:val="Heading3"/>
      </w:pPr>
      <w:bookmarkStart w:id="651" w:name="b650"/>
      <w:r>
        <w:t>§ 455 Strafausstand wegen Vollzugsuntauglichkeit</w:t>
      </w:r>
      <w:r>
        <w:t xml:space="preserve"> </w:t>
      </w:r>
      <w:r>
        <w:rPr>
          <w:rStyle w:val="Suchmarke"/>
        </w:rPr>
        <w:t>#455#</w:t>
      </w:r>
      <w:bookmarkEnd w:id="651"/>
    </w:p>
    <w:p>
      <w:r>
        <w:t>(1) Die Vollstreckung einer Freiheitsstrafe ist aufzuschieben, wenn der Verurteilte in Geisteskrankheit verfällt.</w:t>
      </w:r>
    </w:p>
    <w:p>
      <w:r>
        <w:t>(2) Dasselbe gilt bei anderen Krankheiten, wenn von der Vollstreckung eine nahe Lebensgefahr für den Verurteilten zu besorgen ist.</w:t>
      </w:r>
    </w:p>
    <w:p>
      <w:r>
        <w:t>(3) Die Strafvollstreckung kann auch dann aufgeschoben werden, wenn sich der Verurteilte in einem körperlichen Zustand befindet, bei dem eine sofortige Vollstreckung mit der Einrichtung der Strafanstalt unverträglich ist.</w:t>
      </w:r>
    </w:p>
    <w:p>
      <w:r>
        <w:t xml:space="preserve">(4) </w:t>
      </w:r>
      <w:r>
        <w:rPr>
          <w:rStyle w:val="Satznummer"/>
        </w:rPr>
        <w:t>1</w:t>
      </w:r>
      <w:r>
        <w:t>Die Vollstreckungsbehörde kann die Vollstreckung einer Freiheitsstrafe unterbrechen, wenn</w:t>
      </w:r>
    </w:p>
    <w:p>
      <w:pPr>
        <w:tabs>
          <w:tab w:pos="567" w:val="left"/>
        </w:tabs>
        <w:ind w:left="567" w:hanging="567"/>
      </w:pPr>
      <w:r>
        <w:t>1.</w:t>
      </w:r>
      <w:r>
        <w:tab/>
      </w:r>
      <w:r>
        <w:t>der Verurteilte in Geisteskrankheit verfällt,</w:t>
      </w:r>
    </w:p>
    <w:p>
      <w:pPr>
        <w:tabs>
          <w:tab w:pos="567" w:val="left"/>
        </w:tabs>
        <w:ind w:left="567" w:hanging="567"/>
      </w:pPr>
      <w:r>
        <w:t>2.</w:t>
      </w:r>
      <w:r>
        <w:tab/>
      </w:r>
      <w:r>
        <w:t>wegen einer Krankheit von der Vollstreckung eine nahe Lebensgefahr für den Verurteilten zu besorgen ist oder</w:t>
      </w:r>
    </w:p>
    <w:p>
      <w:pPr>
        <w:tabs>
          <w:tab w:pos="567" w:val="left"/>
        </w:tabs>
        <w:ind w:left="567" w:hanging="567"/>
      </w:pPr>
      <w:r>
        <w:t>3.</w:t>
      </w:r>
      <w:r>
        <w:tab/>
      </w:r>
      <w:r>
        <w:t>der Verurteilte sonst schwer erkrankt und die Krankheit in einer Vollzugsanstalt oder einem Anstaltskrankenhaus nicht erkannt oder behandelt werden kann</w:t>
      </w:r>
    </w:p>
    <w:p>
      <w:r>
        <w:t xml:space="preserve">und zu erwarten ist, daß die Krankheit voraussichtlich für eine erhebliche Zeit fortbestehen wird. </w:t>
      </w:r>
      <w:r>
        <w:rPr>
          <w:rStyle w:val="Satznummer"/>
        </w:rPr>
        <w:t>2</w:t>
      </w:r>
      <w:r>
        <w:t>Die Vollstreckung darf nicht unterbrochen werden, wenn überwiegende Gründe, namentlich der öffentlichen Sicherheit, entgegenstehen.</w:t>
      </w:r>
    </w:p>
    <w:p>
      <w:pPr>
        <w:pStyle w:val="Heading3"/>
      </w:pPr>
      <w:bookmarkStart w:id="652" w:name="b651"/>
      <w:r>
        <w:t>§ 455a Strafausstand aus Gründen der Vollzugsorganisation</w:t>
      </w:r>
      <w:r>
        <w:t xml:space="preserve"> </w:t>
      </w:r>
      <w:r>
        <w:rPr>
          <w:rStyle w:val="Suchmarke"/>
        </w:rPr>
        <w:t>#455a#</w:t>
      </w:r>
      <w:bookmarkEnd w:id="652"/>
    </w:p>
    <w:p>
      <w:r>
        <w:t>(1) Die Vollstreckungsbehörde kann die Vollstreckung einer Freiheitsstrafe oder einer freiheitsentziehenden Maßregel der Besserung und Sicherung aufschieben oder ohne Einwilligung des Gefangenen unterbrechen, wenn dies aus Gründen der Vollzugsorganisation erforderlich ist und überwiegende Gründe der öffentlichen Sicherheit nicht entgegenstehen.</w:t>
      </w:r>
    </w:p>
    <w:p>
      <w:r>
        <w:t>(2) Kann die Entscheidung der Vollstreckungsbehörde nicht rechtzeitig eingeholt werden, so kann der Anstaltsleiter die Vollstreckung unter den Voraussetzungen des Absatzes 1 ohne Einwilligung des Gefangenen vorläufig unterbrechen.</w:t>
      </w:r>
    </w:p>
    <w:p>
      <w:pPr>
        <w:pStyle w:val="Heading3"/>
      </w:pPr>
      <w:bookmarkStart w:id="653" w:name="b652"/>
      <w:r>
        <w:t>§ 456 Vorübergehender Aufschub</w:t>
      </w:r>
      <w:r>
        <w:t xml:space="preserve"> </w:t>
      </w:r>
      <w:r>
        <w:rPr>
          <w:rStyle w:val="Suchmarke"/>
        </w:rPr>
        <w:t>#456#</w:t>
      </w:r>
      <w:bookmarkEnd w:id="653"/>
    </w:p>
    <w:p>
      <w:r>
        <w:t>(1) Auf Antrag des Verurteilten kann die Vollstreckung aufgeschoben werden, sofern durch die sofortige Vollstreckung dem Verurteilten oder seiner Familie erhebliche, außerhalb des Strafzwecks liegende Nachteile erwachsen.</w:t>
      </w:r>
    </w:p>
    <w:p>
      <w:r>
        <w:t>(2) Der Strafaufschub darf den Zeitraum von vier Monaten nicht übersteigen.</w:t>
      </w:r>
    </w:p>
    <w:p>
      <w:r>
        <w:t>(3) Die Bewilligung kann an eine Sicherheitsleistung oder andere Bedingungen geknüpft werden.</w:t>
      </w:r>
    </w:p>
    <w:p>
      <w:pPr>
        <w:pStyle w:val="Heading3"/>
      </w:pPr>
      <w:bookmarkStart w:id="654" w:name="b653"/>
      <w:r>
        <w:t>§ 456a Absehen von Vollstreckung bei Auslieferung, Überstellung oder Ausweisung</w:t>
      </w:r>
      <w:r>
        <w:t xml:space="preserve"> </w:t>
      </w:r>
      <w:r>
        <w:rPr>
          <w:rStyle w:val="Suchmarke"/>
        </w:rPr>
        <w:t>#456a#</w:t>
      </w:r>
      <w:bookmarkEnd w:id="654"/>
    </w:p>
    <w:p>
      <w:r>
        <w:t>(1) Die Vollstreckungsbehörde kann von der Vollstreckung einer Freiheitsstrafe, einer Ersatzfreiheitsstrafe oder einer Maßregel der Besserung und Sicherung absehen, wenn der Verurteilte wegen einer anderen Tat einer ausländischen Regierung ausgeliefert, an einen internationalen Strafgerichtshof überstellt oder wenn er aus dem Geltungsbereich dieses Bundesgesetzes abgeschoben, zurückgeschoben oder zurückgewiesen wird.</w:t>
      </w:r>
    </w:p>
    <w:p>
      <w:r>
        <w:t xml:space="preserve">(2) </w:t>
      </w:r>
      <w:r>
        <w:rPr>
          <w:rStyle w:val="Satznummer"/>
        </w:rPr>
        <w:t>1</w:t>
      </w:r>
      <w:r>
        <w:t xml:space="preserve">Kehrt der Verurteilte zurück, so kann die Vollstreckung nachgeholt werden. </w:t>
      </w:r>
      <w:r>
        <w:rPr>
          <w:rStyle w:val="Satznummer"/>
        </w:rPr>
        <w:t>2</w:t>
      </w:r>
      <w:r>
        <w:t xml:space="preserve">Für die Nachholung einer Maßregel der Besserung und Sicherung gilt § 67c Abs. 2 des Strafgesetzbuches entsprechend. </w:t>
      </w:r>
      <w:r>
        <w:rPr>
          <w:rStyle w:val="Satznummer"/>
        </w:rPr>
        <w:t>3</w:t>
      </w:r>
      <w:r>
        <w:t xml:space="preserve">Die Vollstreckungsbehörde kann zugleich mit dem Absehen von der Vollstreckung die Nachholung für den Fall anordnen, dass der Verurteilte zurückkehrt, und hierzu einen Haftbefehl oder einen Unterbringungsbefehl erlassen sowie die erforderlichen Fahndungsmaßnahmen, insbesondere die Ausschreibung zur Festnahme, veranlassen; </w:t>
      </w:r>
      <w:hyperlink w:anchor="b225" w:history="1">
        <w:r>
          <w:rPr>
            <w:color w:val="0A3A8C"/>
            <w:u w:val="single"/>
          </w:rPr>
          <w:t xml:space="preserve">§ 131</w:t>
        </w:r>
      </w:hyperlink>
      <w:r>
        <w:t xml:space="preserve"> Abs. 4 sowie </w:t>
      </w:r>
      <w:hyperlink w:anchor="b226" w:history="1">
        <w:r>
          <w:rPr>
            <w:color w:val="0A3A8C"/>
            <w:u w:val="single"/>
          </w:rPr>
          <w:t xml:space="preserve">§ 131a</w:t>
        </w:r>
      </w:hyperlink>
      <w:r>
        <w:t xml:space="preserve"> Abs. 3 gelten entsprechend. </w:t>
      </w:r>
      <w:r>
        <w:rPr>
          <w:rStyle w:val="Satznummer"/>
        </w:rPr>
        <w:t>4</w:t>
      </w:r>
      <w:r>
        <w:t>Der Verurteilte ist zu belehren.</w:t>
      </w:r>
    </w:p>
    <w:p>
      <w:pPr>
        <w:pStyle w:val="Heading3"/>
      </w:pPr>
      <w:bookmarkStart w:id="655" w:name="b654"/>
      <w:r>
        <w:t>§ 456b (weggefallen)</w:t>
      </w:r>
      <w:r>
        <w:t xml:space="preserve"> </w:t>
      </w:r>
      <w:r>
        <w:rPr>
          <w:rStyle w:val="Suchmarke"/>
        </w:rPr>
        <w:t>#456b#</w:t>
      </w:r>
      <w:bookmarkEnd w:id="655"/>
    </w:p>
    <w:p>
      <w:pPr>
        <w:pStyle w:val="Heading3"/>
      </w:pPr>
      <w:bookmarkStart w:id="656" w:name="b655"/>
      <w:r>
        <w:t>§ 456c Aufschub und Aussetzung des Berufsverbotes</w:t>
      </w:r>
      <w:r>
        <w:t xml:space="preserve"> </w:t>
      </w:r>
      <w:r>
        <w:rPr>
          <w:rStyle w:val="Suchmarke"/>
        </w:rPr>
        <w:t>#456c#</w:t>
      </w:r>
      <w:bookmarkEnd w:id="656"/>
    </w:p>
    <w:p>
      <w:r>
        <w:t xml:space="preserve">(1) </w:t>
      </w:r>
      <w:r>
        <w:rPr>
          <w:rStyle w:val="Satznummer"/>
        </w:rPr>
        <w:t>1</w:t>
      </w:r>
      <w:r>
        <w:t xml:space="preserve">Das Gericht kann bei Erlaß des Urteils auf Antrag oder mit Einwilligung des Verurteilten das Wirksamwerden des Berufsverbots durch Beschluß aufschieben, wenn das sofortige Wirksamwerden des Verbots für den Verurteilten oder seine Angehörigen eine erhebliche, außerhalb seines Zweckes liegende, durch späteres Wirksamwerden vermeidbare Härte bedeuten würde. </w:t>
      </w:r>
      <w:r>
        <w:rPr>
          <w:rStyle w:val="Satznummer"/>
        </w:rPr>
        <w:t>2</w:t>
      </w:r>
      <w:r>
        <w:t xml:space="preserve">Hat der Verurteilte einen gesetzlichen Vertreter, so ist dessen Einwilligung erforderlich. </w:t>
      </w:r>
      <w:r>
        <w:rPr>
          <w:rStyle w:val="Satznummer"/>
        </w:rPr>
        <w:t>3</w:t>
      </w:r>
      <w:hyperlink w:anchor="b676" w:history="1">
        <w:r>
          <w:rPr>
            <w:color w:val="0A3A8C"/>
            <w:u w:val="single"/>
          </w:rPr>
          <w:t xml:space="preserve">§ 462</w:t>
        </w:r>
      </w:hyperlink>
      <w:r>
        <w:t xml:space="preserve"> Abs. 3 gilt entsprechend.</w:t>
      </w:r>
    </w:p>
    <w:p>
      <w:r>
        <w:t>(2) Die Vollstreckungsbehörde kann unter denselben Voraussetzungen das Berufsverbot aussetzen.</w:t>
      </w:r>
    </w:p>
    <w:p>
      <w:r>
        <w:t xml:space="preserve">(3) </w:t>
      </w:r>
      <w:r>
        <w:rPr>
          <w:rStyle w:val="Satznummer"/>
        </w:rPr>
        <w:t>1</w:t>
      </w:r>
      <w:r>
        <w:t xml:space="preserve">Der Aufschub und die Aussetzung können an die Leistung einer Sicherheit oder an andere Bedingungen geknüpft werden. </w:t>
      </w:r>
      <w:r>
        <w:rPr>
          <w:rStyle w:val="Satznummer"/>
        </w:rPr>
        <w:t>2</w:t>
      </w:r>
      <w:r>
        <w:t>Aufschub und Aussetzung dürfen den Zeitraum von sechs Monaten nicht übersteigen.</w:t>
      </w:r>
    </w:p>
    <w:p>
      <w:r>
        <w:t>(4) Die Zeit des Aufschubs und der Aussetzung wird auf die für das Berufsverbot festgesetzte Frist nicht angerechnet.</w:t>
      </w:r>
    </w:p>
    <w:p>
      <w:pPr>
        <w:pStyle w:val="Heading3"/>
      </w:pPr>
      <w:bookmarkStart w:id="657" w:name="b656"/>
      <w:r>
        <w:t>§ 457 Ermittlungshandlungen; Vorführungsbefehl, Vollstreckungshaftbefehl</w:t>
      </w:r>
      <w:r>
        <w:t xml:space="preserve"> </w:t>
      </w:r>
      <w:r>
        <w:rPr>
          <w:rStyle w:val="Suchmarke"/>
        </w:rPr>
        <w:t>#457#</w:t>
      </w:r>
      <w:bookmarkEnd w:id="657"/>
    </w:p>
    <w:p>
      <w:r>
        <w:t xml:space="preserve">(1) </w:t>
      </w:r>
      <w:hyperlink w:anchor="b292" w:history="1">
        <w:r>
          <w:rPr>
            <w:color w:val="0A3A8C"/>
            <w:u w:val="single"/>
          </w:rPr>
          <w:t xml:space="preserve">§ 161</w:t>
        </w:r>
      </w:hyperlink>
      <w:r>
        <w:t xml:space="preserve"> gilt sinngemäß für die in diesem Abschnitt bezeichneten Zwecke.</w:t>
      </w:r>
    </w:p>
    <w:p>
      <w:r>
        <w:t xml:space="preserve">(2) </w:t>
      </w:r>
      <w:r>
        <w:rPr>
          <w:rStyle w:val="Satznummer"/>
        </w:rPr>
        <w:t>1</w:t>
      </w:r>
      <w:r>
        <w:t xml:space="preserve">Die Vollstreckungsbehörde ist befugt, zur Vollstreckung einer Freiheitsstrafe einen Vorführungs- oder Haftbefehl zu erlassen, wenn der Verurteilte auf die an ihn ergangene Ladung zum Antritt der Strafe sich nicht gestellt hat oder der Flucht verdächtig ist. </w:t>
      </w:r>
      <w:r>
        <w:rPr>
          <w:rStyle w:val="Satznummer"/>
        </w:rPr>
        <w:t>2</w:t>
      </w:r>
      <w:r>
        <w:t>Sie kann einen Vorführungs- oder Haftbefehl auch erlassen, wenn ein Strafgefangener entweicht oder sich sonst dem Vollzug entzieht.</w:t>
      </w:r>
    </w:p>
    <w:p>
      <w:r>
        <w:t xml:space="preserve">(3) </w:t>
      </w:r>
      <w:r>
        <w:rPr>
          <w:rStyle w:val="Satznummer"/>
        </w:rPr>
        <w:t>1</w:t>
      </w:r>
      <w:r>
        <w:t xml:space="preserve">Im übrigen hat in den Fällen des Absatzes 2 die Vollstreckungsbehörde die gleichen Befugnisse wie die Strafverfolgungsbehörde, soweit die Maßnahmen bestimmt und geeignet sind, den Verurteilten festzunehmen. </w:t>
      </w:r>
      <w:r>
        <w:rPr>
          <w:rStyle w:val="Satznummer"/>
        </w:rPr>
        <w:t>2</w:t>
      </w:r>
      <w:r>
        <w:t xml:space="preserve">Bei der Prüfung der Verhältnismäßigkeit ist auf die Dauer der noch zu vollstreckenden Freiheitsstrafe besonders Bedacht zu nehmen. </w:t>
      </w:r>
      <w:r>
        <w:rPr>
          <w:rStyle w:val="Satznummer"/>
        </w:rPr>
        <w:t>3</w:t>
      </w:r>
      <w:r>
        <w:t>Die notwendig werdenden gerichtlichen Entscheidungen trifft das Gericht des ersten Rechtszuges.</w:t>
      </w:r>
    </w:p>
    <w:p>
      <w:pPr>
        <w:pStyle w:val="Heading3"/>
      </w:pPr>
      <w:bookmarkStart w:id="658" w:name="b657"/>
      <w:r>
        <w:t>§ 458 Gerichtliche Entscheidungen bei Strafvollstreckung</w:t>
      </w:r>
      <w:r>
        <w:t xml:space="preserve"> </w:t>
      </w:r>
      <w:r>
        <w:rPr>
          <w:rStyle w:val="Suchmarke"/>
        </w:rPr>
        <w:t>#458#</w:t>
      </w:r>
      <w:bookmarkEnd w:id="658"/>
    </w:p>
    <w:p>
      <w:r>
        <w:t>(1) Wenn über die Auslegung eines Strafurteils oder über die Berechnung der erkannten Strafe Zweifel entstehen oder wenn Einwendungen gegen die Zulässigkeit der Strafvollstreckung erhoben werden, so ist die Entscheidung des Gerichts herbeizuführen.</w:t>
      </w:r>
    </w:p>
    <w:p>
      <w:r>
        <w:t xml:space="preserve">(2) Das Gericht entscheidet ferner, wenn in den Fällen des </w:t>
      </w:r>
      <w:hyperlink w:anchor="b649" w:history="1">
        <w:r>
          <w:rPr>
            <w:color w:val="0A3A8C"/>
            <w:u w:val="single"/>
          </w:rPr>
          <w:t xml:space="preserve">§ 454b</w:t>
        </w:r>
      </w:hyperlink>
      <w:r>
        <w:t xml:space="preserve"> Absatz 1 bis 3 sowie der §§ 455, 456 und 456c Abs. 2 Einwendungen gegen die Entscheidung der Vollstreckungsbehörde erhoben werden oder wenn die Vollstreckungsbehörde anordnet, daß an einem Ausgelieferten, Abgeschobenen, Zurückgeschobenen oder Zurückgewiesenen die Vollstreckung einer Strafe oder einer Maßregel der Besserung und Sicherung nachgeholt werden soll, und Einwendungen gegen diese Anordnung erhoben werden.</w:t>
      </w:r>
    </w:p>
    <w:p>
      <w:r>
        <w:t xml:space="preserve">(3) </w:t>
      </w:r>
      <w:r>
        <w:rPr>
          <w:rStyle w:val="Satznummer"/>
        </w:rPr>
        <w:t>1</w:t>
      </w:r>
      <w:r>
        <w:t xml:space="preserve">Der Fortgang der Vollstreckung wird hierdurch nicht gehemmt; das Gericht kann jedoch einen Aufschub oder eine Unterbrechung der Vollstreckung anordnen. </w:t>
      </w:r>
      <w:r>
        <w:rPr>
          <w:rStyle w:val="Satznummer"/>
        </w:rPr>
        <w:t>2</w:t>
      </w:r>
      <w:r>
        <w:t xml:space="preserve">In den Fällen des </w:t>
      </w:r>
      <w:hyperlink w:anchor="b655" w:history="1">
        <w:r>
          <w:rPr>
            <w:color w:val="0A3A8C"/>
            <w:u w:val="single"/>
          </w:rPr>
          <w:t xml:space="preserve">§ 456c</w:t>
        </w:r>
      </w:hyperlink>
      <w:r>
        <w:t xml:space="preserve"> Abs. 2 kann das Gericht eine einstweilige Anordnung treffen.</w:t>
      </w:r>
    </w:p>
    <w:p>
      <w:pPr>
        <w:pStyle w:val="Heading3"/>
      </w:pPr>
      <w:bookmarkStart w:id="659" w:name="b658"/>
      <w:r>
        <w:t>§ 459 Vollstreckung der Geldstrafe; Anwendung des Justizbeitreibungsgesetzes</w:t>
      </w:r>
      <w:r>
        <w:t xml:space="preserve"> </w:t>
      </w:r>
      <w:r>
        <w:rPr>
          <w:rStyle w:val="Suchmarke"/>
        </w:rPr>
        <w:t>#459#</w:t>
      </w:r>
      <w:bookmarkEnd w:id="659"/>
    </w:p>
    <w:p>
      <w:r>
        <w:t>Für die Vollstreckung der Geldstrafe gelten die Vorschriften des Justizbeitreibungsgesetzes, soweit dieses Gesetz nichts anderes bestimmt.</w:t>
      </w:r>
    </w:p>
    <w:p>
      <w:pPr>
        <w:pStyle w:val="Heading3"/>
      </w:pPr>
      <w:bookmarkStart w:id="660" w:name="b659"/>
      <w:r>
        <w:t>§ 459a Bewilligung von Zahlungserleichterungen</w:t>
      </w:r>
      <w:r>
        <w:t xml:space="preserve"> </w:t>
      </w:r>
      <w:r>
        <w:rPr>
          <w:rStyle w:val="Suchmarke"/>
        </w:rPr>
        <w:t>#459a#</w:t>
      </w:r>
      <w:bookmarkEnd w:id="660"/>
    </w:p>
    <w:p>
      <w:r>
        <w:t>(1) Nach Rechtskraft des Urteils entscheidet über die Bewilligung von Zahlungserleichterungen bei Geldstrafen (§ 42 des Strafgesetzbuches) die Vollstreckungsbehörde.</w:t>
      </w:r>
    </w:p>
    <w:p>
      <w:r>
        <w:t xml:space="preserve">(2) </w:t>
      </w:r>
      <w:r>
        <w:rPr>
          <w:rStyle w:val="Satznummer"/>
        </w:rPr>
        <w:t>1</w:t>
      </w:r>
      <w:r>
        <w:t xml:space="preserve">Die Vollstreckungsbehörde kann eine Entscheidung über Zahlungserleichterungen nach Absatz 1 oder nach § 42 des Strafgesetzbuches nachträglich ändern oder aufheben. </w:t>
      </w:r>
      <w:r>
        <w:rPr>
          <w:rStyle w:val="Satznummer"/>
        </w:rPr>
        <w:t>2</w:t>
      </w:r>
      <w:r>
        <w:t>Dabei darf sie von einer vorausgegangenen Entscheidung zum Nachteil des Verurteilten nur auf Grund neuer Tatsachen oder Beweismittel abweichen.</w:t>
      </w:r>
    </w:p>
    <w:p>
      <w:r>
        <w:t xml:space="preserve">(3) </w:t>
      </w:r>
      <w:r>
        <w:rPr>
          <w:rStyle w:val="Satznummer"/>
        </w:rPr>
        <w:t>1</w:t>
      </w:r>
      <w:r>
        <w:t xml:space="preserve">Entfällt die Vergünstigung nach § 42 Satz 2 des Strafgesetzbuches, die Geldstrafe in bestimmten Teilbeträgen zu zahlen, so wird dies in den Akten vermerkt. </w:t>
      </w:r>
      <w:r>
        <w:rPr>
          <w:rStyle w:val="Satznummer"/>
        </w:rPr>
        <w:t>2</w:t>
      </w:r>
      <w:r>
        <w:t>Die Vollstreckungsbehörde kann erneut eine Zahlungserleichterung bewilligen.</w:t>
      </w:r>
    </w:p>
    <w:p>
      <w:r>
        <w:t xml:space="preserve">(4) </w:t>
      </w:r>
      <w:r>
        <w:rPr>
          <w:rStyle w:val="Satznummer"/>
        </w:rPr>
        <w:t>1</w:t>
      </w:r>
      <w:r>
        <w:t xml:space="preserve">Die Entscheidung über Zahlungserleichterungen erstreckt sich auch auf die Kosten des Verfahrens. </w:t>
      </w:r>
      <w:r>
        <w:rPr>
          <w:rStyle w:val="Satznummer"/>
        </w:rPr>
        <w:t>2</w:t>
      </w:r>
      <w:r>
        <w:t>Sie kann auch allein hinsichtlich der Kosten getroffen werden.</w:t>
      </w:r>
    </w:p>
    <w:p>
      <w:pPr>
        <w:pStyle w:val="Heading3"/>
      </w:pPr>
      <w:bookmarkStart w:id="661" w:name="b660"/>
      <w:r>
        <w:t>§ 459b Anrechnung von Teilbeträgen</w:t>
      </w:r>
      <w:r>
        <w:t xml:space="preserve"> </w:t>
      </w:r>
      <w:r>
        <w:rPr>
          <w:rStyle w:val="Suchmarke"/>
        </w:rPr>
        <w:t>#459b#</w:t>
      </w:r>
      <w:bookmarkEnd w:id="661"/>
    </w:p>
    <w:p>
      <w:r>
        <w:t>Teilbeträge werden, wenn der Verurteilte bei der Zahlung keine Bestimmung trifft, zunächst auf die Geldstrafe, dann auf die etwa angeordneten Nebenfolgen, die zu einer Geldzahlung verpflichten, und zuletzt auf die Kosten des Verfahrens angerechnet.</w:t>
      </w:r>
    </w:p>
    <w:p>
      <w:pPr>
        <w:pStyle w:val="Heading3"/>
      </w:pPr>
      <w:bookmarkStart w:id="662" w:name="b661"/>
      <w:r>
        <w:t>§ 459c Beitreibung der Geldstrafe</w:t>
      </w:r>
      <w:r>
        <w:t xml:space="preserve"> </w:t>
      </w:r>
      <w:r>
        <w:rPr>
          <w:rStyle w:val="Suchmarke"/>
        </w:rPr>
        <w:t>#459c#</w:t>
      </w:r>
      <w:bookmarkEnd w:id="662"/>
    </w:p>
    <w:p>
      <w:r>
        <w:t>(1) Die Geldstrafe oder der Teilbetrag der Geldstrafe wird vor Ablauf von zwei Wochen nach Eintritt der Fälligkeit nur beigetrieben, wenn auf Grund bestimmter Tatsachen erkennbar ist, daß sich der Verurteilte der Zahlung entziehen will.</w:t>
      </w:r>
    </w:p>
    <w:p>
      <w:r>
        <w:t>(2) Die Vollstreckung kann unterbleiben, wenn zu erwarten ist, daß sie in absehbarer Zeit zu keinem Erfolg führen wird.</w:t>
      </w:r>
    </w:p>
    <w:p>
      <w:r>
        <w:t>(3) In den Nachlaß des Verurteilten darf die Geldstrafe nicht vollstreckt werden.</w:t>
      </w:r>
    </w:p>
    <w:p>
      <w:pPr>
        <w:pStyle w:val="Heading3"/>
      </w:pPr>
      <w:bookmarkStart w:id="663" w:name="b662"/>
      <w:r>
        <w:t>§ 459d Unterbleiben der Vollstreckung einer Geldstrafe</w:t>
      </w:r>
      <w:r>
        <w:t xml:space="preserve"> </w:t>
      </w:r>
      <w:r>
        <w:rPr>
          <w:rStyle w:val="Suchmarke"/>
        </w:rPr>
        <w:t>#459d#</w:t>
      </w:r>
      <w:bookmarkEnd w:id="663"/>
    </w:p>
    <w:p>
      <w:r>
        <w:t>(1) Das Gericht kann anordnen, daß die Vollstreckung der Geldstrafe ganz oder zum Teil unterbleibt, wenn</w:t>
      </w:r>
    </w:p>
    <w:p>
      <w:pPr>
        <w:tabs>
          <w:tab w:pos="567" w:val="left"/>
        </w:tabs>
        <w:ind w:left="567" w:hanging="567"/>
      </w:pPr>
      <w:r>
        <w:t>1.</w:t>
      </w:r>
      <w:r>
        <w:tab/>
      </w:r>
      <w:r>
        <w:t>in demselben Verfahren Freiheitsstrafe vollstreckt oder zur Bewährung ausgesetzt worden ist oder</w:t>
      </w:r>
    </w:p>
    <w:p>
      <w:pPr>
        <w:tabs>
          <w:tab w:pos="567" w:val="left"/>
        </w:tabs>
        <w:ind w:left="567" w:hanging="567"/>
      </w:pPr>
      <w:r>
        <w:t>2.</w:t>
      </w:r>
      <w:r>
        <w:tab/>
      </w:r>
      <w:r>
        <w:t>in einem anderen Verfahren Freiheitsstrafe verhängt ist und die Voraussetzungen des § 55 des Strafgesetzbuches nicht vorliegen</w:t>
      </w:r>
    </w:p>
    <w:p>
      <w:r>
        <w:t>und die Vollstreckung der Geldstrafe die Wiedereingliederung des Verurteilten erschweren kann.</w:t>
      </w:r>
    </w:p>
    <w:p>
      <w:r>
        <w:t>(2) Das Gericht kann eine Entscheidung nach Absatz 1 auch hinsichtlich der Kosten des Verfahrens treffen.</w:t>
      </w:r>
    </w:p>
    <w:p>
      <w:pPr>
        <w:pStyle w:val="Heading3"/>
      </w:pPr>
      <w:bookmarkStart w:id="664" w:name="b663"/>
      <w:r>
        <w:t>§ 459e Vollstreckung der Ersatzfreiheitsstrafe</w:t>
      </w:r>
      <w:r>
        <w:t xml:space="preserve"> </w:t>
      </w:r>
      <w:r>
        <w:rPr>
          <w:rStyle w:val="Suchmarke"/>
        </w:rPr>
        <w:t>#459e#</w:t>
      </w:r>
      <w:bookmarkEnd w:id="664"/>
    </w:p>
    <w:p>
      <w:r>
        <w:t>(1) Die Ersatzfreiheitsstrafe wird auf Anordnung der Vollstreckungsbehörde vollstreckt.</w:t>
      </w:r>
    </w:p>
    <w:p>
      <w:r>
        <w:t xml:space="preserve">(2) </w:t>
      </w:r>
      <w:r>
        <w:rPr>
          <w:rStyle w:val="Satznummer"/>
        </w:rPr>
        <w:t>1</w:t>
      </w:r>
      <w:r>
        <w:t xml:space="preserve">Die Anordnung setzt voraus, daß die Geldstrafe nicht eingebracht werden kann oder die Vollstreckung nach </w:t>
      </w:r>
      <w:hyperlink w:anchor="b661" w:history="1">
        <w:r>
          <w:rPr>
            <w:color w:val="0A3A8C"/>
            <w:u w:val="single"/>
          </w:rPr>
          <w:t xml:space="preserve">§ 459c</w:t>
        </w:r>
      </w:hyperlink>
      <w:r>
        <w:t xml:space="preserve"> Abs. 2 unterbleibt. </w:t>
      </w:r>
      <w:r>
        <w:rPr>
          <w:rStyle w:val="Satznummer"/>
        </w:rPr>
        <w:t>2</w:t>
      </w:r>
      <w:r>
        <w:t>Vor der Anordnung ist der Verurteilte darauf hinzuweisen, dass ihm gemäß § 459a Zahlungserleichterungen bewilligt werden können und ihm gemäß Rechtsverordnung nach Artikel 293 des Einführungsgesetzes zum Strafgesetzbuch oder sonst landesrechtlich gestattet werden kann, die Vollstreckung der Ersatzfreiheitsstrafe durch freie Arbeit abzuwenden; besteht Anlass zu der Annahme, dass der Verurteilte der deutschen Sprache nicht hinreichend mächtig ist, hat der Hinweis in einer ihm verständlichen Sprache zu erfolgen.</w:t>
      </w:r>
    </w:p>
    <w:p>
      <w:r>
        <w:t xml:space="preserve">(2a) </w:t>
      </w:r>
      <w:r>
        <w:rPr>
          <w:rStyle w:val="Satznummer"/>
        </w:rPr>
        <w:t>1</w:t>
      </w:r>
      <w:r>
        <w:t xml:space="preserve">Die Vollstreckungsbehörde und die gemäß </w:t>
      </w:r>
      <w:hyperlink w:anchor="b682" w:history="1">
        <w:r>
          <w:rPr>
            <w:color w:val="0A3A8C"/>
            <w:u w:val="single"/>
          </w:rPr>
          <w:t xml:space="preserve">§ 463d</w:t>
        </w:r>
      </w:hyperlink>
      <w:r>
        <w:t xml:space="preserve"> Satz 2 Nummer 2 eingebundene Gerichtshilfe können zu dem Zweck, dem Verurteilten Möglichkeiten aufzuzeigen, die Geldstrafe mittels Zahlungserleichterungen zu tilgen oder die Vollstreckung einer Ersatzfreiheitsstrafe durch freie Arbeit abzuwenden, einer von der Vollstreckungsbehörde beauftragten nichtöffentlichen Stelle die hierfür erforderlichen personenbezogenen Daten übermitteln. </w:t>
      </w:r>
      <w:r>
        <w:rPr>
          <w:rStyle w:val="Satznummer"/>
        </w:rPr>
        <w:t>2</w:t>
      </w:r>
      <w:r>
        <w:t xml:space="preserve">Die beauftragte Stelle ist darauf hinzuweisen, dass sie die übermittelten Daten nur für die in Satz 1 genannten Zwecke verwenden und verarbeiten darf. </w:t>
      </w:r>
      <w:r>
        <w:rPr>
          <w:rStyle w:val="Satznummer"/>
        </w:rPr>
        <w:t>3</w:t>
      </w:r>
      <w:r>
        <w:t xml:space="preserve">Sie darf personenbezogene Daten nur erheben sowie die erhobenen Daten verarbeiten und nutzen, soweit der Verurteilte eingewilligt hat und dies für die in Satz 1 genannten Zwecke erforderlich ist. </w:t>
      </w:r>
      <w:r>
        <w:rPr>
          <w:rStyle w:val="Satznummer"/>
        </w:rPr>
        <w:t>4</w:t>
      </w:r>
      <w:r>
        <w:t xml:space="preserve">Die Vorschriften der Verordnung (EU) 2016/679 und des Bundesdatenschutzgesetzes finden auch dann Anwendung, wenn die personenbezogenen Daten nicht automatisiert verarbeitet werden und nicht in einem Dateisystem gespeichert sind oder gespeichert werden. </w:t>
      </w:r>
      <w:r>
        <w:rPr>
          <w:rStyle w:val="Satznummer"/>
        </w:rPr>
        <w:t>5</w:t>
      </w:r>
      <w:r>
        <w:t>Die personenbezogenen Daten sind von der beauftragten Stelle nach Ablauf eines Jahres nach Beendigung der beauftragten Tätigkeit zu vernichten.</w:t>
      </w:r>
    </w:p>
    <w:p>
      <w:r>
        <w:t>(3) Wegen eines Teilbetrages, der keinem vollen Tag Freiheitsstrafe entspricht, darf die Vollstreckung der Ersatzfreiheitsstrafe nicht angeordnet werden.</w:t>
      </w:r>
    </w:p>
    <w:p>
      <w:r>
        <w:t xml:space="preserve">(4) </w:t>
      </w:r>
      <w:r>
        <w:rPr>
          <w:rStyle w:val="Satznummer"/>
        </w:rPr>
        <w:t>1</w:t>
      </w:r>
      <w:r>
        <w:t xml:space="preserve">Die Ersatzfreiheitsstrafe wird nicht vollstreckt, soweit die Geldstrafe entrichtet oder beigetrieben wird oder die Vollstreckung nach </w:t>
      </w:r>
      <w:hyperlink w:anchor="b662" w:history="1">
        <w:r>
          <w:rPr>
            <w:color w:val="0A3A8C"/>
            <w:u w:val="single"/>
          </w:rPr>
          <w:t xml:space="preserve">§ 459d</w:t>
        </w:r>
      </w:hyperlink>
      <w:r>
        <w:t xml:space="preserve"> unterbleibt. </w:t>
      </w:r>
      <w:r>
        <w:rPr>
          <w:rStyle w:val="Satznummer"/>
        </w:rPr>
        <w:t>2</w:t>
      </w:r>
      <w:r>
        <w:t>Absatz 3 gilt entsprechend.</w:t>
      </w:r>
    </w:p>
    <w:p>
      <w:pPr>
        <w:pStyle w:val="Heading3"/>
      </w:pPr>
      <w:bookmarkStart w:id="665" w:name="b664"/>
      <w:r>
        <w:t>§ 459f Unterbleiben der Vollstreckung einer Ersatzfreiheitsstrafe</w:t>
      </w:r>
      <w:r>
        <w:t xml:space="preserve"> </w:t>
      </w:r>
      <w:r>
        <w:rPr>
          <w:rStyle w:val="Suchmarke"/>
        </w:rPr>
        <w:t>#459f#</w:t>
      </w:r>
      <w:bookmarkEnd w:id="665"/>
    </w:p>
    <w:p>
      <w:r>
        <w:t>Das Gericht ordnet an, daß die Vollstreckung der Ersatzfreiheitsstrafe unterbleibt, wenn die Vollstreckung für den Verurteilten eine unbillige Härte wäre.</w:t>
      </w:r>
    </w:p>
    <w:p>
      <w:pPr>
        <w:pStyle w:val="Heading3"/>
      </w:pPr>
      <w:bookmarkStart w:id="666" w:name="b665"/>
      <w:r>
        <w:t>§ 459g Vollstreckung von Nebenfolgen</w:t>
      </w:r>
      <w:r>
        <w:t xml:space="preserve"> </w:t>
      </w:r>
      <w:r>
        <w:rPr>
          <w:rStyle w:val="Suchmarke"/>
        </w:rPr>
        <w:t>#459g#</w:t>
      </w:r>
      <w:bookmarkEnd w:id="666"/>
    </w:p>
    <w:p>
      <w:r>
        <w:t xml:space="preserve">(1) </w:t>
      </w:r>
      <w:r>
        <w:rPr>
          <w:rStyle w:val="Satznummer"/>
        </w:rPr>
        <w:t>1</w:t>
      </w:r>
      <w:r>
        <w:t xml:space="preserve">Die Anordnung der Einziehung oder der Unbrauchbarmachung einer Sache wird dadurch vollstreckt, dass die Sache demjenigen, gegen den sich die Anordnung richtet, weggenommen wird. </w:t>
      </w:r>
      <w:r>
        <w:rPr>
          <w:rStyle w:val="Satznummer"/>
        </w:rPr>
        <w:t>2</w:t>
      </w:r>
      <w:r>
        <w:t>Für die Vollstreckung gelten die Vorschriften des Justizbeitreibungsgesetzes.</w:t>
      </w:r>
    </w:p>
    <w:p>
      <w:r>
        <w:t xml:space="preserve">(2) Für die Vollstreckung der Nebenfolgen, die zu einer Geldzahlung verpflichten, gelten die </w:t>
      </w:r>
      <w:hyperlink w:anchor="b658" w:history="1">
        <w:r>
          <w:rPr>
            <w:color w:val="0A3A8C"/>
            <w:u w:val="single"/>
          </w:rPr>
          <w:t xml:space="preserve">§§ 459</w:t>
        </w:r>
      </w:hyperlink>
      <w:r>
        <w:t xml:space="preserve">, </w:t>
      </w:r>
      <w:hyperlink w:anchor="b659" w:history="1">
        <w:r>
          <w:rPr>
            <w:color w:val="0A3A8C"/>
            <w:u w:val="single"/>
          </w:rPr>
          <w:t xml:space="preserve">459a</w:t>
        </w:r>
      </w:hyperlink>
      <w:r>
        <w:t xml:space="preserve"> sowie </w:t>
      </w:r>
      <w:hyperlink w:anchor="b661" w:history="1">
        <w:r>
          <w:rPr>
            <w:color w:val="0A3A8C"/>
            <w:u w:val="single"/>
          </w:rPr>
          <w:t xml:space="preserve">459c</w:t>
        </w:r>
      </w:hyperlink>
      <w:r>
        <w:t xml:space="preserve"> Absatz 1 und 2 entsprechend.</w:t>
      </w:r>
    </w:p>
    <w:p>
      <w:r>
        <w:t xml:space="preserve">(3) </w:t>
      </w:r>
      <w:r>
        <w:rPr>
          <w:rStyle w:val="Satznummer"/>
        </w:rPr>
        <w:t>1</w:t>
      </w:r>
      <w:r>
        <w:t xml:space="preserve">Für die Vollstreckung nach den Absätzen 1 und 2 gelten außerdem die </w:t>
      </w:r>
      <w:hyperlink w:anchor="b132" w:history="1">
        <w:r>
          <w:rPr>
            <w:color w:val="0A3A8C"/>
            <w:u w:val="single"/>
          </w:rPr>
          <w:t xml:space="preserve">§§ 94</w:t>
        </w:r>
      </w:hyperlink>
      <w:r>
        <w:t xml:space="preserve"> bis </w:t>
      </w:r>
      <w:hyperlink w:anchor="b137" w:history="1">
        <w:r>
          <w:rPr>
            <w:color w:val="0A3A8C"/>
            <w:u w:val="single"/>
          </w:rPr>
          <w:t xml:space="preserve">98</w:t>
        </w:r>
      </w:hyperlink>
      <w:r>
        <w:t xml:space="preserve"> entsprechend mit Ausnahme von </w:t>
      </w:r>
      <w:hyperlink w:anchor="b137" w:history="1">
        <w:r>
          <w:rPr>
            <w:color w:val="0A3A8C"/>
            <w:u w:val="single"/>
          </w:rPr>
          <w:t xml:space="preserve">§ 98</w:t>
        </w:r>
      </w:hyperlink>
      <w:r>
        <w:t xml:space="preserve"> Absatz 2 Satz 3, die </w:t>
      </w:r>
      <w:hyperlink w:anchor="b157" w:history="1">
        <w:r>
          <w:rPr>
            <w:color w:val="0A3A8C"/>
            <w:u w:val="single"/>
          </w:rPr>
          <w:t xml:space="preserve">§§ 102</w:t>
        </w:r>
      </w:hyperlink>
      <w:r>
        <w:t xml:space="preserve"> bis </w:t>
      </w:r>
      <w:hyperlink w:anchor="b165" w:history="1">
        <w:r>
          <w:rPr>
            <w:color w:val="0A3A8C"/>
            <w:u w:val="single"/>
          </w:rPr>
          <w:t xml:space="preserve">110</w:t>
        </w:r>
      </w:hyperlink>
      <w:r>
        <w:t xml:space="preserve">, </w:t>
      </w:r>
      <w:hyperlink w:anchor="b173" w:history="1">
        <w:r>
          <w:rPr>
            <w:color w:val="0A3A8C"/>
            <w:u w:val="single"/>
          </w:rPr>
          <w:t xml:space="preserve">§ 111c</w:t>
        </w:r>
      </w:hyperlink>
      <w:r>
        <w:t xml:space="preserve"> Absatz 1 und 2, </w:t>
      </w:r>
      <w:hyperlink w:anchor="b176" w:history="1">
        <w:r>
          <w:rPr>
            <w:color w:val="0A3A8C"/>
            <w:u w:val="single"/>
          </w:rPr>
          <w:t xml:space="preserve">§ 111f</w:t>
        </w:r>
      </w:hyperlink>
      <w:r>
        <w:t xml:space="preserve"> Absatz 1, </w:t>
      </w:r>
      <w:hyperlink w:anchor="b181" w:history="1">
        <w:r>
          <w:rPr>
            <w:color w:val="0A3A8C"/>
            <w:u w:val="single"/>
          </w:rPr>
          <w:t xml:space="preserve">§ 111k</w:t>
        </w:r>
      </w:hyperlink>
      <w:r>
        <w:t xml:space="preserve"> Absatz 1 und 2 sowie </w:t>
      </w:r>
      <w:hyperlink w:anchor="b225" w:history="1">
        <w:r>
          <w:rPr>
            <w:color w:val="0A3A8C"/>
            <w:u w:val="single"/>
          </w:rPr>
          <w:t xml:space="preserve">§ 131</w:t>
        </w:r>
      </w:hyperlink>
      <w:r>
        <w:t xml:space="preserve"> Absatz 1. </w:t>
      </w:r>
      <w:r>
        <w:rPr>
          <w:rStyle w:val="Satznummer"/>
        </w:rPr>
        <w:t>2</w:t>
      </w:r>
      <w:hyperlink w:anchor="b656" w:history="1">
        <w:r>
          <w:rPr>
            <w:color w:val="0A3A8C"/>
            <w:u w:val="single"/>
          </w:rPr>
          <w:t xml:space="preserve">§ 457</w:t>
        </w:r>
      </w:hyperlink>
      <w:r>
        <w:t xml:space="preserve"> Absatz 1 bleibt unberührt. </w:t>
      </w:r>
      <w:r>
        <w:rPr>
          <w:rStyle w:val="Satznummer"/>
        </w:rPr>
        <w:t>3</w:t>
      </w:r>
      <w:r>
        <w:t>Vor gerichtlichen Entscheidungen unterbleibt die Anhörung des Betroffenen, wenn sie den Zweck der Anordnung gefährden würde.</w:t>
      </w:r>
    </w:p>
    <w:p>
      <w:r>
        <w:t xml:space="preserve">(4) </w:t>
      </w:r>
      <w:r>
        <w:rPr>
          <w:rStyle w:val="Satznummer"/>
        </w:rPr>
        <w:t>1</w:t>
      </w:r>
      <w:r>
        <w:t xml:space="preserve">Das Gericht ordnet den Ausschluss der Vollstreckung der Einziehung nach den §§ 73 bis 73c des Strafgesetzbuchs an, soweit der aus der Tat erwachsene Anspruch auf Rückgewähr des Erlangten oder auf Ersatz des Wertes des Erlangten erloschen ist. </w:t>
      </w:r>
      <w:r>
        <w:rPr>
          <w:rStyle w:val="Satznummer"/>
        </w:rPr>
        <w:t>2</w:t>
      </w:r>
      <w:r>
        <w:t>Dies gilt nicht für Ansprüche, die durch Verjährung erloschen sind.</w:t>
      </w:r>
    </w:p>
    <w:p>
      <w:r>
        <w:t xml:space="preserve">(5) </w:t>
      </w:r>
      <w:r>
        <w:rPr>
          <w:rStyle w:val="Satznummer"/>
        </w:rPr>
        <w:t>1</w:t>
      </w:r>
      <w:r>
        <w:t xml:space="preserve">In den Fällen des Absatzes 2 unterbleibt auf Anordnung des Gerichts die Vollstreckung, soweit sie unverhältnismäßig wäre. </w:t>
      </w:r>
      <w:r>
        <w:rPr>
          <w:rStyle w:val="Satznummer"/>
        </w:rPr>
        <w:t>2</w:t>
      </w:r>
      <w:r>
        <w:t xml:space="preserve">Die Vollstreckung wird auf Anordnung des Gerichts wieder aufgenommen, wenn nachträglich Umstände bekannt werden oder eintreten, die einer Anordnung nach Satz 1 entgegenstehen. </w:t>
      </w:r>
      <w:r>
        <w:rPr>
          <w:rStyle w:val="Satznummer"/>
        </w:rPr>
        <w:t>3</w:t>
      </w:r>
      <w:r>
        <w:t xml:space="preserve">Vor der Anordnung nach Satz 2 unterbleibt die Anhörung des Betroffenen, wenn sie den Zweck der Anordnung gefährden würde. </w:t>
      </w:r>
      <w:r>
        <w:rPr>
          <w:rStyle w:val="Satznummer"/>
        </w:rPr>
        <w:t>4</w:t>
      </w:r>
      <w:r>
        <w:t>Die Anordnung nach Satz 1 steht Ermittlungen dazu, ob die Voraussetzungen für eine Wiederaufnahme der Vollstreckung vorliegen, nicht entgegen.</w:t>
      </w:r>
    </w:p>
    <w:p>
      <w:pPr>
        <w:pStyle w:val="Heading3"/>
      </w:pPr>
      <w:bookmarkStart w:id="667" w:name="b666"/>
      <w:r>
        <w:t>§ 459h Entschädigung</w:t>
      </w:r>
      <w:r>
        <w:t xml:space="preserve"> </w:t>
      </w:r>
      <w:r>
        <w:rPr>
          <w:rStyle w:val="Suchmarke"/>
        </w:rPr>
        <w:t>#459h#</w:t>
      </w:r>
      <w:bookmarkEnd w:id="667"/>
    </w:p>
    <w:p>
      <w:r>
        <w:t xml:space="preserve">(1) </w:t>
      </w:r>
      <w:r>
        <w:rPr>
          <w:rStyle w:val="Satznummer"/>
        </w:rPr>
        <w:t>1</w:t>
      </w:r>
      <w:r>
        <w:t xml:space="preserve">Ein nach den §§ 73 bis 73b des Strafgesetzbuches eingezogener Gegenstand wird demjenigen, dem ein Anspruch auf Rückgewähr des Erlangten aus der Tat erwachsen ist, oder dessen Rechtsnachfolger zurückübertragen. </w:t>
      </w:r>
      <w:r>
        <w:rPr>
          <w:rStyle w:val="Satznummer"/>
        </w:rPr>
        <w:t>2</w:t>
      </w:r>
      <w:r>
        <w:t xml:space="preserve">Gleiches gilt, wenn der Gegenstand nach § 76a Absatz 1 des Strafgesetzbuches, auch in Verbindung mit § 76a Absatz 3 des Strafgesetzbuches, eingezogen worden ist. </w:t>
      </w:r>
      <w:r>
        <w:rPr>
          <w:rStyle w:val="Satznummer"/>
        </w:rPr>
        <w:t>3</w:t>
      </w:r>
      <w:r>
        <w:t>In den Fällen des § 75 Absatz 1 Satz 2 des Strafgesetzbuches wird der eingezogene Gegenstand demjenigen, dem der Gegenstand gehört oder zusteht, herausgegeben, wenn dieser sein Recht fristgerecht bei der Vollstreckungsbehörde angemeldet hat.</w:t>
      </w:r>
    </w:p>
    <w:p>
      <w:r>
        <w:t xml:space="preserve">(2) </w:t>
      </w:r>
      <w:r>
        <w:rPr>
          <w:rStyle w:val="Satznummer"/>
        </w:rPr>
        <w:t>1</w:t>
      </w:r>
      <w:r>
        <w:t xml:space="preserve">Hat das Gericht die Einziehung des Wertersatzes nach den §§ 73c und 76a Absatz 1 Satz 1 des Strafgesetzbuches, auch in Verbindung mit § 76a Absatz 3 des Strafgesetzbuches, angeordnet, wird der Erlös aus der Verwertung der auf Grund des Vermögensarrestes oder der Einziehungsanordnung gepfändeten Gegenstände demjenigen, dem ein Anspruch auf Ersatz des Wertes des Erlangten aus der Tat erwachsen ist, oder an dessen Rechtsnachfolger ausgekehrt. </w:t>
      </w:r>
      <w:r>
        <w:rPr>
          <w:rStyle w:val="Satznummer"/>
        </w:rPr>
        <w:t>2</w:t>
      </w:r>
      <w:hyperlink w:anchor="b179" w:history="1">
        <w:r>
          <w:rPr>
            <w:color w:val="0A3A8C"/>
            <w:u w:val="single"/>
          </w:rPr>
          <w:t xml:space="preserve">§ 111i</w:t>
        </w:r>
      </w:hyperlink>
      <w:r>
        <w:t xml:space="preserve"> gilt entsprechend.</w:t>
      </w:r>
    </w:p>
    <w:p>
      <w:pPr>
        <w:pStyle w:val="Heading3"/>
      </w:pPr>
      <w:bookmarkStart w:id="668" w:name="b667"/>
      <w:r>
        <w:t>§ 459i Mitteilungen</w:t>
      </w:r>
      <w:r>
        <w:t xml:space="preserve"> </w:t>
      </w:r>
      <w:r>
        <w:rPr>
          <w:rStyle w:val="Suchmarke"/>
        </w:rPr>
        <w:t>#459i#</w:t>
      </w:r>
      <w:bookmarkEnd w:id="668"/>
    </w:p>
    <w:p>
      <w:r>
        <w:t xml:space="preserve">(1) </w:t>
      </w:r>
      <w:r>
        <w:rPr>
          <w:rStyle w:val="Satznummer"/>
        </w:rPr>
        <w:t>1</w:t>
      </w:r>
      <w:r>
        <w:t xml:space="preserve">Der Eintritt der Rechtskraft der Einziehungsanordnung nach den §§ 73 bis 73c und 76a Absatz 1 Satz 1 des Strafgesetzbuches, auch in Verbindung mit § 76a Absatz 3 des Strafgesetzbuches, wird demjenigen, dem ein Anspruch auf Rückgewähr des Erlangten oder auf Ersatz des Wertes des Erlangten aus der Tat erwachsen ist, unverzüglich mitgeteilt. </w:t>
      </w:r>
      <w:r>
        <w:rPr>
          <w:rStyle w:val="Satznummer"/>
        </w:rPr>
        <w:t>2</w:t>
      </w:r>
      <w:r>
        <w:t xml:space="preserve">Die Mitteilung ist zuzustellen; </w:t>
      </w:r>
      <w:hyperlink w:anchor="b182" w:history="1">
        <w:r>
          <w:rPr>
            <w:color w:val="0A3A8C"/>
            <w:u w:val="single"/>
          </w:rPr>
          <w:t xml:space="preserve">§ 111l</w:t>
        </w:r>
      </w:hyperlink>
      <w:r>
        <w:t xml:space="preserve"> Absatz 4 gilt entsprechend.</w:t>
      </w:r>
    </w:p>
    <w:p>
      <w:r>
        <w:t xml:space="preserve">(2) </w:t>
      </w:r>
      <w:r>
        <w:rPr>
          <w:rStyle w:val="Satznummer"/>
        </w:rPr>
        <w:t>1</w:t>
      </w:r>
      <w:r>
        <w:t xml:space="preserve">Die Mitteilung ist im Fall der Einziehung des Gegenstandes mit dem Hinweis auf den Anspruch nach </w:t>
      </w:r>
      <w:hyperlink w:anchor="b666" w:history="1">
        <w:r>
          <w:rPr>
            <w:color w:val="0A3A8C"/>
            <w:u w:val="single"/>
          </w:rPr>
          <w:t xml:space="preserve">§ 459h</w:t>
        </w:r>
      </w:hyperlink>
      <w:r>
        <w:t xml:space="preserve"> Absatz 1 und auf das Verfahren nach </w:t>
      </w:r>
      <w:hyperlink w:anchor="b668" w:history="1">
        <w:r>
          <w:rPr>
            <w:color w:val="0A3A8C"/>
            <w:u w:val="single"/>
          </w:rPr>
          <w:t xml:space="preserve">§ 459j</w:t>
        </w:r>
      </w:hyperlink>
      <w:r>
        <w:t xml:space="preserve"> zu verbinden. </w:t>
      </w:r>
      <w:r>
        <w:rPr>
          <w:rStyle w:val="Satznummer"/>
        </w:rPr>
        <w:t>2</w:t>
      </w:r>
      <w:r>
        <w:t xml:space="preserve">Im Fall der Einziehung des Wertersatzes ist sie mit dem Hinweis auf den Anspruch nach </w:t>
      </w:r>
      <w:hyperlink w:anchor="b666" w:history="1">
        <w:r>
          <w:rPr>
            <w:color w:val="0A3A8C"/>
            <w:u w:val="single"/>
          </w:rPr>
          <w:t xml:space="preserve">§ 459h</w:t>
        </w:r>
      </w:hyperlink>
      <w:r>
        <w:t xml:space="preserve"> Absatz 2 und das Verfahren nach den </w:t>
      </w:r>
      <w:hyperlink w:anchor="b669" w:history="1">
        <w:r>
          <w:rPr>
            <w:color w:val="0A3A8C"/>
            <w:u w:val="single"/>
          </w:rPr>
          <w:t xml:space="preserve">§§ 459k</w:t>
        </w:r>
      </w:hyperlink>
      <w:r>
        <w:t xml:space="preserve"> bis </w:t>
      </w:r>
      <w:hyperlink w:anchor="b671" w:history="1">
        <w:r>
          <w:rPr>
            <w:color w:val="0A3A8C"/>
            <w:u w:val="single"/>
          </w:rPr>
          <w:t xml:space="preserve">459m</w:t>
        </w:r>
      </w:hyperlink>
      <w:r>
        <w:t xml:space="preserve"> zu verbinden.</w:t>
      </w:r>
    </w:p>
    <w:p>
      <w:pPr>
        <w:pStyle w:val="Heading3"/>
      </w:pPr>
      <w:bookmarkStart w:id="669" w:name="b668"/>
      <w:r>
        <w:t>§ 459j Verfahren bei Rückübertragung und Herausgabe</w:t>
      </w:r>
      <w:r>
        <w:t xml:space="preserve"> </w:t>
      </w:r>
      <w:r>
        <w:rPr>
          <w:rStyle w:val="Suchmarke"/>
        </w:rPr>
        <w:t>#459j#</w:t>
      </w:r>
      <w:bookmarkEnd w:id="669"/>
    </w:p>
    <w:p>
      <w:r>
        <w:t xml:space="preserve">(1) Der Anspruchsinhaber hat seinen Anspruch auf Rückübertragung oder Herausgabe nach </w:t>
      </w:r>
      <w:hyperlink w:anchor="b666" w:history="1">
        <w:r>
          <w:rPr>
            <w:color w:val="0A3A8C"/>
            <w:u w:val="single"/>
          </w:rPr>
          <w:t xml:space="preserve">§ 459h</w:t>
        </w:r>
      </w:hyperlink>
      <w:r>
        <w:t xml:space="preserve"> Absatz 1 binnen sechs Monaten nach der Mitteilung der Rechtskraft der Einziehungsanordnung bei der Vollstreckungsbehörde anzumelden.</w:t>
      </w:r>
    </w:p>
    <w:p>
      <w:r>
        <w:t xml:space="preserve">(2) </w:t>
      </w:r>
      <w:r>
        <w:rPr>
          <w:rStyle w:val="Satznummer"/>
        </w:rPr>
        <w:t>1</w:t>
      </w:r>
      <w:r>
        <w:t xml:space="preserve">Ergibt sich die Anspruchsberechtigung des Antragstellers ohne weiteres aus der Einziehungsanordnung und den ihr zugrundeliegenden Feststellungen, so wird der eingezogene Gegenstand an den Antragsteller zurückübertragen oder herausgegeben. </w:t>
      </w:r>
      <w:r>
        <w:rPr>
          <w:rStyle w:val="Satznummer"/>
        </w:rPr>
        <w:t>2</w:t>
      </w:r>
      <w:r>
        <w:t xml:space="preserve">Andernfalls bedarf es der Zulassung durch das Gericht. </w:t>
      </w:r>
      <w:r>
        <w:rPr>
          <w:rStyle w:val="Satznummer"/>
        </w:rPr>
        <w:t>3</w:t>
      </w:r>
      <w:r>
        <w:t xml:space="preserve">Das Gericht lässt die Rückübertragung oder Herausgabe nach Maßgabe des </w:t>
      </w:r>
      <w:hyperlink w:anchor="b666" w:history="1">
        <w:r>
          <w:rPr>
            <w:color w:val="0A3A8C"/>
            <w:u w:val="single"/>
          </w:rPr>
          <w:t xml:space="preserve">§ 459h</w:t>
        </w:r>
      </w:hyperlink>
      <w:r>
        <w:t xml:space="preserve"> Absatz 1 zu. </w:t>
      </w:r>
      <w:r>
        <w:rPr>
          <w:rStyle w:val="Satznummer"/>
        </w:rPr>
        <w:t>4</w:t>
      </w:r>
      <w:r>
        <w:t>Die Zulassung ist zu versagen, wenn der Antragsteller seine Anspruchsberechtigung nicht glaubhaft macht; § 294 der Zivilprozessordnung ist anzuwenden.</w:t>
      </w:r>
    </w:p>
    <w:p>
      <w:r>
        <w:t xml:space="preserve">(3) </w:t>
      </w:r>
      <w:r>
        <w:rPr>
          <w:rStyle w:val="Satznummer"/>
        </w:rPr>
        <w:t>1</w:t>
      </w:r>
      <w:r>
        <w:t xml:space="preserve">Vor der Entscheidung über die Rückübertragung oder Herausgabe ist derjenige, gegen den sich die Anordnung der Einziehung richtet, zu hören. </w:t>
      </w:r>
      <w:r>
        <w:rPr>
          <w:rStyle w:val="Satznummer"/>
        </w:rPr>
        <w:t>2</w:t>
      </w:r>
      <w:r>
        <w:t>Dies gilt nur, wenn die Anhörung ausführbar erscheint.</w:t>
      </w:r>
    </w:p>
    <w:p>
      <w:r>
        <w:t xml:space="preserve">(4) Bei Versäumung der in Absatz 1 Satz 1 genannten Frist ist unter den in den </w:t>
      </w:r>
      <w:hyperlink w:anchor="b64" w:history="1">
        <w:r>
          <w:rPr>
            <w:color w:val="0A3A8C"/>
            <w:u w:val="single"/>
          </w:rPr>
          <w:t xml:space="preserve">§§ 44</w:t>
        </w:r>
      </w:hyperlink>
      <w:r>
        <w:t xml:space="preserve"> und </w:t>
      </w:r>
      <w:hyperlink w:anchor="b65" w:history="1">
        <w:r>
          <w:rPr>
            <w:color w:val="0A3A8C"/>
            <w:u w:val="single"/>
          </w:rPr>
          <w:t xml:space="preserve">45</w:t>
        </w:r>
      </w:hyperlink>
      <w:r>
        <w:t xml:space="preserve"> bezeichneten Voraussetzungen die Wiedereinsetzung in den vorigen Stand zu gewähren.</w:t>
      </w:r>
    </w:p>
    <w:p>
      <w:r>
        <w:t xml:space="preserve">(5) Unbeschadet des Verfahrens nach Absatz 1 kann der Anspruchsinhaber seinen Anspruch auf Rückübertragung oder Herausgabe nach </w:t>
      </w:r>
      <w:hyperlink w:anchor="b666" w:history="1">
        <w:r>
          <w:rPr>
            <w:color w:val="0A3A8C"/>
            <w:u w:val="single"/>
          </w:rPr>
          <w:t xml:space="preserve">§ 459h</w:t>
        </w:r>
      </w:hyperlink>
      <w:r>
        <w:t xml:space="preserve"> Absatz 1 geltend machen, indem er ein vollstreckbares Endurteil im Sinne des § 704 der Zivilprozessordnung oder einen anderen Vollstreckungstitel im Sinne des § 794 der Zivilprozessordnung vorlegt, aus dem sich der geltend gemachte Anspruch ergibt.</w:t>
      </w:r>
    </w:p>
    <w:p>
      <w:pPr>
        <w:pStyle w:val="Heading3"/>
      </w:pPr>
      <w:bookmarkStart w:id="670" w:name="b669"/>
      <w:r>
        <w:t>§ 459k Verfahren bei Auskehrung des Verwertungserlöses</w:t>
      </w:r>
      <w:r>
        <w:t xml:space="preserve"> </w:t>
      </w:r>
      <w:r>
        <w:rPr>
          <w:rStyle w:val="Suchmarke"/>
        </w:rPr>
        <w:t>#459k#</w:t>
      </w:r>
      <w:bookmarkEnd w:id="670"/>
    </w:p>
    <w:p>
      <w:r>
        <w:t xml:space="preserve">(1) </w:t>
      </w:r>
      <w:r>
        <w:rPr>
          <w:rStyle w:val="Satznummer"/>
        </w:rPr>
        <w:t>1</w:t>
      </w:r>
      <w:r>
        <w:t xml:space="preserve">Der Anspruchsinhaber hat seinen Anspruch auf Auskehrung des Verwertungserlöses nach </w:t>
      </w:r>
      <w:hyperlink w:anchor="b666" w:history="1">
        <w:r>
          <w:rPr>
            <w:color w:val="0A3A8C"/>
            <w:u w:val="single"/>
          </w:rPr>
          <w:t xml:space="preserve">§ 459h</w:t>
        </w:r>
      </w:hyperlink>
      <w:r>
        <w:t xml:space="preserve"> Absatz 2 binnen sechs Monaten nach der Mitteilung der Rechtskraft der Einziehungsanordnung bei der Vollstreckungsbehörde anzumelden. </w:t>
      </w:r>
      <w:r>
        <w:rPr>
          <w:rStyle w:val="Satznummer"/>
        </w:rPr>
        <w:t>2</w:t>
      </w:r>
      <w:r>
        <w:t>Bei der Anmeldung ist die Höhe des Anspruchs zu bezeichnen.</w:t>
      </w:r>
    </w:p>
    <w:p>
      <w:r>
        <w:t xml:space="preserve">(2) </w:t>
      </w:r>
      <w:r>
        <w:rPr>
          <w:rStyle w:val="Satznummer"/>
        </w:rPr>
        <w:t>1</w:t>
      </w:r>
      <w:r>
        <w:t xml:space="preserve">Ergeben sich die Anspruchsberechtigung des Antragstellers und die Anspruchshöhe ohne weiteres aus der Einziehungsanordnung und den ihr zugrunde liegenden Feststellungen, so wird der Verwertungserlös in diesem Umfang an den Antragsteller ausgekehrt. </w:t>
      </w:r>
      <w:r>
        <w:rPr>
          <w:rStyle w:val="Satznummer"/>
        </w:rPr>
        <w:t>2</w:t>
      </w:r>
      <w:r>
        <w:t xml:space="preserve">Andernfalls bedarf es der Zulassung durch das Gericht. </w:t>
      </w:r>
      <w:r>
        <w:rPr>
          <w:rStyle w:val="Satznummer"/>
        </w:rPr>
        <w:t>3</w:t>
      </w:r>
      <w:r>
        <w:t xml:space="preserve">Das Gericht lässt die Auskehrung des Verwertungserlöses nach Maßgabe des </w:t>
      </w:r>
      <w:hyperlink w:anchor="b666" w:history="1">
        <w:r>
          <w:rPr>
            <w:color w:val="0A3A8C"/>
            <w:u w:val="single"/>
          </w:rPr>
          <w:t xml:space="preserve">§ 459h</w:t>
        </w:r>
      </w:hyperlink>
      <w:r>
        <w:t xml:space="preserve"> Absatz 2 zu. </w:t>
      </w:r>
      <w:r>
        <w:rPr>
          <w:rStyle w:val="Satznummer"/>
        </w:rPr>
        <w:t>4</w:t>
      </w:r>
      <w:r>
        <w:t>Die Zulassung ist zu versagen, wenn der Antragsteller seine Anspruchsberechtigung nicht glaubhaft macht; § 294 der Zivilprozessordnung ist anzuwenden.</w:t>
      </w:r>
    </w:p>
    <w:p>
      <w:r>
        <w:t xml:space="preserve">(3) </w:t>
      </w:r>
      <w:r>
        <w:rPr>
          <w:rStyle w:val="Satznummer"/>
        </w:rPr>
        <w:t>1</w:t>
      </w:r>
      <w:r>
        <w:t xml:space="preserve">Vor der Entscheidung über die Auskehrung ist derjenige, gegen den sich die Anordnung der Einziehung richtet, zu hören. </w:t>
      </w:r>
      <w:r>
        <w:rPr>
          <w:rStyle w:val="Satznummer"/>
        </w:rPr>
        <w:t>2</w:t>
      </w:r>
      <w:r>
        <w:t>Dies gilt nur, wenn die Anhörung ausführbar erscheint.</w:t>
      </w:r>
    </w:p>
    <w:p>
      <w:r>
        <w:t xml:space="preserve">(4) Bei Versäumung der in Absatz 1 Satz 1 genannten Frist ist unter den in den </w:t>
      </w:r>
      <w:hyperlink w:anchor="b64" w:history="1">
        <w:r>
          <w:rPr>
            <w:color w:val="0A3A8C"/>
            <w:u w:val="single"/>
          </w:rPr>
          <w:t xml:space="preserve">§§ 44</w:t>
        </w:r>
      </w:hyperlink>
      <w:r>
        <w:t xml:space="preserve"> und </w:t>
      </w:r>
      <w:hyperlink w:anchor="b65" w:history="1">
        <w:r>
          <w:rPr>
            <w:color w:val="0A3A8C"/>
            <w:u w:val="single"/>
          </w:rPr>
          <w:t xml:space="preserve">45</w:t>
        </w:r>
      </w:hyperlink>
      <w:r>
        <w:t xml:space="preserve"> bezeichneten Voraussetzungen die Wiedereinsetzung in den vorigen Stand zu gewähren.</w:t>
      </w:r>
    </w:p>
    <w:p>
      <w:r>
        <w:t xml:space="preserve">(5) </w:t>
      </w:r>
      <w:r>
        <w:rPr>
          <w:rStyle w:val="Satznummer"/>
        </w:rPr>
        <w:t>1</w:t>
      </w:r>
      <w:r>
        <w:t xml:space="preserve">Unbeschadet des Verfahrens nach Absatz 1 kann der Anspruchsinhaber seinen Anspruch auf Auskehrung des Verwertungserlöses nach </w:t>
      </w:r>
      <w:hyperlink w:anchor="b666" w:history="1">
        <w:r>
          <w:rPr>
            <w:color w:val="0A3A8C"/>
            <w:u w:val="single"/>
          </w:rPr>
          <w:t xml:space="preserve">§ 459h</w:t>
        </w:r>
      </w:hyperlink>
      <w:r>
        <w:t xml:space="preserve"> Absatz 2 geltend machen, indem er ein vollstreckbares Endurteil im Sinne des § 704 der Zivilprozessordnung oder einen anderen Vollstreckungstitel im Sinne des § 794 der Zivilprozessordnung vorlegt, aus dem sich der geltend gemachte Anspruch ergibt. </w:t>
      </w:r>
      <w:r>
        <w:rPr>
          <w:rStyle w:val="Satznummer"/>
        </w:rPr>
        <w:t>2</w:t>
      </w:r>
      <w:r>
        <w:t>Einem vollstreckbaren Endurteil im Sinne des § 704 der Zivilprozessordnung stehen bestandskräftige öffentlich-rechtliche Vollstreckungstitel über Geldforderungen gleich.</w:t>
      </w:r>
    </w:p>
    <w:p>
      <w:pPr>
        <w:pStyle w:val="Heading3"/>
      </w:pPr>
      <w:bookmarkStart w:id="671" w:name="b670"/>
      <w:r>
        <w:t>§ 459l Ansprüche des Betroffenen</w:t>
      </w:r>
      <w:r>
        <w:t xml:space="preserve"> </w:t>
      </w:r>
      <w:r>
        <w:rPr>
          <w:rStyle w:val="Suchmarke"/>
        </w:rPr>
        <w:t>#459l#</w:t>
      </w:r>
      <w:bookmarkEnd w:id="671"/>
    </w:p>
    <w:p>
      <w:r>
        <w:t xml:space="preserve">(1) </w:t>
      </w:r>
      <w:r>
        <w:rPr>
          <w:rStyle w:val="Satznummer"/>
        </w:rPr>
        <w:t>1</w:t>
      </w:r>
      <w:r>
        <w:t xml:space="preserve">Legt derjenige, gegen den sich die Anordnung der Einziehung richtet, ein vollstreckbares Endurteil im Sinne des § 704 der Zivilprozessordnung oder einen anderen Vollstreckungstitel im Sinne des § 794 der Zivilprozessordnung vor, aus dem sich ergibt, dass der Anspruch auf Rückgewähr des Erlangten aus der Tat erwachsen ist, kann er verlangen, dass der eingezogene Gegenstand nach Maßgabe des </w:t>
      </w:r>
      <w:hyperlink w:anchor="b666" w:history="1">
        <w:r>
          <w:rPr>
            <w:color w:val="0A3A8C"/>
            <w:u w:val="single"/>
          </w:rPr>
          <w:t xml:space="preserve">§ 459h</w:t>
        </w:r>
      </w:hyperlink>
      <w:r>
        <w:t xml:space="preserve"> Absatz 1 an den Anspruchsinhaber zurückübertragen oder herausgegeben wird. </w:t>
      </w:r>
      <w:r>
        <w:rPr>
          <w:rStyle w:val="Satznummer"/>
        </w:rPr>
        <w:t>2</w:t>
      </w:r>
      <w:hyperlink w:anchor="b668" w:history="1">
        <w:r>
          <w:rPr>
            <w:color w:val="0A3A8C"/>
            <w:u w:val="single"/>
          </w:rPr>
          <w:t xml:space="preserve">§ 459j</w:t>
        </w:r>
      </w:hyperlink>
      <w:r>
        <w:t xml:space="preserve"> Absatz 2 gilt entsprechend.</w:t>
      </w:r>
    </w:p>
    <w:p>
      <w:r>
        <w:t xml:space="preserve">(2) </w:t>
      </w:r>
      <w:r>
        <w:rPr>
          <w:rStyle w:val="Satznummer"/>
        </w:rPr>
        <w:t>1</w:t>
      </w:r>
      <w:r>
        <w:t xml:space="preserve">Befriedigt derjenige, gegen den sich die Anordnung der Einziehung des Wertersatzes richtet, den Anspruch, der dem Anspruchsinhaber aus der Tat auf Rückgewähr des Erlangten oder auf Ersatz des Wertes des Erlangten erwachsen ist, kann er im Umfang der Befriedigung Ausgleich aus dem Verwertungserlös verlangen, soweit unter den Voraussetzungen des § 459k Absatz 2 Satz 1 der Verwertungserlös an den Anspruchsinhaber nach </w:t>
      </w:r>
      <w:hyperlink w:anchor="b666" w:history="1">
        <w:r>
          <w:rPr>
            <w:color w:val="0A3A8C"/>
            <w:u w:val="single"/>
          </w:rPr>
          <w:t xml:space="preserve">§ 459h</w:t>
        </w:r>
      </w:hyperlink>
      <w:r>
        <w:t xml:space="preserve"> Absatz 2 auszukehren gewesen wäre. </w:t>
      </w:r>
      <w:r>
        <w:rPr>
          <w:rStyle w:val="Satznummer"/>
        </w:rPr>
        <w:t>2</w:t>
      </w:r>
      <w:hyperlink w:anchor="b669" w:history="1">
        <w:r>
          <w:rPr>
            <w:color w:val="0A3A8C"/>
            <w:u w:val="single"/>
          </w:rPr>
          <w:t xml:space="preserve">§ 459k</w:t>
        </w:r>
      </w:hyperlink>
      <w:r>
        <w:t xml:space="preserve"> Absatz 2 Satz 2 bis 4 gilt entsprechend. </w:t>
      </w:r>
      <w:r>
        <w:rPr>
          <w:rStyle w:val="Satznummer"/>
        </w:rPr>
        <w:t>3</w:t>
      </w:r>
      <w:r>
        <w:t xml:space="preserve">Die Befriedigung des Anspruchs muss in allen Fällen durch eine Quittung des Anspruchsinhabers glaubhaft gemacht werden. </w:t>
      </w:r>
      <w:r>
        <w:rPr>
          <w:rStyle w:val="Satznummer"/>
        </w:rPr>
        <w:t>4</w:t>
      </w:r>
      <w:r>
        <w:t>Der Anspruchsinhaber ist vor der Entscheidung über den Ausgleichsanspruch zu hören, wenn dies ausführbar erscheint.</w:t>
      </w:r>
    </w:p>
    <w:p>
      <w:pPr>
        <w:pStyle w:val="Heading3"/>
      </w:pPr>
      <w:bookmarkStart w:id="672" w:name="b671"/>
      <w:r>
        <w:t>§ 459m Entschädigung in sonstigen Fällen</w:t>
      </w:r>
      <w:r>
        <w:t xml:space="preserve"> </w:t>
      </w:r>
      <w:r>
        <w:rPr>
          <w:rStyle w:val="Suchmarke"/>
        </w:rPr>
        <w:t>#459m#</w:t>
      </w:r>
      <w:bookmarkEnd w:id="672"/>
    </w:p>
    <w:p>
      <w:r>
        <w:t xml:space="preserve">(1) </w:t>
      </w:r>
      <w:r>
        <w:rPr>
          <w:rStyle w:val="Satznummer"/>
        </w:rPr>
        <w:t>1</w:t>
      </w:r>
      <w:r>
        <w:t xml:space="preserve">In den Fällen des </w:t>
      </w:r>
      <w:hyperlink w:anchor="b179" w:history="1">
        <w:r>
          <w:rPr>
            <w:color w:val="0A3A8C"/>
            <w:u w:val="single"/>
          </w:rPr>
          <w:t xml:space="preserve">§ 111i</w:t>
        </w:r>
      </w:hyperlink>
      <w:r>
        <w:t xml:space="preserve"> Absatz 3 wird der Überschuss an den Anspruchsinhaber ausgekehrt, der ein vollstreckbares Endurteil im Sinne des § 704 der Zivilprozessordnung oder einen anderen Vollstreckungstitel im Sinne des § 794 der Zivilprozessordnung vorlegt, aus dem sich der geltend gemachte Anspruch ergibt. </w:t>
      </w:r>
      <w:r>
        <w:rPr>
          <w:rStyle w:val="Satznummer"/>
        </w:rPr>
        <w:t>2</w:t>
      </w:r>
      <w:hyperlink w:anchor="b669" w:history="1">
        <w:r>
          <w:rPr>
            <w:color w:val="0A3A8C"/>
            <w:u w:val="single"/>
          </w:rPr>
          <w:t xml:space="preserve">§ 459k</w:t>
        </w:r>
      </w:hyperlink>
      <w:r>
        <w:t xml:space="preserve"> Absatz 2 und 5 Satz 2 gilt entsprechend. </w:t>
      </w:r>
      <w:r>
        <w:rPr>
          <w:rStyle w:val="Satznummer"/>
        </w:rPr>
        <w:t>3</w:t>
      </w:r>
      <w:r>
        <w:t xml:space="preserve">Die Auskehrung ist ausgeschlossen, wenn zwei Jahre seit der Aufhebung des Insolvenzverfahrens verstrichen sind. </w:t>
      </w:r>
      <w:r>
        <w:rPr>
          <w:rStyle w:val="Satznummer"/>
        </w:rPr>
        <w:t>4</w:t>
      </w:r>
      <w:r>
        <w:t xml:space="preserve">In den Fällen des </w:t>
      </w:r>
      <w:hyperlink w:anchor="b179" w:history="1">
        <w:r>
          <w:rPr>
            <w:color w:val="0A3A8C"/>
            <w:u w:val="single"/>
          </w:rPr>
          <w:t xml:space="preserve">§ 111i</w:t>
        </w:r>
      </w:hyperlink>
      <w:r>
        <w:t xml:space="preserve"> Absatz 2 gelten die Sätze 1 bis 3 entsprechend, wenn ein Insolvenzverfahren nicht durchgeführt wird.</w:t>
      </w:r>
    </w:p>
    <w:p>
      <w:r>
        <w:t>(2) Absatz 1 Satz 1 und 2 gilt entsprechend, wenn nach Aufhebung des Insolvenzverfahrens oder nach Abschluss der Auskehrung des Verwertungserlöses bei der Vollstreckung der Wertersatzeinziehung nach den §§ 73c und 76a Absatz 1 Satz 1 des Strafgesetzbuches, auch in Verbindung mit § 76a Absatz 3 des Strafgesetzbuches, ein Gegenstand gepfändet wird.</w:t>
      </w:r>
    </w:p>
    <w:p>
      <w:pPr>
        <w:pStyle w:val="Heading3"/>
      </w:pPr>
      <w:bookmarkStart w:id="673" w:name="b672"/>
      <w:r>
        <w:t>§ 459n Zahlungen auf Wertersatzeinziehung</w:t>
      </w:r>
      <w:r>
        <w:t xml:space="preserve"> </w:t>
      </w:r>
      <w:r>
        <w:rPr>
          <w:rStyle w:val="Suchmarke"/>
        </w:rPr>
        <w:t>#459n#</w:t>
      </w:r>
      <w:bookmarkEnd w:id="673"/>
    </w:p>
    <w:p>
      <w:r>
        <w:t xml:space="preserve">Leistet derjenige, gegen den sich die Anordnung richtet, Zahlungen auf die Anordnung der Einziehung des Wertersatzes nach den §§ 73c und 76a Absatz 1 Satz 1 des Strafgesetzbuches, auch in Verbindung mit § 76a Absatz 3 des Strafgesetzbuches, so gelten </w:t>
      </w:r>
      <w:hyperlink w:anchor="b666" w:history="1">
        <w:r>
          <w:rPr>
            <w:color w:val="0A3A8C"/>
            <w:u w:val="single"/>
          </w:rPr>
          <w:t xml:space="preserve">§ 459h</w:t>
        </w:r>
      </w:hyperlink>
      <w:r>
        <w:t xml:space="preserve"> Absatz 2 sowie die </w:t>
      </w:r>
      <w:hyperlink w:anchor="b669" w:history="1">
        <w:r>
          <w:rPr>
            <w:color w:val="0A3A8C"/>
            <w:u w:val="single"/>
          </w:rPr>
          <w:t xml:space="preserve">§§ 459k</w:t>
        </w:r>
      </w:hyperlink>
      <w:r>
        <w:t xml:space="preserve"> und </w:t>
      </w:r>
      <w:hyperlink w:anchor="b671" w:history="1">
        <w:r>
          <w:rPr>
            <w:color w:val="0A3A8C"/>
            <w:u w:val="single"/>
          </w:rPr>
          <w:t xml:space="preserve">459m</w:t>
        </w:r>
      </w:hyperlink>
      <w:r>
        <w:t xml:space="preserve"> entsprechend.</w:t>
      </w:r>
    </w:p>
    <w:p>
      <w:pPr>
        <w:pStyle w:val="Heading3"/>
      </w:pPr>
      <w:bookmarkStart w:id="674" w:name="b673"/>
      <w:r>
        <w:t>§ 459o Einwendungen gegen vollstreckungsrechtliche Entscheidungen</w:t>
      </w:r>
      <w:r>
        <w:t xml:space="preserve"> </w:t>
      </w:r>
      <w:r>
        <w:rPr>
          <w:rStyle w:val="Suchmarke"/>
        </w:rPr>
        <w:t>#459o#</w:t>
      </w:r>
      <w:bookmarkEnd w:id="674"/>
    </w:p>
    <w:p>
      <w:r>
        <w:t xml:space="preserve">Über Einwendungen gegen die Entscheidung der Vollstreckungsbehörde nach den </w:t>
      </w:r>
      <w:hyperlink w:anchor="b659" w:history="1">
        <w:r>
          <w:rPr>
            <w:color w:val="0A3A8C"/>
            <w:u w:val="single"/>
          </w:rPr>
          <w:t xml:space="preserve">§§ 459a</w:t>
        </w:r>
      </w:hyperlink>
      <w:r>
        <w:t xml:space="preserve">, </w:t>
      </w:r>
      <w:hyperlink w:anchor="b661" w:history="1">
        <w:r>
          <w:rPr>
            <w:color w:val="0A3A8C"/>
            <w:u w:val="single"/>
          </w:rPr>
          <w:t xml:space="preserve">459c</w:t>
        </w:r>
      </w:hyperlink>
      <w:r>
        <w:t xml:space="preserve">, </w:t>
      </w:r>
      <w:hyperlink w:anchor="b663" w:history="1">
        <w:r>
          <w:rPr>
            <w:color w:val="0A3A8C"/>
            <w:u w:val="single"/>
          </w:rPr>
          <w:t xml:space="preserve">459e</w:t>
        </w:r>
      </w:hyperlink>
      <w:r>
        <w:t xml:space="preserve"> sowie </w:t>
      </w:r>
      <w:hyperlink w:anchor="b665" w:history="1">
        <w:r>
          <w:rPr>
            <w:color w:val="0A3A8C"/>
            <w:u w:val="single"/>
          </w:rPr>
          <w:t xml:space="preserve">459g</w:t>
        </w:r>
      </w:hyperlink>
      <w:r>
        <w:t xml:space="preserve"> bis </w:t>
      </w:r>
      <w:hyperlink w:anchor="b671" w:history="1">
        <w:r>
          <w:rPr>
            <w:color w:val="0A3A8C"/>
            <w:u w:val="single"/>
          </w:rPr>
          <w:t xml:space="preserve">459m</w:t>
        </w:r>
      </w:hyperlink>
      <w:r>
        <w:t xml:space="preserve"> entscheidet das Gericht.</w:t>
      </w:r>
    </w:p>
    <w:p>
      <w:pPr>
        <w:pStyle w:val="Heading3"/>
      </w:pPr>
      <w:bookmarkStart w:id="675" w:name="b674"/>
      <w:r>
        <w:t>§ 460 Nachträgliche Gesamtstrafenbildung</w:t>
      </w:r>
      <w:r>
        <w:t xml:space="preserve"> </w:t>
      </w:r>
      <w:r>
        <w:rPr>
          <w:rStyle w:val="Suchmarke"/>
        </w:rPr>
        <w:t>#460#</w:t>
      </w:r>
      <w:bookmarkEnd w:id="675"/>
    </w:p>
    <w:p>
      <w:r>
        <w:t>Ist jemand durch verschiedene rechtskräftige Urteile zu Strafen verurteilt worden und sind dabei die Vorschriften über die Zuerkennung einer Gesamtstrafe (§ 55 des Strafgesetzbuches) außer Betracht geblieben, so sind die erkannten Strafen durch eine nachträgliche gerichtliche Entscheidung auf eine Gesamtstrafe zurückzuführen.</w:t>
      </w:r>
    </w:p>
    <w:p>
      <w:pPr>
        <w:pStyle w:val="Heading3"/>
      </w:pPr>
      <w:bookmarkStart w:id="676" w:name="b675"/>
      <w:r>
        <w:t>§ 461 Anrechnung des Aufenthalts in einem Krankenhaus</w:t>
      </w:r>
      <w:r>
        <w:t xml:space="preserve"> </w:t>
      </w:r>
      <w:r>
        <w:rPr>
          <w:rStyle w:val="Suchmarke"/>
        </w:rPr>
        <w:t>#461#</w:t>
      </w:r>
      <w:bookmarkEnd w:id="676"/>
    </w:p>
    <w:p>
      <w:r>
        <w:t>(1) Ist der Verurteilte nach Beginn der Strafvollstreckung wegen Krankheit in eine von der Strafanstalt getrennte Krankenanstalt gebracht worden, so ist die Dauer des Aufenthalts in der Krankenanstalt in die Strafzeit einzurechnen, wenn nicht der Verurteilte mit der Absicht, die Strafvollstreckung zu unterbrechen, die Krankheit herbeigeführt hat.</w:t>
      </w:r>
    </w:p>
    <w:p>
      <w:r>
        <w:t>(2) Die Staatsanwaltschaft hat im letzteren Falle eine Entscheidung des Gerichts herbeizuführen.</w:t>
      </w:r>
    </w:p>
    <w:p>
      <w:pPr>
        <w:pStyle w:val="Heading3"/>
      </w:pPr>
      <w:bookmarkStart w:id="677" w:name="b676"/>
      <w:r>
        <w:t>§ 462 Verfahren bei gerichtlichen Entscheidungen; sofortige Beschwerde</w:t>
      </w:r>
      <w:r>
        <w:t xml:space="preserve"> </w:t>
      </w:r>
      <w:r>
        <w:rPr>
          <w:rStyle w:val="Suchmarke"/>
        </w:rPr>
        <w:t>#462#</w:t>
      </w:r>
      <w:bookmarkEnd w:id="677"/>
    </w:p>
    <w:p>
      <w:r>
        <w:t xml:space="preserve">(1) </w:t>
      </w:r>
      <w:r>
        <w:rPr>
          <w:rStyle w:val="Satznummer"/>
        </w:rPr>
        <w:t>1</w:t>
      </w:r>
      <w:r>
        <w:t xml:space="preserve">Die nach </w:t>
      </w:r>
      <w:hyperlink w:anchor="b640" w:history="1">
        <w:r>
          <w:rPr>
            <w:color w:val="0A3A8C"/>
            <w:u w:val="single"/>
          </w:rPr>
          <w:t xml:space="preserve">§ 450a</w:t>
        </w:r>
      </w:hyperlink>
      <w:r>
        <w:t xml:space="preserve"> Abs. 3 Satz 1 und den </w:t>
      </w:r>
      <w:hyperlink w:anchor="b657" w:history="1">
        <w:r>
          <w:rPr>
            <w:color w:val="0A3A8C"/>
            <w:u w:val="single"/>
          </w:rPr>
          <w:t xml:space="preserve">§§ 458</w:t>
        </w:r>
      </w:hyperlink>
      <w:r>
        <w:t xml:space="preserve"> bis </w:t>
      </w:r>
      <w:hyperlink w:anchor="b675" w:history="1">
        <w:r>
          <w:rPr>
            <w:color w:val="0A3A8C"/>
            <w:u w:val="single"/>
          </w:rPr>
          <w:t xml:space="preserve">461</w:t>
        </w:r>
      </w:hyperlink>
      <w:r>
        <w:t xml:space="preserve"> notwendig werdenden gerichtlichen Entscheidungen trifft das Gericht ohne mündliche Verhandlung durch Beschluß. </w:t>
      </w:r>
      <w:r>
        <w:rPr>
          <w:rStyle w:val="Satznummer"/>
        </w:rPr>
        <w:t>2</w:t>
      </w:r>
      <w:r>
        <w:t>Dies gilt auch für die Wiederverleihung verlorener Fähigkeiten und Rechte (§ 45b des Strafgesetzbuches), die Aufhebung des Vorbehalts der Einziehung und die nachträgliche Anordnung der Einziehung eines Gegenstandes (§ 74f Absatz 1 Satz 4 des Strafgesetzbuches), die nachträgliche Anordnung der Einziehung des Wertersatzes (§ 76 des Strafgesetzbuches) sowie für die Verlängerung der Verjährungsfrist (§ 79b des Strafgesetzbuches).</w:t>
      </w:r>
    </w:p>
    <w:p>
      <w:r>
        <w:t xml:space="preserve">(2) </w:t>
      </w:r>
      <w:r>
        <w:rPr>
          <w:rStyle w:val="Satznummer"/>
        </w:rPr>
        <w:t>1</w:t>
      </w:r>
      <w:r>
        <w:t xml:space="preserve">Vor der Entscheidung sind die Staatsanwaltschaft und der Verurteilte zu hören. </w:t>
      </w:r>
      <w:r>
        <w:rPr>
          <w:rStyle w:val="Satznummer"/>
        </w:rPr>
        <w:t>2</w:t>
      </w:r>
      <w:r>
        <w:t>Das Gericht kann von der Anhörung des Verurteilten in den Fällen einer Entscheidung nach § 79b des Strafgesetzbuches absehen, wenn infolge bestimmter Tatsachen anzunehmen ist, daß die Anhörung nicht ausführbar ist.</w:t>
      </w:r>
    </w:p>
    <w:p>
      <w:r>
        <w:t xml:space="preserve">(3) </w:t>
      </w:r>
      <w:r>
        <w:rPr>
          <w:rStyle w:val="Satznummer"/>
        </w:rPr>
        <w:t>1</w:t>
      </w:r>
      <w:r>
        <w:t xml:space="preserve">Der Beschluß ist mit sofortiger Beschwerde anfechtbar. </w:t>
      </w:r>
      <w:r>
        <w:rPr>
          <w:rStyle w:val="Satznummer"/>
        </w:rPr>
        <w:t>2</w:t>
      </w:r>
      <w:r>
        <w:t>Die sofortige Beschwerde der Staatsanwaltschaft gegen den Beschluß, der die Unterbrechung der Vollstreckung anordnet, hat aufschiebende Wirkung.</w:t>
      </w:r>
    </w:p>
    <w:p>
      <w:pPr>
        <w:pStyle w:val="Heading3"/>
      </w:pPr>
      <w:bookmarkStart w:id="678" w:name="b677"/>
      <w:r>
        <w:t>§ 462a Zuständigkeit der Strafvollstreckungskammer und des erstinstanzlichen Gerichts</w:t>
      </w:r>
      <w:r>
        <w:t xml:space="preserve"> </w:t>
      </w:r>
      <w:r>
        <w:rPr>
          <w:rStyle w:val="Suchmarke"/>
        </w:rPr>
        <w:t>#462a#</w:t>
      </w:r>
      <w:bookmarkEnd w:id="678"/>
    </w:p>
    <w:p>
      <w:r>
        <w:t xml:space="preserve">(1) </w:t>
      </w:r>
      <w:r>
        <w:rPr>
          <w:rStyle w:val="Satznummer"/>
        </w:rPr>
        <w:t>1</w:t>
      </w:r>
      <w:r>
        <w:t xml:space="preserve">Wird gegen den Verurteilten eine Freiheitsstrafe vollstreckt, so ist für die nach den </w:t>
      </w:r>
      <w:hyperlink w:anchor="b643" w:history="1">
        <w:r>
          <w:rPr>
            <w:color w:val="0A3A8C"/>
            <w:u w:val="single"/>
          </w:rPr>
          <w:t xml:space="preserve">§§ 453</w:t>
        </w:r>
      </w:hyperlink>
      <w:r>
        <w:t xml:space="preserve">, </w:t>
      </w:r>
      <w:hyperlink w:anchor="b647" w:history="1">
        <w:r>
          <w:rPr>
            <w:color w:val="0A3A8C"/>
            <w:u w:val="single"/>
          </w:rPr>
          <w:t xml:space="preserve">454</w:t>
        </w:r>
      </w:hyperlink>
      <w:r>
        <w:t xml:space="preserve">, </w:t>
      </w:r>
      <w:hyperlink w:anchor="b648" w:history="1">
        <w:r>
          <w:rPr>
            <w:color w:val="0A3A8C"/>
            <w:u w:val="single"/>
          </w:rPr>
          <w:t xml:space="preserve">454a</w:t>
        </w:r>
      </w:hyperlink>
      <w:r>
        <w:t xml:space="preserve"> und </w:t>
      </w:r>
      <w:hyperlink w:anchor="b676" w:history="1">
        <w:r>
          <w:rPr>
            <w:color w:val="0A3A8C"/>
            <w:u w:val="single"/>
          </w:rPr>
          <w:t xml:space="preserve">462</w:t>
        </w:r>
      </w:hyperlink>
      <w:r>
        <w:t xml:space="preserve"> zu treffenden Entscheidungen die Strafvollstreckungskammer zuständig, in deren Bezirk die Strafanstalt liegt, in die der Verurteilte zu dem Zeitpunkt, in dem das Gericht mit der Sache befaßt wird, aufgenommen ist. </w:t>
      </w:r>
      <w:r>
        <w:rPr>
          <w:rStyle w:val="Satznummer"/>
        </w:rPr>
        <w:t>2</w:t>
      </w:r>
      <w:r>
        <w:t xml:space="preserve">Diese Strafvollstreckungskammer bleibt auch zuständig für Entscheidungen, die zu treffen sind, nachdem die Vollstreckung einer Freiheitsstrafe unterbrochen oder die Vollstreckung des Restes der Freiheitsstrafe zur Bewährung ausgesetzt wurde. </w:t>
      </w:r>
      <w:r>
        <w:rPr>
          <w:rStyle w:val="Satznummer"/>
        </w:rPr>
        <w:t>3</w:t>
      </w:r>
      <w:r>
        <w:t xml:space="preserve">Die Strafvollstreckungskammer kann einzelne Entscheidungen nach </w:t>
      </w:r>
      <w:hyperlink w:anchor="b676" w:history="1">
        <w:r>
          <w:rPr>
            <w:color w:val="0A3A8C"/>
            <w:u w:val="single"/>
          </w:rPr>
          <w:t xml:space="preserve">§ 462</w:t>
        </w:r>
      </w:hyperlink>
      <w:r>
        <w:t xml:space="preserve"> in Verbindung mit </w:t>
      </w:r>
      <w:hyperlink w:anchor="b657" w:history="1">
        <w:r>
          <w:rPr>
            <w:color w:val="0A3A8C"/>
            <w:u w:val="single"/>
          </w:rPr>
          <w:t xml:space="preserve">§ 458</w:t>
        </w:r>
      </w:hyperlink>
      <w:r>
        <w:t xml:space="preserve"> Abs. 1 an das Gericht des ersten Rechtszuges abgeben; die Abgabe ist bindend.</w:t>
      </w:r>
    </w:p>
    <w:p>
      <w:r>
        <w:t xml:space="preserve">(2) </w:t>
      </w:r>
      <w:r>
        <w:rPr>
          <w:rStyle w:val="Satznummer"/>
        </w:rPr>
        <w:t>1</w:t>
      </w:r>
      <w:r>
        <w:t xml:space="preserve">In anderen als den in Absatz 1 bezeichneten Fällen ist das Gericht des ersten Rechtszuges zuständig. </w:t>
      </w:r>
      <w:r>
        <w:rPr>
          <w:rStyle w:val="Satznummer"/>
        </w:rPr>
        <w:t>2</w:t>
      </w:r>
      <w:r>
        <w:t xml:space="preserve">Das Gericht kann die nach </w:t>
      </w:r>
      <w:hyperlink w:anchor="b643" w:history="1">
        <w:r>
          <w:rPr>
            <w:color w:val="0A3A8C"/>
            <w:u w:val="single"/>
          </w:rPr>
          <w:t xml:space="preserve">§ 453</w:t>
        </w:r>
      </w:hyperlink>
      <w:r>
        <w:t xml:space="preserve"> zu treffenden Entscheidungen ganz oder zum Teil an das Amtsgericht abgeben, in dessen Bezirk der Verurteilte seinen Wohnsitz oder in Ermangelung eines Wohnsitzes seinen gewöhnlichen Aufenthaltsort hat; die Abgabe ist bindend. </w:t>
      </w:r>
      <w:r>
        <w:rPr>
          <w:rStyle w:val="Satznummer"/>
        </w:rPr>
        <w:t>3</w:t>
      </w:r>
      <w:r>
        <w:t>Abweichend von Absatz 1 ist in den dort bezeichneten Fällen das Gericht des ersten Rechtszuges zuständig, wenn es die Anordnung der Sicherungsverwahrung vorbehalten hat und eine Entscheidung darüber gemäß § 66a Absatz 3 Satz 1 des Strafgesetzbuches noch möglich ist.</w:t>
      </w:r>
    </w:p>
    <w:p>
      <w:r>
        <w:t xml:space="preserve">(3) </w:t>
      </w:r>
      <w:r>
        <w:rPr>
          <w:rStyle w:val="Satznummer"/>
        </w:rPr>
        <w:t>1</w:t>
      </w:r>
      <w:r>
        <w:t xml:space="preserve">In den Fällen des </w:t>
      </w:r>
      <w:hyperlink w:anchor="b674" w:history="1">
        <w:r>
          <w:rPr>
            <w:color w:val="0A3A8C"/>
            <w:u w:val="single"/>
          </w:rPr>
          <w:t xml:space="preserve">§ 460</w:t>
        </w:r>
      </w:hyperlink>
      <w:r>
        <w:t xml:space="preserve"> entscheidet das Gericht des ersten Rechtszuges. </w:t>
      </w:r>
      <w:r>
        <w:rPr>
          <w:rStyle w:val="Satznummer"/>
        </w:rPr>
        <w:t>2</w:t>
      </w:r>
      <w:r>
        <w:t xml:space="preserve">Waren die verschiedenen Urteile von verschiedenen Gerichten erlassen, so steht die Entscheidung dem Gericht zu, das auf die schwerste Strafart oder bei Strafen gleicher Art auf die höchste Strafe erkannt hat, und falls hiernach mehrere Gerichte zuständig sein würden, dem Gericht, dessen Urteil zuletzt ergangen ist. </w:t>
      </w:r>
      <w:r>
        <w:rPr>
          <w:rStyle w:val="Satznummer"/>
        </w:rPr>
        <w:t>3</w:t>
      </w:r>
      <w:r>
        <w:t xml:space="preserve">War das hiernach maßgebende Urteil von einem Gericht eines höheren Rechtszuges erlassen, so setzt das Gericht des ersten Rechtszuges die Gesamtstrafe fest; war eines der Urteile von einem Oberlandesgericht im ersten Rechtszuge erlassen, so setzt das Oberlandesgericht die Gesamtstrafe fest. </w:t>
      </w:r>
      <w:r>
        <w:rPr>
          <w:rStyle w:val="Satznummer"/>
        </w:rPr>
        <w:t>4</w:t>
      </w:r>
      <w:r>
        <w:t>Wäre ein Amtsgericht zur Bildung der Gesamtstrafe zuständig und reicht seine Strafgewalt nicht aus, so entscheidet die Strafkammer des ihm übergeordneten Landgerichts.</w:t>
      </w:r>
    </w:p>
    <w:p>
      <w:r>
        <w:t xml:space="preserve">(4) </w:t>
      </w:r>
      <w:r>
        <w:rPr>
          <w:rStyle w:val="Satznummer"/>
        </w:rPr>
        <w:t>1</w:t>
      </w:r>
      <w:r>
        <w:t xml:space="preserve">Haben verschiedene Gerichte den Verurteilten in anderen als den in </w:t>
      </w:r>
      <w:hyperlink w:anchor="b674" w:history="1">
        <w:r>
          <w:rPr>
            <w:color w:val="0A3A8C"/>
            <w:u w:val="single"/>
          </w:rPr>
          <w:t xml:space="preserve">§ 460</w:t>
        </w:r>
      </w:hyperlink>
      <w:r>
        <w:t xml:space="preserve"> bezeichneten Fällen rechtskräftig zu Strafe verurteilt oder unter Strafvorbehalt verwarnt, so ist nur eines von ihnen für die nach den </w:t>
      </w:r>
      <w:hyperlink w:anchor="b643" w:history="1">
        <w:r>
          <w:rPr>
            <w:color w:val="0A3A8C"/>
            <w:u w:val="single"/>
          </w:rPr>
          <w:t xml:space="preserve">§§ 453</w:t>
        </w:r>
      </w:hyperlink>
      <w:r>
        <w:t xml:space="preserve">, </w:t>
      </w:r>
      <w:hyperlink w:anchor="b647" w:history="1">
        <w:r>
          <w:rPr>
            <w:color w:val="0A3A8C"/>
            <w:u w:val="single"/>
          </w:rPr>
          <w:t xml:space="preserve">454</w:t>
        </w:r>
      </w:hyperlink>
      <w:r>
        <w:t xml:space="preserve">, </w:t>
      </w:r>
      <w:hyperlink w:anchor="b648" w:history="1">
        <w:r>
          <w:rPr>
            <w:color w:val="0A3A8C"/>
            <w:u w:val="single"/>
          </w:rPr>
          <w:t xml:space="preserve">454a</w:t>
        </w:r>
      </w:hyperlink>
      <w:r>
        <w:t xml:space="preserve"> und </w:t>
      </w:r>
      <w:hyperlink w:anchor="b676" w:history="1">
        <w:r>
          <w:rPr>
            <w:color w:val="0A3A8C"/>
            <w:u w:val="single"/>
          </w:rPr>
          <w:t xml:space="preserve">462</w:t>
        </w:r>
      </w:hyperlink>
      <w:r>
        <w:t xml:space="preserve"> zu treffenden Entscheidungen zuständig. </w:t>
      </w:r>
      <w:r>
        <w:rPr>
          <w:rStyle w:val="Satznummer"/>
        </w:rPr>
        <w:t>2</w:t>
      </w:r>
      <w:r>
        <w:t xml:space="preserve">Absatz 3 Satz 2 und 3 gilt entsprechend. </w:t>
      </w:r>
      <w:r>
        <w:rPr>
          <w:rStyle w:val="Satznummer"/>
        </w:rPr>
        <w:t>3</w:t>
      </w:r>
      <w:r>
        <w:t>In den Fällen des Absatzes 1 entscheidet die Strafvollstreckungskammer; Absatz 1 Satz 3 bleibt unberührt.</w:t>
      </w:r>
    </w:p>
    <w:p>
      <w:r>
        <w:t xml:space="preserve">(5) </w:t>
      </w:r>
      <w:r>
        <w:rPr>
          <w:rStyle w:val="Satznummer"/>
        </w:rPr>
        <w:t>1</w:t>
      </w:r>
      <w:r>
        <w:t xml:space="preserve">An Stelle der Strafvollstreckungskammer entscheidet das Gericht des ersten Rechtszuges, wenn das Urteil von einem Oberlandesgericht im ersten Rechtszuge erlassen ist. </w:t>
      </w:r>
      <w:r>
        <w:rPr>
          <w:rStyle w:val="Satznummer"/>
        </w:rPr>
        <w:t>2</w:t>
      </w:r>
      <w:r>
        <w:t xml:space="preserve">Das Oberlandesgericht kann die nach den Absätzen 1 und 3 zu treffenden Entscheidungen ganz oder zum Teil an die Strafvollstreckungskammer abgeben. </w:t>
      </w:r>
      <w:r>
        <w:rPr>
          <w:rStyle w:val="Satznummer"/>
        </w:rPr>
        <w:t>3</w:t>
      </w:r>
      <w:r>
        <w:t>Die Abgabe ist bindend; sie kann jedoch vom Oberlandesgericht widerrufen werden.</w:t>
      </w:r>
    </w:p>
    <w:p>
      <w:r>
        <w:t xml:space="preserve">(6) Gericht des ersten Rechtszuges ist in den Fällen des </w:t>
      </w:r>
      <w:hyperlink w:anchor="b510" w:history="1">
        <w:r>
          <w:rPr>
            <w:color w:val="0A3A8C"/>
            <w:u w:val="single"/>
          </w:rPr>
          <w:t xml:space="preserve">§ 354</w:t>
        </w:r>
      </w:hyperlink>
      <w:r>
        <w:t xml:space="preserve"> Abs. 2 und des </w:t>
      </w:r>
      <w:hyperlink w:anchor="b512" w:history="1">
        <w:r>
          <w:rPr>
            <w:color w:val="0A3A8C"/>
            <w:u w:val="single"/>
          </w:rPr>
          <w:t xml:space="preserve">§ 355</w:t>
        </w:r>
      </w:hyperlink>
      <w:r>
        <w:t xml:space="preserve"> das Gericht, an das die Sache zurückverwiesen worden ist, und in den Fällen, in denen im Wiederaufnahmeverfahren eine Entscheidung nach </w:t>
      </w:r>
      <w:hyperlink w:anchor="b534" w:history="1">
        <w:r>
          <w:rPr>
            <w:color w:val="0A3A8C"/>
            <w:u w:val="single"/>
          </w:rPr>
          <w:t xml:space="preserve">§ 373</w:t>
        </w:r>
      </w:hyperlink>
      <w:r>
        <w:t xml:space="preserve"> ergangen ist, das Gericht, das diese Entscheidung getroffen hat.</w:t>
      </w:r>
    </w:p>
    <w:p>
      <w:pPr>
        <w:pStyle w:val="Heading3"/>
      </w:pPr>
      <w:bookmarkStart w:id="679" w:name="b678"/>
      <w:r>
        <w:t>§ 463 Vollstreckung von Maßregeln der Besserung und Sicherung</w:t>
      </w:r>
      <w:r>
        <w:t xml:space="preserve"> </w:t>
      </w:r>
      <w:r>
        <w:rPr>
          <w:rStyle w:val="Suchmarke"/>
        </w:rPr>
        <w:t>#463#</w:t>
      </w:r>
      <w:bookmarkEnd w:id="679"/>
    </w:p>
    <w:p>
      <w:r>
        <w:t>(1) Die Vorschriften über die Strafvollstreckung gelten für die Vollstreckung von Maßregeln der Besserung und Sicherung sinngemäß, soweit nichts anderes bestimmt ist.</w:t>
      </w:r>
    </w:p>
    <w:p>
      <w:r>
        <w:t xml:space="preserve">(2) </w:t>
      </w:r>
      <w:hyperlink w:anchor="b643" w:history="1">
        <w:r>
          <w:rPr>
            <w:color w:val="0A3A8C"/>
            <w:u w:val="single"/>
          </w:rPr>
          <w:t xml:space="preserve">§ 453</w:t>
        </w:r>
      </w:hyperlink>
      <w:r>
        <w:t xml:space="preserve"> gilt auch für die nach den §§ 68a bis 68d des Strafgesetzbuches zu treffenden Entscheidungen.</w:t>
      </w:r>
    </w:p>
    <w:p>
      <w:r>
        <w:t xml:space="preserve">(3) </w:t>
      </w:r>
      <w:r>
        <w:rPr>
          <w:rStyle w:val="Satznummer"/>
        </w:rPr>
        <w:t>1</w:t>
      </w:r>
      <w:hyperlink w:anchor="b647" w:history="1">
        <w:r>
          <w:rPr>
            <w:color w:val="0A3A8C"/>
            <w:u w:val="single"/>
          </w:rPr>
          <w:t xml:space="preserve">§ 454</w:t>
        </w:r>
      </w:hyperlink>
      <w:r>
        <w:t xml:space="preserve"> Abs. 1, 3 und 4 gilt auch für die nach § 67c Abs. 1, § 67d Abs. 2 und 3, § 67e Abs. 3, den §§ 68e, 68f Abs. 2 und § 72 Abs. 3 des Strafgesetzbuches zu treffenden Entscheidungen. </w:t>
      </w:r>
      <w:r>
        <w:rPr>
          <w:rStyle w:val="Satznummer"/>
        </w:rPr>
        <w:t>2</w:t>
      </w:r>
      <w:r>
        <w:t xml:space="preserve">In den Fällen des § 68e des Strafgesetzbuches bedarf es einer mündlichen Anhörung des Verurteilten nicht. </w:t>
      </w:r>
      <w:r>
        <w:rPr>
          <w:rStyle w:val="Satznummer"/>
        </w:rPr>
        <w:t>3</w:t>
      </w:r>
      <w:hyperlink w:anchor="b647" w:history="1">
        <w:r>
          <w:rPr>
            <w:color w:val="0A3A8C"/>
            <w:u w:val="single"/>
          </w:rPr>
          <w:t xml:space="preserve">§ 454</w:t>
        </w:r>
      </w:hyperlink>
      <w:r>
        <w:t xml:space="preserve"> Abs. 2 findet in den Fällen des § 67d Absatz 2 und 3 und des § 72 Absatz 3 des Strafgesetzbuches unabhängig von den dort genannten Straftaten sowie bei Prüfung der Voraussetzungen des § 67c Absatz 1 Satz 1 Nummer 1 des Strafgesetzbuches auch unabhängig davon, ob das Gericht eine Aussetzung erwägt, entsprechende Anwendung, soweit das Gericht über die Vollstreckung der Sicherungsverwahrung zu entscheiden hat; im Übrigen findet </w:t>
      </w:r>
      <w:hyperlink w:anchor="b647" w:history="1">
        <w:r>
          <w:rPr>
            <w:color w:val="0A3A8C"/>
            <w:u w:val="single"/>
          </w:rPr>
          <w:t xml:space="preserve">§ 454</w:t>
        </w:r>
      </w:hyperlink>
      <w:r>
        <w:t xml:space="preserve"> Abs. 2 bei den dort genannten Straftaten Anwendung. </w:t>
      </w:r>
      <w:r>
        <w:rPr>
          <w:rStyle w:val="Satznummer"/>
        </w:rPr>
        <w:t>4</w:t>
      </w:r>
      <w:r>
        <w:t xml:space="preserve">Zur Vorbereitung der Entscheidung nach § 67d Abs. 3 des Strafgesetzbuches sowie der nachfolgenden Entscheidungen nach § 67d Abs. 2 des Strafgesetzbuches hat das Gericht das Gutachten eines Sachverständigen namentlich zu der Frage einzuholen, ob von dem Verurteilten weiterhin erhebliche rechtswidrige Taten zu erwarten sind. </w:t>
      </w:r>
      <w:r>
        <w:rPr>
          <w:rStyle w:val="Satznummer"/>
        </w:rPr>
        <w:t>5</w:t>
      </w:r>
      <w:r>
        <w:t>Ist die Unterbringung in der Sicherungsverwahrung angeordnet worden, bestellt das Gericht dem Verurteilten, der keinen Verteidiger hat, rechtzeitig vor einer Entscheidung nach § 67c Absatz 1 des Strafgesetzbuches einen Verteidiger.</w:t>
      </w:r>
    </w:p>
    <w:p>
      <w:r>
        <w:t xml:space="preserve">(4) </w:t>
      </w:r>
      <w:r>
        <w:rPr>
          <w:rStyle w:val="Satznummer"/>
        </w:rPr>
        <w:t>1</w:t>
      </w:r>
      <w:r>
        <w:t xml:space="preserve">Im Rahmen der Überprüfung der Unterbringung in einem psychiatrischen Krankenhaus (§ 63 des Strafgesetzbuches) nach § 67e des Strafgesetzbuches ist eine gutachterliche Stellungnahme der Maßregelvollzugseinrichtung einzuholen, in der der Verurteilte untergebracht ist. </w:t>
      </w:r>
      <w:r>
        <w:rPr>
          <w:rStyle w:val="Satznummer"/>
        </w:rPr>
        <w:t>2</w:t>
      </w:r>
      <w:r>
        <w:t xml:space="preserve">Das Gericht soll nach jeweils drei Jahren, ab einer Dauer der Unterbringung von sechs Jahren nach jeweils zwei Jahren vollzogener Unterbringung in einem psychiatrischen Krankenhaus das Gutachten eines Sachverständigen einholen. </w:t>
      </w:r>
      <w:r>
        <w:rPr>
          <w:rStyle w:val="Satznummer"/>
        </w:rPr>
        <w:t>3</w:t>
      </w:r>
      <w:r>
        <w:t xml:space="preserve">Der Sachverständige darf weder im Rahmen des Vollzugs der Unterbringung mit der Behandlung der untergebrachten Person befasst gewesen sein noch in dem psychiatrischen Krankenhaus arbeiten, in dem sich die untergebrachte Person befindet, noch soll er das letzte Gutachten bei einer vorangegangenen Überprüfung erstellt haben. </w:t>
      </w:r>
      <w:r>
        <w:rPr>
          <w:rStyle w:val="Satznummer"/>
        </w:rPr>
        <w:t>4</w:t>
      </w:r>
      <w:r>
        <w:t xml:space="preserve">Der Sachverständige, der für das erste Gutachten im Rahmen einer Überprüfung der Unterbringung herangezogen wird, soll auch nicht das Gutachten in dem Verfahren erstellt haben, in dem die Unterbringung oder deren späterer Vollzug angeordnet worden ist. </w:t>
      </w:r>
      <w:r>
        <w:rPr>
          <w:rStyle w:val="Satznummer"/>
        </w:rPr>
        <w:t>5</w:t>
      </w:r>
      <w:r>
        <w:t xml:space="preserve">Mit der Begutachtung sollen nur ärztliche oder psychologische Sachverständige beauftragt werden, die über forensisch-psychiatrische Sachkunde und Erfahrung verfügen. </w:t>
      </w:r>
      <w:r>
        <w:rPr>
          <w:rStyle w:val="Satznummer"/>
        </w:rPr>
        <w:t>6</w:t>
      </w:r>
      <w:r>
        <w:t xml:space="preserve">Dem Sachverständigen ist Einsicht in die Patientendaten des Krankenhauses über die untergebrachte Person zu gewähren. </w:t>
      </w:r>
      <w:r>
        <w:rPr>
          <w:rStyle w:val="Satznummer"/>
        </w:rPr>
        <w:t>7</w:t>
      </w:r>
      <w:hyperlink w:anchor="b647" w:history="1">
        <w:r>
          <w:rPr>
            <w:color w:val="0A3A8C"/>
            <w:u w:val="single"/>
          </w:rPr>
          <w:t xml:space="preserve">§ 454</w:t>
        </w:r>
      </w:hyperlink>
      <w:r>
        <w:t xml:space="preserve"> Abs. 2 gilt entsprechend. </w:t>
      </w:r>
      <w:r>
        <w:rPr>
          <w:rStyle w:val="Satznummer"/>
        </w:rPr>
        <w:t>8</w:t>
      </w:r>
      <w:r>
        <w:t>Der untergebrachten Person, die keinen Verteidiger hat, bestellt das Gericht für die Überprüfung der Unterbringung, bei der nach Satz 2 das Gutachten eines Sachverständigen eingeholt werden soll, einen Verteidiger.</w:t>
      </w:r>
    </w:p>
    <w:p>
      <w:r>
        <w:t xml:space="preserve">(5) </w:t>
      </w:r>
      <w:r>
        <w:rPr>
          <w:rStyle w:val="Satznummer"/>
        </w:rPr>
        <w:t>1</w:t>
      </w:r>
      <w:hyperlink w:anchor="b650" w:history="1">
        <w:r>
          <w:rPr>
            <w:color w:val="0A3A8C"/>
            <w:u w:val="single"/>
          </w:rPr>
          <w:t xml:space="preserve">§ 455</w:t>
        </w:r>
      </w:hyperlink>
      <w:r>
        <w:t xml:space="preserve"> Abs. 1 ist nicht anzuwenden, wenn die Unterbringung in einem psychiatrischen Krankenhaus angeordnet ist. </w:t>
      </w:r>
      <w:r>
        <w:rPr>
          <w:rStyle w:val="Satznummer"/>
        </w:rPr>
        <w:t>2</w:t>
      </w:r>
      <w:r>
        <w:t xml:space="preserve">Ist die Unterbringung in einer Entziehungsanstalt oder in der Sicherungsverwahrung angeordnet worden und verfällt der Verurteilte in Geisteskrankheit, so kann die Vollstreckung der Maßregel aufgeschoben werden. </w:t>
      </w:r>
      <w:r>
        <w:rPr>
          <w:rStyle w:val="Satznummer"/>
        </w:rPr>
        <w:t>3</w:t>
      </w:r>
      <w:hyperlink w:anchor="b652" w:history="1">
        <w:r>
          <w:rPr>
            <w:color w:val="0A3A8C"/>
            <w:u w:val="single"/>
          </w:rPr>
          <w:t xml:space="preserve">§ 456</w:t>
        </w:r>
      </w:hyperlink>
      <w:r>
        <w:t xml:space="preserve"> ist nicht anzuwenden, wenn die Unterbringung des Verurteilten in der Sicherungsverwahrung angeordnet ist.</w:t>
      </w:r>
    </w:p>
    <w:p>
      <w:r>
        <w:t xml:space="preserve">(6) </w:t>
      </w:r>
      <w:r>
        <w:rPr>
          <w:rStyle w:val="Satznummer"/>
        </w:rPr>
        <w:t>1</w:t>
      </w:r>
      <w:hyperlink w:anchor="b676" w:history="1">
        <w:r>
          <w:rPr>
            <w:color w:val="0A3A8C"/>
            <w:u w:val="single"/>
          </w:rPr>
          <w:t xml:space="preserve">§ 462</w:t>
        </w:r>
      </w:hyperlink>
      <w:r>
        <w:t xml:space="preserve"> gilt auch für die nach </w:t>
      </w:r>
      <w:hyperlink w:anchor="b92" w:history="1">
        <w:r>
          <w:rPr>
            <w:color w:val="0A3A8C"/>
            <w:u w:val="single"/>
          </w:rPr>
          <w:t xml:space="preserve">§ 67</w:t>
        </w:r>
      </w:hyperlink>
      <w:r>
        <w:t xml:space="preserve"> Absatz 3, 5 Satz 2 und Absatz 6, den §§ 67a und 67c Abs. 2, § 67d Abs. 5 und 6, den §§ 67g, 67h und 69a Abs. 7 sowie den §§ 70a und 70b des Strafgesetzbuches zu treffenden Entscheidungen. </w:t>
      </w:r>
      <w:r>
        <w:rPr>
          <w:rStyle w:val="Satznummer"/>
        </w:rPr>
        <w:t>2</w:t>
      </w:r>
      <w:r>
        <w:t xml:space="preserve">In den Fällen des § 67d Absatz 6 des Strafgesetzbuches ist der Verurteilte mündlich zu hören. </w:t>
      </w:r>
      <w:r>
        <w:rPr>
          <w:rStyle w:val="Satznummer"/>
        </w:rPr>
        <w:t>3</w:t>
      </w:r>
      <w:r>
        <w:t>Das Gericht erklärt die Anordnung von Maßnahmen nach § 67h Abs. 1 Satz 1 und 2 des Strafgesetzbuchs für sofort vollziehbar, wenn erhebliche rechtswidrige Taten des Verurteilten drohen; für Entscheidungen nach § 67d Absatz 5 Satz 1 des Strafgesetzbuches bleibt es bei der sofortigen Vollziehbarkeit (</w:t>
      </w:r>
      <w:hyperlink w:anchor="b459" w:history="1">
        <w:r>
          <w:rPr>
            <w:color w:val="0A3A8C"/>
            <w:u w:val="single"/>
          </w:rPr>
          <w:t xml:space="preserve">§§ 307</w:t>
        </w:r>
      </w:hyperlink>
      <w:r>
        <w:t xml:space="preserve"> und </w:t>
      </w:r>
      <w:hyperlink w:anchor="b676" w:history="1">
        <w:r>
          <w:rPr>
            <w:color w:val="0A3A8C"/>
            <w:u w:val="single"/>
          </w:rPr>
          <w:t xml:space="preserve">462</w:t>
        </w:r>
      </w:hyperlink>
      <w:r>
        <w:t xml:space="preserve"> Absatz 3 Satz 2).</w:t>
      </w:r>
    </w:p>
    <w:p>
      <w:r>
        <w:t xml:space="preserve">(7) Für die Anwendung des </w:t>
      </w:r>
      <w:hyperlink w:anchor="b677" w:history="1">
        <w:r>
          <w:rPr>
            <w:color w:val="0A3A8C"/>
            <w:u w:val="single"/>
          </w:rPr>
          <w:t xml:space="preserve">§ 462a</w:t>
        </w:r>
      </w:hyperlink>
      <w:r>
        <w:t xml:space="preserve"> Abs. 1 steht die Führungsaufsicht in den Fällen des § 67c Abs. 1, des § 67d Abs. 2 bis 6 und des § 68f des Strafgesetzbuches der Aussetzung eines Strafrestes gleich.</w:t>
      </w:r>
    </w:p>
    <w:p>
      <w:r>
        <w:t xml:space="preserve">(8) </w:t>
      </w:r>
      <w:r>
        <w:rPr>
          <w:rStyle w:val="Satznummer"/>
        </w:rPr>
        <w:t>1</w:t>
      </w:r>
      <w:r>
        <w:t xml:space="preserve">Wird die Unterbringung in der Sicherungsverwahrung vollstreckt, bestellt das Gericht dem Verurteilten, der keinen Verteidiger hat, für die Verfahren über die auf dem Gebiet der Vollstreckung zu treffenden gerichtlichen Entscheidungen einen Verteidiger. </w:t>
      </w:r>
      <w:r>
        <w:rPr>
          <w:rStyle w:val="Satznummer"/>
        </w:rPr>
        <w:t>2</w:t>
      </w:r>
      <w:r>
        <w:t>Die Bestellung hat rechtzeitig vor der ersten gerichtlichen Entscheidung zu erfolgen und gilt auch für jedes weitere Verfahren, solange die Bestellung nicht aufgehoben wird.</w:t>
      </w:r>
    </w:p>
    <w:p>
      <w:pPr>
        <w:pStyle w:val="Heading3"/>
      </w:pPr>
      <w:bookmarkStart w:id="680" w:name="b679"/>
      <w:r>
        <w:t>§ 463a Zuständigkeit und Befugnisse der Aufsichtsstellen</w:t>
      </w:r>
      <w:r>
        <w:t xml:space="preserve"> </w:t>
      </w:r>
      <w:r>
        <w:rPr>
          <w:rStyle w:val="Suchmarke"/>
        </w:rPr>
        <w:t>#463a#</w:t>
      </w:r>
      <w:bookmarkEnd w:id="680"/>
    </w:p>
    <w:p>
      <w:r>
        <w:t xml:space="preserve">(1) </w:t>
      </w:r>
      <w:r>
        <w:rPr>
          <w:rStyle w:val="Satznummer"/>
        </w:rPr>
        <w:t>1</w:t>
      </w:r>
      <w:r>
        <w:t xml:space="preserve">Die Aufsichtsstellen (§ 68a des Strafgesetzbuches) können zur Überwachung des Verhaltens des Verurteilten und der Erfüllung von Weisungen von allen öffentlichen Behörden Auskunft verlangen und Ermittlungen jeder Art, mit Ausschluß eidlicher Vernehmungen, entweder selbst vornehmen oder durch andere Behörden im Rahmen ihrer Zuständigkeit vornehmen lassen. </w:t>
      </w:r>
      <w:r>
        <w:rPr>
          <w:rStyle w:val="Satznummer"/>
        </w:rPr>
        <w:t>2</w:t>
      </w:r>
      <w:r>
        <w:t>Ist der Aufenthalt des Verurteilten nicht bekannt, kann der Leiter der Führungsaufsichtsstelle seine Ausschreibung zur Aufenthaltsermittlung (</w:t>
      </w:r>
      <w:hyperlink w:anchor="b226" w:history="1">
        <w:r>
          <w:rPr>
            <w:color w:val="0A3A8C"/>
            <w:u w:val="single"/>
          </w:rPr>
          <w:t xml:space="preserve">§ 131a</w:t>
        </w:r>
      </w:hyperlink>
      <w:r>
        <w:t xml:space="preserve"> Abs. 1) anordnen.</w:t>
      </w:r>
    </w:p>
    <w:p>
      <w:r>
        <w:t xml:space="preserve">(2) </w:t>
      </w:r>
      <w:r>
        <w:rPr>
          <w:rStyle w:val="Satznummer"/>
        </w:rPr>
        <w:t>1</w:t>
      </w:r>
      <w:r>
        <w:t xml:space="preserve">Die Aufsichtsstelle kann für die Dauer der Führungsaufsicht oder für eine kürzere Zeit anordnen, daß der Verurteilte zur Beobachtung anläßlich von polizeilichen Kontrollen, die die Feststellung der Personalien zulassen, ausgeschrieben wird. </w:t>
      </w:r>
      <w:r>
        <w:rPr>
          <w:rStyle w:val="Satznummer"/>
        </w:rPr>
        <w:t>2</w:t>
      </w:r>
      <w:hyperlink w:anchor="b300" w:history="1">
        <w:r>
          <w:rPr>
            <w:color w:val="0A3A8C"/>
            <w:u w:val="single"/>
          </w:rPr>
          <w:t xml:space="preserve">§ 163e</w:t>
        </w:r>
      </w:hyperlink>
      <w:r>
        <w:t xml:space="preserve"> Abs. 2 gilt entsprechend. </w:t>
      </w:r>
      <w:r>
        <w:rPr>
          <w:rStyle w:val="Satznummer"/>
        </w:rPr>
        <w:t>3</w:t>
      </w:r>
      <w:r>
        <w:t xml:space="preserve">Die Anordnung trifft der Leiter der Führungsaufsichtsstelle. </w:t>
      </w:r>
      <w:r>
        <w:rPr>
          <w:rStyle w:val="Satznummer"/>
        </w:rPr>
        <w:t>4</w:t>
      </w:r>
      <w:r>
        <w:t>Die Erforderlichkeit der Fortdauer der Maßnahme ist mindestens jährlich zu überprüfen.</w:t>
      </w:r>
    </w:p>
    <w:p>
      <w:r>
        <w:t xml:space="preserve">(3) </w:t>
      </w:r>
      <w:r>
        <w:rPr>
          <w:rStyle w:val="Satznummer"/>
        </w:rPr>
        <w:t>1</w:t>
      </w:r>
      <w:r>
        <w:t xml:space="preserve">Auf Antrag der Aufsichtsstelle kann das Gericht einen Vorführungsbefehl erlassen, wenn der Verurteilte einer Weisung nach § 68b Abs. 1 Satz 1 Nr. 7 oder Nr. 11 des Strafgesetzbuchs ohne genügende Entschuldigung nicht nachgekommen ist und er in der Ladung darauf hingewiesen wurde, dass in diesem Fall seine Vorführung zulässig ist. </w:t>
      </w:r>
      <w:r>
        <w:rPr>
          <w:rStyle w:val="Satznummer"/>
        </w:rPr>
        <w:t>2</w:t>
      </w:r>
      <w:r>
        <w:t>Soweit das Gericht des ersten Rechtszuges zuständig ist, entscheidet der Vorsitzende.</w:t>
      </w:r>
    </w:p>
    <w:p>
      <w:r>
        <w:t xml:space="preserve">(4) </w:t>
      </w:r>
      <w:r>
        <w:rPr>
          <w:rStyle w:val="Satznummer"/>
        </w:rPr>
        <w:t>1</w:t>
      </w:r>
      <w:r>
        <w:t xml:space="preserve">Die Aufsichtsstelle erhebt und speichert bei einer Weisung nach § 68b Absatz 1 Satz 1 Nummer 12 des Strafgesetzbuches mit Hilfe der von der verurteilten Person mitgeführten technischen Mittel automatisiert Daten über deren Aufenthaltsort sowie über etwaige Beeinträchtigungen der Datenerhebung; soweit es technisch möglich ist, ist sicherzustellen, dass innerhalb der Wohnung der verurteilten Person keine über den Umstand ihrer Anwesenheit hinausgehenden Aufenthaltsdaten erhoben werden. </w:t>
      </w:r>
      <w:r>
        <w:rPr>
          <w:rStyle w:val="Satznummer"/>
        </w:rPr>
        <w:t>2</w:t>
      </w:r>
      <w:r>
        <w:t>Die Daten dürfen ohne Einwilligung der betroffenen Person nur verwendet werden, soweit dies erforderlich ist für die folgenden Zwecke:</w:t>
      </w:r>
    </w:p>
    <w:p>
      <w:pPr>
        <w:tabs>
          <w:tab w:pos="567" w:val="left"/>
        </w:tabs>
        <w:ind w:left="567" w:hanging="567"/>
      </w:pPr>
      <w:r>
        <w:t>1.</w:t>
      </w:r>
      <w:r>
        <w:tab/>
      </w:r>
      <w:r>
        <w:t>zur Feststellung des Verstoßes gegen eine Weisung nach § 68b Absatz 1 Satz 1 Nummer 1, 2 oder 12 des Strafgesetzbuches,</w:t>
      </w:r>
    </w:p>
    <w:p>
      <w:pPr>
        <w:tabs>
          <w:tab w:pos="567" w:val="left"/>
        </w:tabs>
        <w:ind w:left="567" w:hanging="567"/>
      </w:pPr>
      <w:r>
        <w:t>2.</w:t>
      </w:r>
      <w:r>
        <w:tab/>
      </w:r>
      <w:r>
        <w:t>zur Ergreifung von Maßnahmen der Führungsaufsicht, die sich an einen Verstoß gegen eine Weisung nach § 68b Absatz 1 Satz 1 Nummer 1, 2 oder 12 des Strafgesetzbuches anschließen können,</w:t>
      </w:r>
    </w:p>
    <w:p>
      <w:pPr>
        <w:tabs>
          <w:tab w:pos="567" w:val="left"/>
        </w:tabs>
        <w:ind w:left="567" w:hanging="567"/>
      </w:pPr>
      <w:r>
        <w:t>3.</w:t>
      </w:r>
      <w:r>
        <w:tab/>
      </w:r>
      <w:r>
        <w:t>zur Ahndung eines Verstoßes gegen eine Weisung nach § 68b Absatz 1 Satz 1 Nummer 1, 2 oder 12 des Strafgesetzbuches,</w:t>
      </w:r>
    </w:p>
    <w:p>
      <w:pPr>
        <w:tabs>
          <w:tab w:pos="567" w:val="left"/>
        </w:tabs>
        <w:ind w:left="567" w:hanging="567"/>
      </w:pPr>
      <w:r>
        <w:t>4.</w:t>
      </w:r>
      <w:r>
        <w:tab/>
      </w:r>
      <w:r>
        <w:t>zur Abwehr einer erheblichen gegenwärtigen Gefahr für das Leben, die körperliche Unversehrtheit, die persönliche Freiheit oder die sexuelle Selbstbestimmung Dritter oder</w:t>
      </w:r>
    </w:p>
    <w:p>
      <w:pPr>
        <w:tabs>
          <w:tab w:pos="567" w:val="left"/>
        </w:tabs>
        <w:ind w:left="567" w:hanging="567"/>
      </w:pPr>
      <w:r>
        <w:t>5.</w:t>
      </w:r>
      <w:r>
        <w:tab/>
      </w:r>
      <w:r>
        <w:t>zur Verfolgung einer Straftat der in § 66 Absatz 3 Satz 1 des Strafgesetzbuches genannten Art oder einer Straftat nach § 129a Absatz 5 Satz 2, auch in Verbindung mit § 129b Absatz 1 des Strafgesetzbuches.</w:t>
      </w:r>
    </w:p>
    <w:p>
      <w:r>
        <w:rPr>
          <w:rStyle w:val="Satznummer"/>
        </w:rPr>
        <w:t>3</w:t>
      </w:r>
      <w:r>
        <w:t xml:space="preserve">Zur Einhaltung der Zweckbindung nach Satz 2 hat die Verarbeitung der Daten zur Feststellung von Verstößen nach Satz 2 Nummer 1 in Verbindung mit § 68b Absatz 1 Satz 1 Nummer 1 oder 2 des Strafgesetzbuches automatisiert zu erfolgen und sind die Daten gegen unbefugte Kenntnisnahme besonders zu sichern. </w:t>
      </w:r>
      <w:r>
        <w:rPr>
          <w:rStyle w:val="Satznummer"/>
        </w:rPr>
        <w:t>4</w:t>
      </w:r>
      <w:r>
        <w:t xml:space="preserve">Die Aufsichtsstelle kann die Erhebung und Verarbeitung der Daten durch die Behörden und Beamten des Polizeidienstes vornehmen lassen; diese sind verpflichtet, dem Ersuchen der Aufsichtsstelle zu genügen. </w:t>
      </w:r>
      <w:r>
        <w:rPr>
          <w:rStyle w:val="Satznummer"/>
        </w:rPr>
        <w:t>5</w:t>
      </w:r>
      <w:r>
        <w:t xml:space="preserve">Die in Satz 1 genannten Daten sind spätestens zwei Monate nach ihrer Erhebung zu löschen, soweit sie nicht für die in Satz 2 genannten Zwecke verwendet werden. </w:t>
      </w:r>
      <w:r>
        <w:rPr>
          <w:rStyle w:val="Satznummer"/>
        </w:rPr>
        <w:t>6</w:t>
      </w:r>
      <w:r>
        <w:t xml:space="preserve">Bei jedem Abruf der Daten sind zumindest der Zeitpunkt, die abgerufenen Daten und der Bearbeiter zu protokollieren; </w:t>
      </w:r>
      <w:hyperlink w:anchor="b720" w:history="1">
        <w:r>
          <w:rPr>
            <w:color w:val="0A3A8C"/>
            <w:u w:val="single"/>
          </w:rPr>
          <w:t xml:space="preserve">§ 488</w:t>
        </w:r>
      </w:hyperlink>
      <w:r>
        <w:t xml:space="preserve"> Absatz 3 Satz 5 gilt entsprechend. </w:t>
      </w:r>
      <w:r>
        <w:rPr>
          <w:rStyle w:val="Satznummer"/>
        </w:rPr>
        <w:t>7</w:t>
      </w:r>
      <w:r>
        <w:t xml:space="preserve">Werden innerhalb der Wohnung der verurteilten Person über den Umstand ihrer Anwesenheit hinausgehende Aufenthaltsdaten erhoben, dürfen diese nicht verwertet werden und sind unverzüglich nach Kenntnisnahme zu löschen. </w:t>
      </w:r>
      <w:r>
        <w:rPr>
          <w:rStyle w:val="Satznummer"/>
        </w:rPr>
        <w:t>8</w:t>
      </w:r>
      <w:r>
        <w:t>Die Tatsache ihrer Kenntnisnahme und Löschung ist zu dokumentieren.</w:t>
      </w:r>
    </w:p>
    <w:p>
      <w:r>
        <w:t xml:space="preserve">(5) </w:t>
      </w:r>
      <w:r>
        <w:rPr>
          <w:rStyle w:val="Satznummer"/>
        </w:rPr>
        <w:t>1</w:t>
      </w:r>
      <w:r>
        <w:t xml:space="preserve">Örtlich zuständig ist die Aufsichtsstelle, in deren Bezirk der Verurteilte seinen Wohnsitz hat. </w:t>
      </w:r>
      <w:r>
        <w:rPr>
          <w:rStyle w:val="Satznummer"/>
        </w:rPr>
        <w:t>2</w:t>
      </w:r>
      <w:r>
        <w:t>Hat der Verurteilte keinen Wohnsitz im Geltungsbereich dieses Gesetzes, so ist die Aufsichtsstelle örtlich zuständig, in deren Bezirk er seinen gewöhnlichen Aufenthaltsort hat und, wenn ein solcher nicht bekannt ist, seinen letzten Wohnsitz oder gewöhnlichen Aufenthaltsort hatte.</w:t>
      </w:r>
    </w:p>
    <w:p>
      <w:pPr>
        <w:pStyle w:val="Heading3"/>
      </w:pPr>
      <w:bookmarkStart w:id="681" w:name="b680"/>
      <w:r>
        <w:t>§ 463b Beschlagnahme von Führerscheinen</w:t>
      </w:r>
      <w:r>
        <w:t xml:space="preserve"> </w:t>
      </w:r>
      <w:r>
        <w:rPr>
          <w:rStyle w:val="Suchmarke"/>
        </w:rPr>
        <w:t>#463b#</w:t>
      </w:r>
      <w:bookmarkEnd w:id="681"/>
    </w:p>
    <w:p>
      <w:r>
        <w:t>(1) Ist ein Führerschein nach § 44 Abs. 2 Satz 2 und 3 des Strafgesetzbuches amtlich zu verwahren und wird er nicht freiwillig herausgegeben, so ist er zu beschlagnahmen.</w:t>
      </w:r>
    </w:p>
    <w:p>
      <w:r>
        <w:t>(2) Ausländische Führerscheine können zur Eintragung eines Vermerks über das Fahrverbot oder über die Entziehung der Fahrerlaubnis und die Sperre (§ 44 Abs. 2 Satz 4, § 69b Absatz 2 Satz 2 des Strafgesetzbuches) beschlagnahmt werden.</w:t>
      </w:r>
    </w:p>
    <w:p>
      <w:r>
        <w:t xml:space="preserve">(3) </w:t>
      </w:r>
      <w:r>
        <w:rPr>
          <w:rStyle w:val="Satznummer"/>
        </w:rPr>
        <w:t>1</w:t>
      </w:r>
      <w:r>
        <w:t xml:space="preserve">Der Verurteilte hat, wenn der Führerschein bei ihm nicht vorgefunden wird, auf Antrag der Vollstreckungsbehörde bei dem Amtsgericht eine eidesstattliche Versicherung über den Verbleib abzugeben. </w:t>
      </w:r>
      <w:r>
        <w:rPr>
          <w:rStyle w:val="Satznummer"/>
        </w:rPr>
        <w:t>2</w:t>
      </w:r>
      <w:r>
        <w:t>§ 883 Abs. 2 und 3 der Zivilprozeßordnung gilt entsprechend.</w:t>
      </w:r>
    </w:p>
    <w:p>
      <w:pPr>
        <w:pStyle w:val="Heading3"/>
      </w:pPr>
      <w:bookmarkStart w:id="682" w:name="b681"/>
      <w:r>
        <w:t>§ 463c Öffentliche Bekanntmachung der Verurteilung</w:t>
      </w:r>
      <w:r>
        <w:t xml:space="preserve"> </w:t>
      </w:r>
      <w:r>
        <w:rPr>
          <w:rStyle w:val="Suchmarke"/>
        </w:rPr>
        <w:t>#463c#</w:t>
      </w:r>
      <w:bookmarkEnd w:id="682"/>
    </w:p>
    <w:p>
      <w:r>
        <w:t>(1) Ist die öffentliche Bekanntmachung der Verurteilung angeordnet worden, so wird die Entscheidung dem Berechtigten zugestellt.</w:t>
      </w:r>
    </w:p>
    <w:p>
      <w:r>
        <w:t>(2) Die Anordnung nach Absatz 1 wird nur vollzogen, wenn der Antragsteller oder ein an seiner Stelle Antragsberechtigter es innerhalb eines Monats nach Zustellung der rechtskräftigen Entscheidung verlangt.</w:t>
      </w:r>
    </w:p>
    <w:p>
      <w:r>
        <w:t xml:space="preserve">(3) </w:t>
      </w:r>
      <w:r>
        <w:rPr>
          <w:rStyle w:val="Satznummer"/>
        </w:rPr>
        <w:t>1</w:t>
      </w:r>
      <w:r>
        <w:t xml:space="preserve">Kommt der Verleger oder der verantwortliche Redakteur einer periodischen Druckschrift seiner Verpflichtung nicht nach, eine solche Bekanntmachung in das Druckwerk aufzunehmen, so hält ihn das Gericht auf Antrag der Vollstreckungsbehörde durch Festsetzung eines Zwangsgeldes bis zu fünfundzwanzigtausend Euro oder von Zwangshaft bis zu sechs Wochen dazu an. </w:t>
      </w:r>
      <w:r>
        <w:rPr>
          <w:rStyle w:val="Satznummer"/>
        </w:rPr>
        <w:t>2</w:t>
      </w:r>
      <w:r>
        <w:t xml:space="preserve">Zwangsgeld kann wiederholt festgesetzt werden. </w:t>
      </w:r>
      <w:r>
        <w:rPr>
          <w:rStyle w:val="Satznummer"/>
        </w:rPr>
        <w:t>3</w:t>
      </w:r>
      <w:hyperlink w:anchor="b676" w:history="1">
        <w:r>
          <w:rPr>
            <w:color w:val="0A3A8C"/>
            <w:u w:val="single"/>
          </w:rPr>
          <w:t xml:space="preserve">§ 462</w:t>
        </w:r>
      </w:hyperlink>
      <w:r>
        <w:t xml:space="preserve"> gilt entsprechend.</w:t>
      </w:r>
    </w:p>
    <w:p>
      <w:r>
        <w:t>(4) Für die Bekanntmachung im Rundfunk gilt Absatz 3 entsprechend, wenn der für die Programmgestaltung Verantwortliche seiner Verpflichtung nicht nachkommt.</w:t>
      </w:r>
    </w:p>
    <w:p>
      <w:pPr>
        <w:pStyle w:val="Heading3"/>
      </w:pPr>
      <w:bookmarkStart w:id="683" w:name="b682"/>
      <w:r>
        <w:t>§ 463d Gerichtshilfe</w:t>
      </w:r>
      <w:r>
        <w:t xml:space="preserve"> </w:t>
      </w:r>
      <w:r>
        <w:rPr>
          <w:rStyle w:val="Suchmarke"/>
        </w:rPr>
        <w:t>#463d#</w:t>
      </w:r>
      <w:bookmarkEnd w:id="683"/>
    </w:p>
    <w:p>
      <w:r>
        <w:rPr>
          <w:rStyle w:val="Satznummer"/>
        </w:rPr>
        <w:t>1</w:t>
      </w:r>
      <w:r>
        <w:t xml:space="preserve">Zur Vorbereitung der nach den </w:t>
      </w:r>
      <w:hyperlink w:anchor="b643" w:history="1">
        <w:r>
          <w:rPr>
            <w:color w:val="0A3A8C"/>
            <w:u w:val="single"/>
          </w:rPr>
          <w:t xml:space="preserve">§§ 453</w:t>
        </w:r>
      </w:hyperlink>
      <w:r>
        <w:t xml:space="preserve"> bis </w:t>
      </w:r>
      <w:hyperlink w:anchor="b675" w:history="1">
        <w:r>
          <w:rPr>
            <w:color w:val="0A3A8C"/>
            <w:u w:val="single"/>
          </w:rPr>
          <w:t xml:space="preserve">461</w:t>
        </w:r>
      </w:hyperlink>
      <w:r>
        <w:t xml:space="preserve"> zu treffenden Entscheidungen kann sich das Gericht oder die Vollstreckungsbehörde der Gerichtshilfe bedienen. </w:t>
      </w:r>
      <w:r>
        <w:rPr>
          <w:rStyle w:val="Satznummer"/>
        </w:rPr>
        <w:t>2</w:t>
      </w:r>
      <w:r>
        <w:t>Die Gerichtshilfe soll einbezogen werden vor einer Entscheidung</w:t>
      </w:r>
    </w:p>
    <w:p>
      <w:pPr>
        <w:tabs>
          <w:tab w:pos="567" w:val="left"/>
        </w:tabs>
        <w:ind w:left="567" w:hanging="567"/>
      </w:pPr>
      <w:r>
        <w:t>1.</w:t>
      </w:r>
      <w:r>
        <w:tab/>
      </w:r>
      <w:r>
        <w:t>über den Widerruf der Strafaussetzung oder der Aussetzung eines Strafrestes, sofern nicht ein Bewährungshelfer bestellt ist,</w:t>
      </w:r>
    </w:p>
    <w:p>
      <w:pPr>
        <w:tabs>
          <w:tab w:pos="567" w:val="left"/>
        </w:tabs>
        <w:ind w:left="567" w:hanging="567"/>
      </w:pPr>
      <w:r>
        <w:t>2.</w:t>
      </w:r>
      <w:r>
        <w:tab/>
      </w:r>
      <w:r>
        <w:t>über die Anordnung der Vollstreckung der Ersatzfreiheitsstrafe, um die Abwendung der Anordnung oder Vollstreckung durch Zahlungserleichterungen oder durch freie Arbeit zu fördern.</w:t>
      </w:r>
    </w:p>
    <w:p>
      <w:pPr>
        <w:pStyle w:val="Heading3"/>
      </w:pPr>
      <w:bookmarkStart w:id="684" w:name="b683"/>
      <w:r>
        <w:t>§ 463e Mündliche Anhörung im Wege der Bild- und Tonübertragung</w:t>
      </w:r>
      <w:r>
        <w:t xml:space="preserve"> </w:t>
      </w:r>
      <w:r>
        <w:rPr>
          <w:rStyle w:val="Suchmarke"/>
        </w:rPr>
        <w:t>#463e#</w:t>
      </w:r>
      <w:bookmarkEnd w:id="684"/>
    </w:p>
    <w:p>
      <w:r>
        <w:t xml:space="preserve">(1) </w:t>
      </w:r>
      <w:r>
        <w:rPr>
          <w:rStyle w:val="Satznummer"/>
        </w:rPr>
        <w:t>1</w:t>
      </w:r>
      <w:r>
        <w:t xml:space="preserve">Wird der Verurteilte vor einer nach diesem Abschnitt zu treffenden gerichtlichen Entscheidung mündlich gehört, kann das Gericht bestimmen, dass er sich bei der mündlichen Anhörung an einem anderen Ort als das Gericht aufhält und die Anhörung zeitgleich in Bild und Ton an den Ort, an dem sich der Verurteilte aufhält, und in das Sitzungszimmer übertragen wird. </w:t>
      </w:r>
      <w:r>
        <w:rPr>
          <w:rStyle w:val="Satznummer"/>
        </w:rPr>
        <w:t>2</w:t>
      </w:r>
      <w:r>
        <w:t xml:space="preserve">Das Gericht soll die Bild- und Tonübertragung nur mit der Maßgabe anordnen, dass sich der Verurteilte bei der mündlichen Anhörung in einem Dienstraum oder in einem Geschäftsraum eines Verteidigers oder Rechtsanwalts aufhält. </w:t>
      </w:r>
      <w:r>
        <w:rPr>
          <w:rStyle w:val="Satznummer"/>
        </w:rPr>
        <w:t>3</w:t>
      </w:r>
      <w:r>
        <w:t>Satz 1 gilt nicht, wenn der Verurteilte zu einer lebenslangen Freiheitsstrafe verurteilt oder die Unterbringung des Verurteilten in einem psychiatrischen Krankenhaus oder in der Sicherungsverwahrung angeordnet worden ist.</w:t>
      </w:r>
    </w:p>
    <w:p>
      <w:r>
        <w:t>(2) Wird der vom Gericht ernannte Sachverständige vor einer nach diesem Abschnitt zu treffenden gerichtlichen Entscheidung mündlich gehört, gilt Absatz 1 Satz 1 und 3 entsprechend.</w:t>
      </w:r>
    </w:p>
    <w:p>
      <w:pPr>
        <w:pStyle w:val="Heading2"/>
      </w:pPr>
      <w:bookmarkStart w:id="685" w:name="b684"/>
      <w:r>
        <w:t>Zweiter Abschnitt Kosten des Verfahrens</w:t>
      </w:r>
      <w:bookmarkEnd w:id="685"/>
    </w:p>
    <w:p>
      <w:pPr>
        <w:pStyle w:val="Heading3"/>
      </w:pPr>
      <w:bookmarkStart w:id="686" w:name="b685"/>
      <w:r>
        <w:t>§ 464 Kosten- und Auslagenentscheidung; sofortige Beschwerde</w:t>
      </w:r>
      <w:r>
        <w:t xml:space="preserve"> </w:t>
      </w:r>
      <w:r>
        <w:rPr>
          <w:rStyle w:val="Suchmarke"/>
        </w:rPr>
        <w:t>#464#</w:t>
      </w:r>
      <w:bookmarkEnd w:id="686"/>
    </w:p>
    <w:p>
      <w:r>
        <w:t>(1) Jedes Urteil, jeder Strafbefehl und jede eine Untersuchung einstellende Entscheidung muß darüber Bestimmung treffen, von wem die Kosten des Verfahrens zu tragen sind.</w:t>
      </w:r>
    </w:p>
    <w:p>
      <w:r>
        <w:t>(2) Die Entscheidung darüber, wer die notwendigen Auslagen trägt, trifft das Gericht in dem Urteil oder in dem Beschluß, der das Verfahren abschließt.</w:t>
      </w:r>
    </w:p>
    <w:p>
      <w:r>
        <w:t xml:space="preserve">(3) </w:t>
      </w:r>
      <w:r>
        <w:rPr>
          <w:rStyle w:val="Satznummer"/>
        </w:rPr>
        <w:t>1</w:t>
      </w:r>
      <w:r>
        <w:t xml:space="preserve">Gegen die Entscheidung über die Kosten und die notwendigen Auslagen ist sofortige Beschwerde zulässig; sie ist unzulässig, wenn eine Anfechtung der in Absatz 1 genannten Hauptentscheidung durch den Beschwerdeführer nicht statthaft ist. </w:t>
      </w:r>
      <w:r>
        <w:rPr>
          <w:rStyle w:val="Satznummer"/>
        </w:rPr>
        <w:t>2</w:t>
      </w:r>
      <w:r>
        <w:t xml:space="preserve">Das Beschwerdegericht ist an die tatsächlichen Feststellungen, auf denen die Entscheidung beruht, gebunden. </w:t>
      </w:r>
      <w:r>
        <w:rPr>
          <w:rStyle w:val="Satznummer"/>
        </w:rPr>
        <w:t>3</w:t>
      </w:r>
      <w:r>
        <w:t>Wird gegen das Urteil, soweit es die Entscheidung über die Kosten und die notwendigen Auslagen betrifft, sofortige Beschwerde und im übrigen Berufung oder Revision eingelegt, so ist das Berufungs- oder Revisionsgericht, solange es mit der Berufung oder Revision befaßt ist, auch für die Entscheidung über die sofortige Beschwerde zuständig.</w:t>
      </w:r>
    </w:p>
    <w:p>
      <w:pPr>
        <w:pStyle w:val="Heading3"/>
      </w:pPr>
      <w:bookmarkStart w:id="687" w:name="b686"/>
      <w:r>
        <w:t>§ 464a Kosten des Verfahrens; notwendige Auslagen</w:t>
      </w:r>
      <w:r>
        <w:t xml:space="preserve"> </w:t>
      </w:r>
      <w:r>
        <w:rPr>
          <w:rStyle w:val="Suchmarke"/>
        </w:rPr>
        <w:t>#464a#</w:t>
      </w:r>
      <w:bookmarkEnd w:id="687"/>
    </w:p>
    <w:p>
      <w:r>
        <w:t xml:space="preserve">(1) </w:t>
      </w:r>
      <w:r>
        <w:rPr>
          <w:rStyle w:val="Satznummer"/>
        </w:rPr>
        <w:t>1</w:t>
      </w:r>
      <w:r>
        <w:t xml:space="preserve">Kosten des Verfahrens sind die Gebühren und Auslagen der Staatskasse. </w:t>
      </w:r>
      <w:r>
        <w:rPr>
          <w:rStyle w:val="Satznummer"/>
        </w:rPr>
        <w:t>2</w:t>
      </w:r>
      <w:r>
        <w:t xml:space="preserve">Zu den Kosten gehören auch die durch die Vorbereitung der öffentlichen Klage entstandenen sowie die Kosten der Vollstreckung einer Rechtsfolge der Tat. </w:t>
      </w:r>
      <w:r>
        <w:rPr>
          <w:rStyle w:val="Satznummer"/>
        </w:rPr>
        <w:t>3</w:t>
      </w:r>
      <w:r>
        <w:t>Zu den Kosten eines Antrags auf Wiederaufnahme des durch ein rechtskräftiges Urteil abgeschlossenen Verfahrens gehören auch die zur Vorbereitung eines Wiederaufnahmeverfahrens (</w:t>
      </w:r>
      <w:hyperlink w:anchor="b524" w:history="1">
        <w:r>
          <w:rPr>
            <w:color w:val="0A3A8C"/>
            <w:u w:val="single"/>
          </w:rPr>
          <w:t xml:space="preserve">§§ 364a</w:t>
        </w:r>
      </w:hyperlink>
      <w:r>
        <w:t xml:space="preserve"> und </w:t>
      </w:r>
      <w:hyperlink w:anchor="b525" w:history="1">
        <w:r>
          <w:rPr>
            <w:color w:val="0A3A8C"/>
            <w:u w:val="single"/>
          </w:rPr>
          <w:t xml:space="preserve">364b</w:t>
        </w:r>
      </w:hyperlink>
      <w:r>
        <w:t>) entstandenen Kosten, soweit sie durch einen Antrag des Verurteilten verursacht sind.</w:t>
      </w:r>
    </w:p>
    <w:p>
      <w:r>
        <w:t>(2) Zu den notwendigen Auslagen eines Beteiligten gehören auch</w:t>
      </w:r>
    </w:p>
    <w:p>
      <w:pPr>
        <w:tabs>
          <w:tab w:pos="567" w:val="left"/>
        </w:tabs>
        <w:ind w:left="567" w:hanging="567"/>
      </w:pPr>
      <w:r>
        <w:t>1.</w:t>
      </w:r>
      <w:r>
        <w:tab/>
      </w:r>
      <w:r>
        <w:t>die Entschädigung für eine notwendige Zeitversäumnis nach den Vorschriften, die für die Entschädigung von Zeugen gelten, und</w:t>
      </w:r>
    </w:p>
    <w:p>
      <w:pPr>
        <w:tabs>
          <w:tab w:pos="567" w:val="left"/>
        </w:tabs>
        <w:ind w:left="567" w:hanging="567"/>
      </w:pPr>
      <w:r>
        <w:t>2.</w:t>
      </w:r>
      <w:r>
        <w:tab/>
      </w:r>
      <w:r>
        <w:t>die Gebühren und Auslagen eines Rechtsanwalts, soweit sie nach § 91 Abs. 2 der Zivilprozeßordnung zu erstatten sind.</w:t>
      </w:r>
    </w:p>
    <w:p>
      <w:pPr>
        <w:pStyle w:val="Heading3"/>
      </w:pPr>
      <w:bookmarkStart w:id="688" w:name="b687"/>
      <w:r>
        <w:t>§ 464b Kostenfestsetzung</w:t>
      </w:r>
      <w:r>
        <w:t xml:space="preserve"> </w:t>
      </w:r>
      <w:r>
        <w:rPr>
          <w:rStyle w:val="Suchmarke"/>
        </w:rPr>
        <w:t>#464b#</w:t>
      </w:r>
      <w:bookmarkEnd w:id="688"/>
    </w:p>
    <w:p>
      <w:r>
        <w:rPr>
          <w:rStyle w:val="Satznummer"/>
        </w:rPr>
        <w:t>1</w:t>
      </w:r>
      <w:r>
        <w:t xml:space="preserve">Die Höhe der Kosten und Auslagen, die ein Beteiligter einem anderen Beteiligten zu erstatten hat, wird auf Antrag eines Beteiligten durch das Gericht des ersten Rechtszuges festgesetzt. </w:t>
      </w:r>
      <w:r>
        <w:rPr>
          <w:rStyle w:val="Satznummer"/>
        </w:rPr>
        <w:t>2</w:t>
      </w:r>
      <w:r>
        <w:t xml:space="preserve">Auf Antrag ist auszusprechen, dass die festgesetzten Kosten und Auslagen von der Anbringung des Festsetzungsantrags an zu verzinsen sind. </w:t>
      </w:r>
      <w:r>
        <w:rPr>
          <w:rStyle w:val="Satznummer"/>
        </w:rPr>
        <w:t>3</w:t>
      </w:r>
      <w:r>
        <w:t xml:space="preserve">Auf die Höhe des Zinssatzes, das Verfahren und auf die Vollstreckung der Entscheidung sind die Vorschriften der Zivilprozessordnung entsprechend anzuwenden. </w:t>
      </w:r>
      <w:r>
        <w:rPr>
          <w:rStyle w:val="Satznummer"/>
        </w:rPr>
        <w:t>4</w:t>
      </w:r>
      <w:r>
        <w:t xml:space="preserve">Abweichend von </w:t>
      </w:r>
      <w:hyperlink w:anchor="b463" w:history="1">
        <w:r>
          <w:rPr>
            <w:color w:val="0A3A8C"/>
            <w:u w:val="single"/>
          </w:rPr>
          <w:t xml:space="preserve">§ 311</w:t>
        </w:r>
      </w:hyperlink>
      <w:r>
        <w:t xml:space="preserve"> Absatz 2 beträgt die Frist zur Einlegung der sofortigen Beschwerde zwei Wochen. </w:t>
      </w:r>
      <w:r>
        <w:rPr>
          <w:rStyle w:val="Satznummer"/>
        </w:rPr>
        <w:t>5</w:t>
      </w:r>
      <w:r>
        <w:t>Zur Bezeichnung des Nebenklägers kann im Kostenfestsetzungsbeschluss die Angabe der vollständigen Anschrift unterbleiben.</w:t>
      </w:r>
    </w:p>
    <w:p>
      <w:pPr>
        <w:pStyle w:val="Heading3"/>
      </w:pPr>
      <w:bookmarkStart w:id="689" w:name="b688"/>
      <w:r>
        <w:t>§ 464c Kosten bei Bestellung eines Dolmetschers oder Übersetzers für den Angeschuldigten</w:t>
      </w:r>
      <w:r>
        <w:t xml:space="preserve"> </w:t>
      </w:r>
      <w:r>
        <w:rPr>
          <w:rStyle w:val="Suchmarke"/>
        </w:rPr>
        <w:t>#464c#</w:t>
      </w:r>
      <w:bookmarkEnd w:id="689"/>
    </w:p>
    <w:p>
      <w:r>
        <w:t xml:space="preserve">Ist für einen Angeschuldigten, der der deutschen Sprache nicht mächtig, hör- oder sprachbehindert ist, ein Dolmetscher oder Übersetzer herangezogen worden, so werden die dadurch entstandenen Auslagen dem Angeschuldigten auferlegt, soweit er diese durch schuldhafte Säumnis oder in sonstiger Weise schuldhaft unnötig verursacht hat; dies ist außer im Falle des </w:t>
      </w:r>
      <w:hyperlink w:anchor="b692" w:history="1">
        <w:r>
          <w:rPr>
            <w:color w:val="0A3A8C"/>
            <w:u w:val="single"/>
          </w:rPr>
          <w:t xml:space="preserve">§ 467</w:t>
        </w:r>
      </w:hyperlink>
      <w:r>
        <w:t xml:space="preserve"> Abs. 2 ausdrücklich auszusprechen.</w:t>
      </w:r>
    </w:p>
    <w:p>
      <w:pPr>
        <w:pStyle w:val="Heading3"/>
      </w:pPr>
      <w:bookmarkStart w:id="690" w:name="b689"/>
      <w:r>
        <w:t>§ 464d Verteilung der Auslagen nach Bruchteilen</w:t>
      </w:r>
      <w:r>
        <w:t xml:space="preserve"> </w:t>
      </w:r>
      <w:r>
        <w:rPr>
          <w:rStyle w:val="Suchmarke"/>
        </w:rPr>
        <w:t>#464d#</w:t>
      </w:r>
      <w:bookmarkEnd w:id="690"/>
    </w:p>
    <w:p>
      <w:r>
        <w:t>Die Auslagen der Staatskasse und die notwendigen Auslagen der Beteiligten können nach Bruchteilen verteilt werden.</w:t>
      </w:r>
    </w:p>
    <w:p>
      <w:pPr>
        <w:pStyle w:val="Heading3"/>
      </w:pPr>
      <w:bookmarkStart w:id="691" w:name="b690"/>
      <w:r>
        <w:t>§ 465 Kostentragungspflicht des Verurteilten</w:t>
      </w:r>
      <w:r>
        <w:t xml:space="preserve"> </w:t>
      </w:r>
      <w:r>
        <w:rPr>
          <w:rStyle w:val="Suchmarke"/>
        </w:rPr>
        <w:t>#465#</w:t>
      </w:r>
      <w:bookmarkEnd w:id="691"/>
    </w:p>
    <w:p>
      <w:r>
        <w:t xml:space="preserve">(1) </w:t>
      </w:r>
      <w:r>
        <w:rPr>
          <w:rStyle w:val="Satznummer"/>
        </w:rPr>
        <w:t>1</w:t>
      </w:r>
      <w:r>
        <w:t xml:space="preserve">Die Kosten des Verfahrens hat der Angeklagte insoweit zu tragen, als sie durch das Verfahren wegen einer Tat entstanden sind, wegen derer er verurteilt oder eine Maßregel der Besserung und Sicherung gegen ihn angeordnet wird. </w:t>
      </w:r>
      <w:r>
        <w:rPr>
          <w:rStyle w:val="Satznummer"/>
        </w:rPr>
        <w:t>2</w:t>
      </w:r>
      <w:r>
        <w:t>Eine Verurteilung im Sinne dieser Vorschrift liegt auch dann vor, wenn der Angeklagte mit Strafvorbehalt verwarnt wird oder das Gericht von Strafe absieht.</w:t>
      </w:r>
    </w:p>
    <w:p>
      <w:r>
        <w:t xml:space="preserve">(2) </w:t>
      </w:r>
      <w:r>
        <w:rPr>
          <w:rStyle w:val="Satznummer"/>
        </w:rPr>
        <w:t>1</w:t>
      </w:r>
      <w:r>
        <w:t xml:space="preserve">Sind durch Untersuchungen zur Aufklärung bestimmter belastender oder entlastender Umstände besondere Auslagen entstanden und sind diese Untersuchungen zugunsten des Angeklagten ausgegangen, so hat das Gericht die entstandenen Auslagen teilweise oder auch ganz der Staatskasse aufzuerlegen, wenn es unbillig wäre, den Angeklagten damit zu belasten. </w:t>
      </w:r>
      <w:r>
        <w:rPr>
          <w:rStyle w:val="Satznummer"/>
        </w:rPr>
        <w:t>2</w:t>
      </w:r>
      <w:r>
        <w:t xml:space="preserve">Dies gilt namentlich dann, wenn der Angeklagte wegen einzelner abtrennbarer Teile einer Tat oder wegen einzelner von mehreren Gesetzesverletzungen nicht verurteilt wird. </w:t>
      </w:r>
      <w:r>
        <w:rPr>
          <w:rStyle w:val="Satznummer"/>
        </w:rPr>
        <w:t>3</w:t>
      </w:r>
      <w:r>
        <w:t xml:space="preserve">Die Sätze 1 und 2 gelten entsprechend für die notwendigen Auslagen des Angeklagten. </w:t>
      </w:r>
      <w:r>
        <w:rPr>
          <w:rStyle w:val="Satznummer"/>
        </w:rPr>
        <w:t>4</w:t>
      </w:r>
      <w:r>
        <w:t>Das Gericht kann anordnen, dass die Erhöhung der Gerichtsgebühren im Falle der Beiordnung eines psychosozialen Prozessbegleiters ganz oder teilweise unterbleibt, wenn es unbillig wäre, den Angeklagten damit zu belasten.</w:t>
      </w:r>
    </w:p>
    <w:p>
      <w:r>
        <w:t>(3) Stirbt ein Verurteilter vor eingetretener Rechtskraft des Urteils, so haftet sein Nachlaß nicht für die Kosten.</w:t>
      </w:r>
    </w:p>
    <w:p>
      <w:pPr>
        <w:pStyle w:val="Heading3"/>
      </w:pPr>
      <w:bookmarkStart w:id="692" w:name="b691"/>
      <w:r>
        <w:t>§ 466 Haftung Mitverurteilter für Auslagen als Gesamtschuldner</w:t>
      </w:r>
      <w:r>
        <w:t xml:space="preserve"> </w:t>
      </w:r>
      <w:r>
        <w:rPr>
          <w:rStyle w:val="Suchmarke"/>
        </w:rPr>
        <w:t>#466#</w:t>
      </w:r>
      <w:bookmarkEnd w:id="692"/>
    </w:p>
    <w:p>
      <w:r>
        <w:rPr>
          <w:rStyle w:val="Satznummer"/>
        </w:rPr>
        <w:t>1</w:t>
      </w:r>
      <w:r>
        <w:t xml:space="preserve">Mitangeklagte, gegen die in bezug auf dieselbe Tat auf Strafe erkannt oder eine Maßregel der Besserung und Sicherung angeordnet wird, haften für die Auslagen als Gesamtschuldner. </w:t>
      </w:r>
      <w:r>
        <w:rPr>
          <w:rStyle w:val="Satznummer"/>
        </w:rPr>
        <w:t>2</w:t>
      </w:r>
      <w:r>
        <w:t>Dies gilt nicht für die durch die Tätigkeit eines bestellten Verteidigers oder eines Dolmetschers und die durch die Vollstreckung, die einstweilige Unterbringung oder die Untersuchungshaft entstandenen Kosten sowie für Auslagen, die durch Untersuchungshandlungen, die ausschließlich gegen einen Mitangeklagten gerichtet waren, entstanden sind.</w:t>
      </w:r>
    </w:p>
    <w:p>
      <w:pPr>
        <w:pStyle w:val="Heading3"/>
      </w:pPr>
      <w:bookmarkStart w:id="693" w:name="b692"/>
      <w:r>
        <w:t>§ 467 Kosten und notwendige Auslagen bei Freispruch, Nichteröffnung und Einstellung</w:t>
      </w:r>
      <w:r>
        <w:t xml:space="preserve"> </w:t>
      </w:r>
      <w:r>
        <w:rPr>
          <w:rStyle w:val="Suchmarke"/>
        </w:rPr>
        <w:t>#467#</w:t>
      </w:r>
      <w:bookmarkEnd w:id="693"/>
    </w:p>
    <w:p>
      <w:r>
        <w:t>(1) Soweit der Angeschuldigte freigesprochen, die Eröffnung des Hauptverfahrens gegen ihn abgelehnt oder das Verfahren gegen ihn eingestellt wird, fallen die Auslagen der Staatskasse und die notwendigen Auslagen des Angeschuldigten der Staatskasse zur Last.</w:t>
      </w:r>
    </w:p>
    <w:p>
      <w:r>
        <w:t xml:space="preserve">(2) </w:t>
      </w:r>
      <w:r>
        <w:rPr>
          <w:rStyle w:val="Satznummer"/>
        </w:rPr>
        <w:t>1</w:t>
      </w:r>
      <w:r>
        <w:t xml:space="preserve">Die Kosten des Verfahrens, die der Angeschuldigte durch eine schuldhafte Säumnis verursacht hat, werden ihm auferlegt. </w:t>
      </w:r>
      <w:r>
        <w:rPr>
          <w:rStyle w:val="Satznummer"/>
        </w:rPr>
        <w:t>2</w:t>
      </w:r>
      <w:r>
        <w:t>Die ihm insoweit entstandenen Auslagen werden der Staatskasse nicht auferlegt.</w:t>
      </w:r>
    </w:p>
    <w:p>
      <w:r>
        <w:t xml:space="preserve">(3) </w:t>
      </w:r>
      <w:r>
        <w:rPr>
          <w:rStyle w:val="Satznummer"/>
        </w:rPr>
        <w:t>1</w:t>
      </w:r>
      <w:r>
        <w:t xml:space="preserve">Die notwendigen Auslagen des Angeschuldigten werden der Staatskasse nicht auferlegt, wenn der Angeschuldigte die Erhebung der öffentlichen Klage dadurch veranlaßt hat, daß er in einer Selbstanzeige vorgetäuscht hat, die ihm zur Last gelegte Tat begangen zu haben. </w:t>
      </w:r>
      <w:r>
        <w:rPr>
          <w:rStyle w:val="Satznummer"/>
        </w:rPr>
        <w:t>2</w:t>
      </w:r>
      <w:r>
        <w:t>Das Gericht kann davon absehen, die notwendigen Auslagen des Angeschuldigten der Staatskasse aufzuerlegen, wenn er</w:t>
      </w:r>
    </w:p>
    <w:p>
      <w:pPr>
        <w:tabs>
          <w:tab w:pos="567" w:val="left"/>
        </w:tabs>
        <w:ind w:left="567" w:hanging="567"/>
      </w:pPr>
      <w:r>
        <w:t>1.</w:t>
      </w:r>
      <w:r>
        <w:tab/>
      </w:r>
      <w:r>
        <w:t>die Erhebung der öffentlichen Klage dadurch veranlaßt hat, daß er sich selbst in wesentlichen Punkten wahrheitswidrig oder im Widerspruch zu seinen späteren Erklärungen belastet oder wesentliche entlastende Umstände verschwiegen hat, obwohl er sich zur Beschuldigung geäußert hat, oder</w:t>
      </w:r>
    </w:p>
    <w:p>
      <w:pPr>
        <w:tabs>
          <w:tab w:pos="567" w:val="left"/>
        </w:tabs>
        <w:ind w:left="567" w:hanging="567"/>
      </w:pPr>
      <w:r>
        <w:t>2.</w:t>
      </w:r>
      <w:r>
        <w:tab/>
      </w:r>
      <w:r>
        <w:t>wegen einer Straftat nur deshalb nicht verurteilt wird, weil ein Verfahrenshindernis besteht.</w:t>
      </w:r>
    </w:p>
    <w:p>
      <w:r>
        <w:t>(4) Stellt das Gericht das Verfahren nach einer Vorschrift ein, die dies nach seinem Ermessen zuläßt, so kann es davon absehen, die notwendigen Auslagen des Angeschuldigten der Staatskasse aufzuerlegen.</w:t>
      </w:r>
    </w:p>
    <w:p>
      <w:r>
        <w:t>(5) Die notwendigen Auslagen des Angeschuldigten werden der Staatskasse nicht auferlegt, wenn das Verfahren nach vorangegangener vorläufiger Einstellung (</w:t>
      </w:r>
      <w:hyperlink w:anchor="b268" w:history="1">
        <w:r>
          <w:rPr>
            <w:color w:val="0A3A8C"/>
            <w:u w:val="single"/>
          </w:rPr>
          <w:t xml:space="preserve">§ 153a</w:t>
        </w:r>
      </w:hyperlink>
      <w:r>
        <w:t>) endgültig eingestellt wird.</w:t>
      </w:r>
    </w:p>
    <w:p>
      <w:pPr>
        <w:pStyle w:val="Heading3"/>
      </w:pPr>
      <w:bookmarkStart w:id="694" w:name="b693"/>
      <w:r>
        <w:t>§ 467a Auslagen der Staatskasse bei Einstellung nach Anklagerücknahme</w:t>
      </w:r>
      <w:r>
        <w:t xml:space="preserve"> </w:t>
      </w:r>
      <w:r>
        <w:rPr>
          <w:rStyle w:val="Suchmarke"/>
        </w:rPr>
        <w:t>#467a#</w:t>
      </w:r>
      <w:bookmarkEnd w:id="694"/>
    </w:p>
    <w:p>
      <w:r>
        <w:t xml:space="preserve">(1) </w:t>
      </w:r>
      <w:r>
        <w:rPr>
          <w:rStyle w:val="Satznummer"/>
        </w:rPr>
        <w:t>1</w:t>
      </w:r>
      <w:r>
        <w:t xml:space="preserve">Nimmt die Staatsanwaltschaft die öffentliche Klage zurück und stellt sie das Verfahren ein, so hat das Gericht, bei dem die öffentliche Klage erhoben war, auf Antrag der Staatsanwaltschaft oder des Angeschuldigten die diesem erwachsenen notwendigen Auslagen der Staatskasse aufzuerlegen. </w:t>
      </w:r>
      <w:r>
        <w:rPr>
          <w:rStyle w:val="Satznummer"/>
        </w:rPr>
        <w:t>2</w:t>
      </w:r>
      <w:hyperlink w:anchor="b692" w:history="1">
        <w:r>
          <w:rPr>
            <w:color w:val="0A3A8C"/>
            <w:u w:val="single"/>
          </w:rPr>
          <w:t xml:space="preserve">§ 467</w:t>
        </w:r>
      </w:hyperlink>
      <w:r>
        <w:t xml:space="preserve"> Abs. 2 bis 5 gilt sinngemäß.</w:t>
      </w:r>
    </w:p>
    <w:p>
      <w:r>
        <w:t>(2) Die einem Nebenbeteiligten (</w:t>
      </w:r>
      <w:hyperlink w:anchor="b615" w:history="1">
        <w:r>
          <w:rPr>
            <w:color w:val="0A3A8C"/>
            <w:u w:val="single"/>
          </w:rPr>
          <w:t xml:space="preserve">§ 424</w:t>
        </w:r>
      </w:hyperlink>
      <w:r>
        <w:t xml:space="preserve"> Absatz 1, </w:t>
      </w:r>
      <w:hyperlink w:anchor="b629" w:history="1">
        <w:r>
          <w:rPr>
            <w:color w:val="0A3A8C"/>
            <w:u w:val="single"/>
          </w:rPr>
          <w:t xml:space="preserve">§ 438</w:t>
        </w:r>
      </w:hyperlink>
      <w:r>
        <w:t xml:space="preserve"> Absatz 1, </w:t>
      </w:r>
      <w:hyperlink w:anchor="b630" w:history="1">
        <w:r>
          <w:rPr>
            <w:color w:val="0A3A8C"/>
            <w:u w:val="single"/>
          </w:rPr>
          <w:t xml:space="preserve">§§ 439</w:t>
        </w:r>
      </w:hyperlink>
      <w:r>
        <w:t xml:space="preserve">, </w:t>
      </w:r>
      <w:hyperlink w:anchor="b634" w:history="1">
        <w:r>
          <w:rPr>
            <w:color w:val="0A3A8C"/>
            <w:u w:val="single"/>
          </w:rPr>
          <w:t xml:space="preserve">444</w:t>
        </w:r>
      </w:hyperlink>
      <w:r>
        <w:t xml:space="preserve"> Abs. 1 Satz 1) erwachsenen notwendigen Auslagen kann das Gericht in den Fällen des Absatzes 1 Satz 1 auf Antrag der Staatsanwaltschaft oder des Nebenbeteiligten der Staatskasse oder einem anderen Beteiligten auferlegen.</w:t>
      </w:r>
    </w:p>
    <w:p>
      <w:r>
        <w:t>(3) Die Entscheidung nach den Absätzen 1 und 2 ist unanfechtbar.</w:t>
      </w:r>
    </w:p>
    <w:p>
      <w:pPr>
        <w:pStyle w:val="Heading3"/>
      </w:pPr>
      <w:bookmarkStart w:id="695" w:name="b694"/>
      <w:r>
        <w:t>§ 468 Kosten bei Straffreierklärung</w:t>
      </w:r>
      <w:r>
        <w:t xml:space="preserve"> </w:t>
      </w:r>
      <w:r>
        <w:rPr>
          <w:rStyle w:val="Suchmarke"/>
        </w:rPr>
        <w:t>#468#</w:t>
      </w:r>
      <w:bookmarkEnd w:id="695"/>
    </w:p>
    <w:p>
      <w:r>
        <w:t>Bei wechselseitigen Beleidigungen wird die Verurteilung eines oder beider Teile in die Kosten dadurch nicht ausgeschlossen, daß einer oder beide für straffrei erklärt werden.</w:t>
      </w:r>
    </w:p>
    <w:p>
      <w:pPr>
        <w:pStyle w:val="Heading3"/>
      </w:pPr>
      <w:bookmarkStart w:id="696" w:name="b695"/>
      <w:r>
        <w:t>§ 469 Kostentragungspflicht des Anzeigenden bei leichtfertiger oder vorsätzlicher Erstattung einer unwahren Anzeige</w:t>
      </w:r>
      <w:r>
        <w:t xml:space="preserve"> </w:t>
      </w:r>
      <w:r>
        <w:rPr>
          <w:rStyle w:val="Suchmarke"/>
        </w:rPr>
        <w:t>#469#</w:t>
      </w:r>
      <w:bookmarkEnd w:id="696"/>
    </w:p>
    <w:p>
      <w:r>
        <w:t xml:space="preserve">(1) </w:t>
      </w:r>
      <w:r>
        <w:rPr>
          <w:rStyle w:val="Satznummer"/>
        </w:rPr>
        <w:t>1</w:t>
      </w:r>
      <w:r>
        <w:t xml:space="preserve">Ist ein, wenn auch nur außergerichtliches Verfahren durch eine vorsätzlich oder leichtfertig erstattete unwahre Anzeige veranlaßt worden, so hat das Gericht dem Anzeigenden, nachdem er gehört worden ist, die Kosten des Verfahrens und die dem Beschuldigten erwachsenen notwendigen Auslagen aufzuerlegen. </w:t>
      </w:r>
      <w:r>
        <w:rPr>
          <w:rStyle w:val="Satznummer"/>
        </w:rPr>
        <w:t>2</w:t>
      </w:r>
      <w:r>
        <w:t>Die einem Nebenbeteiligten (</w:t>
      </w:r>
      <w:hyperlink w:anchor="b615" w:history="1">
        <w:r>
          <w:rPr>
            <w:color w:val="0A3A8C"/>
            <w:u w:val="single"/>
          </w:rPr>
          <w:t xml:space="preserve">§ 424</w:t>
        </w:r>
      </w:hyperlink>
      <w:r>
        <w:t xml:space="preserve"> Absatz 1, </w:t>
      </w:r>
      <w:hyperlink w:anchor="b629" w:history="1">
        <w:r>
          <w:rPr>
            <w:color w:val="0A3A8C"/>
            <w:u w:val="single"/>
          </w:rPr>
          <w:t xml:space="preserve">§ 438</w:t>
        </w:r>
      </w:hyperlink>
      <w:r>
        <w:t xml:space="preserve"> Absatz 1, </w:t>
      </w:r>
      <w:hyperlink w:anchor="b630" w:history="1">
        <w:r>
          <w:rPr>
            <w:color w:val="0A3A8C"/>
            <w:u w:val="single"/>
          </w:rPr>
          <w:t xml:space="preserve">§§ 439</w:t>
        </w:r>
      </w:hyperlink>
      <w:r>
        <w:t xml:space="preserve">, </w:t>
      </w:r>
      <w:hyperlink w:anchor="b634" w:history="1">
        <w:r>
          <w:rPr>
            <w:color w:val="0A3A8C"/>
            <w:u w:val="single"/>
          </w:rPr>
          <w:t xml:space="preserve">444</w:t>
        </w:r>
      </w:hyperlink>
      <w:r>
        <w:t xml:space="preserve"> Abs. 1 Satz 1) erwachsenen notwendigen Auslagen kann das Gericht dem Anzeigenden auferlegen.</w:t>
      </w:r>
    </w:p>
    <w:p>
      <w:r>
        <w:t>(2) War noch kein Gericht mit der Sache befaßt, so ergeht die Entscheidung auf Antrag der Staatsanwaltschaft durch das Gericht, das für die Eröffnung des Hauptverfahrens zuständig gewesen wäre.</w:t>
      </w:r>
    </w:p>
    <w:p>
      <w:r>
        <w:t>(3) Die Entscheidung nach den Absätzen 1 und 2 ist unanfechtbar.</w:t>
      </w:r>
    </w:p>
    <w:p>
      <w:pPr>
        <w:pStyle w:val="Heading3"/>
      </w:pPr>
      <w:bookmarkStart w:id="697" w:name="b696"/>
      <w:r>
        <w:t>§ 470 Kosten bei Zurücknahme des Strafantrags</w:t>
      </w:r>
      <w:r>
        <w:t xml:space="preserve"> </w:t>
      </w:r>
      <w:r>
        <w:rPr>
          <w:rStyle w:val="Suchmarke"/>
        </w:rPr>
        <w:t>#470#</w:t>
      </w:r>
      <w:bookmarkEnd w:id="697"/>
    </w:p>
    <w:p>
      <w:r>
        <w:rPr>
          <w:rStyle w:val="Satznummer"/>
        </w:rPr>
        <w:t>1</w:t>
      </w:r>
      <w:r>
        <w:t>Wird das Verfahren wegen Zurücknahme des Antrags, durch den es bedingt war, eingestellt, so hat der Antragsteller die Kosten sowie die dem Beschuldigten und einem Nebenbeteiligten (</w:t>
      </w:r>
      <w:hyperlink w:anchor="b615" w:history="1">
        <w:r>
          <w:rPr>
            <w:color w:val="0A3A8C"/>
            <w:u w:val="single"/>
          </w:rPr>
          <w:t xml:space="preserve">§ 424</w:t>
        </w:r>
      </w:hyperlink>
      <w:r>
        <w:t xml:space="preserve"> Absatz 1, </w:t>
      </w:r>
      <w:hyperlink w:anchor="b629" w:history="1">
        <w:r>
          <w:rPr>
            <w:color w:val="0A3A8C"/>
            <w:u w:val="single"/>
          </w:rPr>
          <w:t xml:space="preserve">§ 438</w:t>
        </w:r>
      </w:hyperlink>
      <w:r>
        <w:t xml:space="preserve"> Absatz 1, </w:t>
      </w:r>
      <w:hyperlink w:anchor="b630" w:history="1">
        <w:r>
          <w:rPr>
            <w:color w:val="0A3A8C"/>
            <w:u w:val="single"/>
          </w:rPr>
          <w:t xml:space="preserve">§§ 439</w:t>
        </w:r>
      </w:hyperlink>
      <w:r>
        <w:t xml:space="preserve">, </w:t>
      </w:r>
      <w:hyperlink w:anchor="b634" w:history="1">
        <w:r>
          <w:rPr>
            <w:color w:val="0A3A8C"/>
            <w:u w:val="single"/>
          </w:rPr>
          <w:t xml:space="preserve">444</w:t>
        </w:r>
      </w:hyperlink>
      <w:r>
        <w:t xml:space="preserve"> Abs. 1 Satz 1) erwachsenen notwendigen Auslagen zu tragen. </w:t>
      </w:r>
      <w:r>
        <w:rPr>
          <w:rStyle w:val="Satznummer"/>
        </w:rPr>
        <w:t>2</w:t>
      </w:r>
      <w:r>
        <w:t>Sie können dem Angeklagten oder einem Nebenbeteiligten auferlegt werden, soweit er sich zur Übernahme bereit erklärt, der Staatskasse, soweit es unbillig wäre, die Beteiligten damit zu belasten.</w:t>
      </w:r>
    </w:p>
    <w:p>
      <w:pPr>
        <w:pStyle w:val="Heading3"/>
      </w:pPr>
      <w:bookmarkStart w:id="698" w:name="b697"/>
      <w:r>
        <w:t>§ 471 Kosten bei Privatklage</w:t>
      </w:r>
      <w:r>
        <w:t xml:space="preserve"> </w:t>
      </w:r>
      <w:r>
        <w:rPr>
          <w:rStyle w:val="Suchmarke"/>
        </w:rPr>
        <w:t>#471#</w:t>
      </w:r>
      <w:bookmarkEnd w:id="698"/>
    </w:p>
    <w:p>
      <w:r>
        <w:t>(1) In einem Verfahren auf erhobene Privatklage hat der Verurteilte auch die dem Privatkläger erwachsenen notwendigen Auslagen zu erstatten.</w:t>
      </w:r>
    </w:p>
    <w:p>
      <w:r>
        <w:t>(2) Wird die Klage gegen den Beschuldigten zurückgewiesen oder wird dieser freigesprochen oder wird das Verfahren eingestellt, so fallen dem Privatkläger die Kosten des Verfahrens sowie die dem Beschuldigten erwachsenen notwendigen Auslagen zur Last.</w:t>
      </w:r>
    </w:p>
    <w:p>
      <w:r>
        <w:t>(3) Das Gericht kann die Kosten des Verfahrens und die notwendigen Auslagen der Beteiligten angemessen verteilen oder nach pflichtgemäßem Ermessen einem der Beteiligten auferlegen, wenn</w:t>
      </w:r>
    </w:p>
    <w:p>
      <w:pPr>
        <w:tabs>
          <w:tab w:pos="567" w:val="left"/>
        </w:tabs>
        <w:ind w:left="567" w:hanging="567"/>
      </w:pPr>
      <w:r>
        <w:t>1.</w:t>
      </w:r>
      <w:r>
        <w:tab/>
      </w:r>
      <w:r>
        <w:t>es den Anträgen des Privatklägers nur zum Teil entsprochen hat;</w:t>
      </w:r>
    </w:p>
    <w:p>
      <w:pPr>
        <w:tabs>
          <w:tab w:pos="567" w:val="left"/>
        </w:tabs>
        <w:ind w:left="567" w:hanging="567"/>
      </w:pPr>
      <w:r>
        <w:t>2.</w:t>
      </w:r>
      <w:r>
        <w:tab/>
      </w:r>
      <w:r>
        <w:t>es das Verfahren nach § 383 Abs. 2 (</w:t>
      </w:r>
      <w:hyperlink w:anchor="b557" w:history="1">
        <w:r>
          <w:rPr>
            <w:color w:val="0A3A8C"/>
            <w:u w:val="single"/>
          </w:rPr>
          <w:t xml:space="preserve">§ 390</w:t>
        </w:r>
      </w:hyperlink>
      <w:r>
        <w:t xml:space="preserve"> Abs. 5) wegen Geringfügigkeit eingestellt hat;</w:t>
      </w:r>
    </w:p>
    <w:p>
      <w:pPr>
        <w:tabs>
          <w:tab w:pos="567" w:val="left"/>
        </w:tabs>
        <w:ind w:left="567" w:hanging="567"/>
      </w:pPr>
      <w:r>
        <w:t>3.</w:t>
      </w:r>
      <w:r>
        <w:tab/>
      </w:r>
      <w:r>
        <w:t>Widerklage erhoben worden ist.</w:t>
      </w:r>
    </w:p>
    <w:p>
      <w:r>
        <w:t xml:space="preserve">(4) </w:t>
      </w:r>
      <w:r>
        <w:rPr>
          <w:rStyle w:val="Satznummer"/>
        </w:rPr>
        <w:t>1</w:t>
      </w:r>
      <w:r>
        <w:t xml:space="preserve">Mehrere Privatkläger haften als Gesamtschuldner. </w:t>
      </w:r>
      <w:r>
        <w:rPr>
          <w:rStyle w:val="Satznummer"/>
        </w:rPr>
        <w:t>2</w:t>
      </w:r>
      <w:r>
        <w:t>Das gleiche gilt hinsichtlich der Haftung mehrerer Beschuldigter für die dem Privatkläger erwachsenen notwendigen Auslagen.</w:t>
      </w:r>
    </w:p>
    <w:p>
      <w:pPr>
        <w:pStyle w:val="Heading3"/>
      </w:pPr>
      <w:bookmarkStart w:id="699" w:name="b698"/>
      <w:r>
        <w:t>§ 472 Notwendige Auslagen des Nebenklägers</w:t>
      </w:r>
      <w:r>
        <w:t xml:space="preserve"> </w:t>
      </w:r>
      <w:r>
        <w:rPr>
          <w:rStyle w:val="Suchmarke"/>
        </w:rPr>
        <w:t>#472#</w:t>
      </w:r>
      <w:bookmarkEnd w:id="699"/>
    </w:p>
    <w:p>
      <w:r>
        <w:t xml:space="preserve">(1) </w:t>
      </w:r>
      <w:r>
        <w:rPr>
          <w:rStyle w:val="Satznummer"/>
        </w:rPr>
        <w:t>1</w:t>
      </w:r>
      <w:r>
        <w:t xml:space="preserve">Die dem Nebenkläger erwachsenen notwendigen Auslagen sind dem Angeklagten aufzuerlegen, wenn er wegen einer Tat verurteilt wird, die den Nebenkläger betrifft. </w:t>
      </w:r>
      <w:r>
        <w:rPr>
          <w:rStyle w:val="Satznummer"/>
        </w:rPr>
        <w:t>2</w:t>
      </w:r>
      <w:r>
        <w:t xml:space="preserve">Die notwendigen Auslagen für einen psychosozialen Prozessbegleiter des Nebenklägers können dem Angeklagten nur bis zu der Höhe auferlegt werden, in der sich im Falle der Beiordnung des psychosozialen Prozessbegleiters die Gerichtsgebühren erhöhen würden. </w:t>
      </w:r>
      <w:r>
        <w:rPr>
          <w:rStyle w:val="Satznummer"/>
        </w:rPr>
        <w:t>3</w:t>
      </w:r>
      <w:r>
        <w:t>Von der Auferlegung der notwendigen Auslagen kann ganz oder teilweise abgesehen werden, soweit es unbillig wäre, den Angeklagten damit zu belasten.</w:t>
      </w:r>
    </w:p>
    <w:p>
      <w:r>
        <w:t xml:space="preserve">(2) </w:t>
      </w:r>
      <w:r>
        <w:rPr>
          <w:rStyle w:val="Satznummer"/>
        </w:rPr>
        <w:t>1</w:t>
      </w:r>
      <w:r>
        <w:t xml:space="preserve">Stellt das Gericht das Verfahren nach einer Vorschrift, die dies nach seinem Ermessen zuläßt, ein, so kann es die in Absatz 1 genannten notwendigen Auslagen ganz oder teilweise dem Angeschuldigten auferlegen, soweit dies aus besonderen Gründen der Billigkeit entspricht. </w:t>
      </w:r>
      <w:r>
        <w:rPr>
          <w:rStyle w:val="Satznummer"/>
        </w:rPr>
        <w:t>2</w:t>
      </w:r>
      <w:r>
        <w:t>Stellt das Gericht das Verfahren nach vorangegangener vorläufiger Einstellung (</w:t>
      </w:r>
      <w:hyperlink w:anchor="b268" w:history="1">
        <w:r>
          <w:rPr>
            <w:color w:val="0A3A8C"/>
            <w:u w:val="single"/>
          </w:rPr>
          <w:t xml:space="preserve">§ 153a</w:t>
        </w:r>
      </w:hyperlink>
      <w:r>
        <w:t>) endgültig ein, gilt Absatz 1 entsprechend.</w:t>
      </w:r>
    </w:p>
    <w:p>
      <w:r>
        <w:t xml:space="preserve">(3) </w:t>
      </w:r>
      <w:r>
        <w:rPr>
          <w:rStyle w:val="Satznummer"/>
        </w:rPr>
        <w:t>1</w:t>
      </w:r>
      <w:r>
        <w:t xml:space="preserve">Die Absätze 1 und 2 gelten entsprechend für die notwendigen Auslagen, die einem zum Anschluß als Nebenkläger Berechtigten in Wahrnehmung seiner Befugnisse nach </w:t>
      </w:r>
      <w:hyperlink w:anchor="b586" w:history="1">
        <w:r>
          <w:rPr>
            <w:color w:val="0A3A8C"/>
            <w:u w:val="single"/>
          </w:rPr>
          <w:t xml:space="preserve">§ 406h</w:t>
        </w:r>
      </w:hyperlink>
      <w:r>
        <w:t xml:space="preserve"> erwachsen sind. </w:t>
      </w:r>
      <w:r>
        <w:rPr>
          <w:rStyle w:val="Satznummer"/>
        </w:rPr>
        <w:t>2</w:t>
      </w:r>
      <w:r>
        <w:t xml:space="preserve">Gleiches gilt für die notwendigen Auslagen eines Privatklägers, wenn die Staatsanwaltschaft nach </w:t>
      </w:r>
      <w:hyperlink w:anchor="b543" w:history="1">
        <w:r>
          <w:rPr>
            <w:color w:val="0A3A8C"/>
            <w:u w:val="single"/>
          </w:rPr>
          <w:t xml:space="preserve">§ 377</w:t>
        </w:r>
      </w:hyperlink>
      <w:r>
        <w:t xml:space="preserve"> Abs. 2 die Verfolgung übernommen hat.</w:t>
      </w:r>
    </w:p>
    <w:p>
      <w:r>
        <w:t xml:space="preserve">(4) </w:t>
      </w:r>
      <w:hyperlink w:anchor="b697" w:history="1">
        <w:r>
          <w:rPr>
            <w:color w:val="0A3A8C"/>
            <w:u w:val="single"/>
          </w:rPr>
          <w:t xml:space="preserve">§ 471</w:t>
        </w:r>
      </w:hyperlink>
      <w:r>
        <w:t xml:space="preserve"> Abs. 4 Satz 2 gilt entsprechend.</w:t>
      </w:r>
    </w:p>
    <w:p>
      <w:pPr>
        <w:pStyle w:val="Heading3"/>
      </w:pPr>
      <w:bookmarkStart w:id="700" w:name="b699"/>
      <w:r>
        <w:t>§ 472a Kosten und notwendige Auslagen bei Adhäsionsverfahren</w:t>
      </w:r>
      <w:r>
        <w:t xml:space="preserve"> </w:t>
      </w:r>
      <w:r>
        <w:rPr>
          <w:rStyle w:val="Suchmarke"/>
        </w:rPr>
        <w:t>#472a#</w:t>
      </w:r>
      <w:bookmarkEnd w:id="700"/>
    </w:p>
    <w:p>
      <w:r>
        <w:t xml:space="preserve">(1) Soweit dem Antrag auf Zuerkennung eines aus der Straftat erwachsenen Anspruchs stattgegeben wird, hat der Angeklagte auch die dadurch entstandenen besonderen Kosten und die notwendigen Auslagen des Antragstellers im Sinne der </w:t>
      </w:r>
      <w:hyperlink w:anchor="b574" w:history="1">
        <w:r>
          <w:rPr>
            <w:color w:val="0A3A8C"/>
            <w:u w:val="single"/>
          </w:rPr>
          <w:t xml:space="preserve">§§ 403</w:t>
        </w:r>
      </w:hyperlink>
      <w:r>
        <w:t xml:space="preserve"> und </w:t>
      </w:r>
      <w:hyperlink w:anchor="b575" w:history="1">
        <w:r>
          <w:rPr>
            <w:color w:val="0A3A8C"/>
            <w:u w:val="single"/>
          </w:rPr>
          <w:t xml:space="preserve">404</w:t>
        </w:r>
      </w:hyperlink>
      <w:r>
        <w:t xml:space="preserve"> zu tragen.</w:t>
      </w:r>
    </w:p>
    <w:p>
      <w:r>
        <w:t xml:space="preserve">(2) </w:t>
      </w:r>
      <w:r>
        <w:rPr>
          <w:rStyle w:val="Satznummer"/>
        </w:rPr>
        <w:t>1</w:t>
      </w:r>
      <w:r>
        <w:t xml:space="preserve">Sieht das Gericht von der Entscheidung über den Adhäsionsantrag ab, wird ein Teil des Anspruchs dem Antragsteller nicht zuerkannt oder nimmt dieser den Antrag zurück, so entscheidet das Gericht nach pflichtgemäßem Ermessen, wer die insoweit entstandenen gerichtlichen Auslagen und die insoweit den Beteiligten erwachsenden notwendigen Auslagen trägt. </w:t>
      </w:r>
      <w:r>
        <w:rPr>
          <w:rStyle w:val="Satznummer"/>
        </w:rPr>
        <w:t>2</w:t>
      </w:r>
      <w:r>
        <w:t>Die gerichtlichen Auslagen können der Staatskasse auferlegt werden, soweit es unbillig wäre, die Beteiligten damit zu belasten.</w:t>
      </w:r>
    </w:p>
    <w:p>
      <w:pPr>
        <w:pStyle w:val="Heading3"/>
      </w:pPr>
      <w:bookmarkStart w:id="701" w:name="b700"/>
      <w:r>
        <w:t>§ 472b Kosten und notwendige Auslagen bei Nebenbeteiligung</w:t>
      </w:r>
      <w:r>
        <w:t xml:space="preserve"> </w:t>
      </w:r>
      <w:r>
        <w:rPr>
          <w:rStyle w:val="Suchmarke"/>
        </w:rPr>
        <w:t>#472b#</w:t>
      </w:r>
      <w:bookmarkEnd w:id="701"/>
    </w:p>
    <w:p>
      <w:r>
        <w:t xml:space="preserve">(1) </w:t>
      </w:r>
      <w:r>
        <w:rPr>
          <w:rStyle w:val="Satznummer"/>
        </w:rPr>
        <w:t>1</w:t>
      </w:r>
      <w:r>
        <w:t xml:space="preserve">Wird die Einziehung, der Vorbehalt der Einziehung, die Vernichtung, Unbrauchbarmachung oder Beseitigung eines gesetzwidrigen Zustandes angeordnet, so können dem Nebenbeteiligten die durch seine Beteiligung erwachsenen besonderen Kosten auferlegt werden. </w:t>
      </w:r>
      <w:r>
        <w:rPr>
          <w:rStyle w:val="Satznummer"/>
        </w:rPr>
        <w:t>2</w:t>
      </w:r>
      <w:r>
        <w:t>Die dem Nebenbeteiligten erwachsenen notwendigen Auslagen können, soweit es der Billigkeit entspricht, dem Angeklagten, im selbständigen Verfahren auch einem anderen Nebenbeteiligten auferlegt werden.</w:t>
      </w:r>
    </w:p>
    <w:p>
      <w:r>
        <w:t xml:space="preserve">(2) Wird eine Geldbuße gegen eine juristische Person oder eine Personenvereinigung festgesetzt, so hat diese die Kosten des Verfahrens entsprechend den </w:t>
      </w:r>
      <w:hyperlink w:anchor="b690" w:history="1">
        <w:r>
          <w:rPr>
            <w:color w:val="0A3A8C"/>
            <w:u w:val="single"/>
          </w:rPr>
          <w:t xml:space="preserve">§§ 465</w:t>
        </w:r>
      </w:hyperlink>
      <w:r>
        <w:t xml:space="preserve">, </w:t>
      </w:r>
      <w:hyperlink w:anchor="b691" w:history="1">
        <w:r>
          <w:rPr>
            <w:color w:val="0A3A8C"/>
            <w:u w:val="single"/>
          </w:rPr>
          <w:t xml:space="preserve">466</w:t>
        </w:r>
      </w:hyperlink>
      <w:r>
        <w:t xml:space="preserve"> zu tragen.</w:t>
      </w:r>
    </w:p>
    <w:p>
      <w:r>
        <w:t>(3) Wird von der Anordnung einer der in Absatz 1 Satz 1 bezeichneten Nebenfolgen oder der Festsetzung einer Geldbuße gegen eine juristische Person oder eine Personenvereinigung abgesehen, so können die dem Nebenbeteiligten erwachsenen notwendigen Auslagen der Staatskasse oder einem anderen Beteiligten auferlegt werden.</w:t>
      </w:r>
    </w:p>
    <w:p>
      <w:pPr>
        <w:pStyle w:val="Heading3"/>
      </w:pPr>
      <w:bookmarkStart w:id="702" w:name="b701"/>
      <w:r>
        <w:t>§ 473 Kosten bei zurückgenommenem oder erfolglosem Rechtsmittel; Kosten der Wiedereinsetzung</w:t>
      </w:r>
      <w:r>
        <w:t xml:space="preserve"> </w:t>
      </w:r>
      <w:r>
        <w:rPr>
          <w:rStyle w:val="Suchmarke"/>
        </w:rPr>
        <w:t>#473#</w:t>
      </w:r>
      <w:bookmarkEnd w:id="702"/>
    </w:p>
    <w:p>
      <w:r>
        <w:t xml:space="preserve">(1) </w:t>
      </w:r>
      <w:r>
        <w:rPr>
          <w:rStyle w:val="Satznummer"/>
        </w:rPr>
        <w:t>1</w:t>
      </w:r>
      <w:r>
        <w:t xml:space="preserve">Die Kosten eines zurückgenommenen oder erfolglos eingelegten Rechtsmittels treffen den, der es eingelegt hat. </w:t>
      </w:r>
      <w:r>
        <w:rPr>
          <w:rStyle w:val="Satznummer"/>
        </w:rPr>
        <w:t>2</w:t>
      </w:r>
      <w:r>
        <w:t xml:space="preserve">Hat der Beschuldigte das Rechtsmittel erfolglos eingelegt oder zurückgenommen, so sind ihm die dadurch dem Nebenkläger oder dem zum Anschluß als Nebenkläger Berechtigten in Wahrnehmung seiner Befugnisse nach </w:t>
      </w:r>
      <w:hyperlink w:anchor="b586" w:history="1">
        <w:r>
          <w:rPr>
            <w:color w:val="0A3A8C"/>
            <w:u w:val="single"/>
          </w:rPr>
          <w:t xml:space="preserve">§ 406h</w:t>
        </w:r>
      </w:hyperlink>
      <w:r>
        <w:t xml:space="preserve"> erwachsenen notwendigen Auslagen aufzuerlegen. </w:t>
      </w:r>
      <w:r>
        <w:rPr>
          <w:rStyle w:val="Satznummer"/>
        </w:rPr>
        <w:t>3</w:t>
      </w:r>
      <w:r>
        <w:t xml:space="preserve">Hat im Falle des Satzes 1 allein der Nebenkläger ein Rechtsmittel eingelegt oder durchgeführt, so sind ihm die dadurch erwachsenen notwendigen Auslagen des Beschuldigten aufzuerlegen. </w:t>
      </w:r>
      <w:r>
        <w:rPr>
          <w:rStyle w:val="Satznummer"/>
        </w:rPr>
        <w:t>4</w:t>
      </w:r>
      <w:r>
        <w:t xml:space="preserve">Für die Kosten des Rechtsmittels und die notwendigen Auslagen der Beteiligten gilt </w:t>
      </w:r>
      <w:hyperlink w:anchor="b699" w:history="1">
        <w:r>
          <w:rPr>
            <w:color w:val="0A3A8C"/>
            <w:u w:val="single"/>
          </w:rPr>
          <w:t xml:space="preserve">§ 472a</w:t>
        </w:r>
      </w:hyperlink>
      <w:r>
        <w:t xml:space="preserve"> Abs. 2 entsprechend, wenn eine zulässig erhobene sofortige Beschwerde nach </w:t>
      </w:r>
      <w:hyperlink w:anchor="b578" w:history="1">
        <w:r>
          <w:rPr>
            <w:color w:val="0A3A8C"/>
            <w:u w:val="single"/>
          </w:rPr>
          <w:t xml:space="preserve">§ 406a</w:t>
        </w:r>
      </w:hyperlink>
      <w:r>
        <w:t xml:space="preserve"> Abs. 1 Satz 1 durch eine den Rechtszug abschließende Entscheidung unzulässig geworden ist.</w:t>
      </w:r>
    </w:p>
    <w:p>
      <w:r>
        <w:t xml:space="preserve">(2) </w:t>
      </w:r>
      <w:r>
        <w:rPr>
          <w:rStyle w:val="Satznummer"/>
        </w:rPr>
        <w:t>1</w:t>
      </w:r>
      <w:r>
        <w:t>Hat im Falle des Absatzes 1 die Staatsanwaltschaft das Rechtsmittel zuungunsten des Beschuldigten oder eines Nebenbeteiligten (</w:t>
      </w:r>
      <w:hyperlink w:anchor="b615" w:history="1">
        <w:r>
          <w:rPr>
            <w:color w:val="0A3A8C"/>
            <w:u w:val="single"/>
          </w:rPr>
          <w:t xml:space="preserve">§ 424</w:t>
        </w:r>
      </w:hyperlink>
      <w:r>
        <w:t xml:space="preserve"> Absatz 1, </w:t>
      </w:r>
      <w:hyperlink w:anchor="b630" w:history="1">
        <w:r>
          <w:rPr>
            <w:color w:val="0A3A8C"/>
            <w:u w:val="single"/>
          </w:rPr>
          <w:t xml:space="preserve">§§ 439</w:t>
        </w:r>
      </w:hyperlink>
      <w:r>
        <w:t xml:space="preserve">, </w:t>
      </w:r>
      <w:hyperlink w:anchor="b634" w:history="1">
        <w:r>
          <w:rPr>
            <w:color w:val="0A3A8C"/>
            <w:u w:val="single"/>
          </w:rPr>
          <w:t xml:space="preserve">444</w:t>
        </w:r>
      </w:hyperlink>
      <w:r>
        <w:t xml:space="preserve"> Abs. 1 Satz 1) eingelegt, so sind die ihm erwachsenen notwendigen Auslagen der Staatskasse aufzuerlegen. </w:t>
      </w:r>
      <w:r>
        <w:rPr>
          <w:rStyle w:val="Satznummer"/>
        </w:rPr>
        <w:t>2</w:t>
      </w:r>
      <w:r>
        <w:t>Dasselbe gilt, wenn das von der Staatsanwaltschaft zugunsten des Beschuldigten oder eines Nebenbeteiligten eingelegte Rechtsmittel Erfolg hat.</w:t>
      </w:r>
    </w:p>
    <w:p>
      <w:r>
        <w:t>(3) Hat der Beschuldigte oder ein anderer Beteiligter das Rechtsmittel auf bestimmte Beschwerdepunkte beschränkt und hat ein solches Rechtsmittel Erfolg, so sind die notwendigen Auslagen des Beteiligten der Staatskasse aufzuerlegen.</w:t>
      </w:r>
    </w:p>
    <w:p>
      <w:r>
        <w:t xml:space="preserve">(4) </w:t>
      </w:r>
      <w:r>
        <w:rPr>
          <w:rStyle w:val="Satznummer"/>
        </w:rPr>
        <w:t>1</w:t>
      </w:r>
      <w:r>
        <w:t xml:space="preserve">Hat das Rechtsmittel teilweise Erfolg, so hat das Gericht die Gebühr zu ermäßigen und die entstandenen Auslagen teilweise oder auch ganz der Staatskasse aufzuerlegen, soweit es unbillig wäre, die Beteiligten damit zu belasten. </w:t>
      </w:r>
      <w:r>
        <w:rPr>
          <w:rStyle w:val="Satznummer"/>
        </w:rPr>
        <w:t>2</w:t>
      </w:r>
      <w:r>
        <w:t>Dies gilt entsprechend für die notwendigen Auslagen der Beteiligten.</w:t>
      </w:r>
    </w:p>
    <w:p>
      <w:r>
        <w:t>(5) Ein Rechtsmittel gilt als erfolglos, soweit eine Anordnung nach § 69 Abs. 1 oder § 69b Abs. 1 des Strafgesetzbuches nur deshalb nicht aufrechterhalten wird, weil ihre Voraussetzungen wegen der Dauer einer vorläufigen Entziehung der Fahrerlaubnis (</w:t>
      </w:r>
      <w:hyperlink w:anchor="b171" w:history="1">
        <w:r>
          <w:rPr>
            <w:color w:val="0A3A8C"/>
            <w:u w:val="single"/>
          </w:rPr>
          <w:t xml:space="preserve">§ 111a</w:t>
        </w:r>
      </w:hyperlink>
      <w:r>
        <w:t xml:space="preserve"> Abs. 1) oder einer Verwahrung, Sicherstellung oder Beschlagnahme des Führerscheins (§ 69a Abs. 6 des Strafgesetzbuches) nicht mehr vorliegen.</w:t>
      </w:r>
    </w:p>
    <w:p>
      <w:r>
        <w:t>(6) Die Absätze 1 bis 4 gelten entsprechend für die Kosten und die notwendigen Auslagen, die durch einen Antrag</w:t>
      </w:r>
    </w:p>
    <w:p>
      <w:pPr>
        <w:tabs>
          <w:tab w:pos="567" w:val="left"/>
        </w:tabs>
        <w:ind w:left="567" w:hanging="567"/>
      </w:pPr>
      <w:r>
        <w:t>1.</w:t>
      </w:r>
      <w:r>
        <w:tab/>
      </w:r>
      <w:r>
        <w:t>auf Wiederaufnahme des durch ein rechtskräftiges Urteil abgeschlossenen Verfahrens oder</w:t>
      </w:r>
    </w:p>
    <w:p>
      <w:pPr>
        <w:tabs>
          <w:tab w:pos="567" w:val="left"/>
        </w:tabs>
        <w:ind w:left="567" w:hanging="567"/>
      </w:pPr>
      <w:r>
        <w:t>2.</w:t>
      </w:r>
      <w:r>
        <w:tab/>
      </w:r>
      <w:r>
        <w:t>auf ein Nachverfahren (</w:t>
      </w:r>
      <w:hyperlink w:anchor="b624" w:history="1">
        <w:r>
          <w:rPr>
            <w:color w:val="0A3A8C"/>
            <w:u w:val="single"/>
          </w:rPr>
          <w:t xml:space="preserve">§ 433</w:t>
        </w:r>
      </w:hyperlink>
      <w:r>
        <w:t>)</w:t>
      </w:r>
    </w:p>
    <w:p>
      <w:r>
        <w:t>verursacht worden sind.</w:t>
      </w:r>
    </w:p>
    <w:p>
      <w:r>
        <w:t>(7) Die Kosten der Wiedereinsetzung in den vorigen Stand fallen dem Antragsteller zur Last, soweit sie nicht durch einen unbegründeten Widerspruch des Gegners entstanden sind.</w:t>
      </w:r>
    </w:p>
    <w:p>
      <w:pPr>
        <w:pStyle w:val="Heading3"/>
      </w:pPr>
      <w:bookmarkStart w:id="703" w:name="b702"/>
      <w:r>
        <w:t>§ 473a Kosten und notwendige Auslagen bei gesonderter Entscheidung über die Rechtmäßigkeit einer Ermittlungsmaßnahme</w:t>
      </w:r>
      <w:r>
        <w:t xml:space="preserve"> </w:t>
      </w:r>
      <w:r>
        <w:rPr>
          <w:rStyle w:val="Suchmarke"/>
        </w:rPr>
        <w:t>#473a#</w:t>
      </w:r>
      <w:bookmarkEnd w:id="703"/>
    </w:p>
    <w:p>
      <w:r>
        <w:rPr>
          <w:rStyle w:val="Satznummer"/>
        </w:rPr>
        <w:t>1</w:t>
      </w:r>
      <w:r>
        <w:t xml:space="preserve">Hat das Gericht auf Antrag des Betroffenen in einer gesonderten Entscheidung über die Rechtmäßigkeit einer Ermittlungsmaßnahme oder ihres Vollzuges zu befinden, bestimmt es zugleich, von wem die Kosten und die notwendigen Auslagen der Beteiligten zu tragen sind. </w:t>
      </w:r>
      <w:r>
        <w:rPr>
          <w:rStyle w:val="Satznummer"/>
        </w:rPr>
        <w:t>2</w:t>
      </w:r>
      <w:r>
        <w:t xml:space="preserve">Diese sind, soweit die Maßnahme oder ihr Vollzug für rechtswidrig erklärt wird, der Staatskasse, im Übrigen dem Antragsteller aufzuerlegen. </w:t>
      </w:r>
      <w:r>
        <w:rPr>
          <w:rStyle w:val="Satznummer"/>
        </w:rPr>
        <w:t>3</w:t>
      </w:r>
      <w:hyperlink w:anchor="b455" w:history="1">
        <w:r>
          <w:rPr>
            <w:color w:val="0A3A8C"/>
            <w:u w:val="single"/>
          </w:rPr>
          <w:t xml:space="preserve">§ 304</w:t>
        </w:r>
      </w:hyperlink>
      <w:r>
        <w:t xml:space="preserve"> Absatz 3 und </w:t>
      </w:r>
      <w:hyperlink w:anchor="b685" w:history="1">
        <w:r>
          <w:rPr>
            <w:color w:val="0A3A8C"/>
            <w:u w:val="single"/>
          </w:rPr>
          <w:t xml:space="preserve">§ 464</w:t>
        </w:r>
      </w:hyperlink>
      <w:r>
        <w:t xml:space="preserve"> Absatz 3 Satz 1 gelten entsprechend.</w:t>
      </w:r>
    </w:p>
    <w:p>
      <w:pPr>
        <w:pStyle w:val="Heading1"/>
      </w:pPr>
      <w:bookmarkStart w:id="704" w:name="b703"/>
      <w:r>
        <w:t>Achtes Buch Schutz und Verwendung von Daten</w:t>
      </w:r>
      <w:bookmarkEnd w:id="704"/>
    </w:p>
    <w:p>
      <w:pPr>
        <w:pStyle w:val="Heading2"/>
      </w:pPr>
      <w:bookmarkStart w:id="705" w:name="b704"/>
      <w:r>
        <w:t>Erster Abschnitt Erteilung von Auskünften und Akteneinsicht, sonstige Verwendung von Daten für verfahrensübergreifende Zwecke</w:t>
      </w:r>
      <w:bookmarkEnd w:id="705"/>
    </w:p>
    <w:p>
      <w:pPr>
        <w:pStyle w:val="Heading3"/>
      </w:pPr>
      <w:bookmarkStart w:id="706" w:name="b705"/>
      <w:r>
        <w:t>§ 474 Auskünfte und Akteneinsicht für Justizbehörden und andere öffentliche Stellen</w:t>
      </w:r>
      <w:r>
        <w:t xml:space="preserve"> </w:t>
      </w:r>
      <w:r>
        <w:rPr>
          <w:rStyle w:val="Suchmarke"/>
        </w:rPr>
        <w:t>#474#</w:t>
      </w:r>
      <w:bookmarkEnd w:id="706"/>
    </w:p>
    <w:p>
      <w:r>
        <w:t>(1) Gerichte, Staatsanwaltschaften und andere Justizbehörden erhalten Akteneinsicht, wenn dies für Zwecke der Rechtspflege erforderlich ist.</w:t>
      </w:r>
    </w:p>
    <w:p>
      <w:r>
        <w:t xml:space="preserve">(2) </w:t>
      </w:r>
      <w:r>
        <w:rPr>
          <w:rStyle w:val="Satznummer"/>
        </w:rPr>
        <w:t>1</w:t>
      </w:r>
      <w:r>
        <w:t>Im Übrigen sind Auskünfte aus Akten an öffentliche Stellen zulässig, soweit</w:t>
      </w:r>
    </w:p>
    <w:p>
      <w:pPr>
        <w:tabs>
          <w:tab w:pos="567" w:val="left"/>
        </w:tabs>
        <w:ind w:left="567" w:hanging="567"/>
      </w:pPr>
      <w:r>
        <w:t>1.</w:t>
      </w:r>
      <w:r>
        <w:tab/>
      </w:r>
      <w:r>
        <w:t>die Auskünfte zur Feststellung, Durchsetzung oder zur Abwehr von Rechtsansprüchen im Zusammenhang mit der Straftat erforderlich sind,</w:t>
      </w:r>
    </w:p>
    <w:p>
      <w:pPr>
        <w:tabs>
          <w:tab w:pos="567" w:val="left"/>
        </w:tabs>
        <w:ind w:left="567" w:hanging="567"/>
      </w:pPr>
      <w:r>
        <w:t>2.</w:t>
      </w:r>
      <w:r>
        <w:tab/>
      </w:r>
      <w:r>
        <w:t>diesen Stellen in sonstigen Fällen auf Grund einer besonderen Vorschrift von Amts wegen personenbezogene Daten aus Strafverfahren übermittelt werden dürfen oder soweit nach einer Übermittlung von Amts wegen die Übermittlung weiterer personenbezogener Daten zur Aufgabenerfüllung erforderlich ist oder</w:t>
      </w:r>
    </w:p>
    <w:p>
      <w:pPr>
        <w:tabs>
          <w:tab w:pos="567" w:val="left"/>
        </w:tabs>
        <w:ind w:left="567" w:hanging="567"/>
      </w:pPr>
      <w:r>
        <w:t>3.</w:t>
      </w:r>
      <w:r>
        <w:tab/>
      </w:r>
      <w:r>
        <w:t>die Auskünfte zur Vorbereitung von Maßnahmen erforderlich sind, nach deren Erlass auf Grund einer besonderen Vorschrift von Amts wegen personenbezogene Daten aus Strafverfahren an diese Stellen übermittelt werden dürfen.</w:t>
      </w:r>
    </w:p>
    <w:p>
      <w:r>
        <w:rPr>
          <w:rStyle w:val="Satznummer"/>
        </w:rPr>
        <w:t>2</w:t>
      </w:r>
      <w:r>
        <w:t>Die Erteilung von Auskünften an die Nachrichtendienste richtet sich nach § 18 des Bundesverfassungsschutzgesetzes, § 12 des Sicherheitsüberprüfungsgesetzes, § 10 des MAD-Gesetzes und § 10 des BND-Gesetzes sowie den entsprechenden landesrechtlichen Vorschriften.</w:t>
      </w:r>
    </w:p>
    <w:p>
      <w:r>
        <w:t>(3) Unter den Voraussetzungen des Absatzes 2 kann Akteneinsicht gewährt werden, wenn die Erteilung von Auskünften einen unverhältnismäßigen Aufwand erfordern würde oder die Akteneinsicht begehrende Stelle unter Angabe von Gründen erklärt, dass die Erteilung einer Auskunft zur Erfüllung ihrer Aufgabe nicht ausreichen würde.</w:t>
      </w:r>
    </w:p>
    <w:p>
      <w:r>
        <w:t>(4) Unter den Voraussetzungen der Absätze 1 oder 3 können amtlich verwahrte Beweisstücke besichtigt werden.</w:t>
      </w:r>
    </w:p>
    <w:p>
      <w:r>
        <w:t>(5) Akten, die noch in Papierform vorliegen, können in den Fällen der Absätze 1 und 3 zur Einsichtnahme übersandt werden.</w:t>
      </w:r>
    </w:p>
    <w:p>
      <w:r>
        <w:t>(6) Landesgesetzliche Regelungen, die parlamentarischen Ausschüssen ein Recht auf Akteneinsicht einräumen, bleiben unberührt.</w:t>
      </w:r>
    </w:p>
    <w:p>
      <w:pPr>
        <w:pStyle w:val="Heading3"/>
      </w:pPr>
      <w:bookmarkStart w:id="707" w:name="b706"/>
      <w:r>
        <w:t>§ 475 Auskünfte und Akteneinsicht für Privatpersonen und sonstige Stellen</w:t>
      </w:r>
      <w:r>
        <w:t xml:space="preserve"> </w:t>
      </w:r>
      <w:r>
        <w:rPr>
          <w:rStyle w:val="Suchmarke"/>
        </w:rPr>
        <w:t>#475#</w:t>
      </w:r>
      <w:bookmarkEnd w:id="707"/>
    </w:p>
    <w:p>
      <w:r>
        <w:t xml:space="preserve">(1) </w:t>
      </w:r>
      <w:r>
        <w:rPr>
          <w:rStyle w:val="Satznummer"/>
        </w:rPr>
        <w:t>1</w:t>
      </w:r>
      <w:r>
        <w:t xml:space="preserve">Für eine Privatperson und für sonstige Stellen kann unbeschadet des § 57 des Bundesdatenschutzgesetzes ein Rechtsanwalt Auskünfte aus Akten erhalten, die dem Gericht vorliegen oder diesem im Falle der Erhebung der öffentlichen Klage vorzulegen wären, soweit er hierfür ein berechtigtes Interesse darlegt. </w:t>
      </w:r>
      <w:r>
        <w:rPr>
          <w:rStyle w:val="Satznummer"/>
        </w:rPr>
        <w:t>2</w:t>
      </w:r>
      <w:r>
        <w:t>Auskünfte sind zu versagen, wenn der hiervon Betroffene ein schutzwürdiges Interesse an der Versagung hat.</w:t>
      </w:r>
    </w:p>
    <w:p>
      <w:r>
        <w:t>(2) Unter den Voraussetzungen des Absatzes 1 kann Akteneinsicht gewährt werden, wenn die Erteilung von Auskünften einen unverhältnismäßigen Aufwand erfordern oder nach Darlegung dessen, der Akteneinsicht begehrt, zur Wahrnehmung des berechtigten Interesses nicht ausreichen würde.</w:t>
      </w:r>
    </w:p>
    <w:p>
      <w:r>
        <w:t>(3) Unter den Voraussetzungen des Absatzes 2 können amtlich verwahrte Beweisstücke besichtigt werden.</w:t>
      </w:r>
    </w:p>
    <w:p>
      <w:r>
        <w:t>(4) Unter den Voraussetzungen des Absatzes 1 können auch Privatpersonen und sonstigen Stellen Auskünfte aus den Akten erteilt werden.</w:t>
      </w:r>
    </w:p>
    <w:p>
      <w:pPr>
        <w:pStyle w:val="Heading3"/>
      </w:pPr>
      <w:bookmarkStart w:id="708" w:name="b707"/>
      <w:r>
        <w:t>§ 476 Auskünfte und Akteneinsicht zu Forschungszwecken</w:t>
      </w:r>
      <w:r>
        <w:t xml:space="preserve"> </w:t>
      </w:r>
      <w:r>
        <w:rPr>
          <w:rStyle w:val="Suchmarke"/>
        </w:rPr>
        <w:t>#476#</w:t>
      </w:r>
      <w:bookmarkEnd w:id="708"/>
    </w:p>
    <w:p>
      <w:r>
        <w:t xml:space="preserve">(1) </w:t>
      </w:r>
      <w:r>
        <w:rPr>
          <w:rStyle w:val="Satznummer"/>
        </w:rPr>
        <w:t>1</w:t>
      </w:r>
      <w:r>
        <w:t>Die Übermittlung personenbezogener Daten in Akten an Hochschulen, andere Einrichtungen, die wissenschaftliche Forschung betreiben, und öffentliche Stellen ist zulässig, soweit</w:t>
      </w:r>
    </w:p>
    <w:p>
      <w:pPr>
        <w:tabs>
          <w:tab w:pos="567" w:val="left"/>
        </w:tabs>
        <w:ind w:left="567" w:hanging="567"/>
      </w:pPr>
      <w:r>
        <w:t>1.</w:t>
      </w:r>
      <w:r>
        <w:tab/>
      </w:r>
      <w:r>
        <w:t>dies für die Durchführung bestimmter wissenschaftlicher Forschungsarbeiten erforderlich ist,</w:t>
      </w:r>
    </w:p>
    <w:p>
      <w:pPr>
        <w:tabs>
          <w:tab w:pos="567" w:val="left"/>
        </w:tabs>
        <w:ind w:left="567" w:hanging="567"/>
      </w:pPr>
      <w:r>
        <w:t>2.</w:t>
      </w:r>
      <w:r>
        <w:tab/>
      </w:r>
      <w:r>
        <w:t>eine Nutzung anonymisierter Daten zu diesem Zweck nicht möglich oder die Anonymisierung mit einem unverhältnismäßigen Aufwand verbunden ist und</w:t>
      </w:r>
    </w:p>
    <w:p>
      <w:pPr>
        <w:tabs>
          <w:tab w:pos="567" w:val="left"/>
        </w:tabs>
        <w:ind w:left="567" w:hanging="567"/>
      </w:pPr>
      <w:r>
        <w:t>3.</w:t>
      </w:r>
      <w:r>
        <w:tab/>
      </w:r>
      <w:r>
        <w:t>das öffentliche Interesse an der Forschungsarbeit das schutzwürdige Interesse des Betroffenen an dem Ausschluss der Übermittlung erheblich überwiegt.</w:t>
      </w:r>
    </w:p>
    <w:p>
      <w:r>
        <w:rPr>
          <w:rStyle w:val="Satznummer"/>
        </w:rPr>
        <w:t>2</w:t>
      </w:r>
      <w:r>
        <w:t>Bei der Abwägung nach Satz 1 Nr. 3 ist im Rahmen des öffentlichen Interesses das wissenschaftliche Interesse an dem Forschungsvorhaben besonders zu berücksichtigen.</w:t>
      </w:r>
    </w:p>
    <w:p>
      <w:r>
        <w:t xml:space="preserve">(2) </w:t>
      </w:r>
      <w:r>
        <w:rPr>
          <w:rStyle w:val="Satznummer"/>
        </w:rPr>
        <w:t>1</w:t>
      </w:r>
      <w:r>
        <w:t xml:space="preserve">Die Übermittlung der Daten erfolgt durch Erteilung von Auskünften, wenn hierdurch der Zweck der Forschungsarbeit erreicht werden kann und die Erteilung keinen unverhältnismäßigen Aufwand erfordert. </w:t>
      </w:r>
      <w:r>
        <w:rPr>
          <w:rStyle w:val="Satznummer"/>
        </w:rPr>
        <w:t>2</w:t>
      </w:r>
      <w:r>
        <w:t xml:space="preserve">Andernfalls kann auch Akteneinsicht gewährt werden. </w:t>
      </w:r>
      <w:r>
        <w:rPr>
          <w:rStyle w:val="Satznummer"/>
        </w:rPr>
        <w:t>3</w:t>
      </w:r>
      <w:r>
        <w:t>Die Akten, die in Papierform vorliegen, können zur Einsichtnahme übersandt werden.</w:t>
      </w:r>
    </w:p>
    <w:p>
      <w:r>
        <w:t xml:space="preserve">(3) </w:t>
      </w:r>
      <w:r>
        <w:rPr>
          <w:rStyle w:val="Satznummer"/>
        </w:rPr>
        <w:t>1</w:t>
      </w:r>
      <w:r>
        <w:t xml:space="preserve">Personenbezogene Daten werden nur an solche Personen übermittelt, die Amtsträger oder für den öffentlichen Dienst besonders Verpflichtete sind oder die zur Geheimhaltung verpflichtet worden sind. </w:t>
      </w:r>
      <w:r>
        <w:rPr>
          <w:rStyle w:val="Satznummer"/>
        </w:rPr>
        <w:t>2</w:t>
      </w:r>
      <w:r>
        <w:t>§ 1 Abs. 2, 3 und 4 Nr. 2 des Verpflichtungsgesetzes findet auf die Verpflichtung zur Geheimhaltung entsprechende Anwendung.</w:t>
      </w:r>
    </w:p>
    <w:p>
      <w:r>
        <w:t xml:space="preserve">(4) </w:t>
      </w:r>
      <w:r>
        <w:rPr>
          <w:rStyle w:val="Satznummer"/>
        </w:rPr>
        <w:t>1</w:t>
      </w:r>
      <w:r>
        <w:t xml:space="preserve">Die personenbezogenen Daten dürfen nur für die Forschungsarbeit verwendet werden, für die sie übermittelt worden sind. </w:t>
      </w:r>
      <w:r>
        <w:rPr>
          <w:rStyle w:val="Satznummer"/>
        </w:rPr>
        <w:t>2</w:t>
      </w:r>
      <w:r>
        <w:t>Die Verwendung für andere Forschungsarbeiten oder die Weitergabe richtet sich nach den Absätzen 1 bis 3 und bedarf der Zustimmung der Stelle, die die Übermittlung der Daten angeordnet hat.</w:t>
      </w:r>
    </w:p>
    <w:p>
      <w:r>
        <w:t xml:space="preserve">(5) </w:t>
      </w:r>
      <w:r>
        <w:rPr>
          <w:rStyle w:val="Satznummer"/>
        </w:rPr>
        <w:t>1</w:t>
      </w:r>
      <w:r>
        <w:t xml:space="preserve">Die Daten sind gegen unbefugte Kenntnisnahme durch Dritte zu schützen. </w:t>
      </w:r>
      <w:r>
        <w:rPr>
          <w:rStyle w:val="Satznummer"/>
        </w:rPr>
        <w:t>2</w:t>
      </w:r>
      <w:r>
        <w:t>Die wissenschaftliche Forschung betreibende Stelle hat dafür zu sorgen, dass die Verwendung der personenbezogenen Daten räumlich und organisatorisch getrennt von der Erfüllung solcher Verwaltungsaufgaben oder Geschäftszwecke erfolgt, für die diese Daten gleichfalls von Bedeutung sein können.</w:t>
      </w:r>
    </w:p>
    <w:p>
      <w:r>
        <w:t xml:space="preserve">(6) </w:t>
      </w:r>
      <w:r>
        <w:rPr>
          <w:rStyle w:val="Satznummer"/>
        </w:rPr>
        <w:t>1</w:t>
      </w:r>
      <w:r>
        <w:t xml:space="preserve">Sobald der Forschungszweck es erlaubt, sind die personenbezogenen Daten zu anonymisieren. </w:t>
      </w:r>
      <w:r>
        <w:rPr>
          <w:rStyle w:val="Satznummer"/>
        </w:rPr>
        <w:t>2</w:t>
      </w:r>
      <w:r>
        <w:t xml:space="preserve">Solange dies noch nicht möglich ist, sind die Merkmale gesondert aufzubewahren, mit denen Einzelangaben über persönliche oder sachliche Verhältnisse einer bestimmten oder bestimmbaren Person zugeordnet werden können. </w:t>
      </w:r>
      <w:r>
        <w:rPr>
          <w:rStyle w:val="Satznummer"/>
        </w:rPr>
        <w:t>3</w:t>
      </w:r>
      <w:r>
        <w:t>Sie dürfen mit den Einzelangaben nur zusammengeführt werden, soweit der Forschungszweck dies erfordert.</w:t>
      </w:r>
    </w:p>
    <w:p>
      <w:r>
        <w:t xml:space="preserve">(7) </w:t>
      </w:r>
      <w:r>
        <w:rPr>
          <w:rStyle w:val="Satznummer"/>
        </w:rPr>
        <w:t>1</w:t>
      </w:r>
      <w:r>
        <w:t xml:space="preserve">Wer nach den Absätzen 1 bis 3 personenbezogene Daten erhalten hat, darf diese nur veröffentlichen, wenn dies für die Darstellung von Forschungsergebnissen über Ereignisse der Zeitgeschichte unerlässlich ist. </w:t>
      </w:r>
      <w:r>
        <w:rPr>
          <w:rStyle w:val="Satznummer"/>
        </w:rPr>
        <w:t>2</w:t>
      </w:r>
      <w:r>
        <w:t>Die Veröffentlichung bedarf der Zustimmung der Stelle, die die Daten übermittelt hat.</w:t>
      </w:r>
    </w:p>
    <w:p>
      <w:r>
        <w:t>(8) Ist der Empfänger eine nichtöffentliche Stelle, finden die Vorschriften der Verordnung (EU) 2016/679 und des Bundesdatenschutzgesetzes auch dann Anwendung, wenn die personenbezogenen Daten nicht automatisiert verarbeitet werden und nicht in einem Dateisystem gespeichert sind oder gespeichert werden.</w:t>
      </w:r>
    </w:p>
    <w:p>
      <w:pPr>
        <w:pStyle w:val="Heading3"/>
      </w:pPr>
      <w:bookmarkStart w:id="709" w:name="b708"/>
      <w:r>
        <w:t>§ 477 Datenübermittlung von Amts wegen</w:t>
      </w:r>
      <w:r>
        <w:t xml:space="preserve"> </w:t>
      </w:r>
      <w:r>
        <w:rPr>
          <w:rStyle w:val="Suchmarke"/>
        </w:rPr>
        <w:t>#477#</w:t>
      </w:r>
      <w:bookmarkEnd w:id="709"/>
    </w:p>
    <w:p>
      <w:r>
        <w:t>(1) Von Amts wegen dürfen personenbezogene Daten aus Strafverfahren Strafverfolgungsbehörden und Strafgerichten für Zwecke der Strafverfolgung sowie den zuständigen Behörden und Gerichten für Zwecke der Verfolgung von Ordnungswidrigkeiten übermittelt werden, soweit diese Daten aus der Sicht der übermittelnden Stelle hierfür erforderlich sind.</w:t>
      </w:r>
    </w:p>
    <w:p>
      <w:r>
        <w:t>(2) Eine von Amts wegen erfolgende Übermittlung personenbezogener Daten aus Strafverfahren ist auch zulässig, wenn die Kenntnis der Daten aus der Sicht der übermittelnden Stelle erforderlich ist für</w:t>
      </w:r>
    </w:p>
    <w:p>
      <w:pPr>
        <w:tabs>
          <w:tab w:pos="567" w:val="left"/>
        </w:tabs>
        <w:ind w:left="567" w:hanging="567"/>
      </w:pPr>
      <w:r>
        <w:t>1.</w:t>
      </w:r>
      <w:r>
        <w:tab/>
      </w:r>
      <w:r>
        <w:t>die Vollstreckung von Strafen oder von Maßnahmen im Sinne des § 11 Absatz 1 Nummer 8 des Strafgesetzbuches oder für die Vollstreckung oder Durchführung von Erziehungsmaßregeln oder von Zuchtmitteln im Sinne des Jugendgerichtsgesetzes,</w:t>
      </w:r>
    </w:p>
    <w:p>
      <w:pPr>
        <w:tabs>
          <w:tab w:pos="567" w:val="left"/>
        </w:tabs>
        <w:ind w:left="567" w:hanging="567"/>
      </w:pPr>
      <w:r>
        <w:t>2.</w:t>
      </w:r>
      <w:r>
        <w:tab/>
      </w:r>
      <w:r>
        <w:t>den Vollzug von freiheitsentziehenden Maßnahmen oder</w:t>
      </w:r>
    </w:p>
    <w:p>
      <w:pPr>
        <w:tabs>
          <w:tab w:pos="567" w:val="left"/>
        </w:tabs>
        <w:ind w:left="567" w:hanging="567"/>
      </w:pPr>
      <w:r>
        <w:t>3.</w:t>
      </w:r>
      <w:r>
        <w:tab/>
      </w:r>
      <w:r>
        <w:t>Entscheidungen in Strafsachen, insbesondere über die Strafaussetzung zur Bewährung oder deren Widerruf, oder in Bußgeld- oder Gnadensachen.</w:t>
      </w:r>
    </w:p>
    <w:p>
      <w:pPr>
        <w:pStyle w:val="Heading3"/>
      </w:pPr>
      <w:bookmarkStart w:id="710" w:name="b709"/>
      <w:r>
        <w:t>§ 478 Form der Datenübermittlung</w:t>
      </w:r>
      <w:r>
        <w:t xml:space="preserve"> </w:t>
      </w:r>
      <w:r>
        <w:rPr>
          <w:rStyle w:val="Suchmarke"/>
        </w:rPr>
        <w:t>#478#</w:t>
      </w:r>
      <w:bookmarkEnd w:id="710"/>
    </w:p>
    <w:p>
      <w:r>
        <w:t xml:space="preserve">Auskünfte nach den </w:t>
      </w:r>
      <w:hyperlink w:anchor="b705" w:history="1">
        <w:r>
          <w:rPr>
            <w:color w:val="0A3A8C"/>
            <w:u w:val="single"/>
          </w:rPr>
          <w:t xml:space="preserve">§§ 474</w:t>
        </w:r>
      </w:hyperlink>
      <w:r>
        <w:t xml:space="preserve"> bis </w:t>
      </w:r>
      <w:hyperlink w:anchor="b707" w:history="1">
        <w:r>
          <w:rPr>
            <w:color w:val="0A3A8C"/>
            <w:u w:val="single"/>
          </w:rPr>
          <w:t xml:space="preserve">476</w:t>
        </w:r>
      </w:hyperlink>
      <w:r>
        <w:t xml:space="preserve"> und Datenübermittlungen von Amts wegen nach </w:t>
      </w:r>
      <w:hyperlink w:anchor="b708" w:history="1">
        <w:r>
          <w:rPr>
            <w:color w:val="0A3A8C"/>
            <w:u w:val="single"/>
          </w:rPr>
          <w:t xml:space="preserve">§ 477</w:t>
        </w:r>
      </w:hyperlink>
      <w:r>
        <w:t xml:space="preserve"> können auch durch Überlassung von Kopien aus den Akten erfolgen.</w:t>
      </w:r>
    </w:p>
    <w:p>
      <w:pPr>
        <w:pStyle w:val="Heading3"/>
      </w:pPr>
      <w:bookmarkStart w:id="711" w:name="b710"/>
      <w:r>
        <w:t>§ 479 Übermittlungsverbote und Verwendungsbeschränkungen</w:t>
      </w:r>
      <w:r>
        <w:t xml:space="preserve"> </w:t>
      </w:r>
      <w:r>
        <w:rPr>
          <w:rStyle w:val="Suchmarke"/>
        </w:rPr>
        <w:t>#479#</w:t>
      </w:r>
      <w:bookmarkEnd w:id="711"/>
    </w:p>
    <w:p>
      <w:r>
        <w:t xml:space="preserve">(1) Auskünfte nach den </w:t>
      </w:r>
      <w:hyperlink w:anchor="b705" w:history="1">
        <w:r>
          <w:rPr>
            <w:color w:val="0A3A8C"/>
            <w:u w:val="single"/>
          </w:rPr>
          <w:t xml:space="preserve">§§ 474</w:t>
        </w:r>
      </w:hyperlink>
      <w:r>
        <w:t xml:space="preserve"> bis </w:t>
      </w:r>
      <w:hyperlink w:anchor="b707" w:history="1">
        <w:r>
          <w:rPr>
            <w:color w:val="0A3A8C"/>
            <w:u w:val="single"/>
          </w:rPr>
          <w:t xml:space="preserve">476</w:t>
        </w:r>
      </w:hyperlink>
      <w:r>
        <w:t xml:space="preserve"> und Datenübermittlungen von Amts wegen nach </w:t>
      </w:r>
      <w:hyperlink w:anchor="b708" w:history="1">
        <w:r>
          <w:rPr>
            <w:color w:val="0A3A8C"/>
            <w:u w:val="single"/>
          </w:rPr>
          <w:t xml:space="preserve">§ 477</w:t>
        </w:r>
      </w:hyperlink>
      <w:r>
        <w:t xml:space="preserve"> sind zu versagen, wenn ihnen Zwecke des Strafverfahrens, auch die Gefährdung des Untersuchungszwecks in einem anderen Strafverfahren, oder besondere bundesgesetzliche oder landesgesetzliche Verwendungsregelungen entgegenstehen.</w:t>
      </w:r>
    </w:p>
    <w:p>
      <w:r>
        <w:t xml:space="preserve">(2) </w:t>
      </w:r>
      <w:r>
        <w:rPr>
          <w:rStyle w:val="Satznummer"/>
        </w:rPr>
        <w:t>1</w:t>
      </w:r>
      <w:r>
        <w:t xml:space="preserve">Ist eine Maßnahme nach diesem Gesetz nur bei Verdacht bestimmter Straftaten zulässig, so gilt für die Verwendung der auf Grund einer solchen Maßnahme erlangten Daten in anderen Strafverfahren </w:t>
      </w:r>
      <w:hyperlink w:anchor="b292" w:history="1">
        <w:r>
          <w:rPr>
            <w:color w:val="0A3A8C"/>
            <w:u w:val="single"/>
          </w:rPr>
          <w:t xml:space="preserve">§ 161</w:t>
        </w:r>
      </w:hyperlink>
      <w:r>
        <w:t xml:space="preserve"> Absatz 3 entsprechend. </w:t>
      </w:r>
      <w:r>
        <w:rPr>
          <w:rStyle w:val="Satznummer"/>
        </w:rPr>
        <w:t>2</w:t>
      </w:r>
      <w:r>
        <w:t>Darüber hinaus dürfen verwertbare personenbezogene Daten, die durch eine Maßnahme der nach Satz 1 bezeichneten Art erlangt worden sind, ohne Einwilligung der von der Maßnahme betroffenen Personen nur verwendet werden</w:t>
      </w:r>
    </w:p>
    <w:p>
      <w:pPr>
        <w:tabs>
          <w:tab w:pos="567" w:val="left"/>
        </w:tabs>
        <w:ind w:left="567" w:hanging="567"/>
      </w:pPr>
      <w:r>
        <w:t>1.</w:t>
      </w:r>
      <w:r>
        <w:tab/>
      </w:r>
      <w:r>
        <w:t>zu Zwecken der Gefahrenabwehr, soweit sie dafür durch eine entsprechende Maßnahme nach den für die zuständige Stelle geltenden Gesetzen erhoben werden könnten,</w:t>
      </w:r>
    </w:p>
    <w:p>
      <w:pPr>
        <w:tabs>
          <w:tab w:pos="567" w:val="left"/>
        </w:tabs>
        <w:ind w:left="567" w:hanging="567"/>
      </w:pPr>
      <w:r>
        <w:t>2.</w:t>
      </w:r>
      <w:r>
        <w:tab/>
      </w:r>
      <w:r>
        <w:t>zur Abwehr einer Gefahr für Leib, Leben oder Freiheit einer Person oder für die Sicherheit oder den Bestand des Bundes oder eines Landes oder für bedeutende Vermögenswerte, wenn sich aus den Daten im Einzelfall jeweils konkrete Ansätze zur Abwehr einer solchen Gefahr erkennen lassen,</w:t>
      </w:r>
    </w:p>
    <w:p>
      <w:pPr>
        <w:tabs>
          <w:tab w:pos="567" w:val="left"/>
        </w:tabs>
        <w:ind w:left="567" w:hanging="567"/>
      </w:pPr>
      <w:r>
        <w:t>3.</w:t>
      </w:r>
      <w:r>
        <w:tab/>
      </w:r>
      <w:r>
        <w:t>für Zwecke, für die eine Übermittlung nach § 18 des Bundesverfassungsschutzgesetzes zulässig ist, sowie</w:t>
      </w:r>
    </w:p>
    <w:p>
      <w:pPr>
        <w:tabs>
          <w:tab w:pos="567" w:val="left"/>
        </w:tabs>
        <w:ind w:left="567" w:hanging="567"/>
      </w:pPr>
      <w:r>
        <w:t>4.</w:t>
      </w:r>
      <w:r>
        <w:tab/>
      </w:r>
      <w:r>
        <w:t xml:space="preserve">nach Maßgabe des </w:t>
      </w:r>
      <w:hyperlink w:anchor="b707" w:history="1">
        <w:r>
          <w:rPr>
            <w:color w:val="0A3A8C"/>
            <w:u w:val="single"/>
          </w:rPr>
          <w:t xml:space="preserve">§ 476</w:t>
        </w:r>
      </w:hyperlink>
      <w:r>
        <w:t>.</w:t>
      </w:r>
    </w:p>
    <w:p>
      <w:r>
        <w:rPr>
          <w:rStyle w:val="Satznummer"/>
        </w:rPr>
        <w:t>3</w:t>
      </w:r>
      <w:hyperlink w:anchor="b151" w:history="1">
        <w:r>
          <w:rPr>
            <w:color w:val="0A3A8C"/>
            <w:u w:val="single"/>
          </w:rPr>
          <w:t xml:space="preserve">§ 100i</w:t>
        </w:r>
      </w:hyperlink>
      <w:r>
        <w:t xml:space="preserve"> Absatz 2 Satz 2 und </w:t>
      </w:r>
      <w:hyperlink w:anchor="b163" w:history="1">
        <w:r>
          <w:rPr>
            <w:color w:val="0A3A8C"/>
            <w:u w:val="single"/>
          </w:rPr>
          <w:t xml:space="preserve">§ 108</w:t>
        </w:r>
      </w:hyperlink>
      <w:r>
        <w:t xml:space="preserve"> Absatz 2 und 3 bleiben unberührt.</w:t>
      </w:r>
    </w:p>
    <w:p>
      <w:r>
        <w:t>(3) Wenn in den Fällen der §§ 474 bis 476</w:t>
      </w:r>
    </w:p>
    <w:p>
      <w:pPr>
        <w:tabs>
          <w:tab w:pos="567" w:val="left"/>
        </w:tabs>
        <w:ind w:left="567" w:hanging="567"/>
      </w:pPr>
      <w:r>
        <w:t>1.</w:t>
      </w:r>
      <w:r>
        <w:tab/>
      </w:r>
      <w:r>
        <w:t>der Angeklagte freigesprochen, die Eröffnung des Hauptverfahrens abgelehnt oder das Verfahren eingestellt wurde oder</w:t>
      </w:r>
    </w:p>
    <w:p>
      <w:pPr>
        <w:tabs>
          <w:tab w:pos="567" w:val="left"/>
        </w:tabs>
        <w:ind w:left="567" w:hanging="567"/>
      </w:pPr>
      <w:r>
        <w:t>2.</w:t>
      </w:r>
      <w:r>
        <w:tab/>
      </w:r>
      <w:r>
        <w:t>die Verurteilung nicht in ein Führungszeugnis für Behörden aufgenommen wird und seit der Rechtskraft der Entscheidung mehr als zwei Jahre verstrichen sind,</w:t>
      </w:r>
    </w:p>
    <w:p>
      <w:r>
        <w:t>dürfen Auskünfte aus den Akten und Akteneinsicht an nichtöffentliche Stellen nur gewährt werden, wenn ein rechtliches Interesse an der Kenntnis der Information glaubhaft gemacht ist und der frühere Beschuldigte kein schutzwürdiges Interesse an der Versagung hat.</w:t>
      </w:r>
    </w:p>
    <w:p>
      <w:r>
        <w:t xml:space="preserve">(4) </w:t>
      </w:r>
      <w:r>
        <w:rPr>
          <w:rStyle w:val="Satznummer"/>
        </w:rPr>
        <w:t>1</w:t>
      </w:r>
      <w:r>
        <w:t xml:space="preserve">Die Verantwortung für die Zulässigkeit der Übermittlung trägt die übermittelnde Stelle. </w:t>
      </w:r>
      <w:r>
        <w:rPr>
          <w:rStyle w:val="Satznummer"/>
        </w:rPr>
        <w:t>2</w:t>
      </w:r>
      <w:r>
        <w:t xml:space="preserve">Abweichend hiervon trägt in den Fällen der §§ 474 bis 476 der Empfänger die Verantwortung für die Zulässigkeit der Übermittlung, sofern dieser eine öffentliche Stelle oder ein Rechtsanwalt ist. </w:t>
      </w:r>
      <w:r>
        <w:rPr>
          <w:rStyle w:val="Satznummer"/>
        </w:rPr>
        <w:t>3</w:t>
      </w:r>
      <w:r>
        <w:t>Die übermittelnde Stelle prüft in diesem Falle nur, ob das Übermittlungsersuchen im Rahmen der Aufgaben des Empfängers liegt, es sei denn, dass ein besonderer Anlass zu einer weitergehenden Prüfung der Zulässigkeit der Übermittlung vorliegt.</w:t>
      </w:r>
    </w:p>
    <w:p>
      <w:r>
        <w:t xml:space="preserve">(5) </w:t>
      </w:r>
      <w:hyperlink w:anchor="b46" w:history="1">
        <w:r>
          <w:rPr>
            <w:color w:val="0A3A8C"/>
            <w:u w:val="single"/>
          </w:rPr>
          <w:t xml:space="preserve">§ 32f</w:t>
        </w:r>
      </w:hyperlink>
      <w:r>
        <w:t xml:space="preserve"> Absatz 5 Satz 2 und 3 gilt mit folgenden Maßgaben entsprechend:</w:t>
      </w:r>
    </w:p>
    <w:p>
      <w:pPr>
        <w:tabs>
          <w:tab w:pos="567" w:val="left"/>
        </w:tabs>
        <w:ind w:left="567" w:hanging="567"/>
      </w:pPr>
      <w:r>
        <w:t>1.</w:t>
      </w:r>
      <w:r>
        <w:tab/>
      </w:r>
      <w:r>
        <w:t xml:space="preserve">Eine Verwendung der nach den </w:t>
      </w:r>
      <w:hyperlink w:anchor="b705" w:history="1">
        <w:r>
          <w:rPr>
            <w:color w:val="0A3A8C"/>
            <w:u w:val="single"/>
          </w:rPr>
          <w:t xml:space="preserve">§§ 474</w:t>
        </w:r>
      </w:hyperlink>
      <w:r>
        <w:t xml:space="preserve"> und </w:t>
      </w:r>
      <w:hyperlink w:anchor="b706" w:history="1">
        <w:r>
          <w:rPr>
            <w:color w:val="0A3A8C"/>
            <w:u w:val="single"/>
          </w:rPr>
          <w:t xml:space="preserve">475</w:t>
        </w:r>
      </w:hyperlink>
      <w:r>
        <w:t xml:space="preserve"> erlangten personenbezogenen Daten für andere Zwecke ist zulässig, wenn dafür Auskunft oder Akteneinsicht gewährt werden dürfte und im Falle des </w:t>
      </w:r>
      <w:hyperlink w:anchor="b706" w:history="1">
        <w:r>
          <w:rPr>
            <w:color w:val="0A3A8C"/>
            <w:u w:val="single"/>
          </w:rPr>
          <w:t xml:space="preserve">§ 475</w:t>
        </w:r>
      </w:hyperlink>
      <w:r>
        <w:t xml:space="preserve"> die Stelle, die Auskunft oder Akteneinsicht gewährt hat, zustimmt;</w:t>
      </w:r>
    </w:p>
    <w:p>
      <w:pPr>
        <w:tabs>
          <w:tab w:pos="567" w:val="left"/>
        </w:tabs>
        <w:ind w:left="567" w:hanging="567"/>
      </w:pPr>
      <w:r>
        <w:t>2.</w:t>
      </w:r>
      <w:r>
        <w:tab/>
      </w:r>
      <w:r>
        <w:t xml:space="preserve">eine Verwendung der nach </w:t>
      </w:r>
      <w:hyperlink w:anchor="b708" w:history="1">
        <w:r>
          <w:rPr>
            <w:color w:val="0A3A8C"/>
            <w:u w:val="single"/>
          </w:rPr>
          <w:t xml:space="preserve">§ 477</w:t>
        </w:r>
      </w:hyperlink>
      <w:r>
        <w:t xml:space="preserve"> erlangten personenbezogenen Daten für andere Zwecke ist zulässig, wenn dafür eine Übermittlung nach </w:t>
      </w:r>
      <w:hyperlink w:anchor="b708" w:history="1">
        <w:r>
          <w:rPr>
            <w:color w:val="0A3A8C"/>
            <w:u w:val="single"/>
          </w:rPr>
          <w:t xml:space="preserve">§ 477</w:t>
        </w:r>
      </w:hyperlink>
      <w:r>
        <w:t xml:space="preserve"> erfolgen dürfte.</w:t>
      </w:r>
    </w:p>
    <w:p>
      <w:pPr>
        <w:pStyle w:val="Heading3"/>
      </w:pPr>
      <w:bookmarkStart w:id="712" w:name="b711"/>
      <w:r>
        <w:t>§ 480 Entscheidung über die Datenübermittlung</w:t>
      </w:r>
      <w:r>
        <w:t xml:space="preserve"> </w:t>
      </w:r>
      <w:r>
        <w:rPr>
          <w:rStyle w:val="Suchmarke"/>
        </w:rPr>
        <w:t>#480#</w:t>
      </w:r>
      <w:bookmarkEnd w:id="712"/>
    </w:p>
    <w:p>
      <w:r>
        <w:t xml:space="preserve">(1) </w:t>
      </w:r>
      <w:r>
        <w:rPr>
          <w:rStyle w:val="Satznummer"/>
        </w:rPr>
        <w:t>1</w:t>
      </w:r>
      <w:r>
        <w:t xml:space="preserve">Über die Übermittlungen nach den </w:t>
      </w:r>
      <w:hyperlink w:anchor="b705" w:history="1">
        <w:r>
          <w:rPr>
            <w:color w:val="0A3A8C"/>
            <w:u w:val="single"/>
          </w:rPr>
          <w:t xml:space="preserve">§§ 474</w:t>
        </w:r>
      </w:hyperlink>
      <w:r>
        <w:t xml:space="preserve"> bis </w:t>
      </w:r>
      <w:hyperlink w:anchor="b708" w:history="1">
        <w:r>
          <w:rPr>
            <w:color w:val="0A3A8C"/>
            <w:u w:val="single"/>
          </w:rPr>
          <w:t xml:space="preserve">477</w:t>
        </w:r>
      </w:hyperlink>
      <w:r>
        <w:t xml:space="preserve"> entscheidet im vorbereitenden Verfahren und nach rechtskräftigem Abschluss des Verfahrens die Staatsanwaltschaft, im Übrigen der Vorsitzende des mit der Sache befassten Gerichts. </w:t>
      </w:r>
      <w:r>
        <w:rPr>
          <w:rStyle w:val="Satznummer"/>
        </w:rPr>
        <w:t>2</w:t>
      </w:r>
      <w:r>
        <w:t xml:space="preserve">Die Staatsanwaltschaft ist auch nach Erhebung der öffentlichen Klage befugt, personenbezogene Daten zu übermitteln. </w:t>
      </w:r>
      <w:r>
        <w:rPr>
          <w:rStyle w:val="Satznummer"/>
        </w:rPr>
        <w:t>3</w:t>
      </w:r>
      <w:r>
        <w:t xml:space="preserve">Die Staatsanwaltschaft kann die Behörden des Polizeidienstes, die die Ermittlungen geführt haben oder führen, ermächtigen, in den Fällen des § 475 Akteneinsicht und Auskünfte zu erteilen. </w:t>
      </w:r>
      <w:r>
        <w:rPr>
          <w:rStyle w:val="Satznummer"/>
        </w:rPr>
        <w:t>4</w:t>
      </w:r>
      <w:r>
        <w:t xml:space="preserve">Gegen deren Entscheidung kann die Entscheidung der Staatsanwaltschaft eingeholt werden. </w:t>
      </w:r>
      <w:r>
        <w:rPr>
          <w:rStyle w:val="Satznummer"/>
        </w:rPr>
        <w:t>5</w:t>
      </w:r>
      <w:r>
        <w:t>Die Übermittlung personenbezogener Daten zwischen Behörden des Polizeidienstes oder eine entsprechende Akteneinsicht ist ohne Entscheidung nach Satz 1 zulässig, sofern keine Zweifel an der Zulässigkeit der Übermittlung oder der Akteneinsicht bestehen.</w:t>
      </w:r>
    </w:p>
    <w:p>
      <w:r>
        <w:t xml:space="preserve">(2) </w:t>
      </w:r>
      <w:r>
        <w:rPr>
          <w:rStyle w:val="Satznummer"/>
        </w:rPr>
        <w:t>1</w:t>
      </w:r>
      <w:r>
        <w:t xml:space="preserve">Aus beigezogenen Akten, die nicht Aktenbestandteil sind, dürfen Übermittlungen nur mit Zustimmung der Stelle erfolgen, um deren Akten es sich handelt; Gleiches gilt für die Akteneinsicht. </w:t>
      </w:r>
      <w:r>
        <w:rPr>
          <w:rStyle w:val="Satznummer"/>
        </w:rPr>
        <w:t>2</w:t>
      </w:r>
      <w:r>
        <w:t xml:space="preserve">In den Fällen der </w:t>
      </w:r>
      <w:hyperlink w:anchor="b705" w:history="1">
        <w:r>
          <w:rPr>
            <w:color w:val="0A3A8C"/>
            <w:u w:val="single"/>
          </w:rPr>
          <w:t xml:space="preserve">§§ 474</w:t>
        </w:r>
      </w:hyperlink>
      <w:r>
        <w:t xml:space="preserve"> bis </w:t>
      </w:r>
      <w:hyperlink w:anchor="b707" w:history="1">
        <w:r>
          <w:rPr>
            <w:color w:val="0A3A8C"/>
            <w:u w:val="single"/>
          </w:rPr>
          <w:t xml:space="preserve">476</w:t>
        </w:r>
      </w:hyperlink>
      <w:r>
        <w:t xml:space="preserve"> sind Auskünfte und Akteneinsicht nur zulässig, wenn der Antragsteller die Zustimmung nachweist.</w:t>
      </w:r>
    </w:p>
    <w:p>
      <w:r>
        <w:t xml:space="preserve">(3) </w:t>
      </w:r>
      <w:r>
        <w:rPr>
          <w:rStyle w:val="Satznummer"/>
        </w:rPr>
        <w:t>1</w:t>
      </w:r>
      <w:r>
        <w:t xml:space="preserve">In den Fällen des </w:t>
      </w:r>
      <w:hyperlink w:anchor="b706" w:history="1">
        <w:r>
          <w:rPr>
            <w:color w:val="0A3A8C"/>
            <w:u w:val="single"/>
          </w:rPr>
          <w:t xml:space="preserve">§ 475</w:t>
        </w:r>
      </w:hyperlink>
      <w:r>
        <w:t xml:space="preserve"> kann gegen die Entscheidung der Staatsanwaltschaft nach Absatz 1 gerichtliche Entscheidung durch das nach </w:t>
      </w:r>
      <w:hyperlink w:anchor="b294" w:history="1">
        <w:r>
          <w:rPr>
            <w:color w:val="0A3A8C"/>
            <w:u w:val="single"/>
          </w:rPr>
          <w:t xml:space="preserve">§ 162</w:t>
        </w:r>
      </w:hyperlink>
      <w:r>
        <w:t xml:space="preserve"> zuständige Gericht beantragt werden. </w:t>
      </w:r>
      <w:r>
        <w:rPr>
          <w:rStyle w:val="Satznummer"/>
        </w:rPr>
        <w:t>2</w:t>
      </w:r>
      <w:r>
        <w:t xml:space="preserve">Die </w:t>
      </w:r>
      <w:hyperlink w:anchor="b447" w:history="1">
        <w:r>
          <w:rPr>
            <w:color w:val="0A3A8C"/>
            <w:u w:val="single"/>
          </w:rPr>
          <w:t xml:space="preserve">§§ 297</w:t>
        </w:r>
      </w:hyperlink>
      <w:r>
        <w:t xml:space="preserve"> bis </w:t>
      </w:r>
      <w:hyperlink w:anchor="b450" w:history="1">
        <w:r>
          <w:rPr>
            <w:color w:val="0A3A8C"/>
            <w:u w:val="single"/>
          </w:rPr>
          <w:t xml:space="preserve">300</w:t>
        </w:r>
      </w:hyperlink>
      <w:r>
        <w:t xml:space="preserve">, </w:t>
      </w:r>
      <w:hyperlink w:anchor="b452" w:history="1">
        <w:r>
          <w:rPr>
            <w:color w:val="0A3A8C"/>
            <w:u w:val="single"/>
          </w:rPr>
          <w:t xml:space="preserve">302</w:t>
        </w:r>
      </w:hyperlink>
      <w:r>
        <w:t xml:space="preserve">, </w:t>
      </w:r>
      <w:hyperlink w:anchor="b458" w:history="1">
        <w:r>
          <w:rPr>
            <w:color w:val="0A3A8C"/>
            <w:u w:val="single"/>
          </w:rPr>
          <w:t xml:space="preserve">306</w:t>
        </w:r>
      </w:hyperlink>
      <w:r>
        <w:t xml:space="preserve"> bis </w:t>
      </w:r>
      <w:hyperlink w:anchor="b461" w:history="1">
        <w:r>
          <w:rPr>
            <w:color w:val="0A3A8C"/>
            <w:u w:val="single"/>
          </w:rPr>
          <w:t xml:space="preserve">309</w:t>
        </w:r>
      </w:hyperlink>
      <w:r>
        <w:t xml:space="preserve">, </w:t>
      </w:r>
      <w:hyperlink w:anchor="b464" w:history="1">
        <w:r>
          <w:rPr>
            <w:color w:val="0A3A8C"/>
            <w:u w:val="single"/>
          </w:rPr>
          <w:t xml:space="preserve">311a</w:t>
        </w:r>
      </w:hyperlink>
      <w:r>
        <w:t xml:space="preserve"> und </w:t>
      </w:r>
      <w:hyperlink w:anchor="b702" w:history="1">
        <w:r>
          <w:rPr>
            <w:color w:val="0A3A8C"/>
            <w:u w:val="single"/>
          </w:rPr>
          <w:t xml:space="preserve">473a</w:t>
        </w:r>
      </w:hyperlink>
      <w:r>
        <w:t xml:space="preserve"> gelten entsprechend. </w:t>
      </w:r>
      <w:r>
        <w:rPr>
          <w:rStyle w:val="Satznummer"/>
        </w:rPr>
        <w:t>3</w:t>
      </w:r>
      <w:r>
        <w:t xml:space="preserve">Die Entscheidung des Gerichts ist unanfechtbar, solange die Ermittlungen noch nicht abgeschlossen sind. </w:t>
      </w:r>
      <w:r>
        <w:rPr>
          <w:rStyle w:val="Satznummer"/>
        </w:rPr>
        <w:t>4</w:t>
      </w:r>
      <w:r>
        <w:t>Diese Entscheidungen werden nicht mit Gründen versehen, soweit durch deren Offenlegung der Untersuchungszweck gefährdet werden könnte.</w:t>
      </w:r>
    </w:p>
    <w:p>
      <w:r>
        <w:t>(4) Die übermittelnde Stelle hat die Übermittlung und deren Zweck aktenkundig zu machen.</w:t>
      </w:r>
    </w:p>
    <w:p>
      <w:pPr>
        <w:pStyle w:val="Heading3"/>
      </w:pPr>
      <w:bookmarkStart w:id="713" w:name="b712"/>
      <w:r>
        <w:t>§ 481 Verwendung personenbezogener Daten für polizeiliche Zwecke</w:t>
      </w:r>
      <w:r>
        <w:t xml:space="preserve"> </w:t>
      </w:r>
      <w:r>
        <w:rPr>
          <w:rStyle w:val="Suchmarke"/>
        </w:rPr>
        <w:t>#481#</w:t>
      </w:r>
      <w:bookmarkEnd w:id="713"/>
    </w:p>
    <w:p>
      <w:r>
        <w:t xml:space="preserve">(1) </w:t>
      </w:r>
      <w:r>
        <w:rPr>
          <w:rStyle w:val="Satznummer"/>
        </w:rPr>
        <w:t>1</w:t>
      </w:r>
      <w:r>
        <w:t xml:space="preserve">Die Polizeibehörden dürfen nach Maßgabe der Polizeigesetze personenbezogene Daten aus Strafverfahren verwenden. </w:t>
      </w:r>
      <w:r>
        <w:rPr>
          <w:rStyle w:val="Satznummer"/>
        </w:rPr>
        <w:t>2</w:t>
      </w:r>
      <w:r>
        <w:t xml:space="preserve">Zu den dort genannten Zwecken dürfen Strafverfolgungsbehörden und Gerichte an Polizeibehörden personenbezogene Daten aus Strafverfahren übermitteln oder Akteneinsicht gewähren. </w:t>
      </w:r>
      <w:r>
        <w:rPr>
          <w:rStyle w:val="Satznummer"/>
        </w:rPr>
        <w:t>3</w:t>
      </w:r>
      <w:r>
        <w:t xml:space="preserve">Mitteilungen nach Satz 2 können auch durch Bewährungshelfer und Führungsaufsichtsstellen erfolgen, wenn dies zur Abwehr einer Gefahr für ein bedeutendes Rechtsgut erforderlich und eine rechtzeitige Übermittlung durch die in Satz 2 genannten Stellen nicht gewährleistet ist. </w:t>
      </w:r>
      <w:r>
        <w:rPr>
          <w:rStyle w:val="Satznummer"/>
        </w:rPr>
        <w:t>4</w:t>
      </w:r>
      <w:r>
        <w:t>Die Sätze 1 und 2 gelten nicht in den Fällen, in denen die Polizei ausschließlich zum Schutz privater Rechte tätig wird.</w:t>
      </w:r>
    </w:p>
    <w:p>
      <w:r>
        <w:t>(2) Die Verwendung ist unzulässig, soweit besondere bundesgesetzliche oder entsprechende landesgesetzliche Verwendungsregelungen entgegenstehen.</w:t>
      </w:r>
    </w:p>
    <w:p>
      <w:r>
        <w:t xml:space="preserve">(3) Hat die Polizeibehörde Zweifel, ob eine Verwendung personenbezogener Daten nach dieser Bestimmung zulässig ist, gilt </w:t>
      </w:r>
      <w:hyperlink w:anchor="b711" w:history="1">
        <w:r>
          <w:rPr>
            <w:color w:val="0A3A8C"/>
            <w:u w:val="single"/>
          </w:rPr>
          <w:t xml:space="preserve">§ 480</w:t>
        </w:r>
      </w:hyperlink>
      <w:r>
        <w:t xml:space="preserve"> Absatz 1 Satz 1 und 2 entsprechend.</w:t>
      </w:r>
    </w:p>
    <w:p>
      <w:pPr>
        <w:pStyle w:val="Heading3"/>
      </w:pPr>
      <w:bookmarkStart w:id="714" w:name="b713"/>
      <w:r>
        <w:t>§ 482 Mitteilung des Aktenzeichens und des Verfahrensausgangs an die Polizei</w:t>
      </w:r>
      <w:r>
        <w:t xml:space="preserve"> </w:t>
      </w:r>
      <w:r>
        <w:rPr>
          <w:rStyle w:val="Suchmarke"/>
        </w:rPr>
        <w:t>#482#</w:t>
      </w:r>
      <w:bookmarkEnd w:id="714"/>
    </w:p>
    <w:p>
      <w:r>
        <w:t>(1) Die Staatsanwaltschaft teilt der Polizeibehörde, die mit der Angelegenheit befasst war, ihr Aktenzeichen mit.</w:t>
      </w:r>
    </w:p>
    <w:p>
      <w:r>
        <w:t xml:space="preserve">(2) </w:t>
      </w:r>
      <w:r>
        <w:rPr>
          <w:rStyle w:val="Satznummer"/>
        </w:rPr>
        <w:t>1</w:t>
      </w:r>
      <w:r>
        <w:t xml:space="preserve">Sie unterrichtet die Polizeibehörde in den Fällen des Absatzes 1 über den Ausgang des Verfahrens durch Mitteilung der Entscheidungsformel, der entscheidenden Stelle sowie des Datums und der Art der Entscheidung. </w:t>
      </w:r>
      <w:r>
        <w:rPr>
          <w:rStyle w:val="Satznummer"/>
        </w:rPr>
        <w:t>2</w:t>
      </w:r>
      <w:r>
        <w:t>Die Übersendung der Mitteilung zum Bundeszentralregister ist zulässig, im Falle des Erforderns auch des Urteils oder einer mit Gründen versehenen Einstellungsentscheidung.</w:t>
      </w:r>
    </w:p>
    <w:p>
      <w:r>
        <w:t>(3) In Verfahren gegen Unbekannt sowie bei Verkehrsstrafsachen, soweit sie nicht unter die §§ 142, 315 bis 315c des Strafgesetzbuches fallen, wird der Ausgang des Verfahrens nach Absatz 2 von Amts wegen nicht mitgeteilt.</w:t>
      </w:r>
    </w:p>
    <w:p>
      <w:r>
        <w:t>(4) Wird ein Urteil übersandt, das angefochten worden ist, so ist anzugeben, wer Rechtsmittel eingelegt hat.</w:t>
      </w:r>
    </w:p>
    <w:p>
      <w:pPr>
        <w:pStyle w:val="Heading2"/>
      </w:pPr>
      <w:bookmarkStart w:id="715" w:name="b714"/>
      <w:r>
        <w:t>Zweiter Abschnitt Regelungen über die Datenverarbeitung</w:t>
      </w:r>
      <w:bookmarkEnd w:id="715"/>
    </w:p>
    <w:p>
      <w:pPr>
        <w:pStyle w:val="Heading3"/>
      </w:pPr>
      <w:bookmarkStart w:id="716" w:name="b715"/>
      <w:r>
        <w:t>§ 483 Datenverarbeitung für Zwecke des Strafverfahrens</w:t>
      </w:r>
      <w:r>
        <w:t xml:space="preserve"> </w:t>
      </w:r>
      <w:r>
        <w:rPr>
          <w:rStyle w:val="Suchmarke"/>
        </w:rPr>
        <w:t>#483#</w:t>
      </w:r>
      <w:bookmarkEnd w:id="716"/>
    </w:p>
    <w:p>
      <w:r>
        <w:t xml:space="preserve">(1) </w:t>
      </w:r>
      <w:r>
        <w:rPr>
          <w:rStyle w:val="Satznummer"/>
        </w:rPr>
        <w:t>1</w:t>
      </w:r>
      <w:r>
        <w:t xml:space="preserve">Gerichte, Strafverfolgungsbehörden einschließlich Vollstreckungsbehörden, Bewährungshelfer, Aufsichtsstellen bei Führungsaufsicht und die Gerichtshilfe dürfen personenbezogene Daten in Dateisystemen verarbeiten, soweit dies für Zwecke des Strafverfahrens erforderlich ist. </w:t>
      </w:r>
      <w:r>
        <w:rPr>
          <w:rStyle w:val="Satznummer"/>
        </w:rPr>
        <w:t>2</w:t>
      </w:r>
      <w:r>
        <w:t xml:space="preserve">Die Polizei darf unter der Voraussetzung des Satzes 1 personenbezogene Daten auch in einem Informationssystem verarbeiten, welches nach Maßgabe eines anderen Gesetzes errichtet ist. </w:t>
      </w:r>
      <w:r>
        <w:rPr>
          <w:rStyle w:val="Satznummer"/>
        </w:rPr>
        <w:t>3</w:t>
      </w:r>
      <w:r>
        <w:t>Für dieses Informationssystem wird mindestens festgelegt:</w:t>
      </w:r>
    </w:p>
    <w:p>
      <w:pPr>
        <w:tabs>
          <w:tab w:pos="567" w:val="left"/>
        </w:tabs>
        <w:ind w:left="567" w:hanging="567"/>
      </w:pPr>
      <w:r>
        <w:t>1.</w:t>
      </w:r>
      <w:r>
        <w:tab/>
      </w:r>
      <w:r>
        <w:t>die Kennzeichnung der personenbezogenen Daten durch die Bezeichnung</w:t>
      </w:r>
    </w:p>
    <w:p>
      <w:pPr>
        <w:tabs>
          <w:tab w:pos="1134" w:val="left"/>
        </w:tabs>
        <w:ind w:left="1134" w:hanging="567"/>
      </w:pPr>
      <w:r>
        <w:t>a)</w:t>
      </w:r>
      <w:r>
        <w:tab/>
      </w:r>
      <w:r>
        <w:t>des Verfahrens, in dem die Daten erhoben wurden,</w:t>
      </w:r>
    </w:p>
    <w:p>
      <w:pPr>
        <w:tabs>
          <w:tab w:pos="1134" w:val="left"/>
        </w:tabs>
        <w:ind w:left="1134" w:hanging="567"/>
      </w:pPr>
      <w:r>
        <w:t>b)</w:t>
      </w:r>
      <w:r>
        <w:tab/>
      </w:r>
      <w:r>
        <w:t>der Maßnahme, wegen der die Daten erhoben wurden, sowie der Rechtsgrundlage der Erhebung und</w:t>
      </w:r>
    </w:p>
    <w:p>
      <w:pPr>
        <w:tabs>
          <w:tab w:pos="1134" w:val="left"/>
        </w:tabs>
        <w:ind w:left="1134" w:hanging="567"/>
      </w:pPr>
      <w:r>
        <w:t>c)</w:t>
      </w:r>
      <w:r>
        <w:tab/>
      </w:r>
      <w:r>
        <w:t>der Straftat, zu deren Aufklärung die Daten erhoben wurden,</w:t>
      </w:r>
    </w:p>
    <w:p>
      <w:pPr>
        <w:tabs>
          <w:tab w:pos="567" w:val="left"/>
        </w:tabs>
        <w:ind w:left="567" w:hanging="567"/>
      </w:pPr>
      <w:r>
        <w:t>2.</w:t>
      </w:r>
      <w:r>
        <w:tab/>
      </w:r>
      <w:r>
        <w:t>die Zugriffsberechtigungen,</w:t>
      </w:r>
    </w:p>
    <w:p>
      <w:pPr>
        <w:tabs>
          <w:tab w:pos="567" w:val="left"/>
        </w:tabs>
        <w:ind w:left="567" w:hanging="567"/>
      </w:pPr>
      <w:r>
        <w:t>3.</w:t>
      </w:r>
      <w:r>
        <w:tab/>
      </w:r>
      <w:r>
        <w:t>die Fristen zur Prüfung, ob gespeicherte Daten zu löschen sind sowie die Speicherungsdauer der Daten.</w:t>
      </w:r>
    </w:p>
    <w:p>
      <w:r>
        <w:t>(2) Die Daten dürfen auch für andere Strafverfahren, die internationale Rechtshilfe in Strafsachen und Gnadensachen genutzt werden.</w:t>
      </w:r>
    </w:p>
    <w:p>
      <w:r>
        <w:t>(3) Erfolgt in einem Dateisystem der Polizei die Speicherung zusammen mit Daten, deren Speicherung sich nach den Polizeigesetzen richtet, so ist für die Verarbeitung personenbezogener Daten und die Rechte der Betroffenen das für die speichernde Stelle geltende Recht maßgeblich.</w:t>
      </w:r>
    </w:p>
    <w:p>
      <w:pPr>
        <w:pStyle w:val="Heading3"/>
      </w:pPr>
      <w:bookmarkStart w:id="717" w:name="b716"/>
      <w:r>
        <w:t>§ 484 Datenverarbeitung für Zwecke künftiger Strafverfahren; Verordnungsermächtigung</w:t>
      </w:r>
      <w:r>
        <w:t xml:space="preserve"> </w:t>
      </w:r>
      <w:r>
        <w:rPr>
          <w:rStyle w:val="Suchmarke"/>
        </w:rPr>
        <w:t>#484#</w:t>
      </w:r>
      <w:bookmarkEnd w:id="717"/>
    </w:p>
    <w:p>
      <w:r>
        <w:t>(1) Strafverfolgungsbehörden dürfen für Zwecke künftiger Strafverfahren</w:t>
      </w:r>
    </w:p>
    <w:p>
      <w:pPr>
        <w:tabs>
          <w:tab w:pos="567" w:val="left"/>
        </w:tabs>
        <w:ind w:left="567" w:hanging="567"/>
      </w:pPr>
      <w:r>
        <w:t>1.</w:t>
      </w:r>
      <w:r>
        <w:tab/>
      </w:r>
      <w:r>
        <w:t>die Personendaten des Beschuldigten und, soweit erforderlich, andere zur Identifizierung geeignete Merkmale,</w:t>
      </w:r>
    </w:p>
    <w:p>
      <w:pPr>
        <w:tabs>
          <w:tab w:pos="567" w:val="left"/>
        </w:tabs>
        <w:ind w:left="567" w:hanging="567"/>
      </w:pPr>
      <w:r>
        <w:t>2.</w:t>
      </w:r>
      <w:r>
        <w:tab/>
      </w:r>
      <w:r>
        <w:t>die zuständige Stelle und das Aktenzeichen,</w:t>
      </w:r>
    </w:p>
    <w:p>
      <w:pPr>
        <w:tabs>
          <w:tab w:pos="567" w:val="left"/>
        </w:tabs>
        <w:ind w:left="567" w:hanging="567"/>
      </w:pPr>
      <w:r>
        <w:t>3.</w:t>
      </w:r>
      <w:r>
        <w:tab/>
      </w:r>
      <w:r>
        <w:t>die nähere Bezeichnung der Straftaten, insbesondere die Tatzeiten, die Tatorte und die Höhe etwaiger Schäden,</w:t>
      </w:r>
    </w:p>
    <w:p>
      <w:pPr>
        <w:tabs>
          <w:tab w:pos="567" w:val="left"/>
        </w:tabs>
        <w:ind w:left="567" w:hanging="567"/>
      </w:pPr>
      <w:r>
        <w:t>4.</w:t>
      </w:r>
      <w:r>
        <w:tab/>
      </w:r>
      <w:r>
        <w:t>die Tatvorwürfe durch Angabe der gesetzlichen Vorschriften,</w:t>
      </w:r>
    </w:p>
    <w:p>
      <w:pPr>
        <w:tabs>
          <w:tab w:pos="567" w:val="left"/>
        </w:tabs>
        <w:ind w:left="567" w:hanging="567"/>
      </w:pPr>
      <w:r>
        <w:t>5.</w:t>
      </w:r>
      <w:r>
        <w:tab/>
      </w:r>
      <w:r>
        <w:t>die Einleitung des Verfahrens sowie die Verfahrenserledigungen bei der Staatsanwaltschaft und bei Gericht nebst Angabe der gesetzlichen Vorschriften</w:t>
      </w:r>
    </w:p>
    <w:p>
      <w:r>
        <w:t>in Dateisystemen verarbeiten.</w:t>
      </w:r>
    </w:p>
    <w:p>
      <w:r>
        <w:t xml:space="preserve">(2) </w:t>
      </w:r>
      <w:r>
        <w:rPr>
          <w:rStyle w:val="Satznummer"/>
        </w:rPr>
        <w:t>1</w:t>
      </w:r>
      <w:r>
        <w:t xml:space="preserve">Weitere personenbezogene Daten von Beschuldigten und Tatbeteiligten dürfen sie in Dateisystemen nur verarbeiten, soweit dies erforderlich ist, weil wegen der Art oder Ausführung der Tat, der Persönlichkeit des Beschuldigten oder Tatbeteiligten oder sonstiger Erkenntnisse Grund zu der Annahme besteht, dass weitere Strafverfahren gegen den Beschuldigten zu führen sind. </w:t>
      </w:r>
      <w:r>
        <w:rPr>
          <w:rStyle w:val="Satznummer"/>
        </w:rPr>
        <w:t>2</w:t>
      </w:r>
      <w:r>
        <w:t>Wird der Beschuldigte rechtskräftig freigesprochen, die Eröffnung des Hauptverfahrens gegen ihn unanfechtbar abgelehnt oder das Verfahren nicht nur vorläufig eingestellt, so ist die Verarbeitung nach Satz 1 unzulässig, wenn sich aus den Gründen der Entscheidung ergibt, dass die betroffene Person die Tat nicht oder nicht rechtswidrig begangen hat.</w:t>
      </w:r>
    </w:p>
    <w:p>
      <w:r>
        <w:t xml:space="preserve">(3) </w:t>
      </w:r>
      <w:r>
        <w:rPr>
          <w:rStyle w:val="Satznummer"/>
        </w:rPr>
        <w:t>1</w:t>
      </w:r>
      <w:r>
        <w:t xml:space="preserve">Das Bundesministerium der Justiz und für Verbraucherschutz und die Landesregierungen bestimmen für ihren jeweiligen Geschäftsbereich durch Rechtsverordnung das Nähere über die Art der Daten, die nach Absatz 2 für Zwecke künftiger Strafverfahren gespeichert werden dürfen. </w:t>
      </w:r>
      <w:r>
        <w:rPr>
          <w:rStyle w:val="Satznummer"/>
        </w:rPr>
        <w:t>2</w:t>
      </w:r>
      <w:r>
        <w:t xml:space="preserve">Dies gilt nicht für Daten in Dateisystemen, die nur vorübergehend vorgehalten und innerhalb von drei Monaten nach ihrer Erstellung gelöscht werden. </w:t>
      </w:r>
      <w:r>
        <w:rPr>
          <w:rStyle w:val="Satznummer"/>
        </w:rPr>
        <w:t>3</w:t>
      </w:r>
      <w:r>
        <w:t>Die Landesregierungen können die Ermächtigung durch Rechtsverordnung auf die zuständigen Landesministerien übertragen.</w:t>
      </w:r>
    </w:p>
    <w:p>
      <w:r>
        <w:t>(4) Die Verarbeitung personenbezogener Daten, die für Zwecke künftiger Strafverfahren von der Polizei gespeichert sind oder werden, richtet sich, ausgenommen die Verarbeitung für Zwecke eines Strafverfahrens, nach den Polizeigesetzen.</w:t>
      </w:r>
    </w:p>
    <w:p>
      <w:pPr>
        <w:pStyle w:val="Heading3"/>
      </w:pPr>
      <w:bookmarkStart w:id="718" w:name="b717"/>
      <w:r>
        <w:t>§ 485 Datenverarbeitung für Zwecke der Vorgangsverwaltung</w:t>
      </w:r>
      <w:r>
        <w:t xml:space="preserve"> </w:t>
      </w:r>
      <w:r>
        <w:rPr>
          <w:rStyle w:val="Suchmarke"/>
        </w:rPr>
        <w:t>#485#</w:t>
      </w:r>
      <w:bookmarkEnd w:id="718"/>
    </w:p>
    <w:p>
      <w:r>
        <w:rPr>
          <w:rStyle w:val="Satznummer"/>
        </w:rPr>
        <w:t>1</w:t>
      </w:r>
      <w:r>
        <w:t xml:space="preserve">Gerichte, Strafverfolgungsbehörden einschließlich Vollstreckungsbehörden, Bewährungshelfer, Aufsichtsstellen bei Führungsaufsicht und die Gerichtshilfe dürfen personenbezogene Daten in Dateisystemen verarbeiten, soweit dies für Zwecke der Vorgangsverwaltung erforderlich ist. </w:t>
      </w:r>
      <w:r>
        <w:rPr>
          <w:rStyle w:val="Satznummer"/>
        </w:rPr>
        <w:t>2</w:t>
      </w:r>
      <w:r>
        <w:t xml:space="preserve">Eine Nutzung für die in </w:t>
      </w:r>
      <w:hyperlink w:anchor="b715" w:history="1">
        <w:r>
          <w:rPr>
            <w:color w:val="0A3A8C"/>
            <w:u w:val="single"/>
          </w:rPr>
          <w:t xml:space="preserve">§ 483</w:t>
        </w:r>
      </w:hyperlink>
      <w:r>
        <w:t xml:space="preserve"> bezeichneten Zwecke ist zulässig. </w:t>
      </w:r>
      <w:r>
        <w:rPr>
          <w:rStyle w:val="Satznummer"/>
        </w:rPr>
        <w:t>3</w:t>
      </w:r>
      <w:r>
        <w:t xml:space="preserve">Eine Nutzung für die in </w:t>
      </w:r>
      <w:hyperlink w:anchor="b716" w:history="1">
        <w:r>
          <w:rPr>
            <w:color w:val="0A3A8C"/>
            <w:u w:val="single"/>
          </w:rPr>
          <w:t xml:space="preserve">§ 484</w:t>
        </w:r>
      </w:hyperlink>
      <w:r>
        <w:t xml:space="preserve"> bezeichneten Zwecke ist zulässig, soweit die Speicherung auch nach dieser Vorschrift zulässig wäre. </w:t>
      </w:r>
      <w:r>
        <w:rPr>
          <w:rStyle w:val="Satznummer"/>
        </w:rPr>
        <w:t>4</w:t>
      </w:r>
      <w:hyperlink w:anchor="b715" w:history="1">
        <w:r>
          <w:rPr>
            <w:color w:val="0A3A8C"/>
            <w:u w:val="single"/>
          </w:rPr>
          <w:t xml:space="preserve">§ 483</w:t>
        </w:r>
      </w:hyperlink>
      <w:r>
        <w:t xml:space="preserve"> Absatz 1 Satz 2 und Absatz 3 ist entsprechend anwendbar.</w:t>
      </w:r>
    </w:p>
    <w:p>
      <w:pPr>
        <w:pStyle w:val="Heading3"/>
      </w:pPr>
      <w:bookmarkStart w:id="719" w:name="b718"/>
      <w:r>
        <w:t>§ 486 Gemeinsame Dateisysteme</w:t>
      </w:r>
      <w:r>
        <w:t xml:space="preserve"> </w:t>
      </w:r>
      <w:r>
        <w:rPr>
          <w:rStyle w:val="Suchmarke"/>
        </w:rPr>
        <w:t>#486#</w:t>
      </w:r>
      <w:bookmarkEnd w:id="719"/>
    </w:p>
    <w:p>
      <w:r>
        <w:rPr>
          <w:rStyle w:val="Satznummer"/>
        </w:rPr>
        <w:t>1</w:t>
      </w:r>
      <w:r>
        <w:t xml:space="preserve">Die personenbezogenen Daten können für die in den </w:t>
      </w:r>
      <w:hyperlink w:anchor="b715" w:history="1">
        <w:r>
          <w:rPr>
            <w:color w:val="0A3A8C"/>
            <w:u w:val="single"/>
          </w:rPr>
          <w:t xml:space="preserve">§§ 483</w:t>
        </w:r>
      </w:hyperlink>
      <w:r>
        <w:t xml:space="preserve"> bis </w:t>
      </w:r>
      <w:hyperlink w:anchor="b717" w:history="1">
        <w:r>
          <w:rPr>
            <w:color w:val="0A3A8C"/>
            <w:u w:val="single"/>
          </w:rPr>
          <w:t xml:space="preserve">485</w:t>
        </w:r>
      </w:hyperlink>
      <w:r>
        <w:t xml:space="preserve"> genannten Stellen in gemeinsamen Dateisystemen gespeichert werden. </w:t>
      </w:r>
      <w:r>
        <w:rPr>
          <w:rStyle w:val="Satznummer"/>
        </w:rPr>
        <w:t>2</w:t>
      </w:r>
      <w:r>
        <w:t xml:space="preserve">Dies gilt für Fälle des </w:t>
      </w:r>
      <w:hyperlink w:anchor="b715" w:history="1">
        <w:r>
          <w:rPr>
            <w:color w:val="0A3A8C"/>
            <w:u w:val="single"/>
          </w:rPr>
          <w:t xml:space="preserve">§ 483</w:t>
        </w:r>
      </w:hyperlink>
      <w:r>
        <w:t xml:space="preserve"> Absatz 1 Satz 2, auch in Verbindung mit </w:t>
      </w:r>
      <w:hyperlink w:anchor="b717" w:history="1">
        <w:r>
          <w:rPr>
            <w:color w:val="0A3A8C"/>
            <w:u w:val="single"/>
          </w:rPr>
          <w:t xml:space="preserve">§ 485</w:t>
        </w:r>
      </w:hyperlink>
      <w:r>
        <w:t xml:space="preserve"> Satz 4, entsprechend.</w:t>
      </w:r>
    </w:p>
    <w:p>
      <w:pPr>
        <w:pStyle w:val="Heading3"/>
      </w:pPr>
      <w:bookmarkStart w:id="720" w:name="b719"/>
      <w:r>
        <w:t>§ 487 Übermittlung gespeicherter Daten; Auskunft</w:t>
      </w:r>
      <w:r>
        <w:t xml:space="preserve"> </w:t>
      </w:r>
      <w:r>
        <w:rPr>
          <w:rStyle w:val="Suchmarke"/>
        </w:rPr>
        <w:t>#487#</w:t>
      </w:r>
      <w:bookmarkEnd w:id="720"/>
    </w:p>
    <w:p>
      <w:r>
        <w:t xml:space="preserve">(1) </w:t>
      </w:r>
      <w:r>
        <w:rPr>
          <w:rStyle w:val="Satznummer"/>
        </w:rPr>
        <w:t>1</w:t>
      </w:r>
      <w:r>
        <w:t xml:space="preserve">Die nach den </w:t>
      </w:r>
      <w:hyperlink w:anchor="b715" w:history="1">
        <w:r>
          <w:rPr>
            <w:color w:val="0A3A8C"/>
            <w:u w:val="single"/>
          </w:rPr>
          <w:t xml:space="preserve">§§ 483</w:t>
        </w:r>
      </w:hyperlink>
      <w:r>
        <w:t xml:space="preserve"> bis </w:t>
      </w:r>
      <w:hyperlink w:anchor="b717" w:history="1">
        <w:r>
          <w:rPr>
            <w:color w:val="0A3A8C"/>
            <w:u w:val="single"/>
          </w:rPr>
          <w:t xml:space="preserve">485</w:t>
        </w:r>
      </w:hyperlink>
      <w:r>
        <w:t xml:space="preserve"> gespeicherten Daten dürfen den zuständigen Stellen übermittelt werden, soweit dies für die in diesen Vorschriften genannten Zwecke, für Zwecke eines Gnadenverfahrens, des Vollzugs von freiheitsentziehenden Maßnahmen oder der internationalen Rechtshilfe in Strafsachen erforderlich ist. </w:t>
      </w:r>
      <w:r>
        <w:rPr>
          <w:rStyle w:val="Satznummer"/>
        </w:rPr>
        <w:t>2</w:t>
      </w:r>
      <w:hyperlink w:anchor="b710" w:history="1">
        <w:r>
          <w:rPr>
            <w:color w:val="0A3A8C"/>
            <w:u w:val="single"/>
          </w:rPr>
          <w:t xml:space="preserve">§ 479</w:t>
        </w:r>
      </w:hyperlink>
      <w:r>
        <w:t xml:space="preserve"> Absatz 1 und 2 und </w:t>
      </w:r>
      <w:hyperlink w:anchor="b717" w:history="1">
        <w:r>
          <w:rPr>
            <w:color w:val="0A3A8C"/>
            <w:u w:val="single"/>
          </w:rPr>
          <w:t xml:space="preserve">§ 485</w:t>
        </w:r>
      </w:hyperlink>
      <w:r>
        <w:t xml:space="preserve"> Satz 3 gelten entsprechend. </w:t>
      </w:r>
      <w:r>
        <w:rPr>
          <w:rStyle w:val="Satznummer"/>
        </w:rPr>
        <w:t>3</w:t>
      </w:r>
      <w:r>
        <w:t xml:space="preserve">Bewährungshelfer und Führungsaufsichtsstellen dürfen personenbezogene Daten von Verurteilten, die unter Aufsicht gestellt sind, an die Einrichtungen des Justiz- und Maßregelvollzugs übermitteln, wenn diese Daten für den Vollzug der Freiheitsentziehung, insbesondere zur Förderung der Vollzugs- und Behandlungsplanung oder der Entlassungsvorbereitung, erforderlich sind; das Gleiche gilt für Mitteilungen an Vollstreckungsbehörden, soweit diese Daten für die in </w:t>
      </w:r>
      <w:hyperlink w:anchor="b708" w:history="1">
        <w:r>
          <w:rPr>
            <w:color w:val="0A3A8C"/>
            <w:u w:val="single"/>
          </w:rPr>
          <w:t xml:space="preserve">§ 477</w:t>
        </w:r>
      </w:hyperlink>
      <w:r>
        <w:t xml:space="preserve"> Absatz 2 Nummer 1 oder 3 genannten Zwecke erforderlich sind.</w:t>
      </w:r>
    </w:p>
    <w:p>
      <w:r>
        <w:t xml:space="preserve">(2) </w:t>
      </w:r>
      <w:r>
        <w:rPr>
          <w:rStyle w:val="Satznummer"/>
        </w:rPr>
        <w:t>1</w:t>
      </w:r>
      <w:r>
        <w:t xml:space="preserve">Außerdem kann, unbeschadet des § 57 des Bundesdatenschutzgesetzes, Auskunft erteilt werden, soweit nach den Vorschriften dieses Gesetzes Akteneinsicht oder Auskunft aus den Akten gewährt werden könnte. </w:t>
      </w:r>
      <w:r>
        <w:rPr>
          <w:rStyle w:val="Satznummer"/>
        </w:rPr>
        <w:t>2</w:t>
      </w:r>
      <w:r>
        <w:t xml:space="preserve">Entsprechendes gilt für Mitteilungen nach den </w:t>
      </w:r>
      <w:hyperlink w:anchor="b708" w:history="1">
        <w:r>
          <w:rPr>
            <w:color w:val="0A3A8C"/>
            <w:u w:val="single"/>
          </w:rPr>
          <w:t xml:space="preserve">§§ 477</w:t>
        </w:r>
      </w:hyperlink>
      <w:r>
        <w:t xml:space="preserve"> und </w:t>
      </w:r>
      <w:hyperlink w:anchor="b712" w:history="1">
        <w:r>
          <w:rPr>
            <w:color w:val="0A3A8C"/>
            <w:u w:val="single"/>
          </w:rPr>
          <w:t xml:space="preserve">481</w:t>
        </w:r>
      </w:hyperlink>
      <w:r>
        <w:t xml:space="preserve"> Absatz 1 Satz 2 sowie für andere besondere gesetzliche Bestimmungen, die die Übermittlung personenbezogener Daten aus Strafverfahren anordnen oder erlauben.</w:t>
      </w:r>
    </w:p>
    <w:p>
      <w:r>
        <w:t xml:space="preserve">(3) </w:t>
      </w:r>
      <w:r>
        <w:rPr>
          <w:rStyle w:val="Satznummer"/>
        </w:rPr>
        <w:t>1</w:t>
      </w:r>
      <w:r>
        <w:t xml:space="preserve">Die Verantwortung für die Zulässigkeit der Übermittlung trägt die übermittelnde Stelle. </w:t>
      </w:r>
      <w:r>
        <w:rPr>
          <w:rStyle w:val="Satznummer"/>
        </w:rPr>
        <w:t>2</w:t>
      </w:r>
      <w:r>
        <w:t xml:space="preserve">Erfolgt die Übermittlung auf Ersuchen des Empfängers, trägt dieser die Verantwortung. </w:t>
      </w:r>
      <w:r>
        <w:rPr>
          <w:rStyle w:val="Satznummer"/>
        </w:rPr>
        <w:t>3</w:t>
      </w:r>
      <w:r>
        <w:t>In diesem Falle prüft die übermittelnde Stelle nur, ob das Übermittlungsersuchen im Rahmen der Aufgaben des Empfängers liegt, es sei denn, dass besonderer Anlass zu einer weitergehenden Prüfung der Zulässigkeit der Übermittlung besteht.</w:t>
      </w:r>
    </w:p>
    <w:p>
      <w:r>
        <w:t xml:space="preserve">(4) </w:t>
      </w:r>
      <w:r>
        <w:rPr>
          <w:rStyle w:val="Satznummer"/>
        </w:rPr>
        <w:t>1</w:t>
      </w:r>
      <w:r>
        <w:t xml:space="preserve">Die nach den </w:t>
      </w:r>
      <w:hyperlink w:anchor="b715" w:history="1">
        <w:r>
          <w:rPr>
            <w:color w:val="0A3A8C"/>
            <w:u w:val="single"/>
          </w:rPr>
          <w:t xml:space="preserve">§§ 483</w:t>
        </w:r>
      </w:hyperlink>
      <w:r>
        <w:t xml:space="preserve"> bis </w:t>
      </w:r>
      <w:hyperlink w:anchor="b717" w:history="1">
        <w:r>
          <w:rPr>
            <w:color w:val="0A3A8C"/>
            <w:u w:val="single"/>
          </w:rPr>
          <w:t xml:space="preserve">485</w:t>
        </w:r>
      </w:hyperlink>
      <w:r>
        <w:t xml:space="preserve"> gespeicherten Daten dürfen auch für wissenschaftliche Zwecke übermittelt werden. </w:t>
      </w:r>
      <w:r>
        <w:rPr>
          <w:rStyle w:val="Satznummer"/>
        </w:rPr>
        <w:t>2</w:t>
      </w:r>
      <w:hyperlink w:anchor="b707" w:history="1">
        <w:r>
          <w:rPr>
            <w:color w:val="0A3A8C"/>
            <w:u w:val="single"/>
          </w:rPr>
          <w:t xml:space="preserve">§ 476</w:t>
        </w:r>
      </w:hyperlink>
      <w:r>
        <w:t xml:space="preserve"> gilt entsprechend.</w:t>
      </w:r>
    </w:p>
    <w:p>
      <w:r>
        <w:t>(5) Besondere gesetzliche Bestimmungen, die die Übermittlung von Daten aus einem Strafverfahren anordnen oder erlauben, bleiben unberührt.</w:t>
      </w:r>
    </w:p>
    <w:p>
      <w:r>
        <w:t xml:space="preserve">(6) </w:t>
      </w:r>
      <w:r>
        <w:rPr>
          <w:rStyle w:val="Satznummer"/>
        </w:rPr>
        <w:t>1</w:t>
      </w:r>
      <w:r>
        <w:t xml:space="preserve">Die Daten dürfen nur zu dem Zweck verwendet werden, für den sie übermittelt worden sind. </w:t>
      </w:r>
      <w:r>
        <w:rPr>
          <w:rStyle w:val="Satznummer"/>
        </w:rPr>
        <w:t>2</w:t>
      </w:r>
      <w:r>
        <w:t>Eine Verwendung für andere Zwecke ist zulässig, soweit die Daten auch dafür hätten übermittelt werden dürfen.</w:t>
      </w:r>
    </w:p>
    <w:p>
      <w:pPr>
        <w:pStyle w:val="Heading3"/>
      </w:pPr>
      <w:bookmarkStart w:id="721" w:name="b720"/>
      <w:r>
        <w:t>§ 488 Automatisierte Verfahren für Datenübermittlungen</w:t>
      </w:r>
      <w:r>
        <w:t xml:space="preserve"> </w:t>
      </w:r>
      <w:r>
        <w:rPr>
          <w:rStyle w:val="Suchmarke"/>
        </w:rPr>
        <w:t>#488#</w:t>
      </w:r>
      <w:bookmarkEnd w:id="721"/>
    </w:p>
    <w:p>
      <w:r>
        <w:t xml:space="preserve">(1) </w:t>
      </w:r>
      <w:r>
        <w:rPr>
          <w:rStyle w:val="Satznummer"/>
        </w:rPr>
        <w:t>1</w:t>
      </w:r>
      <w:r>
        <w:t xml:space="preserve">Die Einrichtung eines automatisierten Abrufverfahrens oder eines automatisierten Anfrage- und Auskunftsverfahrens ist für Übermittlungen nach </w:t>
      </w:r>
      <w:hyperlink w:anchor="b719" w:history="1">
        <w:r>
          <w:rPr>
            <w:color w:val="0A3A8C"/>
            <w:u w:val="single"/>
          </w:rPr>
          <w:t xml:space="preserve">§ 487</w:t>
        </w:r>
      </w:hyperlink>
      <w:r>
        <w:t xml:space="preserve"> Abs. 1 zwischen den in </w:t>
      </w:r>
      <w:hyperlink w:anchor="b715" w:history="1">
        <w:r>
          <w:rPr>
            <w:color w:val="0A3A8C"/>
            <w:u w:val="single"/>
          </w:rPr>
          <w:t xml:space="preserve">§ 483</w:t>
        </w:r>
      </w:hyperlink>
      <w:r>
        <w:t xml:space="preserve"> Abs. 1 genannten Stellen zulässig, soweit diese Form der Datenübermittlung unter Berücksichtigung der schutzwürdigen Interessen der betroffenen Personen wegen der Vielzahl der Übermittlungen oder wegen ihrer besonderen Eilbedürftigkeit angemessen ist. </w:t>
      </w:r>
      <w:r>
        <w:rPr>
          <w:rStyle w:val="Satznummer"/>
        </w:rPr>
        <w:t>2</w:t>
      </w:r>
      <w:r>
        <w:t>Die beteiligten Stellen haben zu gewährleisten, dass dem jeweiligen Stand der Technik entsprechende Maßnahmen zur Sicherstellung von Datenschutz und Datensicherheit getroffen werden, die insbesondere die Vertraulichkeit und Unversehrtheit der Daten gewährleisten; im Falle der Nutzung allgemein zugänglicher Netze sind dem jeweiligen Stand der Technik entsprechende Verschlüsselungsverfahren anzuwenden.</w:t>
      </w:r>
    </w:p>
    <w:p>
      <w:r>
        <w:t xml:space="preserve">(2) </w:t>
      </w:r>
      <w:r>
        <w:rPr>
          <w:rStyle w:val="Satznummer"/>
        </w:rPr>
        <w:t>1</w:t>
      </w:r>
      <w:r>
        <w:t xml:space="preserve">Bei der Festlegung zur Einrichtung eines automatisierten Abrufverfahrens haben die beteiligten Stellen zu gewährleisten, dass die Zulässigkeit des Abrufverfahrens kontrolliert werden kann. </w:t>
      </w:r>
      <w:r>
        <w:rPr>
          <w:rStyle w:val="Satznummer"/>
        </w:rPr>
        <w:t>2</w:t>
      </w:r>
      <w:r>
        <w:t>Hierzu haben sie Folgendes schriftlich festzulegen:</w:t>
      </w:r>
    </w:p>
    <w:p>
      <w:pPr>
        <w:tabs>
          <w:tab w:pos="567" w:val="left"/>
        </w:tabs>
        <w:ind w:left="567" w:hanging="567"/>
      </w:pPr>
      <w:r>
        <w:t>1.</w:t>
      </w:r>
      <w:r>
        <w:tab/>
      </w:r>
      <w:r>
        <w:t>den Anlass und den Zweck des Abrufverfahrens,</w:t>
      </w:r>
    </w:p>
    <w:p>
      <w:pPr>
        <w:tabs>
          <w:tab w:pos="567" w:val="left"/>
        </w:tabs>
        <w:ind w:left="567" w:hanging="567"/>
      </w:pPr>
      <w:r>
        <w:t>2.</w:t>
      </w:r>
      <w:r>
        <w:tab/>
      </w:r>
      <w:r>
        <w:t>die Dritten, an die übermittelt wird,</w:t>
      </w:r>
    </w:p>
    <w:p>
      <w:pPr>
        <w:tabs>
          <w:tab w:pos="567" w:val="left"/>
        </w:tabs>
        <w:ind w:left="567" w:hanging="567"/>
      </w:pPr>
      <w:r>
        <w:t>3.</w:t>
      </w:r>
      <w:r>
        <w:tab/>
      </w:r>
      <w:r>
        <w:t>die Art der zu übermittelnden Daten und</w:t>
      </w:r>
    </w:p>
    <w:p>
      <w:pPr>
        <w:tabs>
          <w:tab w:pos="567" w:val="left"/>
        </w:tabs>
        <w:ind w:left="567" w:hanging="567"/>
      </w:pPr>
      <w:r>
        <w:t>4.</w:t>
      </w:r>
      <w:r>
        <w:tab/>
      </w:r>
      <w:r>
        <w:t>die nach § 64 des Bundesdatenschutzgesetzes erforderlichen technischen und organisatorischen Maßnahmen.</w:t>
      </w:r>
    </w:p>
    <w:p>
      <w:r>
        <w:rPr>
          <w:rStyle w:val="Satznummer"/>
        </w:rPr>
        <w:t>3</w:t>
      </w:r>
      <w:r>
        <w:t xml:space="preserve">Die Festlegung bedarf der Zustimmung der für die speichernde und die abrufende Stelle jeweils zuständigen Bundes- und Landesministerien. </w:t>
      </w:r>
      <w:r>
        <w:rPr>
          <w:rStyle w:val="Satznummer"/>
        </w:rPr>
        <w:t>4</w:t>
      </w:r>
      <w:r>
        <w:t>Die speichernde Stelle übersendet die Festlegungen der Stelle, die für die Kontrolle der Einhaltung der Vorschriften über den Datenschutz bei öffentlichen Stellen zuständig ist.</w:t>
      </w:r>
    </w:p>
    <w:p>
      <w:r>
        <w:t xml:space="preserve">(3) </w:t>
      </w:r>
      <w:r>
        <w:rPr>
          <w:rStyle w:val="Satznummer"/>
        </w:rPr>
        <w:t>1</w:t>
      </w:r>
      <w:r>
        <w:t xml:space="preserve">Die Verantwortung für die Zulässigkeit des einzelnen Abrufs trägt der Empfänger. </w:t>
      </w:r>
      <w:r>
        <w:rPr>
          <w:rStyle w:val="Satznummer"/>
        </w:rPr>
        <w:t>2</w:t>
      </w:r>
      <w:r>
        <w:t xml:space="preserve">Die speichernde Stelle prüft die Zulässigkeit der Abrufe nur, wenn dazu Anlass besteht. </w:t>
      </w:r>
      <w:r>
        <w:rPr>
          <w:rStyle w:val="Satznummer"/>
        </w:rPr>
        <w:t>3</w:t>
      </w:r>
      <w:r>
        <w:t xml:space="preserve">Die speichernde Stelle hat zu gewährleisten, dass die Übermittlung personenbezogener Daten festgestellt und überprüft werden kann. </w:t>
      </w:r>
      <w:r>
        <w:rPr>
          <w:rStyle w:val="Satznummer"/>
        </w:rPr>
        <w:t>4</w:t>
      </w:r>
      <w:r>
        <w:t xml:space="preserve">Im Rahmen der Protokollierung nach § 76 des Bundesdatenschutzgesetzes hat sie ergänzend zu den dort in Absatz 2 aufgeführten Daten die abgerufenen Daten, die Kennung der abrufenden Stelle und das Aktenzeichen des Empfängers zu protokollieren. </w:t>
      </w:r>
      <w:r>
        <w:rPr>
          <w:rStyle w:val="Satznummer"/>
        </w:rPr>
        <w:t>5</w:t>
      </w:r>
      <w:r>
        <w:t>Die Protokolldaten sind nach zwölf Monaten zu löschen.</w:t>
      </w:r>
    </w:p>
    <w:p>
      <w:r>
        <w:t>(4) Die Absätze 2 und 3 gelten für das automatisierte Anfrage- und Auskunftsverfahren entsprechend.</w:t>
      </w:r>
    </w:p>
    <w:p>
      <w:pPr>
        <w:pStyle w:val="Heading3"/>
      </w:pPr>
      <w:bookmarkStart w:id="722" w:name="b721"/>
      <w:r>
        <w:t>§ 489 Löschung und Einschränkung der Verarbeitung von Daten</w:t>
      </w:r>
      <w:r>
        <w:t xml:space="preserve"> </w:t>
      </w:r>
      <w:r>
        <w:rPr>
          <w:rStyle w:val="Suchmarke"/>
        </w:rPr>
        <w:t>#489#</w:t>
      </w:r>
      <w:bookmarkEnd w:id="722"/>
    </w:p>
    <w:p>
      <w:r>
        <w:t>(1) Zu löschen sind, unbeschadet der anderen, in § 75 Absatz 2 des Bundesdatenschutzgesetzes genannten Gründe für die Pflicht zur Löschung,</w:t>
      </w:r>
    </w:p>
    <w:p>
      <w:pPr>
        <w:tabs>
          <w:tab w:pos="567" w:val="left"/>
        </w:tabs>
        <w:ind w:left="567" w:hanging="567"/>
      </w:pPr>
      <w:r>
        <w:t>1.</w:t>
      </w:r>
      <w:r>
        <w:tab/>
      </w:r>
      <w:r>
        <w:t xml:space="preserve">die nach </w:t>
      </w:r>
      <w:hyperlink w:anchor="b715" w:history="1">
        <w:r>
          <w:rPr>
            <w:color w:val="0A3A8C"/>
            <w:u w:val="single"/>
          </w:rPr>
          <w:t xml:space="preserve">§ 483</w:t>
        </w:r>
      </w:hyperlink>
      <w:r>
        <w:t xml:space="preserve"> gespeicherten Daten mit der Erledigung des Verfahrens, soweit ihre Speicherung nicht nach den </w:t>
      </w:r>
      <w:hyperlink w:anchor="b716" w:history="1">
        <w:r>
          <w:rPr>
            <w:color w:val="0A3A8C"/>
            <w:u w:val="single"/>
          </w:rPr>
          <w:t xml:space="preserve">§§ 484</w:t>
        </w:r>
      </w:hyperlink>
      <w:r>
        <w:t xml:space="preserve"> und </w:t>
      </w:r>
      <w:hyperlink w:anchor="b717" w:history="1">
        <w:r>
          <w:rPr>
            <w:color w:val="0A3A8C"/>
            <w:u w:val="single"/>
          </w:rPr>
          <w:t xml:space="preserve">485</w:t>
        </w:r>
      </w:hyperlink>
      <w:r>
        <w:t xml:space="preserve"> zulässig ist,</w:t>
      </w:r>
    </w:p>
    <w:p>
      <w:pPr>
        <w:tabs>
          <w:tab w:pos="567" w:val="left"/>
        </w:tabs>
        <w:ind w:left="567" w:hanging="567"/>
      </w:pPr>
      <w:r>
        <w:t>2.</w:t>
      </w:r>
      <w:r>
        <w:tab/>
      </w:r>
      <w:r>
        <w:t xml:space="preserve">die nach </w:t>
      </w:r>
      <w:hyperlink w:anchor="b716" w:history="1">
        <w:r>
          <w:rPr>
            <w:color w:val="0A3A8C"/>
            <w:u w:val="single"/>
          </w:rPr>
          <w:t xml:space="preserve">§ 484</w:t>
        </w:r>
      </w:hyperlink>
      <w:r>
        <w:t xml:space="preserve"> gespeicherten Daten, soweit die dortigen Voraussetzungen nicht mehr vorliegen und ihre Speicherung nicht nach </w:t>
      </w:r>
      <w:hyperlink w:anchor="b717" w:history="1">
        <w:r>
          <w:rPr>
            <w:color w:val="0A3A8C"/>
            <w:u w:val="single"/>
          </w:rPr>
          <w:t xml:space="preserve">§ 485</w:t>
        </w:r>
      </w:hyperlink>
      <w:r>
        <w:t xml:space="preserve"> zulässig ist, und</w:t>
      </w:r>
    </w:p>
    <w:p>
      <w:pPr>
        <w:tabs>
          <w:tab w:pos="567" w:val="left"/>
        </w:tabs>
        <w:ind w:left="567" w:hanging="567"/>
      </w:pPr>
      <w:r>
        <w:t>3.</w:t>
      </w:r>
      <w:r>
        <w:tab/>
      </w:r>
      <w:r>
        <w:t xml:space="preserve">die nach </w:t>
      </w:r>
      <w:hyperlink w:anchor="b717" w:history="1">
        <w:r>
          <w:rPr>
            <w:color w:val="0A3A8C"/>
            <w:u w:val="single"/>
          </w:rPr>
          <w:t xml:space="preserve">§ 485</w:t>
        </w:r>
      </w:hyperlink>
      <w:r>
        <w:t xml:space="preserve"> gespeicherten Daten, sobald ihre Speicherung zur Vorgangsverwaltung nicht mehr erforderlich ist.</w:t>
      </w:r>
    </w:p>
    <w:p>
      <w:r>
        <w:t xml:space="preserve">(2) </w:t>
      </w:r>
      <w:r>
        <w:rPr>
          <w:rStyle w:val="Satznummer"/>
        </w:rPr>
        <w:t>1</w:t>
      </w:r>
      <w:r>
        <w:t xml:space="preserve">Als Erledigung des Verfahrens gilt die Erledigung bei der Staatsanwaltschaft oder, sofern die öffentliche Klage erhoben wurde, bei Gericht. </w:t>
      </w:r>
      <w:r>
        <w:rPr>
          <w:rStyle w:val="Satznummer"/>
        </w:rPr>
        <w:t>2</w:t>
      </w:r>
      <w:r>
        <w:t xml:space="preserve">Ist eine Strafe oder eine sonstige Sanktion angeordnet worden, so ist der Abschluss der Vollstreckung oder der Erlass maßgeblich. </w:t>
      </w:r>
      <w:r>
        <w:rPr>
          <w:rStyle w:val="Satznummer"/>
        </w:rPr>
        <w:t>3</w:t>
      </w:r>
      <w:r>
        <w:t>Wird das Verfahren eingestellt und hindert die Einstellung die Wiederaufnahme der Verfolgung nicht, so ist das Verfahren mit Eintritt der Verjährung als erledigt anzusehen.</w:t>
      </w:r>
    </w:p>
    <w:p>
      <w:r>
        <w:t xml:space="preserve">(3) </w:t>
      </w:r>
      <w:r>
        <w:rPr>
          <w:rStyle w:val="Satznummer"/>
        </w:rPr>
        <w:t>1</w:t>
      </w:r>
      <w:r>
        <w:t xml:space="preserve">Der Verantwortliche prüft nach festgesetzten Fristen, ob gespeicherte Daten zu löschen sind. </w:t>
      </w:r>
      <w:r>
        <w:rPr>
          <w:rStyle w:val="Satznummer"/>
        </w:rPr>
        <w:t>2</w:t>
      </w:r>
      <w:r>
        <w:t xml:space="preserve">Die Frist zur Überprüfung der Notwendigkeit der Speicherung nach § 75 Absatz 4 des Bundesdatenschutzgesetzes beträgt für die nach </w:t>
      </w:r>
      <w:hyperlink w:anchor="b716" w:history="1">
        <w:r>
          <w:rPr>
            <w:color w:val="0A3A8C"/>
            <w:u w:val="single"/>
          </w:rPr>
          <w:t xml:space="preserve">§ 484</w:t>
        </w:r>
      </w:hyperlink>
      <w:r>
        <w:t xml:space="preserve"> gespeicherten Daten</w:t>
      </w:r>
    </w:p>
    <w:p>
      <w:pPr>
        <w:tabs>
          <w:tab w:pos="567" w:val="left"/>
        </w:tabs>
        <w:ind w:left="567" w:hanging="567"/>
      </w:pPr>
      <w:r>
        <w:t>1.</w:t>
      </w:r>
      <w:r>
        <w:tab/>
      </w:r>
      <w:r>
        <w:t>bei Beschuldigten, die zur Tatzeit das achtzehnte Lebensjahr vollendet hatten, zehn Jahre,</w:t>
      </w:r>
    </w:p>
    <w:p>
      <w:pPr>
        <w:tabs>
          <w:tab w:pos="567" w:val="left"/>
        </w:tabs>
        <w:ind w:left="567" w:hanging="567"/>
      </w:pPr>
      <w:r>
        <w:t>2.</w:t>
      </w:r>
      <w:r>
        <w:tab/>
      </w:r>
      <w:r>
        <w:t>bei Jugendlichen fünf Jahre,</w:t>
      </w:r>
    </w:p>
    <w:p>
      <w:pPr>
        <w:tabs>
          <w:tab w:pos="567" w:val="left"/>
        </w:tabs>
        <w:ind w:left="567" w:hanging="567"/>
      </w:pPr>
      <w:r>
        <w:t>3.</w:t>
      </w:r>
      <w:r>
        <w:tab/>
      </w:r>
      <w:r>
        <w:t>in den Fällen des rechtskräftigen Freispruchs, der unanfechtbaren Ablehnung der Eröffnung des Hauptverfahrens und der nicht nur vorläufigen Verfahrenseinstellung drei Jahre,</w:t>
      </w:r>
    </w:p>
    <w:p>
      <w:pPr>
        <w:tabs>
          <w:tab w:pos="567" w:val="left"/>
        </w:tabs>
        <w:ind w:left="567" w:hanging="567"/>
      </w:pPr>
      <w:r>
        <w:t>4.</w:t>
      </w:r>
      <w:r>
        <w:tab/>
      </w:r>
      <w:r>
        <w:t xml:space="preserve">bei nach </w:t>
      </w:r>
      <w:hyperlink w:anchor="b716" w:history="1">
        <w:r>
          <w:rPr>
            <w:color w:val="0A3A8C"/>
            <w:u w:val="single"/>
          </w:rPr>
          <w:t xml:space="preserve">§ 484</w:t>
        </w:r>
      </w:hyperlink>
      <w:r>
        <w:t xml:space="preserve"> Absatz 1 gespeicherten Daten zu Personen, die zur Tatzeit nicht strafmündig waren, zwei Jahre.</w:t>
      </w:r>
    </w:p>
    <w:p>
      <w:r>
        <w:t xml:space="preserve">(4) Der Verantwortliche kann in der Errichtungsanordnung nach </w:t>
      </w:r>
      <w:hyperlink w:anchor="b722" w:history="1">
        <w:r>
          <w:rPr>
            <w:color w:val="0A3A8C"/>
            <w:u w:val="single"/>
          </w:rPr>
          <w:t xml:space="preserve">§ 490</w:t>
        </w:r>
      </w:hyperlink>
      <w:r>
        <w:t xml:space="preserve"> kürzere Prüffristen festlegen.</w:t>
      </w:r>
    </w:p>
    <w:p>
      <w:r>
        <w:t>(5) Die Fristen nach Absatz 3 beginnen mit dem Tag, an dem das letzte Ereignis eingetreten ist, das zur Speicherung der Daten geführt hat, jedoch nicht vor</w:t>
      </w:r>
    </w:p>
    <w:p>
      <w:pPr>
        <w:tabs>
          <w:tab w:pos="567" w:val="left"/>
        </w:tabs>
        <w:ind w:left="567" w:hanging="567"/>
      </w:pPr>
      <w:r>
        <w:t>1.</w:t>
      </w:r>
      <w:r>
        <w:tab/>
      </w:r>
      <w:r>
        <w:t>Entlassung der betroffenen Person aus einer Justizvollzugsanstalt oder</w:t>
      </w:r>
    </w:p>
    <w:p>
      <w:pPr>
        <w:tabs>
          <w:tab w:pos="567" w:val="left"/>
        </w:tabs>
        <w:ind w:left="567" w:hanging="567"/>
      </w:pPr>
      <w:r>
        <w:t>2.</w:t>
      </w:r>
      <w:r>
        <w:tab/>
      </w:r>
      <w:r>
        <w:t>Beendigung einer mit Freiheitsentziehung verbundenen Maßregel der Besserung und Sicherung.</w:t>
      </w:r>
    </w:p>
    <w:p>
      <w:r>
        <w:t xml:space="preserve">(6) </w:t>
      </w:r>
      <w:r>
        <w:rPr>
          <w:rStyle w:val="Satznummer"/>
        </w:rPr>
        <w:t>1</w:t>
      </w:r>
      <w:r>
        <w:t xml:space="preserve">§ 58 Absatz 3 Satz 1 Nummer 1 und 3 des Bundesdatenschutzgesetzes gilt für die Löschung nach Absatz 1 entsprechend. </w:t>
      </w:r>
      <w:r>
        <w:rPr>
          <w:rStyle w:val="Satznummer"/>
        </w:rPr>
        <w:t>2</w:t>
      </w:r>
      <w:r>
        <w:t xml:space="preserve">Darüber hinaus ist an Stelle der Löschung personenbezogener Daten deren Verarbeitung einzuschränken, soweit die Daten für laufende Forschungsarbeiten benötigt werden. </w:t>
      </w:r>
      <w:r>
        <w:rPr>
          <w:rStyle w:val="Satznummer"/>
        </w:rPr>
        <w:t>3</w:t>
      </w:r>
      <w:r>
        <w:t xml:space="preserve">Die Verarbeitung personenbezogener Daten ist ferner einzuschränken, soweit sie nur zu Zwecken der Datensicherung oder der Datenschutzkontrolle gespeichert sind. </w:t>
      </w:r>
      <w:r>
        <w:rPr>
          <w:rStyle w:val="Satznummer"/>
        </w:rPr>
        <w:t>4</w:t>
      </w:r>
      <w:r>
        <w:t xml:space="preserve">Daten, deren Verarbeitung nach den Sätzen 1 oder 2 eingeschränkt ist, dürfen nur zu dem Zweck verwendet werden, für den ihre Löschung unterblieben ist. </w:t>
      </w:r>
      <w:r>
        <w:rPr>
          <w:rStyle w:val="Satznummer"/>
        </w:rPr>
        <w:t>5</w:t>
      </w:r>
      <w:r>
        <w:t>Sie dürfen auch verwendet werden, soweit dies zur Behebung einer bestehenden Beweisnot unerlässlich ist.</w:t>
      </w:r>
    </w:p>
    <w:p>
      <w:r>
        <w:t>(7) Anstelle der Löschung der Daten sind die Datenträger an ein Staatsarchiv abzugeben, soweit besondere archivrechtliche Regelungen dies vorsehen.</w:t>
      </w:r>
    </w:p>
    <w:p>
      <w:pPr>
        <w:pStyle w:val="Heading3"/>
      </w:pPr>
      <w:bookmarkStart w:id="723" w:name="b722"/>
      <w:r>
        <w:t>§ 490 Errichtungsanordnung für automatisierte Dateisysteme</w:t>
      </w:r>
      <w:r>
        <w:t xml:space="preserve"> </w:t>
      </w:r>
      <w:r>
        <w:rPr>
          <w:rStyle w:val="Suchmarke"/>
        </w:rPr>
        <w:t>#490#</w:t>
      </w:r>
      <w:bookmarkEnd w:id="723"/>
    </w:p>
    <w:p>
      <w:r>
        <w:rPr>
          <w:rStyle w:val="Satznummer"/>
        </w:rPr>
        <w:t>1</w:t>
      </w:r>
      <w:r>
        <w:t>Der Verantwortliche legt für jedes automatisierte Dateisystem in einer Errichtungsanordnung mindestens fest:</w:t>
      </w:r>
    </w:p>
    <w:p>
      <w:pPr>
        <w:tabs>
          <w:tab w:pos="567" w:val="left"/>
        </w:tabs>
        <w:ind w:left="567" w:hanging="567"/>
      </w:pPr>
      <w:r>
        <w:t>1.</w:t>
      </w:r>
      <w:r>
        <w:tab/>
      </w:r>
      <w:r>
        <w:t>die Bezeichnung des Dateisystems,</w:t>
      </w:r>
    </w:p>
    <w:p>
      <w:pPr>
        <w:tabs>
          <w:tab w:pos="567" w:val="left"/>
        </w:tabs>
        <w:ind w:left="567" w:hanging="567"/>
      </w:pPr>
      <w:r>
        <w:t>2.</w:t>
      </w:r>
      <w:r>
        <w:tab/>
      </w:r>
      <w:r>
        <w:t>die Rechtsgrundlage und den Zweck des Dateisystems,</w:t>
      </w:r>
    </w:p>
    <w:p>
      <w:pPr>
        <w:tabs>
          <w:tab w:pos="567" w:val="left"/>
        </w:tabs>
        <w:ind w:left="567" w:hanging="567"/>
      </w:pPr>
      <w:r>
        <w:t>3.</w:t>
      </w:r>
      <w:r>
        <w:tab/>
      </w:r>
      <w:r>
        <w:t>den Personenkreis, über den Daten in dem Dateisystem verarbeitet werden,</w:t>
      </w:r>
    </w:p>
    <w:p>
      <w:pPr>
        <w:tabs>
          <w:tab w:pos="567" w:val="left"/>
        </w:tabs>
        <w:ind w:left="567" w:hanging="567"/>
      </w:pPr>
      <w:r>
        <w:t>4.</w:t>
      </w:r>
      <w:r>
        <w:tab/>
      </w:r>
      <w:r>
        <w:t>die Art der zu verarbeitenden Daten,</w:t>
      </w:r>
    </w:p>
    <w:p>
      <w:pPr>
        <w:tabs>
          <w:tab w:pos="567" w:val="left"/>
        </w:tabs>
        <w:ind w:left="567" w:hanging="567"/>
      </w:pPr>
      <w:r>
        <w:t>5.</w:t>
      </w:r>
      <w:r>
        <w:tab/>
      </w:r>
      <w:r>
        <w:t>die Anlieferung oder Eingabe der zu verarbeitenden Daten,</w:t>
      </w:r>
    </w:p>
    <w:p>
      <w:pPr>
        <w:tabs>
          <w:tab w:pos="567" w:val="left"/>
        </w:tabs>
        <w:ind w:left="567" w:hanging="567"/>
      </w:pPr>
      <w:r>
        <w:t>6.</w:t>
      </w:r>
      <w:r>
        <w:tab/>
      </w:r>
      <w:r>
        <w:t>die Voraussetzungen, unter denen in dem Dateisystem verarbeitete Daten an welche Empfänger und in welchem Verfahren übermittelt werden,</w:t>
      </w:r>
    </w:p>
    <w:p>
      <w:pPr>
        <w:tabs>
          <w:tab w:pos="567" w:val="left"/>
        </w:tabs>
        <w:ind w:left="567" w:hanging="567"/>
      </w:pPr>
      <w:r>
        <w:t>7.</w:t>
      </w:r>
      <w:r>
        <w:tab/>
      </w:r>
      <w:r>
        <w:t>Prüffristen und Speicherungsdauer.</w:t>
      </w:r>
    </w:p>
    <w:p>
      <w:r>
        <w:rPr>
          <w:rStyle w:val="Satznummer"/>
        </w:rPr>
        <w:t>2</w:t>
      </w:r>
      <w:r>
        <w:t xml:space="preserve">Dies gilt nicht für Dateisysteme, die nur vorübergehend vorgehalten und innerhalb von drei Monaten nach ihrer Erstellung gelöscht werden, und Informationssysteme gemäß </w:t>
      </w:r>
      <w:hyperlink w:anchor="b715" w:history="1">
        <w:r>
          <w:rPr>
            <w:color w:val="0A3A8C"/>
            <w:u w:val="single"/>
          </w:rPr>
          <w:t xml:space="preserve">§ 483</w:t>
        </w:r>
      </w:hyperlink>
      <w:r>
        <w:t xml:space="preserve"> Absatz 1 Satz 2.</w:t>
      </w:r>
    </w:p>
    <w:p>
      <w:pPr>
        <w:pStyle w:val="Heading3"/>
      </w:pPr>
      <w:bookmarkStart w:id="724" w:name="b723"/>
      <w:r>
        <w:t>§ 491 Auskunft an betroffene Personen</w:t>
      </w:r>
      <w:r>
        <w:t xml:space="preserve"> </w:t>
      </w:r>
      <w:r>
        <w:rPr>
          <w:rStyle w:val="Suchmarke"/>
        </w:rPr>
        <w:t>#491#</w:t>
      </w:r>
      <w:bookmarkEnd w:id="724"/>
    </w:p>
    <w:p>
      <w:r>
        <w:t xml:space="preserve">(1) </w:t>
      </w:r>
      <w:r>
        <w:rPr>
          <w:rStyle w:val="Satznummer"/>
        </w:rPr>
        <w:t>1</w:t>
      </w:r>
      <w:r>
        <w:t xml:space="preserve">Ist die betroffene Person bei einem gemeinsamen Dateisystem nicht in der Lage, den Verantwortlichen festzustellen, so kann sie sich zum Zweck der Auskunft nach § 57 des Bundesdatenschutzgesetzes an jede beteiligte speicherungsberechtigte Stelle wenden. </w:t>
      </w:r>
      <w:r>
        <w:rPr>
          <w:rStyle w:val="Satznummer"/>
        </w:rPr>
        <w:t>2</w:t>
      </w:r>
      <w:r>
        <w:t>Über die Erteilung einer Auskunft entscheidet die ersuchte speicherungsberechtigte Stelle im Einvernehmen mit dem Verantwortlichen.</w:t>
      </w:r>
    </w:p>
    <w:p>
      <w:r>
        <w:t>(2) Für den Auskunftsanspruch betroffener Personen gilt § 57 des Bundesdatenschutzgesetzes.</w:t>
      </w:r>
    </w:p>
    <w:p>
      <w:pPr>
        <w:pStyle w:val="Heading2"/>
      </w:pPr>
      <w:bookmarkStart w:id="725" w:name="b724"/>
      <w:r>
        <w:t>Dritter Abschnitt Länderübergreifendes staatsanwaltschaftliches Verfahrensregister</w:t>
      </w:r>
      <w:bookmarkEnd w:id="725"/>
    </w:p>
    <w:p>
      <w:pPr>
        <w:pStyle w:val="Heading3"/>
      </w:pPr>
      <w:bookmarkStart w:id="726" w:name="b725"/>
      <w:r>
        <w:t>§ 492 Zentrales staatsanwaltschaftliches Verfahrensregister</w:t>
      </w:r>
      <w:r>
        <w:t xml:space="preserve"> </w:t>
      </w:r>
      <w:r>
        <w:rPr>
          <w:rStyle w:val="Suchmarke"/>
        </w:rPr>
        <w:t>#492#</w:t>
      </w:r>
      <w:bookmarkEnd w:id="726"/>
    </w:p>
    <w:p>
      <w:r>
        <w:t>(1) Das Bundesamt für Justiz (Registerbehörde) führt ein zentrales staatsanwaltschaftliches Verfahrensregister.</w:t>
      </w:r>
    </w:p>
    <w:p>
      <w:r>
        <w:t xml:space="preserve">(2) </w:t>
      </w:r>
      <w:r>
        <w:rPr>
          <w:rStyle w:val="Satznummer"/>
        </w:rPr>
        <w:t>1</w:t>
      </w:r>
      <w:r>
        <w:t>In das Register sind</w:t>
      </w:r>
    </w:p>
    <w:p>
      <w:pPr>
        <w:tabs>
          <w:tab w:pos="567" w:val="left"/>
        </w:tabs>
        <w:ind w:left="567" w:hanging="567"/>
      </w:pPr>
      <w:r>
        <w:t>1.</w:t>
      </w:r>
      <w:r>
        <w:tab/>
      </w:r>
      <w:r>
        <w:t>die Personendaten des Beschuldigten und, soweit erforderlich, andere zur Identifizierung geeignete Merkmale,</w:t>
      </w:r>
    </w:p>
    <w:p>
      <w:pPr>
        <w:tabs>
          <w:tab w:pos="567" w:val="left"/>
        </w:tabs>
        <w:ind w:left="567" w:hanging="567"/>
      </w:pPr>
      <w:r>
        <w:t>2.</w:t>
      </w:r>
      <w:r>
        <w:tab/>
      </w:r>
      <w:r>
        <w:t>die zuständige Stelle und das Aktenzeichen,</w:t>
      </w:r>
    </w:p>
    <w:p>
      <w:pPr>
        <w:tabs>
          <w:tab w:pos="567" w:val="left"/>
        </w:tabs>
        <w:ind w:left="567" w:hanging="567"/>
      </w:pPr>
      <w:r>
        <w:t>3.</w:t>
      </w:r>
      <w:r>
        <w:tab/>
      </w:r>
      <w:r>
        <w:t>die nähere Bezeichnung der Straftaten, insbesondere die Tatzeiten, die Tatorte und die Höhe etwaiger Schäden,</w:t>
      </w:r>
    </w:p>
    <w:p>
      <w:pPr>
        <w:tabs>
          <w:tab w:pos="567" w:val="left"/>
        </w:tabs>
        <w:ind w:left="567" w:hanging="567"/>
      </w:pPr>
      <w:r>
        <w:t>4.</w:t>
      </w:r>
      <w:r>
        <w:tab/>
      </w:r>
      <w:r>
        <w:t>die Tatvorwürfe durch Angabe der gesetzlichen Vorschriften,</w:t>
      </w:r>
    </w:p>
    <w:p>
      <w:pPr>
        <w:tabs>
          <w:tab w:pos="567" w:val="left"/>
        </w:tabs>
        <w:ind w:left="567" w:hanging="567"/>
      </w:pPr>
      <w:r>
        <w:t>5.</w:t>
      </w:r>
      <w:r>
        <w:tab/>
      </w:r>
      <w:r>
        <w:t>die Einleitung des Verfahrens sowie die Verfahrenserledigungen bei der Staatsanwaltschaft und bei Gericht nebst Angabe der gesetzlichen Vorschriften</w:t>
      </w:r>
    </w:p>
    <w:p>
      <w:r>
        <w:t xml:space="preserve">einzutragen. </w:t>
      </w:r>
      <w:r>
        <w:rPr>
          <w:rStyle w:val="Satznummer"/>
        </w:rPr>
        <w:t>2</w:t>
      </w:r>
      <w:r>
        <w:t>Die Daten dürfen nur für Strafverfahren gespeichert und verändert werden.</w:t>
      </w:r>
    </w:p>
    <w:p>
      <w:r>
        <w:t xml:space="preserve">(3) </w:t>
      </w:r>
      <w:r>
        <w:rPr>
          <w:rStyle w:val="Satznummer"/>
        </w:rPr>
        <w:t>1</w:t>
      </w:r>
      <w:r>
        <w:t xml:space="preserve">Die Staatsanwaltschaften teilen die einzutragenden Daten der Registerbehörde zu dem in Absatz 2 Satz 2 genannten Zweck mit. </w:t>
      </w:r>
      <w:r>
        <w:rPr>
          <w:rStyle w:val="Satznummer"/>
        </w:rPr>
        <w:t>2</w:t>
      </w:r>
      <w:r>
        <w:t xml:space="preserve">Auskünfte aus dem Verfahrensregister dürfen nur Strafverfolgungsbehörden für Zwecke eines Strafverfahrens erteilt werden. </w:t>
      </w:r>
      <w:r>
        <w:rPr>
          <w:rStyle w:val="Satznummer"/>
        </w:rPr>
        <w:t>3</w:t>
      </w:r>
      <w:r>
        <w:t xml:space="preserve">Dem Bundeskriminalamt dürfen Auskünfte auch erteilt werden, soweit dies im Einzelfall zur Erfüllung seiner Aufgaben nach § 5 Absatz 1, § 6 Absatz 1 oder § 7 Absatz 1 und 2 des Bundeskriminalamtgesetzes erforderlich ist. </w:t>
      </w:r>
      <w:r>
        <w:rPr>
          <w:rStyle w:val="Satznummer"/>
        </w:rPr>
        <w:t>4</w:t>
      </w:r>
      <w:r>
        <w:t>§ 5 Abs. 5 Satz 1 Nr. 2 des Waffengesetzes, § 8a Absatz 5 Satz 1 Nummer 2 des Sprengstoffgesetzes, § 7 Absatz 3 Satz 1 Nummer 3 des Luftsicherheitsgesetzes, § 12 Absatz 1 Nummer 2 des Sicherheitsüberprüfungsgesetzes oder eine entsprechende landesrechtliche Vorschrift und § 31 Absatz 4a Satz 1 des Geldwäschegesetzes bleiben unberührt; die Auskunft über die Eintragung wird insoweit im Einvernehmen mit der Staatsanwaltschaft, die die personenbezogenen Daten zur Eintragung in das Verfahrensregister mitgeteilt hat, erteilt, wenn hiervon eine Gefährdung des Untersuchungszwecks nicht zu besorgen ist.</w:t>
      </w:r>
    </w:p>
    <w:p>
      <w:r>
        <w:t xml:space="preserve">(4) </w:t>
      </w:r>
      <w:r>
        <w:rPr>
          <w:rStyle w:val="Satznummer"/>
        </w:rPr>
        <w:t>1</w:t>
      </w:r>
      <w:r>
        <w:t xml:space="preserve">Die in Absatz 2 Satz 1 Nummer 1 und 2 und, wenn dies erforderlich ist, Nummer 3 und 4 genannten Daten dürfen nach Maßgabe des § 18 Abs. 3 des Bundesverfassungsschutzgesetzes, auch in Verbindung mit § 10 Abs. 2 des Gesetzes über den Militärischen Abschirmdienst und § 10 Absatz 3 des BND-Gesetzes, auf Ersuchen auch an die Verfassungsschutzbehörden des Bundes und der Länder, den Militärischen Abschirmdienst und den Bundesnachrichtendienst übermittelt werden. </w:t>
      </w:r>
      <w:r>
        <w:rPr>
          <w:rStyle w:val="Satznummer"/>
        </w:rPr>
        <w:t>2</w:t>
      </w:r>
      <w:r>
        <w:t>§ 18 Abs. 5 Satz 2 des Bundesverfassungsschutzgesetzes gilt entsprechend.</w:t>
      </w:r>
    </w:p>
    <w:p>
      <w:r>
        <w:t xml:space="preserve">(4a) </w:t>
      </w:r>
      <w:r>
        <w:rPr>
          <w:rStyle w:val="Satznummer"/>
        </w:rPr>
        <w:t>1</w:t>
      </w:r>
      <w:r>
        <w:t xml:space="preserve">Kann die Registerbehörde eine Mitteilung oder ein Ersuchen einem Datensatz nicht eindeutig zuordnen, übermittelt sie an die ersuchende Stelle zur Identitätsfeststellung Datensätze zu Personen mit ähnlichen Personalien. </w:t>
      </w:r>
      <w:r>
        <w:rPr>
          <w:rStyle w:val="Satznummer"/>
        </w:rPr>
        <w:t>2</w:t>
      </w:r>
      <w:r>
        <w:t xml:space="preserve">Nach erfolgter Identifizierung hat die ersuchende Stelle alle Daten, die sich nicht auf die betroffene Person beziehen, unverzüglich zu löschen. </w:t>
      </w:r>
      <w:r>
        <w:rPr>
          <w:rStyle w:val="Satznummer"/>
        </w:rPr>
        <w:t>3</w:t>
      </w:r>
      <w:r>
        <w:t xml:space="preserve">Ist eine Identifizierung nicht möglich, sind alle übermittelten Daten zu löschen. </w:t>
      </w:r>
      <w:r>
        <w:rPr>
          <w:rStyle w:val="Satznummer"/>
        </w:rPr>
        <w:t>4</w:t>
      </w:r>
      <w:r>
        <w:t xml:space="preserve">In der Rechtsverordnung nach </w:t>
      </w:r>
      <w:hyperlink w:anchor="b727" w:history="1">
        <w:r>
          <w:rPr>
            <w:color w:val="0A3A8C"/>
            <w:u w:val="single"/>
          </w:rPr>
          <w:t xml:space="preserve">§ 494</w:t>
        </w:r>
      </w:hyperlink>
      <w:r>
        <w:t xml:space="preserve"> Abs. 4 ist die Anzahl der Datensätze, die auf Grund eines Abrufs übermittelt werden dürfen, auf das für eine Identifizierung notwendige Maß zu begrenzen.</w:t>
      </w:r>
    </w:p>
    <w:p>
      <w:r>
        <w:t xml:space="preserve">(5) </w:t>
      </w:r>
      <w:r>
        <w:rPr>
          <w:rStyle w:val="Satznummer"/>
        </w:rPr>
        <w:t>1</w:t>
      </w:r>
      <w:r>
        <w:t xml:space="preserve">Die Verantwortung für die Zulässigkeit der Übermittlung trägt der Empfänger. </w:t>
      </w:r>
      <w:r>
        <w:rPr>
          <w:rStyle w:val="Satznummer"/>
        </w:rPr>
        <w:t>2</w:t>
      </w:r>
      <w:r>
        <w:t>Die Registerbehörde prüft die Zulässigkeit der Übermittlung nur, wenn besonderer Anlaß hierzu besteht.</w:t>
      </w:r>
    </w:p>
    <w:p>
      <w:r>
        <w:t>(6) Die Daten dürfen unbeschadet des Absatzes 3 Satz 3 und 4 sowie des Absatzes 4 nur in Strafverfahren verwendet werden.</w:t>
      </w:r>
    </w:p>
    <w:p>
      <w:pPr>
        <w:pStyle w:val="Heading3"/>
      </w:pPr>
      <w:bookmarkStart w:id="727" w:name="b726"/>
      <w:r>
        <w:t>§ 493 Automatisiertes Verfahren für Datenübermittlungen</w:t>
      </w:r>
      <w:r>
        <w:t xml:space="preserve"> </w:t>
      </w:r>
      <w:r>
        <w:rPr>
          <w:rStyle w:val="Suchmarke"/>
        </w:rPr>
        <w:t>#493#</w:t>
      </w:r>
      <w:bookmarkEnd w:id="727"/>
    </w:p>
    <w:p>
      <w:r>
        <w:t xml:space="preserve">(1) </w:t>
      </w:r>
      <w:r>
        <w:rPr>
          <w:rStyle w:val="Satznummer"/>
        </w:rPr>
        <w:t>1</w:t>
      </w:r>
      <w:r>
        <w:t xml:space="preserve">Die Übermittlung der Daten erfolgt im Wege eines automatisierten Abrufverfahrens oder eines automatisierten Anfrage- und Auskunftsverfahrens, im Falle einer Störung der Datenfernübertragung oder bei außergewöhnlicher Dringlichkeit telefonisch oder durch Telefax. </w:t>
      </w:r>
      <w:r>
        <w:rPr>
          <w:rStyle w:val="Satznummer"/>
        </w:rPr>
        <w:t>2</w:t>
      </w:r>
      <w:r>
        <w:t>Die beteiligten Stellen haben zu gewährleisten, dass dem jeweiligen Stand der Technik entsprechende Maßnahmen zur Sicherstellung von Datenschutz und Datensicherheit getroffen werden, die insbesondere die Vertraulichkeit und Unversehrtheit der Daten gewährleisten; im Falle der Nutzung allgemein zugänglicher Netze sind dem jeweiligen Stand der Technik entsprechende Verschlüsselungsverfahren anzuwenden.</w:t>
      </w:r>
    </w:p>
    <w:p>
      <w:r>
        <w:t xml:space="preserve">(2) </w:t>
      </w:r>
      <w:r>
        <w:rPr>
          <w:rStyle w:val="Satznummer"/>
        </w:rPr>
        <w:t>1</w:t>
      </w:r>
      <w:r>
        <w:t xml:space="preserve">Bei der Festlegung zur Einrichtung eines automatisierten Abrufverfahrens gilt </w:t>
      </w:r>
      <w:hyperlink w:anchor="b720" w:history="1">
        <w:r>
          <w:rPr>
            <w:color w:val="0A3A8C"/>
            <w:u w:val="single"/>
          </w:rPr>
          <w:t xml:space="preserve">§ 488</w:t>
        </w:r>
      </w:hyperlink>
      <w:r>
        <w:t xml:space="preserve"> Absatz 2 Satz 1 und 2 entsprechend. </w:t>
      </w:r>
      <w:r>
        <w:rPr>
          <w:rStyle w:val="Satznummer"/>
        </w:rPr>
        <w:t>2</w:t>
      </w:r>
      <w:r>
        <w:t>Die Registerbehörde übersendet die Festlegungen dem Bundesbeauftragten für den Datenschutz.</w:t>
      </w:r>
    </w:p>
    <w:p>
      <w:r>
        <w:t xml:space="preserve">(3) </w:t>
      </w:r>
      <w:r>
        <w:rPr>
          <w:rStyle w:val="Satznummer"/>
        </w:rPr>
        <w:t>1</w:t>
      </w:r>
      <w:r>
        <w:t xml:space="preserve">Die Verantwortung für die Zulässigkeit des einzelnen automatisierten Abrufs trägt der Empfänger. </w:t>
      </w:r>
      <w:r>
        <w:rPr>
          <w:rStyle w:val="Satznummer"/>
        </w:rPr>
        <w:t>2</w:t>
      </w:r>
      <w:r>
        <w:t xml:space="preserve">Die Registerbehörde prüft die Zulässigkeit der Abrufe nur, wenn dazu Anlaß besteht. </w:t>
      </w:r>
      <w:r>
        <w:rPr>
          <w:rStyle w:val="Satznummer"/>
        </w:rPr>
        <w:t>3</w:t>
      </w:r>
      <w:r>
        <w:t xml:space="preserve">Im Rahmen der Protokollierung nach § 76 des Bundesdatenschutzgesetzes hat sie ergänzend zu den dort in Absatz 2 aufgeführten Daten die abgerufenen Daten, die Kennung der abrufenden Stelle und das Aktenzeichen des Empfängers zu protokollieren. </w:t>
      </w:r>
      <w:r>
        <w:rPr>
          <w:rStyle w:val="Satznummer"/>
        </w:rPr>
        <w:t>4</w:t>
      </w:r>
      <w:r>
        <w:t>Die Protokolldaten sind nach sechs Monaten zu löschen.</w:t>
      </w:r>
    </w:p>
    <w:p>
      <w:r>
        <w:t>(4) Die Absätze 2 und 3 gelten für das automatisierte Anfrage- und Auskunftsverfahren entsprechend.</w:t>
      </w:r>
    </w:p>
    <w:p>
      <w:pPr>
        <w:pStyle w:val="Heading3"/>
      </w:pPr>
      <w:bookmarkStart w:id="728" w:name="b727"/>
      <w:r>
        <w:t>§ 494 Berichtigung, Löschung und Einschränkung der Verarbeitung von Daten; Verordnungsermächtigung</w:t>
      </w:r>
      <w:r>
        <w:t xml:space="preserve"> </w:t>
      </w:r>
      <w:r>
        <w:rPr>
          <w:rStyle w:val="Suchmarke"/>
        </w:rPr>
        <w:t>#494#</w:t>
      </w:r>
      <w:bookmarkEnd w:id="728"/>
    </w:p>
    <w:p>
      <w:r>
        <w:t xml:space="preserve">(1) In den Fällen des </w:t>
      </w:r>
      <w:hyperlink w:anchor="b81" w:history="1">
        <w:r>
          <w:rPr>
            <w:color w:val="0A3A8C"/>
            <w:u w:val="single"/>
          </w:rPr>
          <w:t xml:space="preserve">§ 58</w:t>
        </w:r>
      </w:hyperlink>
      <w:r>
        <w:t xml:space="preserve"> Absatz 1 und des § 75 Absatz 1 des Bundesdatenschutzgesetzes teilt der Verantwortliche insbesondere der Registerbehörde die Unrichtigkeit unverzüglich mit; der Verantwortliche trägt die Verantwortung für die Richtigkeit und Aktualität der Daten.</w:t>
      </w:r>
    </w:p>
    <w:p>
      <w:r>
        <w:t xml:space="preserve">(2) </w:t>
      </w:r>
      <w:r>
        <w:rPr>
          <w:rStyle w:val="Satznummer"/>
        </w:rPr>
        <w:t>1</w:t>
      </w:r>
      <w:r>
        <w:t xml:space="preserve">Die Daten sind zu löschen, sobald sich aus dem Bundeszentralregister ergibt, dass in dem Strafverfahren, aus dem die Daten übermittelt worden sind, eine nach § 20 des Bundeszentralregistergesetzes mitteilungspflichtige gerichtliche Entscheidung oder Verfügung der Strafverfolgungsbehörde ergangen ist. </w:t>
      </w:r>
      <w:r>
        <w:rPr>
          <w:rStyle w:val="Satznummer"/>
        </w:rPr>
        <w:t>2</w:t>
      </w:r>
      <w:r>
        <w:t xml:space="preserve">Wird der Beschuldigte rechtskräftig freigesprochen, die Eröffnung des Hauptverfahrens gegen ihn unanfechtbar abgelehnt oder das Verfahren nicht nur vorläufig eingestellt, so sind die Daten zwei Jahre nach der Erledigung des Verfahrens zu löschen, es sei denn, vor Eintritt der Löschungsfrist wird ein weiteres Verfahren zur Eintragung in das Verfahrensregister mitgeteilt. </w:t>
      </w:r>
      <w:r>
        <w:rPr>
          <w:rStyle w:val="Satznummer"/>
        </w:rPr>
        <w:t>3</w:t>
      </w:r>
      <w:r>
        <w:t xml:space="preserve">In diesem Fall bleiben die Daten gespeichert, bis für alle Eintragungen die Löschungsvoraussetzungen vorliegen. </w:t>
      </w:r>
      <w:r>
        <w:rPr>
          <w:rStyle w:val="Satznummer"/>
        </w:rPr>
        <w:t>4</w:t>
      </w:r>
      <w:r>
        <w:t>Die Staatsanwaltschaft teilt der Registerbehörde unverzüglich den Eintritt der Löschungsvoraussetzungen oder den Beginn der Löschungsfrist nach Satz 2 mit.</w:t>
      </w:r>
    </w:p>
    <w:p>
      <w:r>
        <w:t xml:space="preserve">(3) </w:t>
      </w:r>
      <w:hyperlink w:anchor="b721" w:history="1">
        <w:r>
          <w:rPr>
            <w:color w:val="0A3A8C"/>
            <w:u w:val="single"/>
          </w:rPr>
          <w:t xml:space="preserve">§ 489</w:t>
        </w:r>
      </w:hyperlink>
      <w:r>
        <w:t xml:space="preserve"> Absatz 7 gilt entsprechend.</w:t>
      </w:r>
    </w:p>
    <w:p>
      <w:r>
        <w:t>(4) Das Bundesministerium der Justiz und für Verbraucherschutz bestimmt durch Rechtsverordnung mit Zustimmung des Bundesrates die näheren Einzelheiten, insbesondere</w:t>
      </w:r>
    </w:p>
    <w:p>
      <w:pPr>
        <w:tabs>
          <w:tab w:pos="567" w:val="left"/>
        </w:tabs>
        <w:ind w:left="567" w:hanging="567"/>
      </w:pPr>
      <w:r>
        <w:t>1.</w:t>
      </w:r>
      <w:r>
        <w:tab/>
      </w:r>
      <w:r>
        <w:t>die Art der zu verarbeitenden Daten,</w:t>
      </w:r>
    </w:p>
    <w:p>
      <w:pPr>
        <w:tabs>
          <w:tab w:pos="567" w:val="left"/>
        </w:tabs>
        <w:ind w:left="567" w:hanging="567"/>
      </w:pPr>
      <w:r>
        <w:t>2.</w:t>
      </w:r>
      <w:r>
        <w:tab/>
      </w:r>
      <w:r>
        <w:t>die Anlieferung der zu verarbeitenden Daten,</w:t>
      </w:r>
    </w:p>
    <w:p>
      <w:pPr>
        <w:tabs>
          <w:tab w:pos="567" w:val="left"/>
        </w:tabs>
        <w:ind w:left="567" w:hanging="567"/>
      </w:pPr>
      <w:r>
        <w:t>3.</w:t>
      </w:r>
      <w:r>
        <w:tab/>
      </w:r>
      <w:r>
        <w:t>die Voraussetzungen, unter denen in dem Dateisystem verarbeitete Daten an welche Empfänger und in welchem Verfahren übermittelt werden,</w:t>
      </w:r>
    </w:p>
    <w:p>
      <w:pPr>
        <w:tabs>
          <w:tab w:pos="567" w:val="left"/>
        </w:tabs>
        <w:ind w:left="567" w:hanging="567"/>
      </w:pPr>
      <w:r>
        <w:t>4.</w:t>
      </w:r>
      <w:r>
        <w:tab/>
      </w:r>
      <w:r>
        <w:t>die Einrichtung eines automatisierten Abrufverfahrens,</w:t>
      </w:r>
    </w:p>
    <w:p>
      <w:pPr>
        <w:tabs>
          <w:tab w:pos="567" w:val="left"/>
        </w:tabs>
        <w:ind w:left="567" w:hanging="567"/>
      </w:pPr>
      <w:r>
        <w:t>5.</w:t>
      </w:r>
      <w:r>
        <w:tab/>
      </w:r>
      <w:r>
        <w:t>die nach den §§ 64, 71 und 72 des Bundesdatenschutzgesetzes erforderlichen technischen und organisatorischen Maßnahmen.</w:t>
      </w:r>
    </w:p>
    <w:p>
      <w:pPr>
        <w:pStyle w:val="Heading3"/>
      </w:pPr>
      <w:bookmarkStart w:id="729" w:name="b728"/>
      <w:r>
        <w:t>§ 495 Auskunft an betroffene Personen</w:t>
      </w:r>
      <w:r>
        <w:t xml:space="preserve"> </w:t>
      </w:r>
      <w:r>
        <w:rPr>
          <w:rStyle w:val="Suchmarke"/>
        </w:rPr>
        <w:t>#495#</w:t>
      </w:r>
      <w:bookmarkEnd w:id="729"/>
    </w:p>
    <w:p>
      <w:r>
        <w:rPr>
          <w:rStyle w:val="Satznummer"/>
        </w:rPr>
        <w:t>1</w:t>
      </w:r>
      <w:r>
        <w:t xml:space="preserve">Der betroffenen Person ist entsprechend § 57 des Bundesdatenschutzgesetzes Auskunft aus dem Verfahrensregister zu erteilen; </w:t>
      </w:r>
      <w:hyperlink w:anchor="b723" w:history="1">
        <w:r>
          <w:rPr>
            <w:color w:val="0A3A8C"/>
            <w:u w:val="single"/>
          </w:rPr>
          <w:t xml:space="preserve">§ 491</w:t>
        </w:r>
      </w:hyperlink>
      <w:r>
        <w:t xml:space="preserve"> Absatz 2 gilt entsprechend. </w:t>
      </w:r>
      <w:r>
        <w:rPr>
          <w:rStyle w:val="Satznummer"/>
        </w:rPr>
        <w:t>2</w:t>
      </w:r>
      <w:r>
        <w:t xml:space="preserve">Über die Erteilung einer Auskunft entscheidet die Registerbehörde im Einvernehmen mit der Staatsanwaltschaft, die die personenbezogenen Daten zur Eintragung in das Verfahrensregister mitgeteilt hat. </w:t>
      </w:r>
      <w:r>
        <w:rPr>
          <w:rStyle w:val="Satznummer"/>
        </w:rPr>
        <w:t>3</w:t>
      </w:r>
      <w:r>
        <w:t>Soweit eine Auskunft aus dem Verfahrensregister an eine öffentliche Stelle erteilt wurde und die betroffene Person von dieser Stelle Auskunft über die so erhobenen Daten begehrt, entscheidet hierüber diese Stelle im Einvernehmen mit der Staatsanwaltschaft, die die personenbezogenen Daten zur Eintragung in das Verfahrensregister mitgeteilt hat.</w:t>
      </w:r>
    </w:p>
    <w:p>
      <w:pPr>
        <w:pStyle w:val="Heading2"/>
      </w:pPr>
      <w:bookmarkStart w:id="730" w:name="b729"/>
      <w:r>
        <w:t>Vierter Abschnitt Schutz personenbezogener Daten in einer elektronischen Akte; Verwendung personenbezogener Daten aus elektronischen Akten</w:t>
      </w:r>
      <w:bookmarkEnd w:id="730"/>
    </w:p>
    <w:p>
      <w:pPr>
        <w:pStyle w:val="Heading3"/>
      </w:pPr>
      <w:bookmarkStart w:id="731" w:name="b730"/>
      <w:r>
        <w:t>§ 496 Verwendung personenbezogener Daten in einer elektronischen Akte</w:t>
      </w:r>
      <w:r>
        <w:t xml:space="preserve"> </w:t>
      </w:r>
      <w:r>
        <w:rPr>
          <w:rStyle w:val="Suchmarke"/>
        </w:rPr>
        <w:t>#496#</w:t>
      </w:r>
      <w:bookmarkEnd w:id="731"/>
    </w:p>
    <w:p>
      <w:r>
        <w:t>(1) Das Verarbeiten und Nutzen personenbezogener Daten in einer elektronischen Akte oder in elektronischen Aktenkopien ist zulässig, soweit dies für die Zwecke des Strafverfahrens erforderlich ist.</w:t>
      </w:r>
    </w:p>
    <w:p>
      <w:r>
        <w:t>(2) Dabei sind</w:t>
      </w:r>
    </w:p>
    <w:p>
      <w:pPr>
        <w:tabs>
          <w:tab w:pos="567" w:val="left"/>
        </w:tabs>
        <w:ind w:left="567" w:hanging="567"/>
      </w:pPr>
      <w:r>
        <w:t>1.</w:t>
      </w:r>
      <w:r>
        <w:tab/>
      </w:r>
      <w:r>
        <w:t>die organisatorischen und technischen Maßnahmen zu treffen, die erforderlich sind, um den besonderen Anforderungen des Datenschutzes und der Datensicherheit gerecht zu werden, und</w:t>
      </w:r>
    </w:p>
    <w:p>
      <w:pPr>
        <w:tabs>
          <w:tab w:pos="567" w:val="left"/>
        </w:tabs>
        <w:ind w:left="567" w:hanging="567"/>
      </w:pPr>
      <w:r>
        <w:t>2.</w:t>
      </w:r>
      <w:r>
        <w:tab/>
      </w:r>
      <w:r>
        <w:t>die Grundsätze einer ordnungsgemäßen Datenverarbeitung einzuhalten, insbesondere die Daten ständig verfügbar zu halten und Vorkehrungen gegen einen Datenverlust zu treffen.</w:t>
      </w:r>
    </w:p>
    <w:p>
      <w:r>
        <w:t>(3) Elektronische Akten und elektronische Aktenkopien sind keine Dateisysteme im Sinne des Zweiten Abschnitts.</w:t>
      </w:r>
    </w:p>
    <w:p>
      <w:pPr>
        <w:pStyle w:val="Heading3"/>
      </w:pPr>
      <w:bookmarkStart w:id="732" w:name="b731"/>
      <w:r>
        <w:t>§ 497 Datenverarbeitung im Auftrag</w:t>
      </w:r>
      <w:r>
        <w:t xml:space="preserve"> </w:t>
      </w:r>
      <w:r>
        <w:rPr>
          <w:rStyle w:val="Suchmarke"/>
        </w:rPr>
        <w:t>#497#</w:t>
      </w:r>
      <w:bookmarkEnd w:id="732"/>
    </w:p>
    <w:p>
      <w:r>
        <w:t>(1) Mit der dauerhaften rechtsverbindlichen Speicherung elektronischer Akten dürfen nichtöffentliche Stellen nur dann beauftragt werden, wenn eine öffentliche Stelle den Zutritt und den Zugang zu den Datenverarbeitungsanlagen, in denen die elektronischen Akten rechtsverbindlich gespeichert werden, tatsächlich und ausschließlich kontrolliert.</w:t>
      </w:r>
    </w:p>
    <w:p>
      <w:r>
        <w:t xml:space="preserve">(2) </w:t>
      </w:r>
      <w:r>
        <w:rPr>
          <w:rStyle w:val="Satznummer"/>
        </w:rPr>
        <w:t>1</w:t>
      </w:r>
      <w:r>
        <w:t xml:space="preserve">Eine Begründung von Unterauftragsverhältnissen durch nichtöffentliche Stellen im Rahmen des dauerhaften rechtsverbindlichen Speicherns der elektronischen Akte ist zulässig, wenn der Auftraggeber im Einzelfall zuvor eingewilligt hat. </w:t>
      </w:r>
      <w:r>
        <w:rPr>
          <w:rStyle w:val="Satznummer"/>
        </w:rPr>
        <w:t>2</w:t>
      </w:r>
      <w:r>
        <w:t>Die Einwilligung darf nur erteilt werden, wenn der Zutritt und der Zugang zu den Datenverarbeitungsanlagen in dem Unterauftragsverhältnis entsprechend Absatz 1 vertraglich geregelt sind.</w:t>
      </w:r>
    </w:p>
    <w:p>
      <w:r>
        <w:t xml:space="preserve">(3) </w:t>
      </w:r>
      <w:r>
        <w:rPr>
          <w:rStyle w:val="Satznummer"/>
        </w:rPr>
        <w:t>1</w:t>
      </w:r>
      <w:r>
        <w:t xml:space="preserve">Eine Pfändung von Einrichtungen, in denen eine nichtöffentliche Stelle im Auftrag einer öffentlichen Stelle Daten verarbeitet, ist unzulässig. </w:t>
      </w:r>
      <w:r>
        <w:rPr>
          <w:rStyle w:val="Satznummer"/>
        </w:rPr>
        <w:t>2</w:t>
      </w:r>
      <w:r>
        <w:t>Eine Beschlagnahme solcher Einrichtungen setzt voraus, dass die öffentliche Stelle im Einzelfall eingewilligt hat.</w:t>
      </w:r>
    </w:p>
    <w:p>
      <w:pPr>
        <w:pStyle w:val="Heading3"/>
      </w:pPr>
      <w:bookmarkStart w:id="733" w:name="b732"/>
      <w:r>
        <w:t>§ 498 Verwendung personenbezogener Daten aus elektronischen Akten</w:t>
      </w:r>
      <w:r>
        <w:t xml:space="preserve"> </w:t>
      </w:r>
      <w:r>
        <w:rPr>
          <w:rStyle w:val="Suchmarke"/>
        </w:rPr>
        <w:t>#498#</w:t>
      </w:r>
      <w:bookmarkEnd w:id="733"/>
    </w:p>
    <w:p>
      <w:r>
        <w:t>(1) Das Verarbeiten und Nutzen personenbezogener Daten aus elektronischen Akten oder elektronischen Aktenkopien ist zulässig, soweit eine Rechtsvorschrift die Verwendung personenbezogener Daten aus einem Strafverfahren erlaubt oder anordnet.</w:t>
      </w:r>
    </w:p>
    <w:p>
      <w:r>
        <w:t xml:space="preserve">(2) Der maschinelle Abgleich personenbezogener Daten mit elektronischen Akten oder elektronischen Aktenkopien gemäß </w:t>
      </w:r>
      <w:hyperlink w:anchor="b140" w:history="1">
        <w:r>
          <w:rPr>
            <w:color w:val="0A3A8C"/>
            <w:u w:val="single"/>
          </w:rPr>
          <w:t xml:space="preserve">§ 98c</w:t>
        </w:r>
      </w:hyperlink>
      <w:r>
        <w:t xml:space="preserve"> ist unzulässig, es sei denn, er erfolgt mit einzelnen, zuvor individualisierten Akten oder Aktenkopien.</w:t>
      </w:r>
    </w:p>
    <w:p>
      <w:pPr>
        <w:pStyle w:val="Heading3"/>
      </w:pPr>
      <w:bookmarkStart w:id="734" w:name="b733"/>
      <w:r>
        <w:t>§ 499 Löschung elektronischer Aktenkopien</w:t>
      </w:r>
      <w:r>
        <w:t xml:space="preserve"> </w:t>
      </w:r>
      <w:r>
        <w:rPr>
          <w:rStyle w:val="Suchmarke"/>
        </w:rPr>
        <w:t>#499#</w:t>
      </w:r>
      <w:bookmarkEnd w:id="734"/>
    </w:p>
    <w:p>
      <w:r>
        <w:t>Elektronische Aktenkopien sind unverzüglich zu löschen, wenn sie nicht mehr erforderlich sind.</w:t>
      </w:r>
    </w:p>
    <w:p>
      <w:pPr>
        <w:pStyle w:val="Heading2"/>
      </w:pPr>
      <w:bookmarkStart w:id="735" w:name="b734"/>
      <w:r>
        <w:t>Fünfter Abschnitt Anwendbarkeit des Bundesdatenschutzgesetzes</w:t>
      </w:r>
      <w:bookmarkEnd w:id="735"/>
    </w:p>
    <w:p>
      <w:pPr>
        <w:pStyle w:val="Heading3"/>
      </w:pPr>
      <w:bookmarkStart w:id="736" w:name="b735"/>
      <w:r>
        <w:t>§ 500 Entsprechende Anwendung</w:t>
      </w:r>
      <w:r>
        <w:t xml:space="preserve"> </w:t>
      </w:r>
      <w:r>
        <w:rPr>
          <w:rStyle w:val="Suchmarke"/>
        </w:rPr>
        <w:t>#500#</w:t>
      </w:r>
      <w:bookmarkEnd w:id="736"/>
    </w:p>
    <w:p>
      <w:r>
        <w:t>(1) Soweit öffentliche Stellen der Länder im Anwendungsbereich dieses Gesetzes personenbezogene Daten verarbeiten, ist Teil 3 des Bundesdatenschutzgesetzes entsprechend anzuwenden.</w:t>
      </w:r>
    </w:p>
    <w:p>
      <w:r>
        <w:t>(2) Absatz 1 gilt</w:t>
      </w:r>
    </w:p>
    <w:p>
      <w:pPr>
        <w:tabs>
          <w:tab w:pos="567" w:val="left"/>
        </w:tabs>
        <w:ind w:left="567" w:hanging="567"/>
      </w:pPr>
      <w:r>
        <w:t>1.</w:t>
      </w:r>
      <w:r>
        <w:tab/>
      </w:r>
      <w:r>
        <w:t>nur, soweit nicht in diesem Gesetz etwas anderes bestimmt ist, und</w:t>
      </w:r>
    </w:p>
    <w:p>
      <w:pPr>
        <w:tabs>
          <w:tab w:pos="567" w:val="left"/>
        </w:tabs>
        <w:ind w:left="567" w:hanging="567"/>
      </w:pPr>
      <w:r>
        <w:t>2.</w:t>
      </w:r>
      <w:r>
        <w:tab/>
      </w:r>
      <w:r>
        <w:t>nur mit der Maßgabe, dass die Landesbeauftragte oder der Landesbeauftragte an die Stelle der oder des Bundesbeauftragten tritt.</w:t>
      </w:r>
    </w:p>
    <w:p>
      <w:pPr>
        <w:pStyle w:val="Heading3"/>
      </w:pPr>
      <w:bookmarkStart w:id="737" w:name="b736"/>
      <w:r>
        <w:t>Anhang EV Auszug aus EinigVtr Anlage I Kapitel III Sachgebiet A Abschnitte III und IV (BGBl. II 1990, 889, 933, 940) Abschnitt III - Maßgaben für das beigetretene Gebiet (Art. 3 EinigVtr) - Abschnitt IV - Sonderregelung für das Land Berlin -</w:t>
      </w:r>
      <w:bookmarkEnd w:id="737"/>
    </w:p>
    <w:p>
      <w:r>
        <w:t>Abschnitt III</w:t>
      </w:r>
      <w:r>
        <w:br/>
      </w:r>
      <w:r>
        <w:t>Bundesrecht tritt ... vorbehaltlich der Sonderregelung für das Land Berlin in Abschnitt IV in dem in Artikel 3 des Vertrages genannten Gebiet mit folgenden Maßgaben in Kraft:</w:t>
      </w:r>
      <w:r>
        <w:br/>
      </w:r>
      <w:r>
        <w:t>...</w:t>
      </w:r>
    </w:p>
    <w:p>
      <w:pPr>
        <w:tabs>
          <w:tab w:pos="567" w:val="left"/>
        </w:tabs>
        <w:ind w:left="567" w:hanging="567"/>
      </w:pPr>
      <w:r>
        <w:t>14.</w:t>
      </w:r>
      <w:r>
        <w:tab/>
      </w:r>
      <w:r>
        <w:t>Strafprozeßordnung in der Fassung der Bekanntmachung vom 7. April 1987 (BGBl. I S. 1074, 1319), zuletzt geändert durch Artikel 12 Abs. 1 des Gesetzes vom 9. Juli 1990 (BGBl. I S. 1354),</w:t>
      </w:r>
    </w:p>
    <w:p>
      <w:pPr>
        <w:ind w:left="567"/>
      </w:pPr>
      <w:r>
        <w:t>mit folgenden Maßgaben:</w:t>
      </w:r>
    </w:p>
    <w:p>
      <w:pPr>
        <w:tabs>
          <w:tab w:pos="1134" w:val="left"/>
        </w:tabs>
        <w:ind w:left="1134" w:hanging="567"/>
      </w:pPr>
      <w:r>
        <w:t>a)</w:t>
      </w:r>
      <w:r>
        <w:tab/>
      </w:r>
      <w:r>
        <w:t>bis c) (nicht mehr anzuwenden)</w:t>
      </w:r>
    </w:p>
    <w:p>
      <w:pPr>
        <w:tabs>
          <w:tab w:pos="1134" w:val="left"/>
        </w:tabs>
        <w:ind w:left="1134" w:hanging="567"/>
      </w:pPr>
      <w:r>
        <w:t>d)</w:t>
      </w:r>
      <w:r>
        <w:tab/>
      </w:r>
      <w:r>
        <w:t>Die Vollstreckung einer Rechtsfolge aus einer Entscheidung eines Strafgerichts der Deutschen Demokratischen Republik ist zulässig, es sei denn es wird durch ein Gericht festgestellt, daß die Verurteilung mit rechtsstaatlichen Maßstäben nicht vereinbar ist oder daß Art oder Höhe der Rechtsfolge nach rechtsstaatlichen Grundsätzen nicht angemessen sind oder dem Zweck eines Bundesgesetzes widersprechen. Es kann auch festgestellt werden, daß die Rechtsfolge in einer milderen Folgenart zu vollstrecken ist. Der Antrag auf Feststellung kann von dem Verurteilten oder von der Staatsanwaltschaft gestellt werden. Der Antrag ist unzulässig, wenn ein Kassationsverfahren oder ein Rehabilitierungsverfahren durchgeführt worden ist oder ein Rehabilitierungsverfahren noch durchgeführt werden kann. Über den Antrag entscheidet das Gericht, das nach dem Strafrechtlichen Rehabilitierungsgesetz vom 29. Oktober 1992 (BGBl. I S. 1814) für die Rehabilitierung zuständig wäre. § 458 Abs. 3 Satz 1 und § 462 Abs. 1 Satz 1 und Abs. 2 gelten entsprechend. Die Entscheidung ist nicht anfechtbar. Der Aufschub oder die Unterbrechung der Vollstreckung kann auch von der Staatsanwaltschaft angeordnet werden.</w:t>
      </w:r>
    </w:p>
    <w:p>
      <w:pPr>
        <w:tabs>
          <w:tab w:pos="1134" w:val="left"/>
        </w:tabs>
        <w:ind w:left="1134" w:hanging="567"/>
      </w:pPr>
      <w:r>
        <w:t>e)</w:t>
      </w:r>
      <w:r>
        <w:tab/>
      </w:r>
      <w:r>
        <w:t>(nicht mehr anzuwenden)</w:t>
      </w:r>
    </w:p>
    <w:p>
      <w:pPr>
        <w:tabs>
          <w:tab w:pos="1134" w:val="left"/>
        </w:tabs>
        <w:ind w:left="1134" w:hanging="567"/>
      </w:pPr>
      <w:r>
        <w:t>f)</w:t>
      </w:r>
      <w:r>
        <w:tab/>
      </w:r>
      <w:r>
        <w:t>(nicht mehr anzuwenden)</w:t>
      </w:r>
    </w:p>
    <w:p>
      <w:pPr>
        <w:tabs>
          <w:tab w:pos="1134" w:val="left"/>
        </w:tabs>
        <w:ind w:left="1134" w:hanging="567"/>
      </w:pPr>
      <w:r>
        <w:t>g)</w:t>
      </w:r>
      <w:r>
        <w:tab/>
      </w:r>
      <w:r>
        <w:t>u. h) (nicht mehr anzuwenden)</w:t>
      </w:r>
    </w:p>
    <w:p>
      <w:pPr>
        <w:tabs>
          <w:tab w:pos="1134" w:val="left"/>
        </w:tabs>
        <w:ind w:left="1134" w:hanging="567"/>
      </w:pPr>
      <w:r>
        <w:t>i)</w:t>
      </w:r>
      <w:r>
        <w:tab/>
      </w:r>
      <w:r>
        <w:t>u. j) (nicht mehr anzuwenden)</w:t>
      </w:r>
    </w:p>
    <w:p>
      <w:pPr>
        <w:tabs>
          <w:tab w:pos="1134" w:val="left"/>
        </w:tabs>
        <w:ind w:left="1134" w:hanging="567"/>
      </w:pPr>
      <w:r>
        <w:t>k)</w:t>
      </w:r>
      <w:r>
        <w:tab/>
      </w:r>
      <w:r>
        <w:t>(nicht mehr anzuwenden)</w:t>
      </w:r>
    </w:p>
    <w:p>
      <w:r>
        <w:t>...</w:t>
      </w:r>
    </w:p>
    <w:p>
      <w:pPr>
        <w:tabs>
          <w:tab w:pos="567" w:val="left"/>
        </w:tabs>
        <w:ind w:left="567" w:hanging="567"/>
      </w:pPr>
      <w:r>
        <w:t>28.</w:t>
      </w:r>
      <w:r>
        <w:tab/>
      </w:r>
      <w:r>
        <w:t>(nicht mehr anzuwenden)</w:t>
      </w:r>
    </w:p>
    <w:p>
      <w:r>
        <w:t>Abschnitt IV</w:t>
      </w:r>
      <w:r>
        <w:br/>
      </w:r>
      <w:r>
        <w:t>...</w:t>
      </w:r>
    </w:p>
    <w:p>
      <w:pPr>
        <w:tabs>
          <w:tab w:pos="567" w:val="left"/>
        </w:tabs>
        <w:ind w:left="567" w:hanging="567"/>
      </w:pPr>
      <w:r>
        <w:t>3.</w:t>
      </w:r>
      <w:r>
        <w:tab/>
      </w:r>
      <w:r>
        <w:t>Für folgende in Abschnitt III genannte Rechtsvorschriften gelten im Land Berlin folgende Besonderheiten:</w:t>
      </w:r>
    </w:p>
    <w:p>
      <w:pPr>
        <w:ind w:left="567"/>
      </w:pPr>
      <w:r>
        <w:t>...</w:t>
      </w:r>
    </w:p>
    <w:p>
      <w:pPr>
        <w:ind w:left="567"/>
      </w:pPr>
      <w:r>
        <w:t>e) (nicht mehr anzuwenden)</w:t>
      </w:r>
    </w:p>
    <w:p>
      <w:pPr>
        <w:ind w:left="567"/>
      </w:pPr>
      <w:r>
        <w:t>...</w:t>
      </w:r>
    </w:p>
    <w:p>
      <w:pPr>
        <w:tabs>
          <w:tab w:pos="1134" w:val="left"/>
        </w:tabs>
        <w:ind w:left="1134" w:hanging="567"/>
      </w:pPr>
      <w:r>
        <w:t>j)</w:t>
      </w:r>
      <w:r>
        <w:tab/>
      </w:r>
      <w:r>
        <w:t>(nicht mehr anzuwenden)</w:t>
      </w:r>
    </w:p>
    <w:p>
      <w:r>
        <w:t>...</w:t>
      </w:r>
    </w:p>
    <w:p>
      <w:pPr>
        <w:spacing w:before="480"/>
      </w:pPr>
      <w:r>
        <w:t xml:space="preserve">Ende des Gesetzes: Strafprozeßordnung (StPO)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stp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Strafprozeßordnung (StPO)</dc:title>
  <dc:subject>Nicht amtliche Fassung</dc:subject>
  <dc:creator>Barrierefreie Gesetze</dc:creator>
  <cp:keywords/>
  <dc:description/>
  <cp:lastModifiedBy>Barrierefreie Gesetze</cp:lastModifiedBy>
  <cp:revision>1</cp:revision>
  <dcterms:created xsi:type="dcterms:W3CDTF">2026-10-19T11:34:48Z</dcterms:created>
  <dcterms:modified xsi:type="dcterms:W3CDTF">2026-10-19T11:34:48Z</dcterms:modified>
  <cp:category/>
  <dc:language>de-DE</dc:language>
</cp:coreProperties>
</file>