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Zehntes Buch Sozialgesetzbuch - Sozialverwaltungsverfahren und Sozialdatenschutz - (SGB X)</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18.08.1980</w:t>
      </w:r>
    </w:p>
    <w:p>
      <w:pPr>
        <w:pStyle w:val="Stand"/>
      </w:pPr>
      <w:r>
        <w:rPr>
          <w:b/>
        </w:rPr>
        <w:t xml:space="preserve">Letzte Änderung: </w:t>
      </w:r>
      <w:r>
        <w:t>Art. 6 G v. 21.07.2026 I Nr. 221</w:t>
      </w:r>
    </w:p>
    <w:p>
      <w:pPr>
        <w:pStyle w:val="Stand"/>
      </w:pPr>
      <w:r>
        <w:rPr>
          <w:b/>
        </w:rPr>
        <w:t xml:space="preserve">Neufassung: </w:t>
      </w:r>
      <w:r>
        <w:t>Bek. v. 18.01.2001 I 130</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Erstes Kapitel Verwaltungsverfahren</w:t>
        </w:r>
      </w:hyperlink>
    </w:p>
    <w:p>
      <w:pPr>
        <w:pStyle w:val="Übersicht"/>
        <w:ind w:left="340"/>
      </w:pPr>
      <w:hyperlink w:anchor="b1" w:history="1">
        <w:r>
          <w:rPr>
            <w:b/>
            <w:color w:val="0A3A8C"/>
            <w:u w:val="single"/>
          </w:rPr>
          <w:t xml:space="preserve">Erster Abschnitt Anwendungsbereich, Zuständigkeit,
Amtshilfe</w:t>
        </w:r>
      </w:hyperlink>
    </w:p>
    <w:p>
      <w:pPr>
        <w:pStyle w:val="Übersicht"/>
        <w:ind w:left="680"/>
      </w:pPr>
      <w:hyperlink w:anchor="b2" w:history="1">
        <w:r>
          <w:rPr>
            <w:color w:val="0A3A8C"/>
            <w:u w:val="single"/>
          </w:rPr>
          <w:t xml:space="preserve">§ 1 Anwendungsbereich</w:t>
        </w:r>
      </w:hyperlink>
    </w:p>
    <w:p>
      <w:pPr>
        <w:pStyle w:val="Übersicht"/>
        <w:ind w:left="680"/>
      </w:pPr>
      <w:hyperlink w:anchor="b3" w:history="1">
        <w:r>
          <w:rPr>
            <w:color w:val="0A3A8C"/>
            <w:u w:val="single"/>
          </w:rPr>
          <w:t xml:space="preserve">§ 2 Örtliche Zuständigkeit</w:t>
        </w:r>
      </w:hyperlink>
    </w:p>
    <w:p>
      <w:pPr>
        <w:pStyle w:val="Übersicht"/>
        <w:ind w:left="680"/>
      </w:pPr>
      <w:hyperlink w:anchor="b4" w:history="1">
        <w:r>
          <w:rPr>
            <w:color w:val="0A3A8C"/>
            <w:u w:val="single"/>
          </w:rPr>
          <w:t xml:space="preserve">§ 3 Amtshilfepflicht</w:t>
        </w:r>
      </w:hyperlink>
    </w:p>
    <w:p>
      <w:pPr>
        <w:pStyle w:val="Übersicht"/>
        <w:ind w:left="680"/>
      </w:pPr>
      <w:hyperlink w:anchor="b5" w:history="1">
        <w:r>
          <w:rPr>
            <w:color w:val="0A3A8C"/>
            <w:u w:val="single"/>
          </w:rPr>
          <w:t xml:space="preserve">§ 4 Voraussetzungen und Grenzen der Amtshilfe</w:t>
        </w:r>
      </w:hyperlink>
    </w:p>
    <w:p>
      <w:pPr>
        <w:pStyle w:val="Übersicht"/>
        <w:ind w:left="680"/>
      </w:pPr>
      <w:hyperlink w:anchor="b6" w:history="1">
        <w:r>
          <w:rPr>
            <w:color w:val="0A3A8C"/>
            <w:u w:val="single"/>
          </w:rPr>
          <w:t xml:space="preserve">§ 5 Auswahl der Behörde</w:t>
        </w:r>
      </w:hyperlink>
    </w:p>
    <w:p>
      <w:pPr>
        <w:pStyle w:val="Übersicht"/>
        <w:ind w:left="680"/>
      </w:pPr>
      <w:hyperlink w:anchor="b7" w:history="1">
        <w:r>
          <w:rPr>
            <w:color w:val="0A3A8C"/>
            <w:u w:val="single"/>
          </w:rPr>
          <w:t xml:space="preserve">§ 6 Durchführung der Amtshilfe</w:t>
        </w:r>
      </w:hyperlink>
    </w:p>
    <w:p>
      <w:pPr>
        <w:pStyle w:val="Übersicht"/>
        <w:ind w:left="680"/>
      </w:pPr>
      <w:hyperlink w:anchor="b8" w:history="1">
        <w:r>
          <w:rPr>
            <w:color w:val="0A3A8C"/>
            <w:u w:val="single"/>
          </w:rPr>
          <w:t xml:space="preserve">§ 7 Kosten der Amtshilfe</w:t>
        </w:r>
      </w:hyperlink>
    </w:p>
    <w:p>
      <w:pPr>
        <w:pStyle w:val="Übersicht"/>
        <w:ind w:left="340"/>
      </w:pPr>
      <w:hyperlink w:anchor="b9" w:history="1">
        <w:r>
          <w:rPr>
            <w:b/>
            <w:color w:val="0A3A8C"/>
            <w:u w:val="single"/>
          </w:rPr>
          <w:t xml:space="preserve">Zweiter Abschnitt Allgemeine Vorschriften über
das Verwaltungsverfahren</w:t>
        </w:r>
      </w:hyperlink>
    </w:p>
    <w:p>
      <w:pPr>
        <w:pStyle w:val="Übersicht"/>
        <w:ind w:left="680"/>
      </w:pPr>
      <w:hyperlink w:anchor="b10" w:history="1">
        <w:r>
          <w:rPr>
            <w:b/>
            <w:color w:val="0A3A8C"/>
            <w:u w:val="single"/>
          </w:rPr>
          <w:t xml:space="preserve">Erster Titel Verfahrensgrundsätze</w:t>
        </w:r>
      </w:hyperlink>
    </w:p>
    <w:p>
      <w:pPr>
        <w:pStyle w:val="Übersicht"/>
        <w:ind w:left="1020"/>
      </w:pPr>
      <w:hyperlink w:anchor="b11" w:history="1">
        <w:r>
          <w:rPr>
            <w:color w:val="0A3A8C"/>
            <w:u w:val="single"/>
          </w:rPr>
          <w:t xml:space="preserve">§ 8 Begriff des Verwaltungsverfahrens</w:t>
        </w:r>
      </w:hyperlink>
    </w:p>
    <w:p>
      <w:pPr>
        <w:pStyle w:val="Übersicht"/>
        <w:ind w:left="1020"/>
      </w:pPr>
      <w:hyperlink w:anchor="b12" w:history="1">
        <w:r>
          <w:rPr>
            <w:color w:val="0A3A8C"/>
            <w:u w:val="single"/>
          </w:rPr>
          <w:t xml:space="preserve">§ 9 Nichtförmlichkeit des Verwaltungsverfahrens</w:t>
        </w:r>
      </w:hyperlink>
    </w:p>
    <w:p>
      <w:pPr>
        <w:pStyle w:val="Übersicht"/>
        <w:ind w:left="1020"/>
      </w:pPr>
      <w:hyperlink w:anchor="b13" w:history="1">
        <w:r>
          <w:rPr>
            <w:color w:val="0A3A8C"/>
            <w:u w:val="single"/>
          </w:rPr>
          <w:t xml:space="preserve">§ 10 Beteiligungsfähigkeit</w:t>
        </w:r>
      </w:hyperlink>
    </w:p>
    <w:p>
      <w:pPr>
        <w:pStyle w:val="Übersicht"/>
        <w:ind w:left="1020"/>
      </w:pPr>
      <w:hyperlink w:anchor="b14" w:history="1">
        <w:r>
          <w:rPr>
            <w:color w:val="0A3A8C"/>
            <w:u w:val="single"/>
          </w:rPr>
          <w:t xml:space="preserve">§ 11 Vornahme von Verfahrenshandlungen</w:t>
        </w:r>
      </w:hyperlink>
    </w:p>
    <w:p>
      <w:pPr>
        <w:pStyle w:val="Übersicht"/>
        <w:ind w:left="1020"/>
      </w:pPr>
      <w:hyperlink w:anchor="b15" w:history="1">
        <w:r>
          <w:rPr>
            <w:color w:val="0A3A8C"/>
            <w:u w:val="single"/>
          </w:rPr>
          <w:t xml:space="preserve">§ 12 Beteiligte</w:t>
        </w:r>
      </w:hyperlink>
    </w:p>
    <w:p>
      <w:pPr>
        <w:pStyle w:val="Übersicht"/>
        <w:ind w:left="1020"/>
      </w:pPr>
      <w:hyperlink w:anchor="b16" w:history="1">
        <w:r>
          <w:rPr>
            <w:color w:val="0A3A8C"/>
            <w:u w:val="single"/>
          </w:rPr>
          <w:t xml:space="preserve">§ 13 Bevollmächtigte und Beistände</w:t>
        </w:r>
      </w:hyperlink>
    </w:p>
    <w:p>
      <w:pPr>
        <w:pStyle w:val="Übersicht"/>
        <w:ind w:left="1020"/>
      </w:pPr>
      <w:hyperlink w:anchor="b17" w:history="1">
        <w:r>
          <w:rPr>
            <w:color w:val="0A3A8C"/>
            <w:u w:val="single"/>
          </w:rPr>
          <w:t xml:space="preserve">§ 14 Bestellung eines Empfangsbevollmächtigten</w:t>
        </w:r>
      </w:hyperlink>
    </w:p>
    <w:p>
      <w:pPr>
        <w:pStyle w:val="Übersicht"/>
        <w:ind w:left="1020"/>
      </w:pPr>
      <w:hyperlink w:anchor="b18" w:history="1">
        <w:r>
          <w:rPr>
            <w:color w:val="0A3A8C"/>
            <w:u w:val="single"/>
          </w:rPr>
          <w:t xml:space="preserve">§ 15 Bestellung eines Vertreters von Amts wegen</w:t>
        </w:r>
      </w:hyperlink>
    </w:p>
    <w:p>
      <w:pPr>
        <w:pStyle w:val="Übersicht"/>
        <w:ind w:left="1020"/>
      </w:pPr>
      <w:hyperlink w:anchor="b19" w:history="1">
        <w:r>
          <w:rPr>
            <w:color w:val="0A3A8C"/>
            <w:u w:val="single"/>
          </w:rPr>
          <w:t xml:space="preserve">§ 16 Ausgeschlossene Personen</w:t>
        </w:r>
      </w:hyperlink>
    </w:p>
    <w:p>
      <w:pPr>
        <w:pStyle w:val="Übersicht"/>
        <w:ind w:left="1020"/>
      </w:pPr>
      <w:hyperlink w:anchor="b20" w:history="1">
        <w:r>
          <w:rPr>
            <w:color w:val="0A3A8C"/>
            <w:u w:val="single"/>
          </w:rPr>
          <w:t xml:space="preserve">§ 17 Besorgnis der Befangenheit</w:t>
        </w:r>
      </w:hyperlink>
    </w:p>
    <w:p>
      <w:pPr>
        <w:pStyle w:val="Übersicht"/>
        <w:ind w:left="1020"/>
      </w:pPr>
      <w:hyperlink w:anchor="b21" w:history="1">
        <w:r>
          <w:rPr>
            <w:color w:val="0A3A8C"/>
            <w:u w:val="single"/>
          </w:rPr>
          <w:t xml:space="preserve">§ 18 Beginn des Verfahrens</w:t>
        </w:r>
      </w:hyperlink>
    </w:p>
    <w:p>
      <w:pPr>
        <w:pStyle w:val="Übersicht"/>
        <w:ind w:left="1020"/>
      </w:pPr>
      <w:hyperlink w:anchor="b22" w:history="1">
        <w:r>
          <w:rPr>
            <w:color w:val="0A3A8C"/>
            <w:u w:val="single"/>
          </w:rPr>
          <w:t xml:space="preserve">§ 19 Amtssprache</w:t>
        </w:r>
      </w:hyperlink>
    </w:p>
    <w:p>
      <w:pPr>
        <w:pStyle w:val="Übersicht"/>
        <w:ind w:left="1020"/>
      </w:pPr>
      <w:hyperlink w:anchor="b23" w:history="1">
        <w:r>
          <w:rPr>
            <w:color w:val="0A3A8C"/>
            <w:u w:val="single"/>
          </w:rPr>
          <w:t xml:space="preserve">§ 20 Untersuchungsgrundsatz</w:t>
        </w:r>
      </w:hyperlink>
    </w:p>
    <w:p>
      <w:pPr>
        <w:pStyle w:val="Übersicht"/>
        <w:ind w:left="1020"/>
      </w:pPr>
      <w:hyperlink w:anchor="b24" w:history="1">
        <w:r>
          <w:rPr>
            <w:color w:val="0A3A8C"/>
            <w:u w:val="single"/>
          </w:rPr>
          <w:t xml:space="preserve">§ 21 Beweismittel</w:t>
        </w:r>
      </w:hyperlink>
    </w:p>
    <w:p>
      <w:pPr>
        <w:pStyle w:val="Übersicht"/>
        <w:ind w:left="1020"/>
      </w:pPr>
      <w:hyperlink w:anchor="b25" w:history="1">
        <w:r>
          <w:rPr>
            <w:color w:val="0A3A8C"/>
            <w:u w:val="single"/>
          </w:rPr>
          <w:t xml:space="preserve">§ 22 Vernehmung durch das Sozial- oder Verwaltungsgericht</w:t>
        </w:r>
      </w:hyperlink>
    </w:p>
    <w:p>
      <w:pPr>
        <w:pStyle w:val="Übersicht"/>
        <w:ind w:left="1020"/>
      </w:pPr>
      <w:hyperlink w:anchor="b26" w:history="1">
        <w:r>
          <w:rPr>
            <w:color w:val="0A3A8C"/>
            <w:u w:val="single"/>
          </w:rPr>
          <w:t xml:space="preserve">§ 23 Glaubhaftmachung, Versicherung an Eides statt</w:t>
        </w:r>
      </w:hyperlink>
    </w:p>
    <w:p>
      <w:pPr>
        <w:pStyle w:val="Übersicht"/>
        <w:ind w:left="1020"/>
      </w:pPr>
      <w:hyperlink w:anchor="b27" w:history="1">
        <w:r>
          <w:rPr>
            <w:color w:val="0A3A8C"/>
            <w:u w:val="single"/>
          </w:rPr>
          <w:t xml:space="preserve">§ 24 Anhörung Beteiligter</w:t>
        </w:r>
      </w:hyperlink>
    </w:p>
    <w:p>
      <w:pPr>
        <w:pStyle w:val="Übersicht"/>
        <w:ind w:left="1020"/>
      </w:pPr>
      <w:hyperlink w:anchor="b28" w:history="1">
        <w:r>
          <w:rPr>
            <w:color w:val="0A3A8C"/>
            <w:u w:val="single"/>
          </w:rPr>
          <w:t xml:space="preserve">§ 25 Akteneinsicht durch Beteiligte</w:t>
        </w:r>
      </w:hyperlink>
    </w:p>
    <w:p>
      <w:pPr>
        <w:pStyle w:val="Übersicht"/>
        <w:ind w:left="680"/>
      </w:pPr>
      <w:hyperlink w:anchor="b29" w:history="1">
        <w:r>
          <w:rPr>
            <w:b/>
            <w:color w:val="0A3A8C"/>
            <w:u w:val="single"/>
          </w:rPr>
          <w:t xml:space="preserve">Zweiter Titel Fristen, Termine, Wiedereinsetzung</w:t>
        </w:r>
      </w:hyperlink>
    </w:p>
    <w:p>
      <w:pPr>
        <w:pStyle w:val="Übersicht"/>
        <w:ind w:left="1020"/>
      </w:pPr>
      <w:hyperlink w:anchor="b30" w:history="1">
        <w:r>
          <w:rPr>
            <w:color w:val="0A3A8C"/>
            <w:u w:val="single"/>
          </w:rPr>
          <w:t xml:space="preserve">§ 26 Fristen und Termine</w:t>
        </w:r>
      </w:hyperlink>
    </w:p>
    <w:p>
      <w:pPr>
        <w:pStyle w:val="Übersicht"/>
        <w:ind w:left="1020"/>
      </w:pPr>
      <w:hyperlink w:anchor="b31" w:history="1">
        <w:r>
          <w:rPr>
            <w:color w:val="0A3A8C"/>
            <w:u w:val="single"/>
          </w:rPr>
          <w:t xml:space="preserve">§ 27 Wiedereinsetzung in den vorigen Stand</w:t>
        </w:r>
      </w:hyperlink>
    </w:p>
    <w:p>
      <w:pPr>
        <w:pStyle w:val="Übersicht"/>
        <w:ind w:left="1020"/>
      </w:pPr>
      <w:hyperlink w:anchor="b32" w:history="1">
        <w:r>
          <w:rPr>
            <w:color w:val="0A3A8C"/>
            <w:u w:val="single"/>
          </w:rPr>
          <w:t xml:space="preserve">§ 28 Wiederholte Antragstellung</w:t>
        </w:r>
      </w:hyperlink>
    </w:p>
    <w:p>
      <w:pPr>
        <w:pStyle w:val="Übersicht"/>
        <w:ind w:left="680"/>
      </w:pPr>
      <w:hyperlink w:anchor="b33" w:history="1">
        <w:r>
          <w:rPr>
            <w:b/>
            <w:color w:val="0A3A8C"/>
            <w:u w:val="single"/>
          </w:rPr>
          <w:t xml:space="preserve">Dritter Titel Amtliche Beglaubigung</w:t>
        </w:r>
      </w:hyperlink>
    </w:p>
    <w:p>
      <w:pPr>
        <w:pStyle w:val="Übersicht"/>
        <w:ind w:left="1020"/>
      </w:pPr>
      <w:hyperlink w:anchor="b34" w:history="1">
        <w:r>
          <w:rPr>
            <w:color w:val="0A3A8C"/>
            <w:u w:val="single"/>
          </w:rPr>
          <w:t xml:space="preserve">§ 29 Beglaubigung von Dokumenten</w:t>
        </w:r>
      </w:hyperlink>
    </w:p>
    <w:p>
      <w:pPr>
        <w:pStyle w:val="Übersicht"/>
        <w:ind w:left="1020"/>
      </w:pPr>
      <w:hyperlink w:anchor="b35" w:history="1">
        <w:r>
          <w:rPr>
            <w:color w:val="0A3A8C"/>
            <w:u w:val="single"/>
          </w:rPr>
          <w:t xml:space="preserve">§ 30 Beglaubigung von Unterschriften</w:t>
        </w:r>
      </w:hyperlink>
    </w:p>
    <w:p>
      <w:pPr>
        <w:pStyle w:val="Übersicht"/>
        <w:ind w:left="340"/>
      </w:pPr>
      <w:hyperlink w:anchor="b36" w:history="1">
        <w:r>
          <w:rPr>
            <w:b/>
            <w:color w:val="0A3A8C"/>
            <w:u w:val="single"/>
          </w:rPr>
          <w:t xml:space="preserve">Dritter Abschnitt Verwaltungsakt</w:t>
        </w:r>
      </w:hyperlink>
    </w:p>
    <w:p>
      <w:pPr>
        <w:pStyle w:val="Übersicht"/>
        <w:ind w:left="680"/>
      </w:pPr>
      <w:hyperlink w:anchor="b37" w:history="1">
        <w:r>
          <w:rPr>
            <w:b/>
            <w:color w:val="0A3A8C"/>
            <w:u w:val="single"/>
          </w:rPr>
          <w:t xml:space="preserve">Erster Titel Zustandekommen des Verwaltungsaktes</w:t>
        </w:r>
      </w:hyperlink>
    </w:p>
    <w:p>
      <w:pPr>
        <w:pStyle w:val="Übersicht"/>
        <w:ind w:left="1020"/>
      </w:pPr>
      <w:hyperlink w:anchor="b38" w:history="1">
        <w:r>
          <w:rPr>
            <w:color w:val="0A3A8C"/>
            <w:u w:val="single"/>
          </w:rPr>
          <w:t xml:space="preserve">§ 31 Begriff des Verwaltungsaktes</w:t>
        </w:r>
      </w:hyperlink>
    </w:p>
    <w:p>
      <w:pPr>
        <w:pStyle w:val="Übersicht"/>
        <w:ind w:left="1020"/>
      </w:pPr>
      <w:hyperlink w:anchor="b39" w:history="1">
        <w:r>
          <w:rPr>
            <w:color w:val="0A3A8C"/>
            <w:u w:val="single"/>
          </w:rPr>
          <w:t xml:space="preserve">§ 31a Vollständig automatisierter Erlass eines Verwaltungsaktes</w:t>
        </w:r>
      </w:hyperlink>
    </w:p>
    <w:p>
      <w:pPr>
        <w:pStyle w:val="Übersicht"/>
        <w:ind w:left="1020"/>
      </w:pPr>
      <w:hyperlink w:anchor="b40" w:history="1">
        <w:r>
          <w:rPr>
            <w:color w:val="0A3A8C"/>
            <w:u w:val="single"/>
          </w:rPr>
          <w:t xml:space="preserve">§ 32 Nebenbestimmungen zum Verwaltungsakt</w:t>
        </w:r>
      </w:hyperlink>
    </w:p>
    <w:p>
      <w:pPr>
        <w:pStyle w:val="Übersicht"/>
        <w:ind w:left="1020"/>
      </w:pPr>
      <w:hyperlink w:anchor="b41" w:history="1">
        <w:r>
          <w:rPr>
            <w:color w:val="0A3A8C"/>
            <w:u w:val="single"/>
          </w:rPr>
          <w:t xml:space="preserve">§ 33 Bestimmtheit und Form des Verwaltungsaktes</w:t>
        </w:r>
      </w:hyperlink>
    </w:p>
    <w:p>
      <w:pPr>
        <w:pStyle w:val="Übersicht"/>
        <w:ind w:left="1020"/>
      </w:pPr>
      <w:hyperlink w:anchor="b42" w:history="1">
        <w:r>
          <w:rPr>
            <w:color w:val="0A3A8C"/>
            <w:u w:val="single"/>
          </w:rPr>
          <w:t xml:space="preserve">§ 34 Zusicherung</w:t>
        </w:r>
      </w:hyperlink>
    </w:p>
    <w:p>
      <w:pPr>
        <w:pStyle w:val="Übersicht"/>
        <w:ind w:left="1020"/>
      </w:pPr>
      <w:hyperlink w:anchor="b43" w:history="1">
        <w:r>
          <w:rPr>
            <w:color w:val="0A3A8C"/>
            <w:u w:val="single"/>
          </w:rPr>
          <w:t xml:space="preserve">§ 35 Begründung des Verwaltungsaktes</w:t>
        </w:r>
      </w:hyperlink>
    </w:p>
    <w:p>
      <w:pPr>
        <w:pStyle w:val="Übersicht"/>
        <w:ind w:left="1020"/>
      </w:pPr>
      <w:hyperlink w:anchor="b44" w:history="1">
        <w:r>
          <w:rPr>
            <w:color w:val="0A3A8C"/>
            <w:u w:val="single"/>
          </w:rPr>
          <w:t xml:space="preserve">§ 36 Rechtsbehelfsbelehrung</w:t>
        </w:r>
      </w:hyperlink>
    </w:p>
    <w:p>
      <w:pPr>
        <w:pStyle w:val="Übersicht"/>
        <w:ind w:left="1020"/>
      </w:pPr>
      <w:hyperlink w:anchor="b45" w:history="1">
        <w:r>
          <w:rPr>
            <w:color w:val="0A3A8C"/>
            <w:u w:val="single"/>
          </w:rPr>
          <w:t xml:space="preserve">§ 37 Bekanntgabe des Verwaltungsaktes</w:t>
        </w:r>
      </w:hyperlink>
    </w:p>
    <w:p>
      <w:pPr>
        <w:pStyle w:val="Übersicht"/>
        <w:ind w:left="1020"/>
      </w:pPr>
      <w:hyperlink w:anchor="b46" w:history="1">
        <w:r>
          <w:rPr>
            <w:color w:val="0A3A8C"/>
            <w:u w:val="single"/>
          </w:rPr>
          <w:t xml:space="preserve">§ 38 Offenbare Unrichtigkeiten im Verwaltungsakt</w:t>
        </w:r>
      </w:hyperlink>
    </w:p>
    <w:p>
      <w:pPr>
        <w:pStyle w:val="Übersicht"/>
        <w:ind w:left="680"/>
      </w:pPr>
      <w:hyperlink w:anchor="b47" w:history="1">
        <w:r>
          <w:rPr>
            <w:b/>
            <w:color w:val="0A3A8C"/>
            <w:u w:val="single"/>
          </w:rPr>
          <w:t xml:space="preserve">Zweiter Titel Bestandskraft des
Verwaltungsaktes</w:t>
        </w:r>
      </w:hyperlink>
    </w:p>
    <w:p>
      <w:pPr>
        <w:pStyle w:val="Übersicht"/>
        <w:ind w:left="1020"/>
      </w:pPr>
      <w:hyperlink w:anchor="b48" w:history="1">
        <w:r>
          <w:rPr>
            <w:color w:val="0A3A8C"/>
            <w:u w:val="single"/>
          </w:rPr>
          <w:t xml:space="preserve">§ 39 Wirksamkeit des Verwaltungsaktes</w:t>
        </w:r>
      </w:hyperlink>
    </w:p>
    <w:p>
      <w:pPr>
        <w:pStyle w:val="Übersicht"/>
        <w:ind w:left="1020"/>
      </w:pPr>
      <w:hyperlink w:anchor="b49" w:history="1">
        <w:r>
          <w:rPr>
            <w:color w:val="0A3A8C"/>
            <w:u w:val="single"/>
          </w:rPr>
          <w:t xml:space="preserve">§ 40 Nichtigkeit des Verwaltungsaktes</w:t>
        </w:r>
      </w:hyperlink>
    </w:p>
    <w:p>
      <w:pPr>
        <w:pStyle w:val="Übersicht"/>
        <w:ind w:left="1020"/>
      </w:pPr>
      <w:hyperlink w:anchor="b50" w:history="1">
        <w:r>
          <w:rPr>
            <w:color w:val="0A3A8C"/>
            <w:u w:val="single"/>
          </w:rPr>
          <w:t xml:space="preserve">§ 41 Heilung von Verfahrens- und Formfehlern</w:t>
        </w:r>
      </w:hyperlink>
    </w:p>
    <w:p>
      <w:pPr>
        <w:pStyle w:val="Übersicht"/>
        <w:ind w:left="1020"/>
      </w:pPr>
      <w:hyperlink w:anchor="b51" w:history="1">
        <w:r>
          <w:rPr>
            <w:color w:val="0A3A8C"/>
            <w:u w:val="single"/>
          </w:rPr>
          <w:t xml:space="preserve">§ 42 Folgen von Verfahrens- und Formfehlern</w:t>
        </w:r>
      </w:hyperlink>
    </w:p>
    <w:p>
      <w:pPr>
        <w:pStyle w:val="Übersicht"/>
        <w:ind w:left="1020"/>
      </w:pPr>
      <w:hyperlink w:anchor="b52" w:history="1">
        <w:r>
          <w:rPr>
            <w:color w:val="0A3A8C"/>
            <w:u w:val="single"/>
          </w:rPr>
          <w:t xml:space="preserve">§ 43 Umdeutung eines fehlerhaften Verwaltungsaktes</w:t>
        </w:r>
      </w:hyperlink>
    </w:p>
    <w:p>
      <w:pPr>
        <w:pStyle w:val="Übersicht"/>
        <w:ind w:left="1020"/>
      </w:pPr>
      <w:hyperlink w:anchor="b53" w:history="1">
        <w:r>
          <w:rPr>
            <w:color w:val="0A3A8C"/>
            <w:u w:val="single"/>
          </w:rPr>
          <w:t xml:space="preserve">§ 44 Rücknahme eines rechtswidrigen nicht begünstigenden Verwaltungsaktes</w:t>
        </w:r>
      </w:hyperlink>
    </w:p>
    <w:p>
      <w:pPr>
        <w:pStyle w:val="Übersicht"/>
        <w:ind w:left="1020"/>
      </w:pPr>
      <w:hyperlink w:anchor="b54" w:history="1">
        <w:r>
          <w:rPr>
            <w:color w:val="0A3A8C"/>
            <w:u w:val="single"/>
          </w:rPr>
          <w:t xml:space="preserve">§ 45 Rücknahme eines rechtswidrigen begünstigenden Verwaltungsaktes</w:t>
        </w:r>
      </w:hyperlink>
    </w:p>
    <w:p>
      <w:pPr>
        <w:pStyle w:val="Übersicht"/>
        <w:ind w:left="1020"/>
      </w:pPr>
      <w:hyperlink w:anchor="b55" w:history="1">
        <w:r>
          <w:rPr>
            <w:color w:val="0A3A8C"/>
            <w:u w:val="single"/>
          </w:rPr>
          <w:t xml:space="preserve">§ 46 Widerruf eines rechtmäßigen nicht begünstigenden Verwaltungsaktes</w:t>
        </w:r>
      </w:hyperlink>
    </w:p>
    <w:p>
      <w:pPr>
        <w:pStyle w:val="Übersicht"/>
        <w:ind w:left="1020"/>
      </w:pPr>
      <w:hyperlink w:anchor="b56" w:history="1">
        <w:r>
          <w:rPr>
            <w:color w:val="0A3A8C"/>
            <w:u w:val="single"/>
          </w:rPr>
          <w:t xml:space="preserve">§ 47 Widerruf eines rechtmäßigen begünstigenden Verwaltungsaktes</w:t>
        </w:r>
      </w:hyperlink>
    </w:p>
    <w:p>
      <w:pPr>
        <w:pStyle w:val="Übersicht"/>
        <w:ind w:left="1020"/>
      </w:pPr>
      <w:hyperlink w:anchor="b57" w:history="1">
        <w:r>
          <w:rPr>
            <w:color w:val="0A3A8C"/>
            <w:u w:val="single"/>
          </w:rPr>
          <w:t xml:space="preserve">§ 48 Aufhebung eines Verwaltungsaktes mit Dauerwirkung bei Änderung der Verhältnisse</w:t>
        </w:r>
      </w:hyperlink>
    </w:p>
    <w:p>
      <w:pPr>
        <w:pStyle w:val="Übersicht"/>
        <w:ind w:left="1020"/>
      </w:pPr>
      <w:hyperlink w:anchor="b58" w:history="1">
        <w:r>
          <w:rPr>
            <w:color w:val="0A3A8C"/>
            <w:u w:val="single"/>
          </w:rPr>
          <w:t xml:space="preserve">§ 49 Rücknahme und Widerruf im Rechtsbehelfsverfahren</w:t>
        </w:r>
      </w:hyperlink>
    </w:p>
    <w:p>
      <w:pPr>
        <w:pStyle w:val="Übersicht"/>
        <w:ind w:left="1020"/>
      </w:pPr>
      <w:hyperlink w:anchor="b59" w:history="1">
        <w:r>
          <w:rPr>
            <w:color w:val="0A3A8C"/>
            <w:u w:val="single"/>
          </w:rPr>
          <w:t xml:space="preserve">§ 50 Erstattung zu Unrecht erbrachter Leistungen</w:t>
        </w:r>
      </w:hyperlink>
    </w:p>
    <w:p>
      <w:pPr>
        <w:pStyle w:val="Übersicht"/>
        <w:ind w:left="1020"/>
      </w:pPr>
      <w:hyperlink w:anchor="b60" w:history="1">
        <w:r>
          <w:rPr>
            <w:color w:val="0A3A8C"/>
            <w:u w:val="single"/>
          </w:rPr>
          <w:t xml:space="preserve">§ 51 Rückgabe von Urkunden und Sachen</w:t>
        </w:r>
      </w:hyperlink>
    </w:p>
    <w:p>
      <w:pPr>
        <w:pStyle w:val="Übersicht"/>
        <w:ind w:left="680"/>
      </w:pPr>
      <w:hyperlink w:anchor="b61" w:history="1">
        <w:r>
          <w:rPr>
            <w:b/>
            <w:color w:val="0A3A8C"/>
            <w:u w:val="single"/>
          </w:rPr>
          <w:t xml:space="preserve">Dritter Titel Verjährungsrechtliche Wirkungen
des Verwaltungsaktes</w:t>
        </w:r>
      </w:hyperlink>
    </w:p>
    <w:p>
      <w:pPr>
        <w:pStyle w:val="Übersicht"/>
        <w:ind w:left="1020"/>
      </w:pPr>
      <w:hyperlink w:anchor="b62" w:history="1">
        <w:r>
          <w:rPr>
            <w:color w:val="0A3A8C"/>
            <w:u w:val="single"/>
          </w:rPr>
          <w:t xml:space="preserve">§ 52 Hemmung der Verjährung durch Verwaltungsakt</w:t>
        </w:r>
      </w:hyperlink>
    </w:p>
    <w:p>
      <w:pPr>
        <w:pStyle w:val="Übersicht"/>
        <w:ind w:left="340"/>
      </w:pPr>
      <w:hyperlink w:anchor="b63" w:history="1">
        <w:r>
          <w:rPr>
            <w:b/>
            <w:color w:val="0A3A8C"/>
            <w:u w:val="single"/>
          </w:rPr>
          <w:t xml:space="preserve">Vierter Abschnitt Öffentlich-rechtlicher Vertrag</w:t>
        </w:r>
      </w:hyperlink>
    </w:p>
    <w:p>
      <w:pPr>
        <w:pStyle w:val="Übersicht"/>
        <w:ind w:left="680"/>
      </w:pPr>
      <w:hyperlink w:anchor="b64" w:history="1">
        <w:r>
          <w:rPr>
            <w:color w:val="0A3A8C"/>
            <w:u w:val="single"/>
          </w:rPr>
          <w:t xml:space="preserve">§ 53 Zulässigkeit des öffentlich-rechtlichen Vertrages</w:t>
        </w:r>
      </w:hyperlink>
    </w:p>
    <w:p>
      <w:pPr>
        <w:pStyle w:val="Übersicht"/>
        <w:ind w:left="680"/>
      </w:pPr>
      <w:hyperlink w:anchor="b65" w:history="1">
        <w:r>
          <w:rPr>
            <w:color w:val="0A3A8C"/>
            <w:u w:val="single"/>
          </w:rPr>
          <w:t xml:space="preserve">§ 54 Vergleichsvertrag</w:t>
        </w:r>
      </w:hyperlink>
    </w:p>
    <w:p>
      <w:pPr>
        <w:pStyle w:val="Übersicht"/>
        <w:ind w:left="680"/>
      </w:pPr>
      <w:hyperlink w:anchor="b66" w:history="1">
        <w:r>
          <w:rPr>
            <w:color w:val="0A3A8C"/>
            <w:u w:val="single"/>
          </w:rPr>
          <w:t xml:space="preserve">§ 55 Austauschvertrag</w:t>
        </w:r>
      </w:hyperlink>
    </w:p>
    <w:p>
      <w:pPr>
        <w:pStyle w:val="Übersicht"/>
        <w:ind w:left="680"/>
      </w:pPr>
      <w:hyperlink w:anchor="b67" w:history="1">
        <w:r>
          <w:rPr>
            <w:color w:val="0A3A8C"/>
            <w:u w:val="single"/>
          </w:rPr>
          <w:t xml:space="preserve">§ 56 Schriftform</w:t>
        </w:r>
      </w:hyperlink>
    </w:p>
    <w:p>
      <w:pPr>
        <w:pStyle w:val="Übersicht"/>
        <w:ind w:left="680"/>
      </w:pPr>
      <w:hyperlink w:anchor="b68" w:history="1">
        <w:r>
          <w:rPr>
            <w:color w:val="0A3A8C"/>
            <w:u w:val="single"/>
          </w:rPr>
          <w:t xml:space="preserve">§ 57 Zustimmung von Dritten und Behörden</w:t>
        </w:r>
      </w:hyperlink>
    </w:p>
    <w:p>
      <w:pPr>
        <w:pStyle w:val="Übersicht"/>
        <w:ind w:left="680"/>
      </w:pPr>
      <w:hyperlink w:anchor="b69" w:history="1">
        <w:r>
          <w:rPr>
            <w:color w:val="0A3A8C"/>
            <w:u w:val="single"/>
          </w:rPr>
          <w:t xml:space="preserve">§ 58 Nichtigkeit des öffentlich-rechtlichen Vertrages</w:t>
        </w:r>
      </w:hyperlink>
    </w:p>
    <w:p>
      <w:pPr>
        <w:pStyle w:val="Übersicht"/>
        <w:ind w:left="680"/>
      </w:pPr>
      <w:hyperlink w:anchor="b70" w:history="1">
        <w:r>
          <w:rPr>
            <w:color w:val="0A3A8C"/>
            <w:u w:val="single"/>
          </w:rPr>
          <w:t xml:space="preserve">§ 59 Anpassung und Kündigung in besonderen Fällen</w:t>
        </w:r>
      </w:hyperlink>
    </w:p>
    <w:p>
      <w:pPr>
        <w:pStyle w:val="Übersicht"/>
        <w:ind w:left="680"/>
      </w:pPr>
      <w:hyperlink w:anchor="b71" w:history="1">
        <w:r>
          <w:rPr>
            <w:color w:val="0A3A8C"/>
            <w:u w:val="single"/>
          </w:rPr>
          <w:t xml:space="preserve">§ 60 Unterwerfung unter die sofortige Vollstreckung</w:t>
        </w:r>
      </w:hyperlink>
    </w:p>
    <w:p>
      <w:pPr>
        <w:pStyle w:val="Übersicht"/>
        <w:ind w:left="680"/>
      </w:pPr>
      <w:hyperlink w:anchor="b72" w:history="1">
        <w:r>
          <w:rPr>
            <w:color w:val="0A3A8C"/>
            <w:u w:val="single"/>
          </w:rPr>
          <w:t xml:space="preserve">§ 61 Ergänzende Anwendung von Vorschriften</w:t>
        </w:r>
      </w:hyperlink>
    </w:p>
    <w:p>
      <w:pPr>
        <w:pStyle w:val="Übersicht"/>
        <w:ind w:left="340"/>
      </w:pPr>
      <w:hyperlink w:anchor="b73" w:history="1">
        <w:r>
          <w:rPr>
            <w:b/>
            <w:color w:val="0A3A8C"/>
            <w:u w:val="single"/>
          </w:rPr>
          <w:t xml:space="preserve">Fünfter Abschnitt Rechtsbehelfsverfahren</w:t>
        </w:r>
      </w:hyperlink>
    </w:p>
    <w:p>
      <w:pPr>
        <w:pStyle w:val="Übersicht"/>
        <w:ind w:left="680"/>
      </w:pPr>
      <w:hyperlink w:anchor="b74" w:history="1">
        <w:r>
          <w:rPr>
            <w:color w:val="0A3A8C"/>
            <w:u w:val="single"/>
          </w:rPr>
          <w:t xml:space="preserve">§ 62 Rechtsbehelfe gegen Verwaltungsakte</w:t>
        </w:r>
      </w:hyperlink>
    </w:p>
    <w:p>
      <w:pPr>
        <w:pStyle w:val="Übersicht"/>
        <w:ind w:left="680"/>
      </w:pPr>
      <w:hyperlink w:anchor="b75" w:history="1">
        <w:r>
          <w:rPr>
            <w:color w:val="0A3A8C"/>
            <w:u w:val="single"/>
          </w:rPr>
          <w:t xml:space="preserve">§ 63 Erstattung von Kosten im Vorverfahren</w:t>
        </w:r>
      </w:hyperlink>
    </w:p>
    <w:p>
      <w:pPr>
        <w:pStyle w:val="Übersicht"/>
        <w:ind w:left="340"/>
      </w:pPr>
      <w:hyperlink w:anchor="b76" w:history="1">
        <w:r>
          <w:rPr>
            <w:b/>
            <w:color w:val="0A3A8C"/>
            <w:u w:val="single"/>
          </w:rPr>
          <w:t xml:space="preserve">Sechster Abschnitt Kosten, Zustellung und
Vollstreckung</w:t>
        </w:r>
      </w:hyperlink>
    </w:p>
    <w:p>
      <w:pPr>
        <w:pStyle w:val="Übersicht"/>
        <w:ind w:left="680"/>
      </w:pPr>
      <w:hyperlink w:anchor="b77" w:history="1">
        <w:r>
          <w:rPr>
            <w:color w:val="0A3A8C"/>
            <w:u w:val="single"/>
          </w:rPr>
          <w:t xml:space="preserve">§ 64 Kostenfreiheit</w:t>
        </w:r>
      </w:hyperlink>
    </w:p>
    <w:p>
      <w:pPr>
        <w:pStyle w:val="Übersicht"/>
        <w:ind w:left="680"/>
      </w:pPr>
      <w:hyperlink w:anchor="b78" w:history="1">
        <w:r>
          <w:rPr>
            <w:color w:val="0A3A8C"/>
            <w:u w:val="single"/>
          </w:rPr>
          <w:t xml:space="preserve">§ 65 Zustellung</w:t>
        </w:r>
      </w:hyperlink>
    </w:p>
    <w:p>
      <w:pPr>
        <w:pStyle w:val="Übersicht"/>
        <w:ind w:left="680"/>
      </w:pPr>
      <w:hyperlink w:anchor="b79" w:history="1">
        <w:r>
          <w:rPr>
            <w:color w:val="0A3A8C"/>
            <w:u w:val="single"/>
          </w:rPr>
          <w:t xml:space="preserve">§ 66 Vollstreckung</w:t>
        </w:r>
      </w:hyperlink>
    </w:p>
    <w:p>
      <w:pPr>
        <w:pStyle w:val="Übersicht"/>
        <w:ind w:left="0"/>
      </w:pPr>
      <w:hyperlink w:anchor="b80" w:history="1">
        <w:r>
          <w:rPr>
            <w:b/>
            <w:color w:val="0A3A8C"/>
            <w:u w:val="single"/>
          </w:rPr>
          <w:t xml:space="preserve">Zweites Kapitel Schutz der Sozialdaten</w:t>
        </w:r>
      </w:hyperlink>
    </w:p>
    <w:p>
      <w:pPr>
        <w:pStyle w:val="Übersicht"/>
        <w:ind w:left="340"/>
      </w:pPr>
      <w:hyperlink w:anchor="b81" w:history="1">
        <w:r>
          <w:rPr>
            <w:b/>
            <w:color w:val="0A3A8C"/>
            <w:u w:val="single"/>
          </w:rPr>
          <w:t xml:space="preserve">Erster Abschnitt Begriffsbestimmungen</w:t>
        </w:r>
      </w:hyperlink>
    </w:p>
    <w:p>
      <w:pPr>
        <w:pStyle w:val="Übersicht"/>
        <w:ind w:left="680"/>
      </w:pPr>
      <w:hyperlink w:anchor="b82" w:history="1">
        <w:r>
          <w:rPr>
            <w:color w:val="0A3A8C"/>
            <w:u w:val="single"/>
          </w:rPr>
          <w:t xml:space="preserve">§ 67 Begriffsbestimmungen</w:t>
        </w:r>
      </w:hyperlink>
    </w:p>
    <w:p>
      <w:pPr>
        <w:pStyle w:val="Übersicht"/>
        <w:ind w:left="340"/>
      </w:pPr>
      <w:hyperlink w:anchor="b83" w:history="1">
        <w:r>
          <w:rPr>
            <w:b/>
            <w:color w:val="0A3A8C"/>
            <w:u w:val="single"/>
          </w:rPr>
          <w:t xml:space="preserve">Zweiter Abschnitt Verarbeitung von Sozialdaten</w:t>
        </w:r>
      </w:hyperlink>
    </w:p>
    <w:p>
      <w:pPr>
        <w:pStyle w:val="Übersicht"/>
        <w:ind w:left="680"/>
      </w:pPr>
      <w:hyperlink w:anchor="b84" w:history="1">
        <w:r>
          <w:rPr>
            <w:color w:val="0A3A8C"/>
            <w:u w:val="single"/>
          </w:rPr>
          <w:t xml:space="preserve">§ 67a Erhebung von Sozialdaten</w:t>
        </w:r>
      </w:hyperlink>
    </w:p>
    <w:p>
      <w:pPr>
        <w:pStyle w:val="Übersicht"/>
        <w:ind w:left="680"/>
      </w:pPr>
      <w:hyperlink w:anchor="b85" w:history="1">
        <w:r>
          <w:rPr>
            <w:color w:val="0A3A8C"/>
            <w:u w:val="single"/>
          </w:rPr>
          <w:t xml:space="preserve">§ 67b Speicherung, Veränderung, Nutzung, Übermittlung, Einschränkung der Verarbeitung und Löschung von Sozialdaten</w:t>
        </w:r>
      </w:hyperlink>
    </w:p>
    <w:p>
      <w:pPr>
        <w:pStyle w:val="Übersicht"/>
        <w:ind w:left="680"/>
      </w:pPr>
      <w:hyperlink w:anchor="b86" w:history="1">
        <w:r>
          <w:rPr>
            <w:color w:val="0A3A8C"/>
            <w:u w:val="single"/>
          </w:rPr>
          <w:t xml:space="preserve">§ 67c Zweckbindung sowie Speicherung, Veränderung und Nutzung von Sozialdaten zu anderen Zwecken</w:t>
        </w:r>
      </w:hyperlink>
    </w:p>
    <w:p>
      <w:pPr>
        <w:pStyle w:val="Übersicht"/>
        <w:ind w:left="680"/>
      </w:pPr>
      <w:hyperlink w:anchor="b87" w:history="1">
        <w:r>
          <w:rPr>
            <w:color w:val="0A3A8C"/>
            <w:u w:val="single"/>
          </w:rPr>
          <w:t xml:space="preserve">§ 67d Übermittlungsgrundsätze</w:t>
        </w:r>
      </w:hyperlink>
    </w:p>
    <w:p>
      <w:pPr>
        <w:pStyle w:val="Übersicht"/>
        <w:ind w:left="680"/>
      </w:pPr>
      <w:hyperlink w:anchor="b88" w:history="1">
        <w:r>
          <w:rPr>
            <w:color w:val="0A3A8C"/>
            <w:u w:val="single"/>
          </w:rPr>
          <w:t xml:space="preserve">§ 67e Erhebung und Übermittlung zur Bekämpfung von Leistungsmissbrauch und illegaler Ausländerbeschäftigung</w:t>
        </w:r>
      </w:hyperlink>
    </w:p>
    <w:p>
      <w:pPr>
        <w:pStyle w:val="Übersicht"/>
        <w:ind w:left="680"/>
      </w:pPr>
      <w:hyperlink w:anchor="b89" w:history="1">
        <w:r>
          <w:rPr>
            <w:color w:val="0A3A8C"/>
            <w:u w:val="single"/>
          </w:rPr>
          <w:t xml:space="preserve">§ 67f Erhebung und Übermittlung von Sozialdaten zur Nachweiserbringung</w:t>
        </w:r>
      </w:hyperlink>
    </w:p>
    <w:p>
      <w:pPr>
        <w:pStyle w:val="Übersicht"/>
        <w:ind w:left="680"/>
      </w:pPr>
      <w:hyperlink w:anchor="b90" w:history="1">
        <w:r>
          <w:rPr>
            <w:color w:val="0A3A8C"/>
            <w:u w:val="single"/>
          </w:rPr>
          <w:t xml:space="preserve">§ 68 Übermittlung für Aufgaben der Polizeibehörden, der Staatsanwaltschaften, Gerichte und der Behörden der Gefahrenabwehr</w:t>
        </w:r>
      </w:hyperlink>
    </w:p>
    <w:p>
      <w:pPr>
        <w:pStyle w:val="Übersicht"/>
        <w:ind w:left="680"/>
      </w:pPr>
      <w:hyperlink w:anchor="b91" w:history="1">
        <w:r>
          <w:rPr>
            <w:color w:val="0A3A8C"/>
            <w:u w:val="single"/>
          </w:rPr>
          <w:t xml:space="preserve">§ 69 Übermittlung für die Erfüllung sozialer Aufgaben</w:t>
        </w:r>
      </w:hyperlink>
    </w:p>
    <w:p>
      <w:pPr>
        <w:pStyle w:val="Übersicht"/>
        <w:ind w:left="680"/>
      </w:pPr>
      <w:hyperlink w:anchor="b92" w:history="1">
        <w:r>
          <w:rPr>
            <w:color w:val="0A3A8C"/>
            <w:u w:val="single"/>
          </w:rPr>
          <w:t xml:space="preserve">§ 70 Übermittlung für die Durchführung des Arbeitsschutzes</w:t>
        </w:r>
      </w:hyperlink>
    </w:p>
    <w:p>
      <w:pPr>
        <w:pStyle w:val="Übersicht"/>
        <w:ind w:left="680"/>
      </w:pPr>
      <w:hyperlink w:anchor="b93" w:history="1">
        <w:r>
          <w:rPr>
            <w:color w:val="0A3A8C"/>
            <w:u w:val="single"/>
          </w:rPr>
          <w:t xml:space="preserve">§ 71 Übermittlung für die Erfüllung besonderer gesetzlicher Pflichten und Mitteilungsbefugnisse</w:t>
        </w:r>
      </w:hyperlink>
    </w:p>
    <w:p>
      <w:pPr>
        <w:pStyle w:val="Übersicht"/>
        <w:ind w:left="680"/>
      </w:pPr>
      <w:hyperlink w:anchor="b94" w:history="1">
        <w:r>
          <w:rPr>
            <w:color w:val="0A3A8C"/>
            <w:u w:val="single"/>
          </w:rPr>
          <w:t xml:space="preserve">§ 72 Übermittlung für den Schutz der inneren und äußeren Sicherheit</w:t>
        </w:r>
      </w:hyperlink>
    </w:p>
    <w:p>
      <w:pPr>
        <w:pStyle w:val="Übersicht"/>
        <w:ind w:left="680"/>
      </w:pPr>
      <w:hyperlink w:anchor="b95" w:history="1">
        <w:r>
          <w:rPr>
            <w:color w:val="0A3A8C"/>
            <w:u w:val="single"/>
          </w:rPr>
          <w:t xml:space="preserve">§ 73 Übermittlung für die Durchführung eines Strafverfahrens</w:t>
        </w:r>
      </w:hyperlink>
    </w:p>
    <w:p>
      <w:pPr>
        <w:pStyle w:val="Übersicht"/>
        <w:ind w:left="680"/>
      </w:pPr>
      <w:hyperlink w:anchor="b96" w:history="1">
        <w:r>
          <w:rPr>
            <w:color w:val="0A3A8C"/>
            <w:u w:val="single"/>
          </w:rPr>
          <w:t xml:space="preserve">§ 74 Übermittlung bei Verletzung der Unterhaltspflicht und beim Versorgungsausgleich</w:t>
        </w:r>
      </w:hyperlink>
    </w:p>
    <w:p>
      <w:pPr>
        <w:pStyle w:val="Übersicht"/>
        <w:ind w:left="680"/>
      </w:pPr>
      <w:hyperlink w:anchor="b97" w:history="1">
        <w:r>
          <w:rPr>
            <w:color w:val="0A3A8C"/>
            <w:u w:val="single"/>
          </w:rPr>
          <w:t xml:space="preserve">§ 74a Übermittlung zur Durchsetzung öffentlich-rechtlicher Ansprüche und im Vollstreckungsverfahren</w:t>
        </w:r>
      </w:hyperlink>
    </w:p>
    <w:p>
      <w:pPr>
        <w:pStyle w:val="Übersicht"/>
        <w:ind w:left="680"/>
      </w:pPr>
      <w:hyperlink w:anchor="b98" w:history="1">
        <w:r>
          <w:rPr>
            <w:color w:val="0A3A8C"/>
            <w:u w:val="single"/>
          </w:rPr>
          <w:t xml:space="preserve">§ 75 Übermittlung von Sozialdaten für die Forschung und Planung</w:t>
        </w:r>
      </w:hyperlink>
    </w:p>
    <w:p>
      <w:pPr>
        <w:pStyle w:val="Übersicht"/>
        <w:ind w:left="680"/>
      </w:pPr>
      <w:hyperlink w:anchor="b99" w:history="1">
        <w:r>
          <w:rPr>
            <w:color w:val="0A3A8C"/>
            <w:u w:val="single"/>
          </w:rPr>
          <w:t xml:space="preserve">§ 76 Einschränkung der Übermittlungsbefugnis bei besonders schutzwürdigen Sozialdaten</w:t>
        </w:r>
      </w:hyperlink>
    </w:p>
    <w:p>
      <w:pPr>
        <w:pStyle w:val="Übersicht"/>
        <w:ind w:left="680"/>
      </w:pPr>
      <w:hyperlink w:anchor="b100" w:history="1">
        <w:r>
          <w:rPr>
            <w:color w:val="0A3A8C"/>
            <w:u w:val="single"/>
          </w:rPr>
          <w:t xml:space="preserve">§ 77 Übermittlung ins Ausland und an internationale Organisationen</w:t>
        </w:r>
      </w:hyperlink>
    </w:p>
    <w:p>
      <w:pPr>
        <w:pStyle w:val="Übersicht"/>
        <w:ind w:left="680"/>
      </w:pPr>
      <w:hyperlink w:anchor="b101" w:history="1">
        <w:r>
          <w:rPr>
            <w:color w:val="0A3A8C"/>
            <w:u w:val="single"/>
          </w:rPr>
          <w:t xml:space="preserve">§ 77a Grenzüberschreitende Nachweisabrufe</w:t>
        </w:r>
      </w:hyperlink>
    </w:p>
    <w:p>
      <w:pPr>
        <w:pStyle w:val="Übersicht"/>
        <w:ind w:left="680"/>
      </w:pPr>
      <w:hyperlink w:anchor="b102" w:history="1">
        <w:r>
          <w:rPr>
            <w:color w:val="0A3A8C"/>
            <w:u w:val="single"/>
          </w:rPr>
          <w:t xml:space="preserve">§ 78 Zweckbindung und Geheimhaltungspflicht eines Dritten, an den Daten übermittelt werden</w:t>
        </w:r>
      </w:hyperlink>
    </w:p>
    <w:p>
      <w:pPr>
        <w:pStyle w:val="Übersicht"/>
        <w:ind w:left="340"/>
      </w:pPr>
      <w:hyperlink w:anchor="b103" w:history="1">
        <w:r>
          <w:rPr>
            <w:b/>
            <w:color w:val="0A3A8C"/>
            <w:u w:val="single"/>
          </w:rPr>
          <w:t xml:space="preserve">Dritter Abschnitt Besondere Datenverarbeitungsarten</w:t>
        </w:r>
      </w:hyperlink>
    </w:p>
    <w:p>
      <w:pPr>
        <w:pStyle w:val="Übersicht"/>
        <w:ind w:left="680"/>
      </w:pPr>
      <w:hyperlink w:anchor="b104" w:history="1">
        <w:r>
          <w:rPr>
            <w:color w:val="0A3A8C"/>
            <w:u w:val="single"/>
          </w:rPr>
          <w:t xml:space="preserve">§ 79 Einrichtung automatisierter Verfahren auf Abruf</w:t>
        </w:r>
      </w:hyperlink>
    </w:p>
    <w:p>
      <w:pPr>
        <w:pStyle w:val="Übersicht"/>
        <w:ind w:left="680"/>
      </w:pPr>
      <w:hyperlink w:anchor="b105" w:history="1">
        <w:r>
          <w:rPr>
            <w:color w:val="0A3A8C"/>
            <w:u w:val="single"/>
          </w:rPr>
          <w:t xml:space="preserve">§ 80 Verarbeitung von Sozialdaten im Auftrag</w:t>
        </w:r>
      </w:hyperlink>
    </w:p>
    <w:p>
      <w:pPr>
        <w:pStyle w:val="Übersicht"/>
        <w:ind w:left="340"/>
      </w:pPr>
      <w:hyperlink w:anchor="b106" w:history="1">
        <w:r>
          <w:rPr>
            <w:b/>
            <w:color w:val="0A3A8C"/>
            <w:u w:val="single"/>
          </w:rPr>
          <w:t xml:space="preserve">Vierter Abschnitt Rechte der betroffenen Person, Beauftragte für den Datenschutz und Schlussvorschriften</w:t>
        </w:r>
      </w:hyperlink>
    </w:p>
    <w:p>
      <w:pPr>
        <w:pStyle w:val="Übersicht"/>
        <w:ind w:left="680"/>
      </w:pPr>
      <w:hyperlink w:anchor="b107" w:history="1">
        <w:r>
          <w:rPr>
            <w:color w:val="0A3A8C"/>
            <w:u w:val="single"/>
          </w:rPr>
          <w:t xml:space="preserve">§ 81 Recht auf Anrufung, Beauftragte für den Datenschutz</w:t>
        </w:r>
      </w:hyperlink>
    </w:p>
    <w:p>
      <w:pPr>
        <w:pStyle w:val="Übersicht"/>
        <w:ind w:left="680"/>
      </w:pPr>
      <w:hyperlink w:anchor="b108" w:history="1">
        <w:r>
          <w:rPr>
            <w:color w:val="0A3A8C"/>
            <w:u w:val="single"/>
          </w:rPr>
          <w:t xml:space="preserve">§ 81a Gerichtlicher Rechtsschutz</w:t>
        </w:r>
      </w:hyperlink>
    </w:p>
    <w:p>
      <w:pPr>
        <w:pStyle w:val="Übersicht"/>
        <w:ind w:left="680"/>
      </w:pPr>
      <w:hyperlink w:anchor="b109" w:history="1">
        <w:r>
          <w:rPr>
            <w:color w:val="0A3A8C"/>
            <w:u w:val="single"/>
          </w:rPr>
          <w:t xml:space="preserve">§ 81b Klagen gegen den Verantwortlichen oder Auftragsverarbeiter</w:t>
        </w:r>
      </w:hyperlink>
    </w:p>
    <w:p>
      <w:pPr>
        <w:pStyle w:val="Übersicht"/>
        <w:ind w:left="680"/>
      </w:pPr>
      <w:hyperlink w:anchor="b110" w:history="1">
        <w:r>
          <w:rPr>
            <w:color w:val="0A3A8C"/>
            <w:u w:val="single"/>
          </w:rPr>
          <w:t xml:space="preserve">§ 81c Antrag auf gerichtliche Entscheidung bei angenommener Europarechtswidrigkeit eines Angemessenheitsbeschlusses der Europäischen Kommission</w:t>
        </w:r>
      </w:hyperlink>
    </w:p>
    <w:p>
      <w:pPr>
        <w:pStyle w:val="Übersicht"/>
        <w:ind w:left="680"/>
      </w:pPr>
      <w:hyperlink w:anchor="b111" w:history="1">
        <w:r>
          <w:rPr>
            <w:color w:val="0A3A8C"/>
            <w:u w:val="single"/>
          </w:rPr>
          <w:t xml:space="preserve">§ 82 Informationspflichten bei der Erhebung von Sozialdaten bei der betroffenen Person</w:t>
        </w:r>
      </w:hyperlink>
    </w:p>
    <w:p>
      <w:pPr>
        <w:pStyle w:val="Übersicht"/>
        <w:ind w:left="680"/>
      </w:pPr>
      <w:hyperlink w:anchor="b112" w:history="1">
        <w:r>
          <w:rPr>
            <w:color w:val="0A3A8C"/>
            <w:u w:val="single"/>
          </w:rPr>
          <w:t xml:space="preserve">§ 82a Informationspflichten, wenn Sozialdaten nicht bei der betroffenen Person erhoben wurden</w:t>
        </w:r>
      </w:hyperlink>
    </w:p>
    <w:p>
      <w:pPr>
        <w:pStyle w:val="Übersicht"/>
        <w:ind w:left="680"/>
      </w:pPr>
      <w:hyperlink w:anchor="b113" w:history="1">
        <w:r>
          <w:rPr>
            <w:color w:val="0A3A8C"/>
            <w:u w:val="single"/>
          </w:rPr>
          <w:t xml:space="preserve">§ 83 Auskunftsrecht der betroffenen Personen</w:t>
        </w:r>
      </w:hyperlink>
    </w:p>
    <w:p>
      <w:pPr>
        <w:pStyle w:val="Übersicht"/>
        <w:ind w:left="680"/>
      </w:pPr>
      <w:hyperlink w:anchor="b114" w:history="1">
        <w:r>
          <w:rPr>
            <w:color w:val="0A3A8C"/>
            <w:u w:val="single"/>
          </w:rPr>
          <w:t xml:space="preserve">§ 84 Recht auf Berichtigung, Löschung, Einschränkung der Verarbeitung und Widerspruch</w:t>
        </w:r>
      </w:hyperlink>
    </w:p>
    <w:p>
      <w:pPr>
        <w:pStyle w:val="Übersicht"/>
        <w:ind w:left="680"/>
      </w:pPr>
      <w:hyperlink w:anchor="b115" w:history="1">
        <w:r>
          <w:rPr>
            <w:color w:val="0A3A8C"/>
            <w:u w:val="single"/>
          </w:rPr>
          <w:t xml:space="preserve">§ 85 Strafvorschriften</w:t>
        </w:r>
      </w:hyperlink>
    </w:p>
    <w:p>
      <w:pPr>
        <w:pStyle w:val="Übersicht"/>
        <w:ind w:left="680"/>
      </w:pPr>
      <w:hyperlink w:anchor="b116" w:history="1">
        <w:r>
          <w:rPr>
            <w:color w:val="0A3A8C"/>
            <w:u w:val="single"/>
          </w:rPr>
          <w:t xml:space="preserve">§ 85a Bußgeldvorschriften</w:t>
        </w:r>
      </w:hyperlink>
    </w:p>
    <w:p>
      <w:pPr>
        <w:pStyle w:val="Übersicht"/>
        <w:ind w:left="0"/>
      </w:pPr>
      <w:hyperlink w:anchor="b117" w:history="1">
        <w:r>
          <w:rPr>
            <w:b/>
            <w:color w:val="0A3A8C"/>
            <w:u w:val="single"/>
          </w:rPr>
          <w:t xml:space="preserve">Drittes Kapitel Zusammenarbeit der Leistungsträger
und ihre Beziehungen zu Dritten</w:t>
        </w:r>
      </w:hyperlink>
    </w:p>
    <w:p>
      <w:pPr>
        <w:pStyle w:val="Übersicht"/>
        <w:ind w:left="340"/>
      </w:pPr>
      <w:hyperlink w:anchor="b118" w:history="1">
        <w:r>
          <w:rPr>
            <w:b/>
            <w:color w:val="0A3A8C"/>
            <w:u w:val="single"/>
          </w:rPr>
          <w:t xml:space="preserve">Erster Abschnitt Zusammenarbeit der
Leistungsträger untereinander und mit Dritten</w:t>
        </w:r>
      </w:hyperlink>
    </w:p>
    <w:p>
      <w:pPr>
        <w:pStyle w:val="Übersicht"/>
        <w:ind w:left="680"/>
      </w:pPr>
      <w:hyperlink w:anchor="b119" w:history="1">
        <w:r>
          <w:rPr>
            <w:b/>
            <w:color w:val="0A3A8C"/>
            <w:u w:val="single"/>
          </w:rPr>
          <w:t xml:space="preserve">Erster Titel Allgemeine Vorschriften</w:t>
        </w:r>
      </w:hyperlink>
    </w:p>
    <w:p>
      <w:pPr>
        <w:pStyle w:val="Übersicht"/>
        <w:ind w:left="1020"/>
      </w:pPr>
      <w:hyperlink w:anchor="b120" w:history="1">
        <w:r>
          <w:rPr>
            <w:color w:val="0A3A8C"/>
            <w:u w:val="single"/>
          </w:rPr>
          <w:t xml:space="preserve">§ 86 Zusammenarbeit</w:t>
        </w:r>
      </w:hyperlink>
    </w:p>
    <w:p>
      <w:pPr>
        <w:pStyle w:val="Übersicht"/>
        <w:ind w:left="680"/>
      </w:pPr>
      <w:hyperlink w:anchor="b121" w:history="1">
        <w:r>
          <w:rPr>
            <w:b/>
            <w:color w:val="0A3A8C"/>
            <w:u w:val="single"/>
          </w:rPr>
          <w:t xml:space="preserve">Zweiter Titel Zusammenarbeit der
Leistungsträger untereinander</w:t>
        </w:r>
      </w:hyperlink>
    </w:p>
    <w:p>
      <w:pPr>
        <w:pStyle w:val="Übersicht"/>
        <w:ind w:left="1020"/>
      </w:pPr>
      <w:hyperlink w:anchor="b122" w:history="1">
        <w:r>
          <w:rPr>
            <w:color w:val="0A3A8C"/>
            <w:u w:val="single"/>
          </w:rPr>
          <w:t xml:space="preserve">§ 87 Beschleunigung der Zusammenarbeit</w:t>
        </w:r>
      </w:hyperlink>
    </w:p>
    <w:p>
      <w:pPr>
        <w:pStyle w:val="Übersicht"/>
        <w:ind w:left="1020"/>
      </w:pPr>
      <w:hyperlink w:anchor="b123" w:history="1">
        <w:r>
          <w:rPr>
            <w:color w:val="0A3A8C"/>
            <w:u w:val="single"/>
          </w:rPr>
          <w:t xml:space="preserve">§ 88 Auftrag</w:t>
        </w:r>
      </w:hyperlink>
    </w:p>
    <w:p>
      <w:pPr>
        <w:pStyle w:val="Übersicht"/>
        <w:ind w:left="1020"/>
      </w:pPr>
      <w:hyperlink w:anchor="b124" w:history="1">
        <w:r>
          <w:rPr>
            <w:color w:val="0A3A8C"/>
            <w:u w:val="single"/>
          </w:rPr>
          <w:t xml:space="preserve">§ 89 Ausführung des Auftrags</w:t>
        </w:r>
      </w:hyperlink>
    </w:p>
    <w:p>
      <w:pPr>
        <w:pStyle w:val="Übersicht"/>
        <w:ind w:left="1020"/>
      </w:pPr>
      <w:hyperlink w:anchor="b125" w:history="1">
        <w:r>
          <w:rPr>
            <w:color w:val="0A3A8C"/>
            <w:u w:val="single"/>
          </w:rPr>
          <w:t xml:space="preserve">§ 90 Anträge und Widerspruch beim Auftrag</w:t>
        </w:r>
      </w:hyperlink>
    </w:p>
    <w:p>
      <w:pPr>
        <w:pStyle w:val="Übersicht"/>
        <w:ind w:left="1020"/>
      </w:pPr>
      <w:hyperlink w:anchor="b126" w:history="1">
        <w:r>
          <w:rPr>
            <w:color w:val="0A3A8C"/>
            <w:u w:val="single"/>
          </w:rPr>
          <w:t xml:space="preserve">§ 91 Erstattung von Aufwendungen</w:t>
        </w:r>
      </w:hyperlink>
    </w:p>
    <w:p>
      <w:pPr>
        <w:pStyle w:val="Übersicht"/>
        <w:ind w:left="1020"/>
      </w:pPr>
      <w:hyperlink w:anchor="b127" w:history="1">
        <w:r>
          <w:rPr>
            <w:color w:val="0A3A8C"/>
            <w:u w:val="single"/>
          </w:rPr>
          <w:t xml:space="preserve">§ 92 Kündigung des Auftrags</w:t>
        </w:r>
      </w:hyperlink>
    </w:p>
    <w:p>
      <w:pPr>
        <w:pStyle w:val="Übersicht"/>
        <w:ind w:left="1020"/>
      </w:pPr>
      <w:hyperlink w:anchor="b128" w:history="1">
        <w:r>
          <w:rPr>
            <w:color w:val="0A3A8C"/>
            <w:u w:val="single"/>
          </w:rPr>
          <w:t xml:space="preserve">§ 93 Gesetzlicher Auftrag</w:t>
        </w:r>
      </w:hyperlink>
    </w:p>
    <w:p>
      <w:pPr>
        <w:pStyle w:val="Übersicht"/>
        <w:ind w:left="1020"/>
      </w:pPr>
      <w:hyperlink w:anchor="b129" w:history="1">
        <w:r>
          <w:rPr>
            <w:color w:val="0A3A8C"/>
            <w:u w:val="single"/>
          </w:rPr>
          <w:t xml:space="preserve">§ 94 Arbeitsgemeinschaften</w:t>
        </w:r>
      </w:hyperlink>
    </w:p>
    <w:p>
      <w:pPr>
        <w:pStyle w:val="Übersicht"/>
        <w:ind w:left="1020"/>
      </w:pPr>
      <w:hyperlink w:anchor="b130" w:history="1">
        <w:r>
          <w:rPr>
            <w:color w:val="0A3A8C"/>
            <w:u w:val="single"/>
          </w:rPr>
          <w:t xml:space="preserve">§ 95 Zusammenarbeit bei Planung und Forschung</w:t>
        </w:r>
      </w:hyperlink>
    </w:p>
    <w:p>
      <w:pPr>
        <w:pStyle w:val="Übersicht"/>
        <w:ind w:left="1020"/>
      </w:pPr>
      <w:hyperlink w:anchor="b131" w:history="1">
        <w:r>
          <w:rPr>
            <w:color w:val="0A3A8C"/>
            <w:u w:val="single"/>
          </w:rPr>
          <w:t xml:space="preserve">§ 96 Ärztliche Untersuchungen, psychologische Eignungsuntersuchungen</w:t>
        </w:r>
      </w:hyperlink>
    </w:p>
    <w:p>
      <w:pPr>
        <w:pStyle w:val="Übersicht"/>
        <w:ind w:left="680"/>
      </w:pPr>
      <w:hyperlink w:anchor="b132" w:history="1">
        <w:r>
          <w:rPr>
            <w:b/>
            <w:color w:val="0A3A8C"/>
            <w:u w:val="single"/>
          </w:rPr>
          <w:t xml:space="preserve">Dritter Titel Zusammenarbeit der
Leistungsträger mit Dritten</w:t>
        </w:r>
      </w:hyperlink>
    </w:p>
    <w:p>
      <w:pPr>
        <w:pStyle w:val="Übersicht"/>
        <w:ind w:left="1020"/>
      </w:pPr>
      <w:hyperlink w:anchor="b133" w:history="1">
        <w:r>
          <w:rPr>
            <w:color w:val="0A3A8C"/>
            <w:u w:val="single"/>
          </w:rPr>
          <w:t xml:space="preserve">§ 97 Durchführung von Aufgaben durch Dritte</w:t>
        </w:r>
      </w:hyperlink>
    </w:p>
    <w:p>
      <w:pPr>
        <w:pStyle w:val="Übersicht"/>
        <w:ind w:left="1020"/>
      </w:pPr>
      <w:hyperlink w:anchor="b134" w:history="1">
        <w:r>
          <w:rPr>
            <w:color w:val="0A3A8C"/>
            <w:u w:val="single"/>
          </w:rPr>
          <w:t xml:space="preserve">§ 98 Auskunftspflicht des Arbeitgebers</w:t>
        </w:r>
      </w:hyperlink>
    </w:p>
    <w:p>
      <w:pPr>
        <w:pStyle w:val="Übersicht"/>
        <w:ind w:left="1020"/>
      </w:pPr>
      <w:hyperlink w:anchor="b135" w:history="1">
        <w:r>
          <w:rPr>
            <w:color w:val="0A3A8C"/>
            <w:u w:val="single"/>
          </w:rPr>
          <w:t xml:space="preserve">§ 99 Auskunftspflicht von Angehörigen, Unterhaltspflichtigen oder sonstigen Personen</w:t>
        </w:r>
      </w:hyperlink>
    </w:p>
    <w:p>
      <w:pPr>
        <w:pStyle w:val="Übersicht"/>
        <w:ind w:left="1020"/>
      </w:pPr>
      <w:hyperlink w:anchor="b136" w:history="1">
        <w:r>
          <w:rPr>
            <w:color w:val="0A3A8C"/>
            <w:u w:val="single"/>
          </w:rPr>
          <w:t xml:space="preserve">§ 100 Auskunftspflicht des Arztes oder Angehörigen eines anderen Heilberufs</w:t>
        </w:r>
      </w:hyperlink>
    </w:p>
    <w:p>
      <w:pPr>
        <w:pStyle w:val="Übersicht"/>
        <w:ind w:left="1020"/>
      </w:pPr>
      <w:hyperlink w:anchor="b137" w:history="1">
        <w:r>
          <w:rPr>
            <w:color w:val="0A3A8C"/>
            <w:u w:val="single"/>
          </w:rPr>
          <w:t xml:space="preserve">§ 101 Auskunftspflicht der Leistungsträger</w:t>
        </w:r>
      </w:hyperlink>
    </w:p>
    <w:p>
      <w:pPr>
        <w:pStyle w:val="Übersicht"/>
        <w:ind w:left="1020"/>
      </w:pPr>
      <w:hyperlink w:anchor="b138" w:history="1">
        <w:r>
          <w:rPr>
            <w:color w:val="0A3A8C"/>
            <w:u w:val="single"/>
          </w:rPr>
          <w:t xml:space="preserve">§ 101a Mitteilungen der Meldebehörden</w:t>
        </w:r>
      </w:hyperlink>
    </w:p>
    <w:p>
      <w:pPr>
        <w:pStyle w:val="Übersicht"/>
        <w:ind w:left="340"/>
      </w:pPr>
      <w:hyperlink w:anchor="b139" w:history="1">
        <w:r>
          <w:rPr>
            <w:b/>
            <w:color w:val="0A3A8C"/>
            <w:u w:val="single"/>
          </w:rPr>
          <w:t xml:space="preserve">Zweiter Abschnitt Erstattungsansprüche der
Leistungsträger untereinander</w:t>
        </w:r>
      </w:hyperlink>
    </w:p>
    <w:p>
      <w:pPr>
        <w:pStyle w:val="Übersicht"/>
        <w:ind w:left="680"/>
      </w:pPr>
      <w:hyperlink w:anchor="b140" w:history="1">
        <w:r>
          <w:rPr>
            <w:color w:val="0A3A8C"/>
            <w:u w:val="single"/>
          </w:rPr>
          <w:t xml:space="preserve">§ 102 Anspruch des vorläufig leistenden Leistungsträgers</w:t>
        </w:r>
      </w:hyperlink>
    </w:p>
    <w:p>
      <w:pPr>
        <w:pStyle w:val="Übersicht"/>
        <w:ind w:left="680"/>
      </w:pPr>
      <w:hyperlink w:anchor="b141" w:history="1">
        <w:r>
          <w:rPr>
            <w:color w:val="0A3A8C"/>
            <w:u w:val="single"/>
          </w:rPr>
          <w:t xml:space="preserve">§ 103 Anspruch des Leistungsträgers, dessen Leistungsverpflichtung nachträglich entfallen ist</w:t>
        </w:r>
      </w:hyperlink>
    </w:p>
    <w:p>
      <w:pPr>
        <w:pStyle w:val="Übersicht"/>
        <w:ind w:left="680"/>
      </w:pPr>
      <w:hyperlink w:anchor="b142" w:history="1">
        <w:r>
          <w:rPr>
            <w:color w:val="0A3A8C"/>
            <w:u w:val="single"/>
          </w:rPr>
          <w:t xml:space="preserve">§ 104 Anspruch des nachrangig verpflichteten Leistungsträgers</w:t>
        </w:r>
      </w:hyperlink>
    </w:p>
    <w:p>
      <w:pPr>
        <w:pStyle w:val="Übersicht"/>
        <w:ind w:left="680"/>
      </w:pPr>
      <w:hyperlink w:anchor="b143" w:history="1">
        <w:r>
          <w:rPr>
            <w:color w:val="0A3A8C"/>
            <w:u w:val="single"/>
          </w:rPr>
          <w:t xml:space="preserve">§ 105 Anspruch des unzuständigen Leistungsträgers</w:t>
        </w:r>
      </w:hyperlink>
    </w:p>
    <w:p>
      <w:pPr>
        <w:pStyle w:val="Übersicht"/>
        <w:ind w:left="680"/>
      </w:pPr>
      <w:hyperlink w:anchor="b144" w:history="1">
        <w:r>
          <w:rPr>
            <w:color w:val="0A3A8C"/>
            <w:u w:val="single"/>
          </w:rPr>
          <w:t xml:space="preserve">§ 106 Rangfolge bei mehreren Erstattungsberechtigten</w:t>
        </w:r>
      </w:hyperlink>
    </w:p>
    <w:p>
      <w:pPr>
        <w:pStyle w:val="Übersicht"/>
        <w:ind w:left="680"/>
      </w:pPr>
      <w:hyperlink w:anchor="b145" w:history="1">
        <w:r>
          <w:rPr>
            <w:color w:val="0A3A8C"/>
            <w:u w:val="single"/>
          </w:rPr>
          <w:t xml:space="preserve">§ 107 Erfüllung</w:t>
        </w:r>
      </w:hyperlink>
    </w:p>
    <w:p>
      <w:pPr>
        <w:pStyle w:val="Übersicht"/>
        <w:ind w:left="680"/>
      </w:pPr>
      <w:hyperlink w:anchor="b146" w:history="1">
        <w:r>
          <w:rPr>
            <w:color w:val="0A3A8C"/>
            <w:u w:val="single"/>
          </w:rPr>
          <w:t xml:space="preserve">§ 108 Erstattung in Geld, Verzinsung</w:t>
        </w:r>
      </w:hyperlink>
    </w:p>
    <w:p>
      <w:pPr>
        <w:pStyle w:val="Übersicht"/>
        <w:ind w:left="680"/>
      </w:pPr>
      <w:hyperlink w:anchor="b147" w:history="1">
        <w:r>
          <w:rPr>
            <w:color w:val="0A3A8C"/>
            <w:u w:val="single"/>
          </w:rPr>
          <w:t xml:space="preserve">§ 109 Verwaltungskosten und Auslagen</w:t>
        </w:r>
      </w:hyperlink>
    </w:p>
    <w:p>
      <w:pPr>
        <w:pStyle w:val="Übersicht"/>
        <w:ind w:left="680"/>
      </w:pPr>
      <w:hyperlink w:anchor="b148" w:history="1">
        <w:r>
          <w:rPr>
            <w:color w:val="0A3A8C"/>
            <w:u w:val="single"/>
          </w:rPr>
          <w:t xml:space="preserve">§ 110 Pauschalierung</w:t>
        </w:r>
      </w:hyperlink>
    </w:p>
    <w:p>
      <w:pPr>
        <w:pStyle w:val="Übersicht"/>
        <w:ind w:left="680"/>
      </w:pPr>
      <w:hyperlink w:anchor="b149" w:history="1">
        <w:r>
          <w:rPr>
            <w:color w:val="0A3A8C"/>
            <w:u w:val="single"/>
          </w:rPr>
          <w:t xml:space="preserve">§ 111 Ausschlussfrist</w:t>
        </w:r>
      </w:hyperlink>
    </w:p>
    <w:p>
      <w:pPr>
        <w:pStyle w:val="Übersicht"/>
        <w:ind w:left="680"/>
      </w:pPr>
      <w:hyperlink w:anchor="b150" w:history="1">
        <w:r>
          <w:rPr>
            <w:color w:val="0A3A8C"/>
            <w:u w:val="single"/>
          </w:rPr>
          <w:t xml:space="preserve">§ 112 Rückerstattung</w:t>
        </w:r>
      </w:hyperlink>
    </w:p>
    <w:p>
      <w:pPr>
        <w:pStyle w:val="Übersicht"/>
        <w:ind w:left="680"/>
      </w:pPr>
      <w:hyperlink w:anchor="b151" w:history="1">
        <w:r>
          <w:rPr>
            <w:color w:val="0A3A8C"/>
            <w:u w:val="single"/>
          </w:rPr>
          <w:t xml:space="preserve">§ 113 Verjährung</w:t>
        </w:r>
      </w:hyperlink>
    </w:p>
    <w:p>
      <w:pPr>
        <w:pStyle w:val="Übersicht"/>
        <w:ind w:left="680"/>
      </w:pPr>
      <w:hyperlink w:anchor="b152" w:history="1">
        <w:r>
          <w:rPr>
            <w:color w:val="0A3A8C"/>
            <w:u w:val="single"/>
          </w:rPr>
          <w:t xml:space="preserve">§ 114 Rechtsweg</w:t>
        </w:r>
      </w:hyperlink>
    </w:p>
    <w:p>
      <w:pPr>
        <w:pStyle w:val="Übersicht"/>
        <w:ind w:left="340"/>
      </w:pPr>
      <w:hyperlink w:anchor="b153" w:history="1">
        <w:r>
          <w:rPr>
            <w:b/>
            <w:color w:val="0A3A8C"/>
            <w:u w:val="single"/>
          </w:rPr>
          <w:t xml:space="preserve">Dritter Abschnitt Erstattungs- und Ersatzansprüche
der Leistungsträger gegen Dritte</w:t>
        </w:r>
      </w:hyperlink>
    </w:p>
    <w:p>
      <w:pPr>
        <w:pStyle w:val="Übersicht"/>
        <w:ind w:left="680"/>
      </w:pPr>
      <w:hyperlink w:anchor="b154" w:history="1">
        <w:r>
          <w:rPr>
            <w:color w:val="0A3A8C"/>
            <w:u w:val="single"/>
          </w:rPr>
          <w:t xml:space="preserve">§ 115 Ansprüche gegen den Arbeitgeber</w:t>
        </w:r>
      </w:hyperlink>
    </w:p>
    <w:p>
      <w:pPr>
        <w:pStyle w:val="Übersicht"/>
        <w:ind w:left="680"/>
      </w:pPr>
      <w:hyperlink w:anchor="b155" w:history="1">
        <w:r>
          <w:rPr>
            <w:color w:val="0A3A8C"/>
            <w:u w:val="single"/>
          </w:rPr>
          <w:t xml:space="preserve">§ 116 Ansprüche gegen Schadenersatzpflichtige</w:t>
        </w:r>
      </w:hyperlink>
    </w:p>
    <w:p>
      <w:pPr>
        <w:pStyle w:val="Übersicht"/>
        <w:ind w:left="680"/>
      </w:pPr>
      <w:hyperlink w:anchor="b156" w:history="1">
        <w:r>
          <w:rPr>
            <w:color w:val="0A3A8C"/>
            <w:u w:val="single"/>
          </w:rPr>
          <w:t xml:space="preserve">§ 117 Schadenersatzansprüche mehrerer Leistungsträger</w:t>
        </w:r>
      </w:hyperlink>
    </w:p>
    <w:p>
      <w:pPr>
        <w:pStyle w:val="Übersicht"/>
        <w:ind w:left="680"/>
      </w:pPr>
      <w:hyperlink w:anchor="b157" w:history="1">
        <w:r>
          <w:rPr>
            <w:color w:val="0A3A8C"/>
            <w:u w:val="single"/>
          </w:rPr>
          <w:t xml:space="preserve">§ 118 Bindung der Gerichte</w:t>
        </w:r>
      </w:hyperlink>
    </w:p>
    <w:p>
      <w:pPr>
        <w:pStyle w:val="Übersicht"/>
        <w:ind w:left="680"/>
      </w:pPr>
      <w:hyperlink w:anchor="b158" w:history="1">
        <w:r>
          <w:rPr>
            <w:color w:val="0A3A8C"/>
            <w:u w:val="single"/>
          </w:rPr>
          <w:t xml:space="preserve">§ 119 Übergang von Beitragsansprüchen</w:t>
        </w:r>
      </w:hyperlink>
    </w:p>
    <w:p>
      <w:pPr>
        <w:pStyle w:val="Übersicht"/>
        <w:ind w:left="0"/>
      </w:pPr>
      <w:hyperlink w:anchor="b159" w:history="1">
        <w:r>
          <w:rPr>
            <w:b/>
            <w:color w:val="0A3A8C"/>
            <w:u w:val="single"/>
          </w:rPr>
          <w:t xml:space="preserve">Viertes Kapitel Übergangs- und Schlussvorschriften</w:t>
        </w:r>
      </w:hyperlink>
    </w:p>
    <w:p>
      <w:pPr>
        <w:pStyle w:val="Übersicht"/>
        <w:ind w:left="340"/>
      </w:pPr>
      <w:hyperlink w:anchor="b160" w:history="1">
        <w:r>
          <w:rPr>
            <w:color w:val="0A3A8C"/>
            <w:u w:val="single"/>
          </w:rPr>
          <w:t xml:space="preserve">§ 120 Übergangsregelung</w:t>
        </w:r>
      </w:hyperlink>
    </w:p>
    <w:p>
      <w:pPr>
        <w:pStyle w:val="Heading1"/>
      </w:pPr>
      <w:bookmarkStart w:id="1" w:name="b0"/>
      <w:r>
        <w:t>Erstes Kapitel Verwaltungsverfahren</w:t>
      </w:r>
      <w:bookmarkEnd w:id="1"/>
    </w:p>
    <w:p>
      <w:pPr>
        <w:pStyle w:val="Heading2"/>
      </w:pPr>
      <w:bookmarkStart w:id="2" w:name="b1"/>
      <w:r>
        <w:t>Erster Abschnitt Anwendungsbereich, Zuständigkeit, Amtshilfe</w:t>
      </w:r>
      <w:bookmarkEnd w:id="2"/>
    </w:p>
    <w:p>
      <w:pPr>
        <w:pStyle w:val="Heading3"/>
      </w:pPr>
      <w:bookmarkStart w:id="3" w:name="b2"/>
      <w:r>
        <w:t>§ 1 Anwendungsbereich</w:t>
      </w:r>
      <w:r>
        <w:t xml:space="preserve"> </w:t>
      </w:r>
      <w:r>
        <w:rPr>
          <w:rStyle w:val="Suchmarke"/>
        </w:rPr>
        <w:t>#1#</w:t>
      </w:r>
      <w:bookmarkEnd w:id="3"/>
    </w:p>
    <w:p>
      <w:r>
        <w:t xml:space="preserve">(1) </w:t>
      </w:r>
      <w:r>
        <w:rPr>
          <w:rStyle w:val="Satznummer"/>
        </w:rPr>
        <w:t>1</w:t>
      </w:r>
      <w:r>
        <w:t xml:space="preserve">Die Vorschriften dieses Kapitels gelten für die öffentlich-rechtliche Verwaltungstätigkeit der Behörden, die nach diesem Gesetzbuch ausgeübt wird. </w:t>
      </w:r>
      <w:r>
        <w:rPr>
          <w:rStyle w:val="Satznummer"/>
        </w:rPr>
        <w:t>2</w:t>
      </w:r>
      <w:r>
        <w:t xml:space="preserve">Für die öffentlich-rechtliche Verwaltungstätigkeit der Behörden der Länder, der Gemeinden und Gemeindeverbände, der sonstigen der Aufsicht des Landes unterstehenden juristischen Personen des öffentlichen Rechts zur Ausführung von besonderen Teilen dieses Gesetzbuches, die nach Inkrafttreten der Vorschriften dieses Kapitels Bestandteil des Sozialgesetzbuches werden, gilt dies nur, soweit diese besonderen Teile mit Zustimmung des Bundesrates die Vorschriften dieses Kapitels für anwendbar erklären. </w:t>
      </w:r>
      <w:r>
        <w:rPr>
          <w:rStyle w:val="Satznummer"/>
        </w:rPr>
        <w:t>3</w:t>
      </w:r>
      <w:r>
        <w:t>Die Vorschriften gelten nicht für die Verfolgung und Ahndung von Ordnungswidrigkeiten.</w:t>
      </w:r>
    </w:p>
    <w:p>
      <w:r>
        <w:t>(2) Behörde im Sinne dieses Gesetzbuches ist jede Stelle, die Aufgaben der öffentlichen Verwaltung wahrnimmt.</w:t>
      </w:r>
    </w:p>
    <w:p>
      <w:pPr>
        <w:pStyle w:val="Heading3"/>
      </w:pPr>
      <w:bookmarkStart w:id="4" w:name="b3"/>
      <w:r>
        <w:t>§ 2 Örtliche Zuständigkeit</w:t>
      </w:r>
      <w:r>
        <w:t xml:space="preserve"> </w:t>
      </w:r>
      <w:r>
        <w:rPr>
          <w:rStyle w:val="Suchmarke"/>
        </w:rPr>
        <w:t>#2#</w:t>
      </w:r>
      <w:bookmarkEnd w:id="4"/>
    </w:p>
    <w:p>
      <w:r>
        <w:t xml:space="preserve">(1) </w:t>
      </w:r>
      <w:r>
        <w:rPr>
          <w:rStyle w:val="Satznummer"/>
        </w:rPr>
        <w:t>1</w:t>
      </w:r>
      <w:r>
        <w:t xml:space="preserve">Sind mehrere Behörden örtlich zuständig, entscheidet die Behörde, die zuerst mit der Sache befasst worden ist, es sei denn, die gemeinsame Aufsichtsbehörde bestimmt, dass eine andere örtlich zuständige Behörde zu entscheiden hat. </w:t>
      </w:r>
      <w:r>
        <w:rPr>
          <w:rStyle w:val="Satznummer"/>
        </w:rPr>
        <w:t>2</w:t>
      </w:r>
      <w:r>
        <w:t xml:space="preserve">Diese Aufsichtsbehörde entscheidet ferner über die örtliche Zuständigkeit, wenn sich mehrere Behörden für zuständig oder für unzuständig halten oder wenn die Zuständigkeit aus anderen Gründen zweifelhaft ist. </w:t>
      </w:r>
      <w:r>
        <w:rPr>
          <w:rStyle w:val="Satznummer"/>
        </w:rPr>
        <w:t>3</w:t>
      </w:r>
      <w:r>
        <w:t>Fehlt eine gemeinsame Aufsichtsbehörde, treffen die Aufsichtsbehörden die Entscheidung gemeinsam.</w:t>
      </w:r>
    </w:p>
    <w:p>
      <w:r>
        <w:t>(2) Ändern sich im Lauf des Verwaltungsverfahrens die die Zuständigkeit begründenden Umstände, kann die bisher zuständige Behörde das Verwaltungsverfahren fortführen, wenn dies unter Wahrung der Interessen der Beteiligten der einfachen und zweckmäßigen Durchführung des Verfahrens dient und die nunmehr zuständige Behörde zustimmt.</w:t>
      </w:r>
    </w:p>
    <w:p>
      <w:r>
        <w:t xml:space="preserve">(3) </w:t>
      </w:r>
      <w:r>
        <w:rPr>
          <w:rStyle w:val="Satznummer"/>
        </w:rPr>
        <w:t>1</w:t>
      </w:r>
      <w:r>
        <w:t xml:space="preserve">Hat die örtliche Zuständigkeit gewechselt, muss die bisher zuständige Behörde die Leistungen noch solange erbringen, bis sie von der nunmehr zuständigen Behörde fortgesetzt werden. </w:t>
      </w:r>
      <w:r>
        <w:rPr>
          <w:rStyle w:val="Satznummer"/>
        </w:rPr>
        <w:t>2</w:t>
      </w:r>
      <w:r>
        <w:t xml:space="preserve">Diese hat der bisher zuständigen Behörde die nach dem Zuständigkeitswechsel noch erbrachten Leistungen auf Anforderung zu erstatten. </w:t>
      </w:r>
      <w:r>
        <w:rPr>
          <w:rStyle w:val="Satznummer"/>
        </w:rPr>
        <w:t>3</w:t>
      </w:r>
      <w:hyperlink w:anchor="b140" w:history="1">
        <w:r>
          <w:rPr>
            <w:color w:val="0A3A8C"/>
            <w:u w:val="single"/>
          </w:rPr>
          <w:t xml:space="preserve">§ 102</w:t>
        </w:r>
      </w:hyperlink>
      <w:r>
        <w:t xml:space="preserve"> Abs. 2 gilt entsprechend.</w:t>
      </w:r>
    </w:p>
    <w:p>
      <w:r>
        <w:t xml:space="preserve">(4) </w:t>
      </w:r>
      <w:r>
        <w:rPr>
          <w:rStyle w:val="Satznummer"/>
        </w:rPr>
        <w:t>1</w:t>
      </w:r>
      <w:r>
        <w:t xml:space="preserve">Bei Gefahr im Verzug ist für unaufschiebbare Maßnahmen jede Behörde örtlich zuständig, in deren Bezirk der Anlass für die Amtshandlung hervortritt. </w:t>
      </w:r>
      <w:r>
        <w:rPr>
          <w:rStyle w:val="Satznummer"/>
        </w:rPr>
        <w:t>2</w:t>
      </w:r>
      <w:r>
        <w:t>Die nach den besonderen Teilen dieses Gesetzbuchs örtlich zuständige Behörde ist unverzüglich zu unterrichten.</w:t>
      </w:r>
    </w:p>
    <w:p>
      <w:pPr>
        <w:pStyle w:val="Heading3"/>
      </w:pPr>
      <w:bookmarkStart w:id="5" w:name="b4"/>
      <w:r>
        <w:t>§ 3 Amtshilfepflicht</w:t>
      </w:r>
      <w:r>
        <w:t xml:space="preserve"> </w:t>
      </w:r>
      <w:r>
        <w:rPr>
          <w:rStyle w:val="Suchmarke"/>
        </w:rPr>
        <w:t>#3#</w:t>
      </w:r>
      <w:bookmarkEnd w:id="5"/>
    </w:p>
    <w:p>
      <w:r>
        <w:t>(1) Jede Behörde leistet anderen Behörden auf Ersuchen ergänzende Hilfe (Amtshilfe).</w:t>
      </w:r>
    </w:p>
    <w:p>
      <w:r>
        <w:t>(2) Amtshilfe liegt nicht vor, wenn</w:t>
      </w:r>
    </w:p>
    <w:p>
      <w:pPr>
        <w:tabs>
          <w:tab w:pos="567" w:val="left"/>
        </w:tabs>
        <w:ind w:left="567" w:hanging="567"/>
      </w:pPr>
      <w:r>
        <w:t>1.</w:t>
      </w:r>
      <w:r>
        <w:tab/>
      </w:r>
      <w:r>
        <w:t>Behörden einander innerhalb eines bestehenden Weisungsverhältnisses Hilfe leisten,</w:t>
      </w:r>
    </w:p>
    <w:p>
      <w:pPr>
        <w:tabs>
          <w:tab w:pos="567" w:val="left"/>
        </w:tabs>
        <w:ind w:left="567" w:hanging="567"/>
      </w:pPr>
      <w:r>
        <w:t>2.</w:t>
      </w:r>
      <w:r>
        <w:tab/>
      </w:r>
      <w:r>
        <w:t>die Hilfeleistung in Handlungen besteht, die der ersuchten Behörde als eigene Aufgabe obliegen.</w:t>
      </w:r>
    </w:p>
    <w:p>
      <w:pPr>
        <w:pStyle w:val="Heading3"/>
      </w:pPr>
      <w:bookmarkStart w:id="6" w:name="b5"/>
      <w:r>
        <w:t>§ 4 Voraussetzungen und Grenzen der Amtshilfe</w:t>
      </w:r>
      <w:r>
        <w:t xml:space="preserve"> </w:t>
      </w:r>
      <w:r>
        <w:rPr>
          <w:rStyle w:val="Suchmarke"/>
        </w:rPr>
        <w:t>#4#</w:t>
      </w:r>
      <w:bookmarkEnd w:id="6"/>
    </w:p>
    <w:p>
      <w:r>
        <w:t>(1) Eine Behörde kann um Amtshilfe insbesondere dann ersuchen, wenn sie</w:t>
      </w:r>
    </w:p>
    <w:p>
      <w:pPr>
        <w:tabs>
          <w:tab w:pos="567" w:val="left"/>
        </w:tabs>
        <w:ind w:left="567" w:hanging="567"/>
      </w:pPr>
      <w:r>
        <w:t>1.</w:t>
      </w:r>
      <w:r>
        <w:tab/>
      </w:r>
      <w:r>
        <w:t>aus rechtlichen Gründen die Amtshandlung nicht selbst vornehmen kann,</w:t>
      </w:r>
    </w:p>
    <w:p>
      <w:pPr>
        <w:tabs>
          <w:tab w:pos="567" w:val="left"/>
        </w:tabs>
        <w:ind w:left="567" w:hanging="567"/>
      </w:pPr>
      <w:r>
        <w:t>2.</w:t>
      </w:r>
      <w:r>
        <w:tab/>
      </w:r>
      <w:r>
        <w:t>aus tatsächlichen Gründen, besonders weil die zur Vornahme der Amtshandlung erforderlichen Dienstkräfte oder Einrichtungen fehlen, die Amtshandlung nicht selbst vornehmen kann,</w:t>
      </w:r>
    </w:p>
    <w:p>
      <w:pPr>
        <w:tabs>
          <w:tab w:pos="567" w:val="left"/>
        </w:tabs>
        <w:ind w:left="567" w:hanging="567"/>
      </w:pPr>
      <w:r>
        <w:t>3.</w:t>
      </w:r>
      <w:r>
        <w:tab/>
      </w:r>
      <w:r>
        <w:t>zur Durchführung ihrer Aufgaben auf die Kenntnis von Tatsachen angewiesen ist, die ihr unbekannt sind und die sie selbst nicht ermitteln kann,</w:t>
      </w:r>
    </w:p>
    <w:p>
      <w:pPr>
        <w:tabs>
          <w:tab w:pos="567" w:val="left"/>
        </w:tabs>
        <w:ind w:left="567" w:hanging="567"/>
      </w:pPr>
      <w:r>
        <w:t>4.</w:t>
      </w:r>
      <w:r>
        <w:tab/>
      </w:r>
      <w:r>
        <w:t>zur Durchführung ihrer Aufgaben Urkunden oder sonstige Beweismittel benötigt, die sich im Besitz der ersuchten Behörde befinden,</w:t>
      </w:r>
    </w:p>
    <w:p>
      <w:pPr>
        <w:tabs>
          <w:tab w:pos="567" w:val="left"/>
        </w:tabs>
        <w:ind w:left="567" w:hanging="567"/>
      </w:pPr>
      <w:r>
        <w:t>5.</w:t>
      </w:r>
      <w:r>
        <w:tab/>
      </w:r>
      <w:r>
        <w:t>die Amtshandlung nur mit wesentlich größerem Aufwand vornehmen könnte als die ersuchte Behörde.</w:t>
      </w:r>
    </w:p>
    <w:p>
      <w:r>
        <w:t xml:space="preserve">(2) </w:t>
      </w:r>
      <w:r>
        <w:rPr>
          <w:rStyle w:val="Satznummer"/>
        </w:rPr>
        <w:t>1</w:t>
      </w:r>
      <w:r>
        <w:t>Die ersuchte Behörde darf Hilfe nicht leisten, wenn</w:t>
      </w:r>
    </w:p>
    <w:p>
      <w:pPr>
        <w:tabs>
          <w:tab w:pos="567" w:val="left"/>
        </w:tabs>
        <w:ind w:left="567" w:hanging="567"/>
      </w:pPr>
      <w:r>
        <w:t>1.</w:t>
      </w:r>
      <w:r>
        <w:tab/>
      </w:r>
      <w:r>
        <w:t>sie hierzu aus rechtlichen Gründen nicht in der Lage ist,</w:t>
      </w:r>
    </w:p>
    <w:p>
      <w:pPr>
        <w:tabs>
          <w:tab w:pos="567" w:val="left"/>
        </w:tabs>
        <w:ind w:left="567" w:hanging="567"/>
      </w:pPr>
      <w:r>
        <w:t>2.</w:t>
      </w:r>
      <w:r>
        <w:tab/>
      </w:r>
      <w:r>
        <w:t>durch die Hilfeleistung dem Wohl des Bundes oder eines Landes erhebliche Nachteile bereitet würden.</w:t>
      </w:r>
    </w:p>
    <w:p>
      <w:r>
        <w:rPr>
          <w:rStyle w:val="Satznummer"/>
        </w:rPr>
        <w:t>2</w:t>
      </w:r>
      <w:r>
        <w:t>Die ersuchte Behörde ist insbesondere zur Vorlage von Urkunden oder Akten sowie zur Erteilung von Auskünften nicht verpflichtet, wenn die Vorgänge nach einem Gesetz oder ihrem Wesen nach geheim gehalten werden müssen.</w:t>
      </w:r>
    </w:p>
    <w:p>
      <w:r>
        <w:t>(3) Die ersuchte Behörde braucht Hilfe nicht zu leisten, wenn</w:t>
      </w:r>
    </w:p>
    <w:p>
      <w:pPr>
        <w:tabs>
          <w:tab w:pos="567" w:val="left"/>
        </w:tabs>
        <w:ind w:left="567" w:hanging="567"/>
      </w:pPr>
      <w:r>
        <w:t>1.</w:t>
      </w:r>
      <w:r>
        <w:tab/>
      </w:r>
      <w:r>
        <w:t>eine andere Behörde die Hilfe wesentlich einfacher oder mit wesentlich geringerem Aufwand leisten kann,</w:t>
      </w:r>
    </w:p>
    <w:p>
      <w:pPr>
        <w:tabs>
          <w:tab w:pos="567" w:val="left"/>
        </w:tabs>
        <w:ind w:left="567" w:hanging="567"/>
      </w:pPr>
      <w:r>
        <w:t>2.</w:t>
      </w:r>
      <w:r>
        <w:tab/>
      </w:r>
      <w:r>
        <w:t>sie die Hilfe nur mit unverhältnismäßig großem Aufwand leisten könnte,</w:t>
      </w:r>
    </w:p>
    <w:p>
      <w:pPr>
        <w:tabs>
          <w:tab w:pos="567" w:val="left"/>
        </w:tabs>
        <w:ind w:left="567" w:hanging="567"/>
      </w:pPr>
      <w:r>
        <w:t>3.</w:t>
      </w:r>
      <w:r>
        <w:tab/>
      </w:r>
      <w:r>
        <w:t>sie unter Berücksichtigung der Aufgaben der ersuchenden Behörde durch die Hilfeleistung die Erfüllung ihrer eigenen Aufgaben ernstlich gefährden würde.</w:t>
      </w:r>
    </w:p>
    <w:p>
      <w:r>
        <w:t>(4) Die ersuchte Behörde darf die Hilfe nicht deshalb verweigern, weil sie das Ersuchen aus anderen als den in Absatz 3 genannten Gründen oder weil sie die mit der Amtshilfe zu verwirklichende Maßnahme für unzweckmäßig hält.</w:t>
      </w:r>
    </w:p>
    <w:p>
      <w:r>
        <w:t xml:space="preserve">(5) </w:t>
      </w:r>
      <w:r>
        <w:rPr>
          <w:rStyle w:val="Satznummer"/>
        </w:rPr>
        <w:t>1</w:t>
      </w:r>
      <w:r>
        <w:t xml:space="preserve">Hält die ersuchte Behörde sich zur Hilfe nicht für verpflichtet, teilt sie der ersuchenden Behörde ihre Auffassung mit. </w:t>
      </w:r>
      <w:r>
        <w:rPr>
          <w:rStyle w:val="Satznummer"/>
        </w:rPr>
        <w:t>2</w:t>
      </w:r>
      <w:r>
        <w:t>Besteht diese auf der Amtshilfe, entscheidet über die Verpflichtung zur Amtshilfe die gemeinsame Aufsichtsbehörde oder, sofern eine solche nicht besteht, die für die ersuchte Behörde zuständige Aufsichtsbehörde.</w:t>
      </w:r>
    </w:p>
    <w:p>
      <w:pPr>
        <w:pStyle w:val="Heading3"/>
      </w:pPr>
      <w:bookmarkStart w:id="7" w:name="b6"/>
      <w:r>
        <w:t>§ 5 Auswahl der Behörde</w:t>
      </w:r>
      <w:r>
        <w:t xml:space="preserve"> </w:t>
      </w:r>
      <w:r>
        <w:rPr>
          <w:rStyle w:val="Suchmarke"/>
        </w:rPr>
        <w:t>#5#</w:t>
      </w:r>
      <w:bookmarkEnd w:id="7"/>
    </w:p>
    <w:p>
      <w:r>
        <w:t>Kommen für die Amtshilfe mehrere Behörden in Betracht, soll nach Möglichkeit eine Behörde der untersten Verwaltungsstufe des Verwaltungszweiges ersucht werden, dem die ersuchende Behörde angehört.</w:t>
      </w:r>
    </w:p>
    <w:p>
      <w:pPr>
        <w:pStyle w:val="Heading3"/>
      </w:pPr>
      <w:bookmarkStart w:id="8" w:name="b7"/>
      <w:r>
        <w:t>§ 6 Durchführung der Amtshilfe</w:t>
      </w:r>
      <w:r>
        <w:t xml:space="preserve"> </w:t>
      </w:r>
      <w:r>
        <w:rPr>
          <w:rStyle w:val="Suchmarke"/>
        </w:rPr>
        <w:t>#6#</w:t>
      </w:r>
      <w:bookmarkEnd w:id="8"/>
    </w:p>
    <w:p>
      <w:r>
        <w:t>(1) Die Zulässigkeit der Maßnahme, die durch die Amtshilfe verwirklicht werden soll, richtet sich nach dem für die ersuchende Behörde, die Durchführung der Amtshilfe nach dem für die ersuchte Behörde geltenden Recht.</w:t>
      </w:r>
    </w:p>
    <w:p>
      <w:r>
        <w:t xml:space="preserve">(2) </w:t>
      </w:r>
      <w:r>
        <w:rPr>
          <w:rStyle w:val="Satznummer"/>
        </w:rPr>
        <w:t>1</w:t>
      </w:r>
      <w:r>
        <w:t xml:space="preserve">Die ersuchende Behörde trägt gegenüber der ersuchten Behörde die Verantwortung für die Rechtmäßigkeit der zu treffenden Maßnahme. </w:t>
      </w:r>
      <w:r>
        <w:rPr>
          <w:rStyle w:val="Satznummer"/>
        </w:rPr>
        <w:t>2</w:t>
      </w:r>
      <w:r>
        <w:t>Die ersuchte Behörde ist für die Durchführung der Amtshilfe verantwortlich.</w:t>
      </w:r>
    </w:p>
    <w:p>
      <w:pPr>
        <w:pStyle w:val="Heading3"/>
      </w:pPr>
      <w:bookmarkStart w:id="9" w:name="b8"/>
      <w:r>
        <w:t>§ 7 Kosten der Amtshilfe</w:t>
      </w:r>
      <w:r>
        <w:t xml:space="preserve"> </w:t>
      </w:r>
      <w:r>
        <w:rPr>
          <w:rStyle w:val="Suchmarke"/>
        </w:rPr>
        <w:t>#7#</w:t>
      </w:r>
      <w:bookmarkEnd w:id="9"/>
    </w:p>
    <w:p>
      <w:r>
        <w:t xml:space="preserve">(1) </w:t>
      </w:r>
      <w:r>
        <w:rPr>
          <w:rStyle w:val="Satznummer"/>
        </w:rPr>
        <w:t>1</w:t>
      </w:r>
      <w:r>
        <w:t xml:space="preserve">Die ersuchende Behörde hat der ersuchten Behörde für die Amtshilfe keine Verwaltungsgebühr zu entrichten. </w:t>
      </w:r>
      <w:r>
        <w:rPr>
          <w:rStyle w:val="Satznummer"/>
        </w:rPr>
        <w:t>2</w:t>
      </w:r>
      <w:r>
        <w:t xml:space="preserve">Auslagen hat sie der ersuchten Behörde auf Anforderung zu erstatten, wenn sie im Einzelfall 35 Euro, bei Amtshilfe zwischen Versicherungsträgern 100 Euro übersteigen. </w:t>
      </w:r>
      <w:r>
        <w:rPr>
          <w:rStyle w:val="Satznummer"/>
        </w:rPr>
        <w:t>3</w:t>
      </w:r>
      <w:r>
        <w:t xml:space="preserve">Abweichende Vereinbarungen werden dadurch nicht berührt. </w:t>
      </w:r>
      <w:r>
        <w:rPr>
          <w:rStyle w:val="Satznummer"/>
        </w:rPr>
        <w:t>4</w:t>
      </w:r>
      <w:r>
        <w:t>Leisten Behörden desselben Rechtsträgers einander Amtshilfe, werden die Auslagen nicht erstattet.</w:t>
      </w:r>
    </w:p>
    <w:p>
      <w:r>
        <w:t>(2) Nimmt die ersuchte Behörde zur Durchführung der Amtshilfe eine kostenpflichtige Amtshandlung vor, stehen ihr die von einem Dritten hierfür geschuldeten Kosten (Verwaltungsgebühren, Benutzungsgebühren und Auslagen) zu.</w:t>
      </w:r>
    </w:p>
    <w:p>
      <w:pPr>
        <w:pStyle w:val="Heading2"/>
      </w:pPr>
      <w:bookmarkStart w:id="10" w:name="b9"/>
      <w:r>
        <w:t>Zweiter Abschnitt Allgemeine Vorschriften über das Verwaltungsverfahren</w:t>
      </w:r>
      <w:bookmarkEnd w:id="10"/>
    </w:p>
    <w:p>
      <w:pPr>
        <w:pStyle w:val="Heading3"/>
      </w:pPr>
      <w:bookmarkStart w:id="11" w:name="b10"/>
      <w:r>
        <w:t>Erster Titel Verfahrensgrundsätze</w:t>
      </w:r>
      <w:bookmarkEnd w:id="11"/>
    </w:p>
    <w:p>
      <w:pPr>
        <w:pStyle w:val="Heading4"/>
      </w:pPr>
      <w:bookmarkStart w:id="12" w:name="b11"/>
      <w:r>
        <w:t>§ 8 Begriff des Verwaltungsverfahrens</w:t>
      </w:r>
      <w:r>
        <w:t xml:space="preserve"> </w:t>
      </w:r>
      <w:r>
        <w:rPr>
          <w:rStyle w:val="Suchmarke"/>
        </w:rPr>
        <w:t>#8#</w:t>
      </w:r>
      <w:bookmarkEnd w:id="12"/>
    </w:p>
    <w:p>
      <w:r>
        <w:t>Das Verwaltungsverfahren im Sinne dieses Gesetzbuches ist die nach außen wirkende Tätigkeit der Behörden, die auf die Prüfung der Voraussetzungen, die Vorbereitung und den Erlass eines Verwaltungsaktes oder auf den Abschluss eines öffentlich-rechtlichen Vertrages gerichtet ist; es schließt den Erlass des Verwaltungsaktes oder den Abschluss des öffentlich-rechtlichen Vertrags ein.</w:t>
      </w:r>
    </w:p>
    <w:p>
      <w:pPr>
        <w:pStyle w:val="Heading4"/>
      </w:pPr>
      <w:bookmarkStart w:id="13" w:name="b12"/>
      <w:r>
        <w:t>§ 9 Nichtförmlichkeit des Verwaltungsverfahrens</w:t>
      </w:r>
      <w:r>
        <w:t xml:space="preserve"> </w:t>
      </w:r>
      <w:r>
        <w:rPr>
          <w:rStyle w:val="Suchmarke"/>
        </w:rPr>
        <w:t>#9#</w:t>
      </w:r>
      <w:bookmarkEnd w:id="13"/>
    </w:p>
    <w:p>
      <w:r>
        <w:rPr>
          <w:rStyle w:val="Satznummer"/>
        </w:rPr>
        <w:t>1</w:t>
      </w:r>
      <w:r>
        <w:t xml:space="preserve">Das Verwaltungsverfahren ist an bestimmte Formen nicht gebunden, soweit keine besonderen Rechtsvorschriften für die Form des Verfahrens bestehen. </w:t>
      </w:r>
      <w:r>
        <w:rPr>
          <w:rStyle w:val="Satznummer"/>
        </w:rPr>
        <w:t>2</w:t>
      </w:r>
      <w:r>
        <w:t>Es ist einfach, zweckmäßig und zügig durchzuführen.</w:t>
      </w:r>
    </w:p>
    <w:p>
      <w:pPr>
        <w:pStyle w:val="Heading4"/>
      </w:pPr>
      <w:bookmarkStart w:id="14" w:name="b13"/>
      <w:r>
        <w:t>§ 10 Beteiligungsfähigkeit</w:t>
      </w:r>
      <w:r>
        <w:t xml:space="preserve"> </w:t>
      </w:r>
      <w:r>
        <w:rPr>
          <w:rStyle w:val="Suchmarke"/>
        </w:rPr>
        <w:t>#10#</w:t>
      </w:r>
      <w:bookmarkEnd w:id="14"/>
    </w:p>
    <w:p>
      <w:r>
        <w:t>Fähig, am Verfahren beteiligt zu sein, sind</w:t>
      </w:r>
    </w:p>
    <w:p>
      <w:pPr>
        <w:tabs>
          <w:tab w:pos="567" w:val="left"/>
        </w:tabs>
        <w:ind w:left="567" w:hanging="567"/>
      </w:pPr>
      <w:r>
        <w:t>1.</w:t>
      </w:r>
      <w:r>
        <w:tab/>
      </w:r>
      <w:r>
        <w:t>natürliche und juristische Personen,</w:t>
      </w:r>
    </w:p>
    <w:p>
      <w:pPr>
        <w:tabs>
          <w:tab w:pos="567" w:val="left"/>
        </w:tabs>
        <w:ind w:left="567" w:hanging="567"/>
      </w:pPr>
      <w:r>
        <w:t>2.</w:t>
      </w:r>
      <w:r>
        <w:tab/>
      </w:r>
      <w:r>
        <w:t>Vereinigungen, soweit ihnen ein Recht zustehen kann,</w:t>
      </w:r>
    </w:p>
    <w:p>
      <w:pPr>
        <w:tabs>
          <w:tab w:pos="567" w:val="left"/>
        </w:tabs>
        <w:ind w:left="567" w:hanging="567"/>
      </w:pPr>
      <w:r>
        <w:t>3.</w:t>
      </w:r>
      <w:r>
        <w:tab/>
      </w:r>
      <w:r>
        <w:t>Behörden.</w:t>
      </w:r>
    </w:p>
    <w:p>
      <w:pPr>
        <w:pStyle w:val="Heading4"/>
      </w:pPr>
      <w:bookmarkStart w:id="15" w:name="b14"/>
      <w:r>
        <w:t>§ 11 Vornahme von Verfahrenshandlungen</w:t>
      </w:r>
      <w:r>
        <w:t xml:space="preserve"> </w:t>
      </w:r>
      <w:r>
        <w:rPr>
          <w:rStyle w:val="Suchmarke"/>
        </w:rPr>
        <w:t>#11#</w:t>
      </w:r>
      <w:bookmarkEnd w:id="15"/>
    </w:p>
    <w:p>
      <w:r>
        <w:t>(1) Fähig zur Vornahme von Verfahrenshandlungen sind</w:t>
      </w:r>
    </w:p>
    <w:p>
      <w:pPr>
        <w:tabs>
          <w:tab w:pos="567" w:val="left"/>
        </w:tabs>
        <w:ind w:left="567" w:hanging="567"/>
      </w:pPr>
      <w:r>
        <w:t>1.</w:t>
      </w:r>
      <w:r>
        <w:tab/>
      </w:r>
      <w:r>
        <w:t>natürliche Personen, die nach bürgerlichem Recht geschäftsfähig sind,</w:t>
      </w:r>
    </w:p>
    <w:p>
      <w:pPr>
        <w:tabs>
          <w:tab w:pos="567" w:val="left"/>
        </w:tabs>
        <w:ind w:left="567" w:hanging="567"/>
      </w:pPr>
      <w:r>
        <w:t>2.</w:t>
      </w:r>
      <w:r>
        <w:tab/>
      </w:r>
      <w:r>
        <w:t>natürliche Personen, die nach bürgerlichem Recht in der Geschäftsfähigkeit beschränkt sind, soweit sie für den Gegenstand des Verfahrens durch Vorschriften des bürgerlichen Rechts als geschäftsfähig oder durch Vorschriften des öffentlichen Rechts als handlungsfähig anerkannt sind,</w:t>
      </w:r>
    </w:p>
    <w:p>
      <w:pPr>
        <w:tabs>
          <w:tab w:pos="567" w:val="left"/>
        </w:tabs>
        <w:ind w:left="567" w:hanging="567"/>
      </w:pPr>
      <w:r>
        <w:t>3.</w:t>
      </w:r>
      <w:r>
        <w:tab/>
      </w:r>
      <w:r>
        <w:t>juristische Personen und Vereinigungen (</w:t>
      </w:r>
      <w:hyperlink w:anchor="b13" w:history="1">
        <w:r>
          <w:rPr>
            <w:color w:val="0A3A8C"/>
            <w:u w:val="single"/>
          </w:rPr>
          <w:t xml:space="preserve">§ 10</w:t>
        </w:r>
      </w:hyperlink>
      <w:r>
        <w:t xml:space="preserve"> Nr. 2) durch ihre gesetzlichen Vertreter oder durch besonders Beauftragte,</w:t>
      </w:r>
    </w:p>
    <w:p>
      <w:pPr>
        <w:tabs>
          <w:tab w:pos="567" w:val="left"/>
        </w:tabs>
        <w:ind w:left="567" w:hanging="567"/>
      </w:pPr>
      <w:r>
        <w:t>4.</w:t>
      </w:r>
      <w:r>
        <w:tab/>
      </w:r>
      <w:r>
        <w:t>Behörden durch ihre Leiter, deren Vertreter oder Beauftragte.</w:t>
      </w:r>
    </w:p>
    <w:p>
      <w:r>
        <w:t>(2) Betrifft ein Einwilligungsvorbehalt nach § 1825 des Bürgerlichen Gesetzbuches den Gegenstand des Verfahrens, so ist ein geschäftsfähiger Betreuter nur insoweit zur Vornahme von Verfahrenshandlungen fähig, als er nach den Vorschriften des bürgerlichen Rechts ohne Einwilligung des Betreuers handeln kann oder durch Vorschriften des öffentlichen Rechts als handlungsfähig anerkannt ist.</w:t>
      </w:r>
    </w:p>
    <w:p>
      <w:r>
        <w:t>(3) Die §§ 53 und 55 der Zivilprozessordnung gelten entsprechend.</w:t>
      </w:r>
    </w:p>
    <w:p>
      <w:pPr>
        <w:pStyle w:val="Heading4"/>
      </w:pPr>
      <w:bookmarkStart w:id="16" w:name="b15"/>
      <w:r>
        <w:t>§ 12 Beteiligte</w:t>
      </w:r>
      <w:r>
        <w:t xml:space="preserve"> </w:t>
      </w:r>
      <w:r>
        <w:rPr>
          <w:rStyle w:val="Suchmarke"/>
        </w:rPr>
        <w:t>#12#</w:t>
      </w:r>
      <w:bookmarkEnd w:id="16"/>
    </w:p>
    <w:p>
      <w:r>
        <w:t>(1) Beteiligte sind</w:t>
      </w:r>
    </w:p>
    <w:p>
      <w:pPr>
        <w:tabs>
          <w:tab w:pos="567" w:val="left"/>
        </w:tabs>
        <w:ind w:left="567" w:hanging="567"/>
      </w:pPr>
      <w:r>
        <w:t>1.</w:t>
      </w:r>
      <w:r>
        <w:tab/>
      </w:r>
      <w:r>
        <w:t>Antragsteller und Antragsgegner,</w:t>
      </w:r>
    </w:p>
    <w:p>
      <w:pPr>
        <w:tabs>
          <w:tab w:pos="567" w:val="left"/>
        </w:tabs>
        <w:ind w:left="567" w:hanging="567"/>
      </w:pPr>
      <w:r>
        <w:t>2.</w:t>
      </w:r>
      <w:r>
        <w:tab/>
      </w:r>
      <w:r>
        <w:t>diejenigen, an die die Behörde den Verwaltungsakt richten will oder gerichtet hat,</w:t>
      </w:r>
    </w:p>
    <w:p>
      <w:pPr>
        <w:tabs>
          <w:tab w:pos="567" w:val="left"/>
        </w:tabs>
        <w:ind w:left="567" w:hanging="567"/>
      </w:pPr>
      <w:r>
        <w:t>3.</w:t>
      </w:r>
      <w:r>
        <w:tab/>
      </w:r>
      <w:r>
        <w:t>diejenigen, mit denen die Behörde einen öffentlich-rechtlichen Vertrag schließen will oder geschlossen hat,</w:t>
      </w:r>
    </w:p>
    <w:p>
      <w:pPr>
        <w:tabs>
          <w:tab w:pos="567" w:val="left"/>
        </w:tabs>
        <w:ind w:left="567" w:hanging="567"/>
      </w:pPr>
      <w:r>
        <w:t>4.</w:t>
      </w:r>
      <w:r>
        <w:tab/>
      </w:r>
      <w:r>
        <w:t>diejenigen, die nach Absatz 2 von der Behörde zu dem Verfahren hinzugezogen worden sind.</w:t>
      </w:r>
    </w:p>
    <w:p>
      <w:r>
        <w:t xml:space="preserve">(2) </w:t>
      </w:r>
      <w:r>
        <w:rPr>
          <w:rStyle w:val="Satznummer"/>
        </w:rPr>
        <w:t>1</w:t>
      </w:r>
      <w:r>
        <w:t xml:space="preserve">Die Behörde kann von Amts wegen oder auf Antrag diejenigen, deren rechtliche Interessen durch den Ausgang des Verfahrens berührt werden können, als Beteiligte hinzuziehen. </w:t>
      </w:r>
      <w:r>
        <w:rPr>
          <w:rStyle w:val="Satznummer"/>
        </w:rPr>
        <w:t>2</w:t>
      </w:r>
      <w:r>
        <w:t>Hat der Ausgang des Verfahrens rechtsgestaltende Wirkung für einen Dritten, ist dieser auf Antrag als Beteiligter zu dem Verfahren hinzuzuziehen; soweit er der Behörde bekannt ist, hat diese ihn von der Einleitung des Verfahrens zu benachrichtigen.</w:t>
      </w:r>
    </w:p>
    <w:p>
      <w:r>
        <w:t>(3) Wer anzuhören ist, ohne dass die Voraussetzungen des Absatzes 1 vorliegen, wird dadurch nicht Beteiligter.</w:t>
      </w:r>
    </w:p>
    <w:p>
      <w:pPr>
        <w:pStyle w:val="Heading4"/>
      </w:pPr>
      <w:bookmarkStart w:id="17" w:name="b16"/>
      <w:r>
        <w:t>§ 13 Bevollmächtigte und Beistände</w:t>
      </w:r>
      <w:r>
        <w:t xml:space="preserve"> </w:t>
      </w:r>
      <w:r>
        <w:rPr>
          <w:rStyle w:val="Suchmarke"/>
        </w:rPr>
        <w:t>#13#</w:t>
      </w:r>
      <w:bookmarkEnd w:id="17"/>
    </w:p>
    <w:p>
      <w:r>
        <w:t xml:space="preserve">(1) </w:t>
      </w:r>
      <w:r>
        <w:rPr>
          <w:rStyle w:val="Satznummer"/>
        </w:rPr>
        <w:t>1</w:t>
      </w:r>
      <w:r>
        <w:t xml:space="preserve">Ein Beteiligter kann sich durch einen Bevollmächtigten vertreten lassen. </w:t>
      </w:r>
      <w:r>
        <w:rPr>
          <w:rStyle w:val="Satznummer"/>
        </w:rPr>
        <w:t>2</w:t>
      </w:r>
      <w:r>
        <w:t xml:space="preserve">Die Vollmacht ermächtigt zu allen das Verwaltungsverfahren betreffenden Verfahrenshandlungen, sofern sich aus ihrem Inhalt nicht etwas anderes ergibt. </w:t>
      </w:r>
      <w:r>
        <w:rPr>
          <w:rStyle w:val="Satznummer"/>
        </w:rPr>
        <w:t>3</w:t>
      </w:r>
      <w:r>
        <w:t xml:space="preserve">Der Bevollmächtigte hat auf Verlangen seine Vollmacht schriftlich nachzuweisen. </w:t>
      </w:r>
      <w:r>
        <w:rPr>
          <w:rStyle w:val="Satznummer"/>
        </w:rPr>
        <w:t>4</w:t>
      </w:r>
      <w:r>
        <w:t>Ein Widerruf der Vollmacht wird der Behörde gegenüber erst wirksam, wenn er ihr zugeht.</w:t>
      </w:r>
    </w:p>
    <w:p>
      <w:r>
        <w:t>(2) Die Vollmacht wird weder durch den Tod des Vollmachtgebers noch durch eine Veränderung in seiner Handlungsfähigkeit oder seiner gesetzlichen Vertretung aufgehoben; der Bevollmächtigte hat jedoch, wenn er für den Rechtsnachfolger im Verwaltungsverfahren auftritt, dessen Vollmacht auf Verlangen schriftlich beizubringen.</w:t>
      </w:r>
    </w:p>
    <w:p>
      <w:r>
        <w:t xml:space="preserve">(3) </w:t>
      </w:r>
      <w:r>
        <w:rPr>
          <w:rStyle w:val="Satznummer"/>
        </w:rPr>
        <w:t>1</w:t>
      </w:r>
      <w:r>
        <w:t xml:space="preserve">Ist für das Verfahren ein Bevollmächtigter bestellt, muss sich die Behörde an ihn wenden. </w:t>
      </w:r>
      <w:r>
        <w:rPr>
          <w:rStyle w:val="Satznummer"/>
        </w:rPr>
        <w:t>2</w:t>
      </w:r>
      <w:r>
        <w:t xml:space="preserve">Sie kann sich an den Beteiligten selbst wenden, soweit er zur Mitwirkung verpflichtet ist. </w:t>
      </w:r>
      <w:r>
        <w:rPr>
          <w:rStyle w:val="Satznummer"/>
        </w:rPr>
        <w:t>3</w:t>
      </w:r>
      <w:r>
        <w:t xml:space="preserve">Wendet sich die Behörde an den Beteiligten, muss der Bevollmächtigte verständigt werden. </w:t>
      </w:r>
      <w:r>
        <w:rPr>
          <w:rStyle w:val="Satznummer"/>
        </w:rPr>
        <w:t>4</w:t>
      </w:r>
      <w:r>
        <w:t>Vorschriften über die Zustellung an Bevollmächtigte bleiben unberührt.</w:t>
      </w:r>
    </w:p>
    <w:p>
      <w:r>
        <w:t xml:space="preserve">(4) </w:t>
      </w:r>
      <w:r>
        <w:rPr>
          <w:rStyle w:val="Satznummer"/>
        </w:rPr>
        <w:t>1</w:t>
      </w:r>
      <w:r>
        <w:t xml:space="preserve">Ein Beteiligter kann zu Verhandlungen und Besprechungen mit einem Beistand erscheinen. </w:t>
      </w:r>
      <w:r>
        <w:rPr>
          <w:rStyle w:val="Satznummer"/>
        </w:rPr>
        <w:t>2</w:t>
      </w:r>
      <w:r>
        <w:t>Das von dem Beistand Vorgetragene gilt als von dem Beteiligten vorgebracht, soweit dieser nicht unverzüglich widerspricht.</w:t>
      </w:r>
    </w:p>
    <w:p>
      <w:r>
        <w:t>(5) Bevollmächtigte und Beistände sind zurückzuweisen, wenn sie entgegen § 3 des Rechtsdienstleistungsgesetzes Rechtsdienstleistungen erbringen.</w:t>
      </w:r>
    </w:p>
    <w:p>
      <w:r>
        <w:t xml:space="preserve">(6) </w:t>
      </w:r>
      <w:r>
        <w:rPr>
          <w:rStyle w:val="Satznummer"/>
        </w:rPr>
        <w:t>1</w:t>
      </w:r>
      <w:r>
        <w:t xml:space="preserve">Bevollmächtigte und Beistände können vom Vortrag zurückgewiesen werden, wenn sie hierzu ungeeignet sind; vom mündlichen Vortrag können sie nur zurückgewiesen werden, wenn sie zum sachgemäßen Vortrag nicht fähig sind. </w:t>
      </w:r>
      <w:r>
        <w:rPr>
          <w:rStyle w:val="Satznummer"/>
        </w:rPr>
        <w:t>2</w:t>
      </w:r>
      <w:r>
        <w:t>Nicht zurückgewiesen werden können Personen, die nach § 73 Abs. 2 Satz 1 und 2 Nr. 3 bis 9 des Sozialgerichtsgesetzes zur Vertretung im sozialgerichtlichen Verfahren befugt sind.</w:t>
      </w:r>
    </w:p>
    <w:p>
      <w:r>
        <w:t xml:space="preserve">(7) </w:t>
      </w:r>
      <w:r>
        <w:rPr>
          <w:rStyle w:val="Satznummer"/>
        </w:rPr>
        <w:t>1</w:t>
      </w:r>
      <w:r>
        <w:t xml:space="preserve">Die Zurückweisung nach den Absätzen 5 und 6 ist auch dem Beteiligten, dessen Bevollmächtigter oder Beistand zurückgewiesen wird, schriftlich mitzuteilen. </w:t>
      </w:r>
      <w:r>
        <w:rPr>
          <w:rStyle w:val="Satznummer"/>
        </w:rPr>
        <w:t>2</w:t>
      </w:r>
      <w:r>
        <w:t>Verfahrenshandlungen des zurückgewiesenen Bevollmächtigten oder Beistandes, die dieser nach der Zurückweisung vornimmt, sind unwirksam.</w:t>
      </w:r>
    </w:p>
    <w:p>
      <w:pPr>
        <w:pStyle w:val="Heading4"/>
      </w:pPr>
      <w:bookmarkStart w:id="18" w:name="b17"/>
      <w:r>
        <w:t>§ 14 Bestellung eines Empfangsbevollmächtigten</w:t>
      </w:r>
      <w:r>
        <w:t xml:space="preserve"> </w:t>
      </w:r>
      <w:r>
        <w:rPr>
          <w:rStyle w:val="Suchmarke"/>
        </w:rPr>
        <w:t>#14#</w:t>
      </w:r>
      <w:bookmarkEnd w:id="18"/>
    </w:p>
    <w:p>
      <w:r>
        <w:rPr>
          <w:rStyle w:val="Satznummer"/>
        </w:rPr>
        <w:t>1</w:t>
      </w:r>
      <w:r>
        <w:t xml:space="preserve">Ein Beteiligter ohne Wohnsitz oder gewöhnlichen Aufenthalt, Sitz oder Geschäftsleitung im Inland hat der Behörde auf Verlangen innerhalb einer angemessenen Frist einen Empfangsbevollmächtigten im Inland zu benennen. </w:t>
      </w:r>
      <w:r>
        <w:rPr>
          <w:rStyle w:val="Satznummer"/>
        </w:rPr>
        <w:t>2</w:t>
      </w:r>
      <w:r>
        <w:t xml:space="preserve">Unterlässt er dies, gilt ein an ihn gerichtetes Schriftstück am siebenten Tage nach der Aufgabe zur Post und ein elektronisch übermitteltes Dokument am vierten Tag nach der Absendung als zugegangen. </w:t>
      </w:r>
      <w:r>
        <w:rPr>
          <w:rStyle w:val="Satznummer"/>
        </w:rPr>
        <w:t>3</w:t>
      </w:r>
      <w:r>
        <w:t xml:space="preserve">Dies gilt nicht, wenn feststeht, dass das Dokument den Empfänger nicht oder zu einem späteren Zeitpunkt erreicht hat. </w:t>
      </w:r>
      <w:r>
        <w:rPr>
          <w:rStyle w:val="Satznummer"/>
        </w:rPr>
        <w:t>4</w:t>
      </w:r>
      <w:r>
        <w:t>Auf die Rechtsfolgen der Unterlassung ist der Beteiligte hinzuweisen.</w:t>
      </w:r>
    </w:p>
    <w:p>
      <w:pPr>
        <w:pStyle w:val="Heading4"/>
      </w:pPr>
      <w:bookmarkStart w:id="19" w:name="b18"/>
      <w:r>
        <w:t>§ 15 Bestellung eines Vertreters von Amts wegen</w:t>
      </w:r>
      <w:r>
        <w:t xml:space="preserve"> </w:t>
      </w:r>
      <w:r>
        <w:rPr>
          <w:rStyle w:val="Suchmarke"/>
        </w:rPr>
        <w:t>#15#</w:t>
      </w:r>
      <w:bookmarkEnd w:id="19"/>
    </w:p>
    <w:p>
      <w:r>
        <w:t>(1) Ist ein Vertreter nicht vorhanden, hat das Gericht auf Ersuchen der Behörde einen geeigneten Vertreter zu bestellen</w:t>
      </w:r>
    </w:p>
    <w:p>
      <w:pPr>
        <w:tabs>
          <w:tab w:pos="567" w:val="left"/>
        </w:tabs>
        <w:ind w:left="567" w:hanging="567"/>
      </w:pPr>
      <w:r>
        <w:t>1.</w:t>
      </w:r>
      <w:r>
        <w:tab/>
      </w:r>
      <w:r>
        <w:t>für einen Beteiligten, dessen Person unbekannt ist,</w:t>
      </w:r>
    </w:p>
    <w:p>
      <w:pPr>
        <w:tabs>
          <w:tab w:pos="567" w:val="left"/>
        </w:tabs>
        <w:ind w:left="567" w:hanging="567"/>
      </w:pPr>
      <w:r>
        <w:t>2.</w:t>
      </w:r>
      <w:r>
        <w:tab/>
      </w:r>
      <w:r>
        <w:t>für einen abwesenden Beteiligten, dessen Aufenthalt unbekannt ist oder der an der Besorgung seiner Angelegenheiten verhindert ist,</w:t>
      </w:r>
    </w:p>
    <w:p>
      <w:pPr>
        <w:tabs>
          <w:tab w:pos="567" w:val="left"/>
        </w:tabs>
        <w:ind w:left="567" w:hanging="567"/>
      </w:pPr>
      <w:r>
        <w:t>3.</w:t>
      </w:r>
      <w:r>
        <w:tab/>
      </w:r>
      <w:r>
        <w:t>für einen Beteiligten ohne Aufenthalt im Inland, wenn er der Aufforderung der Behörde, einen Vertreter zu bestellen, innerhalb der ihm gesetzten Frist nicht nachgekommen ist,</w:t>
      </w:r>
    </w:p>
    <w:p>
      <w:pPr>
        <w:tabs>
          <w:tab w:pos="567" w:val="left"/>
        </w:tabs>
        <w:ind w:left="567" w:hanging="567"/>
      </w:pPr>
      <w:r>
        <w:t>4.</w:t>
      </w:r>
      <w:r>
        <w:tab/>
      </w:r>
      <w:r>
        <w:t>für einen Beteiligten, der infolge einer psychischen Krankheit oder körperlichen, geistigen oder seelischen Behinderung nicht in der Lage ist, in dem Verwaltungsverfahren selbst tätig zu werden.</w:t>
      </w:r>
    </w:p>
    <w:p>
      <w:r>
        <w:t>(2) Für die Bestellung des Vertreters ist in den Fällen des Absatzes 1 Nr. 4 das Betreuungsgericht zuständig, in dessen Bezirk der Beteiligte seinen gewöhnlichen Aufenthalt hat; im Übrigen ist das Betreuungsgericht zuständig, in dessen Bezirk die ersuchende Behörde ihren Sitz hat.Ist der Beteiligte minderjährig, tritt an die Stelle des Betreuungsgerichts das Familiengericht.</w:t>
      </w:r>
    </w:p>
    <w:p>
      <w:r>
        <w:t xml:space="preserve">(3) </w:t>
      </w:r>
      <w:r>
        <w:rPr>
          <w:rStyle w:val="Satznummer"/>
        </w:rPr>
        <w:t>1</w:t>
      </w:r>
      <w:r>
        <w:t xml:space="preserve">Der Vertreter hat gegen den Rechtsträger der Behörde, die um seine Bestellung ersucht hat, Anspruch auf eine angemessene Vergütung und auf die Erstattung seiner baren Auslagen. </w:t>
      </w:r>
      <w:r>
        <w:rPr>
          <w:rStyle w:val="Satznummer"/>
        </w:rPr>
        <w:t>2</w:t>
      </w:r>
      <w:r>
        <w:t xml:space="preserve">Die Behörde kann von dem Vertretenen Ersatz ihrer Aufwendungen verlangen. </w:t>
      </w:r>
      <w:r>
        <w:rPr>
          <w:rStyle w:val="Satznummer"/>
        </w:rPr>
        <w:t>3</w:t>
      </w:r>
      <w:r>
        <w:t>Sie bestimmt die Vergütung und stellt die Auslagen und Aufwendungen fest.</w:t>
      </w:r>
    </w:p>
    <w:p>
      <w:r>
        <w:t>(4) Im Übrigen gelten für die Bestellung und für das Amt des Vertreters in den Fällen des Absatzes 1 Nr. 4 die Vorschriften über die Betreuung, in den übrigen Fällen die Vorschriften über die sonstige Pflegschaft entsprechend.</w:t>
      </w:r>
    </w:p>
    <w:p>
      <w:pPr>
        <w:pStyle w:val="Heading4"/>
      </w:pPr>
      <w:bookmarkStart w:id="20" w:name="b19"/>
      <w:r>
        <w:t>§ 16 Ausgeschlossene Personen</w:t>
      </w:r>
      <w:r>
        <w:t xml:space="preserve"> </w:t>
      </w:r>
      <w:r>
        <w:rPr>
          <w:rStyle w:val="Suchmarke"/>
        </w:rPr>
        <w:t>#16#</w:t>
      </w:r>
      <w:bookmarkEnd w:id="20"/>
    </w:p>
    <w:p>
      <w:r>
        <w:t xml:space="preserve">(1) </w:t>
      </w:r>
      <w:r>
        <w:rPr>
          <w:rStyle w:val="Satznummer"/>
        </w:rPr>
        <w:t>1</w:t>
      </w:r>
      <w:r>
        <w:t>In einem Verwaltungsverfahren darf für eine Behörde nicht tätig werden,</w:t>
      </w:r>
    </w:p>
    <w:p>
      <w:pPr>
        <w:tabs>
          <w:tab w:pos="567" w:val="left"/>
        </w:tabs>
        <w:ind w:left="567" w:hanging="567"/>
      </w:pPr>
      <w:r>
        <w:t>1.</w:t>
      </w:r>
      <w:r>
        <w:tab/>
      </w:r>
      <w:r>
        <w:t>wer selbst Beteiligter ist,</w:t>
      </w:r>
    </w:p>
    <w:p>
      <w:pPr>
        <w:tabs>
          <w:tab w:pos="567" w:val="left"/>
        </w:tabs>
        <w:ind w:left="567" w:hanging="567"/>
      </w:pPr>
      <w:r>
        <w:t>2.</w:t>
      </w:r>
      <w:r>
        <w:tab/>
      </w:r>
      <w:r>
        <w:t>wer Angehöriger eines Beteiligten ist,</w:t>
      </w:r>
    </w:p>
    <w:p>
      <w:pPr>
        <w:tabs>
          <w:tab w:pos="567" w:val="left"/>
        </w:tabs>
        <w:ind w:left="567" w:hanging="567"/>
      </w:pPr>
      <w:r>
        <w:t>3.</w:t>
      </w:r>
      <w:r>
        <w:tab/>
      </w:r>
      <w:r>
        <w:t>wer einen Beteiligten kraft Gesetzes oder Vollmacht allgemein oder in diesem Verwaltungsverfahren vertritt oder als Beistand zugezogen ist,</w:t>
      </w:r>
    </w:p>
    <w:p>
      <w:pPr>
        <w:tabs>
          <w:tab w:pos="567" w:val="left"/>
        </w:tabs>
        <w:ind w:left="567" w:hanging="567"/>
      </w:pPr>
      <w:r>
        <w:t>4.</w:t>
      </w:r>
      <w:r>
        <w:tab/>
      </w:r>
      <w:r>
        <w:t>wer Angehöriger einer Person ist, die einen Beteiligten in diesem Verfahren vertritt,</w:t>
      </w:r>
    </w:p>
    <w:p>
      <w:pPr>
        <w:tabs>
          <w:tab w:pos="567" w:val="left"/>
        </w:tabs>
        <w:ind w:left="567" w:hanging="567"/>
      </w:pPr>
      <w:r>
        <w:t>5.</w:t>
      </w:r>
      <w:r>
        <w:tab/>
      </w:r>
      <w:r>
        <w:t>wer bei einem Beteiligten gegen Entgelt beschäftigt ist oder bei ihm als Mitglied des Vorstandes, des Aufsichtsrates oder eines gleichartigen Organs tätig ist; dies gilt nicht für den, dessen Anstellungskörperschaft Beteiligte ist, und nicht für Beschäftigte bei Betriebskrankenkassen,</w:t>
      </w:r>
    </w:p>
    <w:p>
      <w:pPr>
        <w:tabs>
          <w:tab w:pos="567" w:val="left"/>
        </w:tabs>
        <w:ind w:left="567" w:hanging="567"/>
      </w:pPr>
      <w:r>
        <w:t>6.</w:t>
      </w:r>
      <w:r>
        <w:tab/>
      </w:r>
      <w:r>
        <w:t>wer außerhalb seiner amtlichen Eigenschaft in der Angelegenheit ein Gutachten abgegeben hat oder sonst tätig geworden ist.</w:t>
      </w:r>
    </w:p>
    <w:p>
      <w:r>
        <w:rPr>
          <w:rStyle w:val="Satznummer"/>
        </w:rPr>
        <w:t>2</w:t>
      </w:r>
      <w:r>
        <w:t xml:space="preserve">Dem Beteiligten steht gleich, wer durch die Tätigkeit oder durch die Entscheidung einen unmittelbaren Vorteil oder Nachteil erlangen kann. </w:t>
      </w:r>
      <w:r>
        <w:rPr>
          <w:rStyle w:val="Satznummer"/>
        </w:rPr>
        <w:t>3</w:t>
      </w:r>
      <w:r>
        <w:t>Dies gilt nicht, wenn der Vor- oder Nachteil nur darauf beruht, dass jemand einer Berufs- oder Bevölkerungsgruppe angehört, deren gemeinsame Interessen durch die Angelegenheit berührt werden.</w:t>
      </w:r>
    </w:p>
    <w:p>
      <w:r>
        <w:t xml:space="preserve">(2) </w:t>
      </w:r>
      <w:r>
        <w:rPr>
          <w:rStyle w:val="Satznummer"/>
        </w:rPr>
        <w:t>1</w:t>
      </w:r>
      <w:r>
        <w:t xml:space="preserve">Absatz 1 gilt nicht für Wahlen zu einer ehrenamtlichen Tätigkeit und für die Abberufung von ehrenamtlich Tätigen. </w:t>
      </w:r>
      <w:r>
        <w:rPr>
          <w:rStyle w:val="Satznummer"/>
        </w:rPr>
        <w:t>2</w:t>
      </w:r>
      <w:r>
        <w:t>Absatz 1 Nr. 3 und 5 gilt auch nicht für das Verwaltungsverfahren auf Grund der Beziehungen zwischen Ärzten, Zahnärzten und Krankenkassen.</w:t>
      </w:r>
    </w:p>
    <w:p>
      <w:r>
        <w:t>(3) Wer nach Absatz 1 ausgeschlossen ist, darf bei Gefahr im Verzug unaufschiebbare Maßnahmen treffen.</w:t>
      </w:r>
    </w:p>
    <w:p>
      <w:r>
        <w:t xml:space="preserve">(4) </w:t>
      </w:r>
      <w:r>
        <w:rPr>
          <w:rStyle w:val="Satznummer"/>
        </w:rPr>
        <w:t>1</w:t>
      </w:r>
      <w:r>
        <w:t xml:space="preserve">Hält sich ein Mitglied eines Ausschusses oder Beirats für ausgeschlossen oder bestehen Zweifel, ob die Voraussetzungen des Absatzes 1 gegeben sind, ist dies dem Ausschuß oder Beirat mitzuteilen. </w:t>
      </w:r>
      <w:r>
        <w:rPr>
          <w:rStyle w:val="Satznummer"/>
        </w:rPr>
        <w:t>2</w:t>
      </w:r>
      <w:r>
        <w:t xml:space="preserve">Der Ausschuss oder Beirat entscheidet über den Ausschluss. </w:t>
      </w:r>
      <w:r>
        <w:rPr>
          <w:rStyle w:val="Satznummer"/>
        </w:rPr>
        <w:t>3</w:t>
      </w:r>
      <w:r>
        <w:t xml:space="preserve">Der Betroffene darf an dieser Entscheidung nicht mitwirken. </w:t>
      </w:r>
      <w:r>
        <w:rPr>
          <w:rStyle w:val="Satznummer"/>
        </w:rPr>
        <w:t>4</w:t>
      </w:r>
      <w:r>
        <w:t>Das ausgeschlossene Mitglied darf bei der weiteren Beratung und Beschlussfassung nicht zugegen sein.</w:t>
      </w:r>
    </w:p>
    <w:p>
      <w:r>
        <w:t xml:space="preserve">(5) </w:t>
      </w:r>
      <w:r>
        <w:rPr>
          <w:rStyle w:val="Satznummer"/>
        </w:rPr>
        <w:t>1</w:t>
      </w:r>
      <w:r>
        <w:t>Angehörige im Sinne des Absatzes 1 Nr. 2 und 4 sind</w:t>
      </w:r>
    </w:p>
    <w:p>
      <w:pPr>
        <w:tabs>
          <w:tab w:pos="567" w:val="left"/>
        </w:tabs>
        <w:ind w:left="567" w:hanging="567"/>
      </w:pPr>
      <w:r>
        <w:t>1.</w:t>
      </w:r>
      <w:r>
        <w:tab/>
      </w:r>
      <w:r>
        <w:t>der Verlobte,</w:t>
      </w:r>
    </w:p>
    <w:p>
      <w:pPr>
        <w:tabs>
          <w:tab w:pos="567" w:val="left"/>
        </w:tabs>
        <w:ind w:left="567" w:hanging="567"/>
      </w:pPr>
      <w:r>
        <w:t>2.</w:t>
      </w:r>
      <w:r>
        <w:tab/>
      </w:r>
      <w:r>
        <w:t>der Ehegatte oder Lebenspartner,</w:t>
      </w:r>
    </w:p>
    <w:p>
      <w:pPr>
        <w:tabs>
          <w:tab w:pos="567" w:val="left"/>
        </w:tabs>
        <w:ind w:left="567" w:hanging="567"/>
      </w:pPr>
      <w:r>
        <w:t>3.</w:t>
      </w:r>
      <w:r>
        <w:tab/>
      </w:r>
      <w:r>
        <w:t>Verwandte und Verschwägerte gerader Linie,</w:t>
      </w:r>
    </w:p>
    <w:p>
      <w:pPr>
        <w:tabs>
          <w:tab w:pos="567" w:val="left"/>
        </w:tabs>
        <w:ind w:left="567" w:hanging="567"/>
      </w:pPr>
      <w:r>
        <w:t>4.</w:t>
      </w:r>
      <w:r>
        <w:tab/>
      </w:r>
      <w:r>
        <w:t>Geschwister,</w:t>
      </w:r>
    </w:p>
    <w:p>
      <w:pPr>
        <w:tabs>
          <w:tab w:pos="567" w:val="left"/>
        </w:tabs>
        <w:ind w:left="567" w:hanging="567"/>
      </w:pPr>
      <w:r>
        <w:t>5.</w:t>
      </w:r>
      <w:r>
        <w:tab/>
      </w:r>
      <w:r>
        <w:t>Kinder der Geschwister,</w:t>
      </w:r>
    </w:p>
    <w:p>
      <w:pPr>
        <w:tabs>
          <w:tab w:pos="567" w:val="left"/>
        </w:tabs>
        <w:ind w:left="567" w:hanging="567"/>
      </w:pPr>
      <w:r>
        <w:t>6.</w:t>
      </w:r>
      <w:r>
        <w:tab/>
      </w:r>
      <w:r>
        <w:t>Ehegatten oder Lebenspartner der Geschwister und Geschwister der Ehegatten oder Lebenspartner,</w:t>
      </w:r>
    </w:p>
    <w:p>
      <w:pPr>
        <w:tabs>
          <w:tab w:pos="567" w:val="left"/>
        </w:tabs>
        <w:ind w:left="567" w:hanging="567"/>
      </w:pPr>
      <w:r>
        <w:t>7.</w:t>
      </w:r>
      <w:r>
        <w:tab/>
      </w:r>
      <w:r>
        <w:t>Geschwister der Eltern,</w:t>
      </w:r>
    </w:p>
    <w:p>
      <w:pPr>
        <w:tabs>
          <w:tab w:pos="567" w:val="left"/>
        </w:tabs>
        <w:ind w:left="567" w:hanging="567"/>
      </w:pPr>
      <w:r>
        <w:t>8.</w:t>
      </w:r>
      <w:r>
        <w:tab/>
      </w:r>
      <w:r>
        <w:t>Personen, die durch ein auf längere Dauer angelegtes Pflegeverhältnis mit häuslicher Gemeinschaft wie Eltern und Kind miteinander verbunden sind (Pflegeeltern und Pflegekinder).</w:t>
      </w:r>
    </w:p>
    <w:p>
      <w:r>
        <w:rPr>
          <w:rStyle w:val="Satznummer"/>
        </w:rPr>
        <w:t>2</w:t>
      </w:r>
      <w:r>
        <w:t>Angehörige sind die in Satz 1 aufgeführten Personen auch dann, wenn</w:t>
      </w:r>
    </w:p>
    <w:p>
      <w:pPr>
        <w:tabs>
          <w:tab w:pos="567" w:val="left"/>
        </w:tabs>
        <w:ind w:left="567" w:hanging="567"/>
      </w:pPr>
      <w:r>
        <w:t>1.</w:t>
      </w:r>
      <w:r>
        <w:tab/>
      </w:r>
      <w:r>
        <w:t>in den Fällen der Nummern 2, 3 und 6 die die Beziehung begründende Ehe oder Lebenspartnerschaft nicht mehr besteht,</w:t>
      </w:r>
    </w:p>
    <w:p>
      <w:pPr>
        <w:tabs>
          <w:tab w:pos="567" w:val="left"/>
        </w:tabs>
        <w:ind w:left="567" w:hanging="567"/>
      </w:pPr>
      <w:r>
        <w:t>2.</w:t>
      </w:r>
      <w:r>
        <w:tab/>
      </w:r>
      <w:r>
        <w:t>in den Fällen der Nummern 3 bis 7 die Verwandtschaft oder Schwägerschaft durch Annahme als Kind erloschen ist,</w:t>
      </w:r>
    </w:p>
    <w:p>
      <w:pPr>
        <w:tabs>
          <w:tab w:pos="567" w:val="left"/>
        </w:tabs>
        <w:ind w:left="567" w:hanging="567"/>
      </w:pPr>
      <w:r>
        <w:t>3.</w:t>
      </w:r>
      <w:r>
        <w:tab/>
      </w:r>
      <w:r>
        <w:t>im Fall der Nummer 8 die häusliche Gemeinschaft nicht mehr besteht, sofern die Personen weiterhin wie Eltern und Kind miteinander verbunden sind.</w:t>
      </w:r>
    </w:p>
    <w:p>
      <w:pPr>
        <w:pStyle w:val="Heading4"/>
      </w:pPr>
      <w:bookmarkStart w:id="21" w:name="b20"/>
      <w:r>
        <w:t>§ 17 Besorgnis der Befangenheit</w:t>
      </w:r>
      <w:r>
        <w:t xml:space="preserve"> </w:t>
      </w:r>
      <w:r>
        <w:rPr>
          <w:rStyle w:val="Suchmarke"/>
        </w:rPr>
        <w:t>#17#</w:t>
      </w:r>
      <w:bookmarkEnd w:id="21"/>
    </w:p>
    <w:p>
      <w:r>
        <w:t xml:space="preserve">(1) </w:t>
      </w:r>
      <w:r>
        <w:rPr>
          <w:rStyle w:val="Satznummer"/>
        </w:rPr>
        <w:t>1</w:t>
      </w:r>
      <w:r>
        <w:t xml:space="preserve">Liegt ein Grund vor, der geeignet ist, Misstrauen gegen eine unparteiische Amtsausübung zu rechtfertigen, oder wird von einem Beteiligten das Vorliegen eines solchen Grundes behauptet, hat, wer in einem Verwaltungsverfahren für eine Behörde tätig werden soll, den Leiter der Behörde oder den von diesem Beauftragten zu unterrichten und sich auf dessen Anordnung der Mitwirkung zu enthalten. </w:t>
      </w:r>
      <w:r>
        <w:rPr>
          <w:rStyle w:val="Satznummer"/>
        </w:rPr>
        <w:t>2</w:t>
      </w:r>
      <w:r>
        <w:t xml:space="preserve">Betrifft die Besorgnis der Befangenheit den Leiter der Behörde, trifft diese Anordnung die Aufsichtsbehörde, sofern sich der Behördenleiter nicht selbst einer Mitwirkung enthält. </w:t>
      </w:r>
      <w:r>
        <w:rPr>
          <w:rStyle w:val="Satznummer"/>
        </w:rPr>
        <w:t>3</w:t>
      </w:r>
      <w:r>
        <w:t>Bei den Geschäftsführern der Versicherungsträger tritt an die Stelle der Aufsichtsbehörde der Vorstand.</w:t>
      </w:r>
    </w:p>
    <w:p>
      <w:r>
        <w:t xml:space="preserve">(2) Für Mitglieder eines Ausschusses oder Beirats gilt </w:t>
      </w:r>
      <w:hyperlink w:anchor="b19" w:history="1">
        <w:r>
          <w:rPr>
            <w:color w:val="0A3A8C"/>
            <w:u w:val="single"/>
          </w:rPr>
          <w:t xml:space="preserve">§ 16</w:t>
        </w:r>
      </w:hyperlink>
      <w:r>
        <w:t xml:space="preserve"> Abs. 4 entsprechend.</w:t>
      </w:r>
    </w:p>
    <w:p>
      <w:pPr>
        <w:pStyle w:val="Heading4"/>
      </w:pPr>
      <w:bookmarkStart w:id="22" w:name="b21"/>
      <w:r>
        <w:t>§ 18 Beginn des Verfahrens</w:t>
      </w:r>
      <w:r>
        <w:t xml:space="preserve"> </w:t>
      </w:r>
      <w:r>
        <w:rPr>
          <w:rStyle w:val="Suchmarke"/>
        </w:rPr>
        <w:t>#18#</w:t>
      </w:r>
      <w:bookmarkEnd w:id="22"/>
    </w:p>
    <w:p>
      <w:r>
        <w:rPr>
          <w:rStyle w:val="Satznummer"/>
        </w:rPr>
        <w:t>1</w:t>
      </w:r>
      <w:r>
        <w:t xml:space="preserve">Die Behörde entscheidet nach pflichtgemäßem Ermessen, ob und wann sie ein Verwaltungsverfahren durchführt. </w:t>
      </w:r>
      <w:r>
        <w:rPr>
          <w:rStyle w:val="Satznummer"/>
        </w:rPr>
        <w:t>2</w:t>
      </w:r>
      <w:r>
        <w:t>Dies gilt nicht, wenn die Behörde auf Grund von Rechtsvorschriften</w:t>
      </w:r>
    </w:p>
    <w:p>
      <w:pPr>
        <w:tabs>
          <w:tab w:pos="567" w:val="left"/>
        </w:tabs>
        <w:ind w:left="567" w:hanging="567"/>
      </w:pPr>
      <w:r>
        <w:t>1.</w:t>
      </w:r>
      <w:r>
        <w:tab/>
      </w:r>
      <w:r>
        <w:t>von Amts wegen oder auf Antrag tätig werden muss,</w:t>
      </w:r>
    </w:p>
    <w:p>
      <w:pPr>
        <w:tabs>
          <w:tab w:pos="567" w:val="left"/>
        </w:tabs>
        <w:ind w:left="567" w:hanging="567"/>
      </w:pPr>
      <w:r>
        <w:t>2.</w:t>
      </w:r>
      <w:r>
        <w:tab/>
      </w:r>
      <w:r>
        <w:t>nur auf Antrag tätig werden darf und ein Antrag nicht vorliegt.</w:t>
      </w:r>
    </w:p>
    <w:p>
      <w:pPr>
        <w:pStyle w:val="Heading4"/>
      </w:pPr>
      <w:bookmarkStart w:id="23" w:name="b22"/>
      <w:r>
        <w:t>§ 19 Amtssprache</w:t>
      </w:r>
      <w:r>
        <w:t xml:space="preserve"> </w:t>
      </w:r>
      <w:r>
        <w:rPr>
          <w:rStyle w:val="Suchmarke"/>
        </w:rPr>
        <w:t>#19#</w:t>
      </w:r>
      <w:bookmarkEnd w:id="23"/>
    </w:p>
    <w:p>
      <w:r>
        <w:t xml:space="preserve">(1) </w:t>
      </w:r>
      <w:r>
        <w:rPr>
          <w:rStyle w:val="Satznummer"/>
        </w:rPr>
        <w:t>1</w:t>
      </w:r>
      <w:r>
        <w:t xml:space="preserve">Die Amtssprache ist deutsch. </w:t>
      </w:r>
      <w:r>
        <w:rPr>
          <w:rStyle w:val="Satznummer"/>
        </w:rPr>
        <w:t>2</w:t>
      </w:r>
      <w:r>
        <w:t xml:space="preserve">Menschen mit Hörbehinderungen und Menschen mit Sprachbehinderungen haben das Recht, in Deutscher Gebärdensprache, mit lautsprachbegleitenden Gebärden oder über andere geeignete Kommunikationshilfen zu kommunizieren; Kosten für Kommunikationshilfen sind von der Behörde oder dem für die Sozialleistung zuständigen Leistungsträger zu tragen. </w:t>
      </w:r>
      <w:r>
        <w:rPr>
          <w:rStyle w:val="Satznummer"/>
        </w:rPr>
        <w:t>3</w:t>
      </w:r>
      <w:r>
        <w:t>§ 5 der Kommunikationshilfenverordnung in der jeweils geltenden Fassung gilt entsprechend.</w:t>
      </w:r>
    </w:p>
    <w:p>
      <w:r>
        <w:t>(1a) § 11 des Behindertengleichstellungsgesetzes gilt in seiner jeweils geltenden Fassung für das Sozialverwaltungsverfahren entsprechend.</w:t>
      </w:r>
    </w:p>
    <w:p>
      <w:r>
        <w:t xml:space="preserve">(2) </w:t>
      </w:r>
      <w:r>
        <w:rPr>
          <w:rStyle w:val="Satznummer"/>
        </w:rPr>
        <w:t>1</w:t>
      </w:r>
      <w:r>
        <w:t xml:space="preserve">Werden bei einer Behörde in einer fremden Sprache Anträge gestellt oder Eingaben, Belege, Urkunden oder sonstige Dokumente vorgelegt, soll die Behörde unverzüglich die Vorlage einer Übersetzung innerhalb einer von ihr zu setzenden angemessenen Frist verlangen, sofern sie nicht in der Lage ist, die Anträge oder Dokumente zu verstehen. </w:t>
      </w:r>
      <w:r>
        <w:rPr>
          <w:rStyle w:val="Satznummer"/>
        </w:rPr>
        <w:t>2</w:t>
      </w:r>
      <w:r>
        <w:t xml:space="preserve">In begründeten Fällen kann die Vorlage einer beglaubigten oder von einem öffentlich bestellten oder beeidigten Dolmetscher oder Übersetzer angefertigten Übersetzung verlangt werden. </w:t>
      </w:r>
      <w:r>
        <w:rPr>
          <w:rStyle w:val="Satznummer"/>
        </w:rPr>
        <w:t>3</w:t>
      </w:r>
      <w:r>
        <w:t xml:space="preserve">Wird die verlangte Übersetzung nicht innerhalb der gesetzten Frist vorgelegt, kann die Behörde eine Übersetzung beschaffen und hierfür Ersatz ihrer Aufwendungen in angemessenem Umfang verlangen. </w:t>
      </w:r>
      <w:r>
        <w:rPr>
          <w:rStyle w:val="Satznummer"/>
        </w:rPr>
        <w:t>4</w:t>
      </w:r>
      <w:r>
        <w:t>Falls die Behörde Dolmetscher oder Übersetzer herangezogen hat, die nicht Kommunikationshilfe im Sinne von Absatz 1 Satz 2 sind, erhalten sie auf Antrag in entsprechender Anwendung des Justizvergütungs- und -entschädigungsgesetzes eine Vergütung; mit Dolmetschern oder Übersetzern kann die Behörde eine Vergütung vereinbaren.</w:t>
      </w:r>
    </w:p>
    <w:p>
      <w:r>
        <w:t>(3) Soll durch eine Anzeige, einen Antrag oder die Abgabe einer Willenserklärung eine Frist in Lauf gesetzt werden, innerhalb deren die Behörde in einer bestimmten Weise tätig werden muss, und gehen diese in einer fremden Sprache ein, beginnt der Lauf der Frist erst mit dem Zeitpunkt, in dem der Behörde eine Übersetzung vorliegt.</w:t>
      </w:r>
    </w:p>
    <w:p>
      <w:r>
        <w:t xml:space="preserve">(4) </w:t>
      </w:r>
      <w:r>
        <w:rPr>
          <w:rStyle w:val="Satznummer"/>
        </w:rPr>
        <w:t>1</w:t>
      </w:r>
      <w:r>
        <w:t xml:space="preserve">Soll durch eine Anzeige, einen Antrag oder eine Willenserklärung, die in fremder Sprache eingehen, zugunsten eines Beteiligten eine Frist gegenüber der Behörde gewahrt, ein öffentlich-rechtlicher Anspruch geltend gemacht oder eine Sozialleistung begehrt werden, gelten die Anzeige, der Antrag oder die Willenserklärung als zum Zeitpunkt des Eingangs bei der Behörde abgegeben, wenn die Behörde in der Lage ist, die Anzeige, den Antrag oder die Willenserklärung zu verstehen, oder wenn innerhalb der gesetzten Frist eine Übersetzung vorgelegt wird. </w:t>
      </w:r>
      <w:r>
        <w:rPr>
          <w:rStyle w:val="Satznummer"/>
        </w:rPr>
        <w:t>2</w:t>
      </w:r>
      <w:r>
        <w:t xml:space="preserve">Anderenfalls ist der Zeitpunkt des Eingangs der Übersetzung maßgebend. </w:t>
      </w:r>
      <w:r>
        <w:rPr>
          <w:rStyle w:val="Satznummer"/>
        </w:rPr>
        <w:t>3</w:t>
      </w:r>
      <w:r>
        <w:t>Auf diese Rechtsfolge ist bei der Fristsetzung hinzuweisen.</w:t>
      </w:r>
    </w:p>
    <w:p>
      <w:pPr>
        <w:pStyle w:val="Heading4"/>
      </w:pPr>
      <w:bookmarkStart w:id="24" w:name="b23"/>
      <w:r>
        <w:t>§ 20 Untersuchungsgrundsatz</w:t>
      </w:r>
      <w:r>
        <w:t xml:space="preserve"> </w:t>
      </w:r>
      <w:r>
        <w:rPr>
          <w:rStyle w:val="Suchmarke"/>
        </w:rPr>
        <w:t>#20#</w:t>
      </w:r>
      <w:bookmarkEnd w:id="24"/>
    </w:p>
    <w:p>
      <w:r>
        <w:t xml:space="preserve">(1) </w:t>
      </w:r>
      <w:r>
        <w:rPr>
          <w:rStyle w:val="Satznummer"/>
        </w:rPr>
        <w:t>1</w:t>
      </w:r>
      <w:r>
        <w:t xml:space="preserve">Die Behörde ermittelt den Sachverhalt von Amts wegen. </w:t>
      </w:r>
      <w:r>
        <w:rPr>
          <w:rStyle w:val="Satznummer"/>
        </w:rPr>
        <w:t>2</w:t>
      </w:r>
      <w:r>
        <w:t>Sie bestimmt Art und Umfang der Ermittlungen; an das Vorbringen und an die Beweisanträge der Beteiligten ist sie nicht gebunden.</w:t>
      </w:r>
    </w:p>
    <w:p>
      <w:r>
        <w:t>(2) Die Behörde hat alle für den Einzelfall bedeutsamen, auch die für die Beteiligten günstigen Umstände zu berücksichtigen.</w:t>
      </w:r>
    </w:p>
    <w:p>
      <w:r>
        <w:t>(3) Die Behörde darf die Entgegennahme von Erklärungen oder Anträgen, die in ihren Zuständigkeitsbereich fallen, nicht deshalb verweigern, weil sie die Erklärung oder den Antrag in der Sache für unzulässig oder unbegründet hält.</w:t>
      </w:r>
    </w:p>
    <w:p>
      <w:pPr>
        <w:pStyle w:val="Heading4"/>
      </w:pPr>
      <w:bookmarkStart w:id="25" w:name="b24"/>
      <w:r>
        <w:t>§ 21 Beweismittel</w:t>
      </w:r>
      <w:r>
        <w:t xml:space="preserve"> </w:t>
      </w:r>
      <w:r>
        <w:rPr>
          <w:rStyle w:val="Suchmarke"/>
        </w:rPr>
        <w:t>#21#</w:t>
      </w:r>
      <w:bookmarkEnd w:id="25"/>
    </w:p>
    <w:p>
      <w:r>
        <w:t xml:space="preserve">(1) </w:t>
      </w:r>
      <w:r>
        <w:rPr>
          <w:rStyle w:val="Satznummer"/>
        </w:rPr>
        <w:t>1</w:t>
      </w:r>
      <w:r>
        <w:t xml:space="preserve">Die Behörde bedient sich der Beweismittel, die sie nach pflichtgemäßem Ermessen zur Ermittlung des Sachverhalts für erforderlich hält. </w:t>
      </w:r>
      <w:r>
        <w:rPr>
          <w:rStyle w:val="Satznummer"/>
        </w:rPr>
        <w:t>2</w:t>
      </w:r>
      <w:r>
        <w:t>Sie kann insbesondere</w:t>
      </w:r>
    </w:p>
    <w:p>
      <w:pPr>
        <w:tabs>
          <w:tab w:pos="567" w:val="left"/>
        </w:tabs>
        <w:ind w:left="567" w:hanging="567"/>
      </w:pPr>
      <w:r>
        <w:t>1.</w:t>
      </w:r>
      <w:r>
        <w:tab/>
      </w:r>
      <w:r>
        <w:t>Auskünfte jeder Art, auch elektronisch und als elektronisches Dokument, einholen,</w:t>
      </w:r>
    </w:p>
    <w:p>
      <w:pPr>
        <w:tabs>
          <w:tab w:pos="567" w:val="left"/>
        </w:tabs>
        <w:ind w:left="567" w:hanging="567"/>
      </w:pPr>
      <w:r>
        <w:t>2.</w:t>
      </w:r>
      <w:r>
        <w:tab/>
      </w:r>
      <w:r>
        <w:t>Beteiligte anhören, Zeugen und Sachverständige vernehmen oder die schriftliche oder elektronische Äußerung von Beteiligten, Sachverständigen und Zeugen einholen,</w:t>
      </w:r>
    </w:p>
    <w:p>
      <w:pPr>
        <w:tabs>
          <w:tab w:pos="567" w:val="left"/>
        </w:tabs>
        <w:ind w:left="567" w:hanging="567"/>
      </w:pPr>
      <w:r>
        <w:t>3.</w:t>
      </w:r>
      <w:r>
        <w:tab/>
      </w:r>
      <w:r>
        <w:t>Urkunden und Akten beiziehen,</w:t>
      </w:r>
    </w:p>
    <w:p>
      <w:pPr>
        <w:tabs>
          <w:tab w:pos="567" w:val="left"/>
        </w:tabs>
        <w:ind w:left="567" w:hanging="567"/>
      </w:pPr>
      <w:r>
        <w:t>4.</w:t>
      </w:r>
      <w:r>
        <w:tab/>
      </w:r>
      <w:r>
        <w:t>den Augenschein einnehmen.</w:t>
      </w:r>
    </w:p>
    <w:p>
      <w:r>
        <w:rPr>
          <w:rStyle w:val="Satznummer"/>
        </w:rPr>
        <w:t>3</w:t>
      </w:r>
      <w:r>
        <w:t>Urkunden und Akten können auch in elektronischer Form beigezogen werden, es sei denn, durch Rechtsvorschrift ist etwas anderes bestimmt.</w:t>
      </w:r>
    </w:p>
    <w:p>
      <w:r>
        <w:t xml:space="preserve">(2) </w:t>
      </w:r>
      <w:r>
        <w:rPr>
          <w:rStyle w:val="Satznummer"/>
        </w:rPr>
        <w:t>1</w:t>
      </w:r>
      <w:r>
        <w:t xml:space="preserve">Die Beteiligten sollen bei der Ermittlung des Sachverhalts mitwirken. </w:t>
      </w:r>
      <w:r>
        <w:rPr>
          <w:rStyle w:val="Satznummer"/>
        </w:rPr>
        <w:t>2</w:t>
      </w:r>
      <w:r>
        <w:t xml:space="preserve">Sie sollen insbesondere ihnen bekannte Tatsachen und Beweismittel angeben. </w:t>
      </w:r>
      <w:r>
        <w:rPr>
          <w:rStyle w:val="Satznummer"/>
        </w:rPr>
        <w:t>3</w:t>
      </w:r>
      <w:r>
        <w:t>Eine weitergehende Pflicht, bei der Ermittlung des Sachverhalts mitzuwirken, insbesondere eine Pflicht zum persönlichen Erscheinen oder zur Aussage, besteht nur, soweit sie durch Rechtsvorschrift besonders vorgesehen ist.</w:t>
      </w:r>
    </w:p>
    <w:p>
      <w:r>
        <w:t xml:space="preserve">(3) </w:t>
      </w:r>
      <w:r>
        <w:rPr>
          <w:rStyle w:val="Satznummer"/>
        </w:rPr>
        <w:t>1</w:t>
      </w:r>
      <w:r>
        <w:t xml:space="preserve">Für Zeugen und Sachverständige besteht eine Pflicht zur Aussage oder zur Erstattung von Gutachten, wenn sie durch Rechtsvorschrift vorgesehen ist. </w:t>
      </w:r>
      <w:r>
        <w:rPr>
          <w:rStyle w:val="Satznummer"/>
        </w:rPr>
        <w:t>2</w:t>
      </w:r>
      <w:r>
        <w:t xml:space="preserve">Eine solche Pflicht besteht auch dann, wenn die Aussage oder die Erstattung von Gutachten im Rahmen von § 407 der Zivilprozessordnung zur Entscheidung über die Entstehung, Erbringung, Fortsetzung, das Ruhen, die Entziehung oder den Wegfall einer Sozialleistung sowie deren Höhe unabweisbar ist. </w:t>
      </w:r>
      <w:r>
        <w:rPr>
          <w:rStyle w:val="Satznummer"/>
        </w:rPr>
        <w:t>3</w:t>
      </w:r>
      <w:r>
        <w:t xml:space="preserve">Die Vorschriften der Zivilprozeßordnung über das Recht, ein Zeugnis oder ein Gutachten zu verweigern, über die Ablehnung von Sachverständigen sowie über die Vernehmung von Angehörigen des öffentlichen Dienstes als Zeugen oder Sachverständige gelten entsprechend. </w:t>
      </w:r>
      <w:r>
        <w:rPr>
          <w:rStyle w:val="Satznummer"/>
        </w:rPr>
        <w:t>4</w:t>
      </w:r>
      <w:r>
        <w:t>Falls die Behörde Zeugen, Sachverständige und Dritte herangezogen hat, erhalten sie auf Antrag in entsprechender Anwendung des Justizvergütungs- und -entschädigungsgesetzes eine Entschädigung oder Vergütung; mit Sachverständigen kann die Behörde eine Vergütung vereinbaren.</w:t>
      </w:r>
    </w:p>
    <w:p>
      <w:r>
        <w:t>(4) Die Finanzbehörden haben, soweit es im Verfahren nach diesem Gesetzbuch erforderlich ist, Auskunft über die ihnen bekannten Einkommens- oder Vermögensverhältnisse des Antragstellers, Leistungsempfängers, Erstattungspflichtigen, Unterhaltsverpflichteten, Unterhaltsberechtigten oder der zum Haushalt rechnenden Familienmitglieder zu erteilen.</w:t>
      </w:r>
    </w:p>
    <w:p>
      <w:pPr>
        <w:pStyle w:val="Heading4"/>
      </w:pPr>
      <w:bookmarkStart w:id="26" w:name="b25"/>
      <w:r>
        <w:t>§ 22 Vernehmung durch das Sozial- oder Verwaltungsgericht</w:t>
      </w:r>
      <w:r>
        <w:t xml:space="preserve"> </w:t>
      </w:r>
      <w:r>
        <w:rPr>
          <w:rStyle w:val="Suchmarke"/>
        </w:rPr>
        <w:t>#22#</w:t>
      </w:r>
      <w:bookmarkEnd w:id="26"/>
    </w:p>
    <w:p>
      <w:r>
        <w:t xml:space="preserve">(1) </w:t>
      </w:r>
      <w:r>
        <w:rPr>
          <w:rStyle w:val="Satznummer"/>
        </w:rPr>
        <w:t>1</w:t>
      </w:r>
      <w:r>
        <w:t xml:space="preserve">Verweigern Zeugen oder Sachverständige in den Fällen des </w:t>
      </w:r>
      <w:hyperlink w:anchor="b24" w:history="1">
        <w:r>
          <w:rPr>
            <w:color w:val="0A3A8C"/>
            <w:u w:val="single"/>
          </w:rPr>
          <w:t xml:space="preserve">§ 21</w:t>
        </w:r>
      </w:hyperlink>
      <w:r>
        <w:t xml:space="preserve"> Abs. 3 ohne Vorliegen eines der in den §§ 376, 383 bis 385 und 408 der Zivilprozessordnung bezeichneten Gründe die Aussage oder die Erstattung des Gutachtens, kann die Behörde je nach dem gegebenen Rechtsweg das für den Wohnsitz oder den Aufenthaltsort des Zeugen oder des Sachverständigen zuständige Sozial- oder Verwaltungsgericht um die Vernehmung ersuchen. </w:t>
      </w:r>
      <w:r>
        <w:rPr>
          <w:rStyle w:val="Satznummer"/>
        </w:rPr>
        <w:t>2</w:t>
      </w:r>
      <w:r>
        <w:t xml:space="preserve">Befindet sich der Wohnsitz oder der Aufenthaltsort des Zeugen oder des Sachverständigen nicht am Sitz eines Sozial- oder Verwaltungsgerichts oder einer Zweigstelle eines Sozialgerichts oder einer besonders errichteten Kammer eines Verwaltungsgerichts, kann auch das zuständige Amtsgericht um die Vernehmung ersucht werden. </w:t>
      </w:r>
      <w:r>
        <w:rPr>
          <w:rStyle w:val="Satznummer"/>
        </w:rPr>
        <w:t>3</w:t>
      </w:r>
      <w:r>
        <w:t xml:space="preserve">In dem Ersuchen hat die Behörde den Gegenstand der Vernehmung darzulegen sowie die Namen und Anschriften der Beteiligten anzugeben. </w:t>
      </w:r>
      <w:r>
        <w:rPr>
          <w:rStyle w:val="Satznummer"/>
        </w:rPr>
        <w:t>4</w:t>
      </w:r>
      <w:r>
        <w:t>Das Gericht hat die Beteiligten von den Beweisterminen zu benachrichtigen.</w:t>
      </w:r>
    </w:p>
    <w:p>
      <w:r>
        <w:t>(2) Hält die Behörde mit Rücksicht auf die Bedeutung der Aussage eines Zeugen oder des Gutachtens eines Sachverständigen oder zur Herbeiführung einer wahrheitsgemäßen Aussage die Beeidigung für geboten, kann sie das nach Absatz 1 zuständige Gericht um die eidliche Vernehmung ersuchen.</w:t>
      </w:r>
    </w:p>
    <w:p>
      <w:r>
        <w:t>(3) Das Gericht entscheidet über die Rechtmäßigkeit einer Verweigerung des Zeugnisses, des Gutachtens oder der Eidesleistung.</w:t>
      </w:r>
    </w:p>
    <w:p>
      <w:r>
        <w:t>(4) Ein Ersuchen nach Absatz 1 oder 2 an das Gericht darf nur von dem Behördenleiter, seinem allgemeinen Vertreter oder einem Angehörigen des öffentlichen Dienstes gestellt werden, der die Befähigung zum Richteramt hat.</w:t>
      </w:r>
    </w:p>
    <w:p>
      <w:pPr>
        <w:pStyle w:val="Heading4"/>
      </w:pPr>
      <w:bookmarkStart w:id="27" w:name="b26"/>
      <w:r>
        <w:t>§ 23 Glaubhaftmachung, Versicherung an Eides statt</w:t>
      </w:r>
      <w:r>
        <w:t xml:space="preserve"> </w:t>
      </w:r>
      <w:r>
        <w:rPr>
          <w:rStyle w:val="Suchmarke"/>
        </w:rPr>
        <w:t>#23#</w:t>
      </w:r>
      <w:bookmarkEnd w:id="27"/>
    </w:p>
    <w:p>
      <w:r>
        <w:t xml:space="preserve">(1) </w:t>
      </w:r>
      <w:r>
        <w:rPr>
          <w:rStyle w:val="Satznummer"/>
        </w:rPr>
        <w:t>1</w:t>
      </w:r>
      <w:r>
        <w:t xml:space="preserve">Sieht eine Rechtsvorschrift vor, dass für die Feststellung der erheblichen Tatsachen deren Glaubhaftmachung genügt, kann auch die Versicherung an Eides statt zugelassen werden. </w:t>
      </w:r>
      <w:r>
        <w:rPr>
          <w:rStyle w:val="Satznummer"/>
        </w:rPr>
        <w:t>2</w:t>
      </w:r>
      <w:r>
        <w:t>Eine Tatsache ist dann als glaubhaft anzusehen, wenn ihr Vorliegen nach dem Ergebnis der Ermittlungen, die sich auf sämtliche erreichbaren Beweismittel erstrecken sollen, überwiegend wahrscheinlich ist.</w:t>
      </w:r>
    </w:p>
    <w:p>
      <w:r>
        <w:t xml:space="preserve">(2) </w:t>
      </w:r>
      <w:r>
        <w:rPr>
          <w:rStyle w:val="Satznummer"/>
        </w:rPr>
        <w:t>1</w:t>
      </w:r>
      <w:r>
        <w:t xml:space="preserve">Die Behörde darf bei der Ermittlung des Sachverhalts eine Versicherung an Eides statt nur verlangen und abnehmen, wenn die Abnahme der Versicherung über den betreffenden Gegenstand und in dem betreffenden Verfahren durch Gesetz oder Rechtsverordnung vorgesehen und die Behörde durch Rechtsvorschrift für zuständig erklärt worden ist. </w:t>
      </w:r>
      <w:r>
        <w:rPr>
          <w:rStyle w:val="Satznummer"/>
        </w:rPr>
        <w:t>2</w:t>
      </w:r>
      <w:r>
        <w:t xml:space="preserve">Eine Versicherung an Eides statt soll nur gefordert werden, wenn andere Mittel zur Erforschung der Wahrheit nicht vorhanden sind, zu keinem Ergebnis geführt haben oder einen unverhältnismäßigen Aufwand erfordern. </w:t>
      </w:r>
      <w:r>
        <w:rPr>
          <w:rStyle w:val="Satznummer"/>
        </w:rPr>
        <w:t>3</w:t>
      </w:r>
      <w:r>
        <w:t>Von eidesunfähigen Personen im Sinne des § 393 der Zivilprozessordnung darf eine eidesstattliche Versicherung nicht verlangt werden.</w:t>
      </w:r>
    </w:p>
    <w:p>
      <w:r>
        <w:t xml:space="preserve">(3) </w:t>
      </w:r>
      <w:r>
        <w:rPr>
          <w:rStyle w:val="Satznummer"/>
        </w:rPr>
        <w:t>1</w:t>
      </w:r>
      <w:r>
        <w:t xml:space="preserve">Wird die Versicherung an Eides statt von einer Behörde zur Niederschrift aufgenommen, sind zur Aufnahme nur der Behördenleiter, sein allgemeiner Vertreter sowie Angehörige des öffentlichen Dienstes befugt, welche die Befähigung zum Richteramt haben. </w:t>
      </w:r>
      <w:r>
        <w:rPr>
          <w:rStyle w:val="Satznummer"/>
        </w:rPr>
        <w:t>2</w:t>
      </w:r>
      <w:r>
        <w:t>Andere Angehörige des öffentlichen Dienstes kann der Behördenleiter oder sein allgemeiner Vertreter hierzu allgemein oder im Einzelfall schriftlich ermächtigen.</w:t>
      </w:r>
    </w:p>
    <w:p>
      <w:r>
        <w:t xml:space="preserve">(4) </w:t>
      </w:r>
      <w:r>
        <w:rPr>
          <w:rStyle w:val="Satznummer"/>
        </w:rPr>
        <w:t>1</w:t>
      </w:r>
      <w:r>
        <w:t xml:space="preserve">Die Versicherung besteht darin, dass der Versichernde die Richtigkeit seiner Erklärung über den betreffenden Gegenstand bestätigt und erklärt: "Ich versichere an Eides statt, dass ich nach bestem Wissen die reine Wahrheit gesagt und nichts verschwiegen habe." </w:t>
      </w:r>
      <w:r>
        <w:rPr>
          <w:rStyle w:val="Satznummer"/>
        </w:rPr>
        <w:t>2</w:t>
      </w:r>
      <w:r>
        <w:t>Bevollmächtigte und Beistände sind berechtigt, an der Aufnahme der Versicherung an Eides statt teilzunehmen.</w:t>
      </w:r>
    </w:p>
    <w:p>
      <w:r>
        <w:t xml:space="preserve">(5) </w:t>
      </w:r>
      <w:r>
        <w:rPr>
          <w:rStyle w:val="Satznummer"/>
        </w:rPr>
        <w:t>1</w:t>
      </w:r>
      <w:r>
        <w:t xml:space="preserve">Vor der Aufnahme der Versicherung an Eides statt ist der Versichernde über die Bedeutung der eidesstattlichen Versicherung und die strafrechtlichen Folgen einer unrichtigen oder unvollständigen eidesstattlichen Versicherung zu belehren. </w:t>
      </w:r>
      <w:r>
        <w:rPr>
          <w:rStyle w:val="Satznummer"/>
        </w:rPr>
        <w:t>2</w:t>
      </w:r>
      <w:r>
        <w:t>Die Belehrung ist in der Niederschrift zu vermerken.</w:t>
      </w:r>
    </w:p>
    <w:p>
      <w:r>
        <w:t xml:space="preserve">(6) </w:t>
      </w:r>
      <w:r>
        <w:rPr>
          <w:rStyle w:val="Satznummer"/>
        </w:rPr>
        <w:t>1</w:t>
      </w:r>
      <w:r>
        <w:t xml:space="preserve">Die Niederschrift hat ferner die Namen der anwesenden Personen sowie den Ort und den Tag der Niederschrift zu enthalten. </w:t>
      </w:r>
      <w:r>
        <w:rPr>
          <w:rStyle w:val="Satznummer"/>
        </w:rPr>
        <w:t>2</w:t>
      </w:r>
      <w:r>
        <w:t xml:space="preserve">Die Niederschrift ist demjenigen, der die eidesstattliche Versicherung abgibt, zur Genehmigung vorzulesen oder auf Verlangen zur Durchsicht vorzulegen. </w:t>
      </w:r>
      <w:r>
        <w:rPr>
          <w:rStyle w:val="Satznummer"/>
        </w:rPr>
        <w:t>3</w:t>
      </w:r>
      <w:r>
        <w:t xml:space="preserve">Die erteilte Genehmigung ist zu vermerken und von dem Versichernden zu unterschreiben. </w:t>
      </w:r>
      <w:r>
        <w:rPr>
          <w:rStyle w:val="Satznummer"/>
        </w:rPr>
        <w:t>4</w:t>
      </w:r>
      <w:r>
        <w:t>Die Niederschrift ist sodann von demjenigen, der die Versicherung an Eides statt aufgenommen hat, sowie von dem Schriftführer zu unterschreiben.</w:t>
      </w:r>
    </w:p>
    <w:p>
      <w:pPr>
        <w:pStyle w:val="Heading4"/>
      </w:pPr>
      <w:bookmarkStart w:id="28" w:name="b27"/>
      <w:r>
        <w:t>§ 24 Anhörung Beteiligter</w:t>
      </w:r>
      <w:r>
        <w:t xml:space="preserve"> </w:t>
      </w:r>
      <w:r>
        <w:rPr>
          <w:rStyle w:val="Suchmarke"/>
        </w:rPr>
        <w:t>#24#</w:t>
      </w:r>
      <w:bookmarkEnd w:id="28"/>
    </w:p>
    <w:p>
      <w:r>
        <w:t>(1) Bevor ein Verwaltungsakt erlassen wird, der in Rechte eines Beteiligten eingreift, ist diesem Gelegenheit zu geben, sich zu den für die Entscheidung erheblichen Tatsachen zu äußern.</w:t>
      </w:r>
    </w:p>
    <w:p>
      <w:r>
        <w:t>(2) Von der Anhörung kann abgesehen werden, wenn</w:t>
      </w:r>
    </w:p>
    <w:p>
      <w:pPr>
        <w:tabs>
          <w:tab w:pos="567" w:val="left"/>
        </w:tabs>
        <w:ind w:left="567" w:hanging="567"/>
      </w:pPr>
      <w:r>
        <w:t>1.</w:t>
      </w:r>
      <w:r>
        <w:tab/>
      </w:r>
      <w:r>
        <w:t>eine sofortige Entscheidung wegen Gefahr im Verzug oder im öffentlichen Interesse notwendig erscheint,</w:t>
      </w:r>
    </w:p>
    <w:p>
      <w:pPr>
        <w:tabs>
          <w:tab w:pos="567" w:val="left"/>
        </w:tabs>
        <w:ind w:left="567" w:hanging="567"/>
      </w:pPr>
      <w:r>
        <w:t>2.</w:t>
      </w:r>
      <w:r>
        <w:tab/>
      </w:r>
      <w:r>
        <w:t>durch die Anhörung die Einhaltung einer für die Entscheidung maßgeblichen Frist in Frage gestellt würde,</w:t>
      </w:r>
    </w:p>
    <w:p>
      <w:pPr>
        <w:tabs>
          <w:tab w:pos="567" w:val="left"/>
        </w:tabs>
        <w:ind w:left="567" w:hanging="567"/>
      </w:pPr>
      <w:r>
        <w:t>3.</w:t>
      </w:r>
      <w:r>
        <w:tab/>
      </w:r>
      <w:r>
        <w:t>von den tatsächlichen Angaben eines Beteiligten, die dieser in einem Antrag oder einer Erklärung gemacht hat, nicht zu seinen Ungunsten abgewichen werden soll,</w:t>
      </w:r>
    </w:p>
    <w:p>
      <w:pPr>
        <w:tabs>
          <w:tab w:pos="567" w:val="left"/>
        </w:tabs>
        <w:ind w:left="567" w:hanging="567"/>
      </w:pPr>
      <w:r>
        <w:t>4.</w:t>
      </w:r>
      <w:r>
        <w:tab/>
      </w:r>
      <w:r>
        <w:t>Allgemeinverfügungen oder gleichartige Verwaltungsakte in größerer Zahl erlassen werden sollen,</w:t>
      </w:r>
    </w:p>
    <w:p>
      <w:pPr>
        <w:tabs>
          <w:tab w:pos="567" w:val="left"/>
        </w:tabs>
        <w:ind w:left="567" w:hanging="567"/>
      </w:pPr>
      <w:r>
        <w:t>5.</w:t>
      </w:r>
      <w:r>
        <w:tab/>
      </w:r>
      <w:r>
        <w:t>einkommensabhängige Leistungen den geänderten Verhältnissen angepasst werden sollen,</w:t>
      </w:r>
    </w:p>
    <w:p>
      <w:pPr>
        <w:tabs>
          <w:tab w:pos="567" w:val="left"/>
        </w:tabs>
        <w:ind w:left="567" w:hanging="567"/>
      </w:pPr>
      <w:r>
        <w:t>6.</w:t>
      </w:r>
      <w:r>
        <w:tab/>
      </w:r>
      <w:r>
        <w:t>Maßnahmen in der Verwaltungsvollstreckung getroffen werden sollen oder</w:t>
      </w:r>
    </w:p>
    <w:p>
      <w:pPr>
        <w:tabs>
          <w:tab w:pos="567" w:val="left"/>
        </w:tabs>
        <w:ind w:left="567" w:hanging="567"/>
      </w:pPr>
      <w:r>
        <w:t>7.</w:t>
      </w:r>
      <w:r>
        <w:tab/>
      </w:r>
      <w:r>
        <w:t>gegen Ansprüche oder mit Ansprüchen von weniger als 70 Euro aufgerechnet oder verrechnet werden soll; Nummer 5 bleibt unberührt.</w:t>
      </w:r>
    </w:p>
    <w:p>
      <w:pPr>
        <w:pStyle w:val="Heading4"/>
      </w:pPr>
      <w:bookmarkStart w:id="29" w:name="b28"/>
      <w:r>
        <w:t>§ 25 Akteneinsicht durch Beteiligte</w:t>
      </w:r>
      <w:r>
        <w:t xml:space="preserve"> </w:t>
      </w:r>
      <w:r>
        <w:rPr>
          <w:rStyle w:val="Suchmarke"/>
        </w:rPr>
        <w:t>#25#</w:t>
      </w:r>
      <w:bookmarkEnd w:id="29"/>
    </w:p>
    <w:p>
      <w:r>
        <w:t xml:space="preserve">(1) </w:t>
      </w:r>
      <w:r>
        <w:rPr>
          <w:rStyle w:val="Satznummer"/>
        </w:rPr>
        <w:t>1</w:t>
      </w:r>
      <w:r>
        <w:t xml:space="preserve">Die Behörde hat den Beteiligten Einsicht in die das Verfahren betreffenden Akten zu gestatten, soweit deren Kenntnis zur Geltendmachung oder Verteidigung ihrer rechtlichen Interessen erforderlich ist. </w:t>
      </w:r>
      <w:r>
        <w:rPr>
          <w:rStyle w:val="Satznummer"/>
        </w:rPr>
        <w:t>2</w:t>
      </w:r>
      <w:r>
        <w:t>Satz 1 gilt bis zum Abschluss des Verwaltungsverfahrens nicht für Entwürfe zu Entscheidungen sowie die Arbeiten zu ihrer unmittelbaren Vorbereitung.</w:t>
      </w:r>
    </w:p>
    <w:p>
      <w:r>
        <w:t xml:space="preserve">(2) </w:t>
      </w:r>
      <w:r>
        <w:rPr>
          <w:rStyle w:val="Satznummer"/>
        </w:rPr>
        <w:t>1</w:t>
      </w:r>
      <w:r>
        <w:t xml:space="preserve">Soweit die Akten Angaben über gesundheitliche Verhältnisse eines Beteiligten enthalten, kann die Behörde statt dessen den Inhalt der Akten dem Beteiligten durch einen Arzt vermitteln lassen. </w:t>
      </w:r>
      <w:r>
        <w:rPr>
          <w:rStyle w:val="Satznummer"/>
        </w:rPr>
        <w:t>2</w:t>
      </w:r>
      <w:r>
        <w:t xml:space="preserve">Sie soll den Inhalt der Akten durch einen Arzt vermitteln lassen, soweit zu befürchten ist, dass die Akteneinsicht dem Beteiligten einen unverhältnismäßigen Nachteil, insbesondere an der Gesundheit, zufügen würde. </w:t>
      </w:r>
      <w:r>
        <w:rPr>
          <w:rStyle w:val="Satznummer"/>
        </w:rPr>
        <w:t>3</w:t>
      </w:r>
      <w:r>
        <w:t xml:space="preserve">Soweit die Akten Angaben enthalten, die die Entwicklung und Entfaltung der Persönlichkeit des Beteiligten beeinträchtigen können, gelten die Sätze 1 und 2 mit der Maßgabe entsprechend, dass der Inhalt der Akten auch durch einen Bediensteten der Behörde vermittelt werden kann, der durch Vorbildung sowie Lebens- und Berufserfahrung dazu geeignet und befähigt ist. </w:t>
      </w:r>
      <w:r>
        <w:rPr>
          <w:rStyle w:val="Satznummer"/>
        </w:rPr>
        <w:t>4</w:t>
      </w:r>
      <w:r>
        <w:t>Das Recht nach Absatz 1 wird nicht beschränkt.</w:t>
      </w:r>
    </w:p>
    <w:p>
      <w:r>
        <w:t>(3) Die Behörde ist zur Gestattung der Akteneinsicht nicht verpflichtet, soweit die Vorgänge wegen der berechtigten Interessen der Beteiligten oder dritter Personen geheim gehalten werden müssen.</w:t>
      </w:r>
    </w:p>
    <w:p>
      <w:r>
        <w:t xml:space="preserve">(4) </w:t>
      </w:r>
      <w:r>
        <w:rPr>
          <w:rStyle w:val="Satznummer"/>
        </w:rPr>
        <w:t>1</w:t>
      </w:r>
      <w:r>
        <w:t xml:space="preserve">Die Akteneinsicht erfolgt bei der Behörde, die die Akten führt. </w:t>
      </w:r>
      <w:r>
        <w:rPr>
          <w:rStyle w:val="Satznummer"/>
        </w:rPr>
        <w:t>2</w:t>
      </w:r>
      <w:r>
        <w:t>Im Einzelfall kann die Einsicht auch bei einer anderen Behörde oder bei einer diplomatischen oder berufskonsularischen Vertretung der Bundesrepublik Deutschland im Ausland erfolgen; weitere Ausnahmen kann die Behörde, die die Akten führt, gestatten.</w:t>
      </w:r>
    </w:p>
    <w:p>
      <w:r>
        <w:t xml:space="preserve">(5) </w:t>
      </w:r>
      <w:r>
        <w:rPr>
          <w:rStyle w:val="Satznummer"/>
        </w:rPr>
        <w:t>1</w:t>
      </w:r>
      <w:r>
        <w:t xml:space="preserve">Soweit die Akteneinsicht zu gestatten ist, können die Beteiligten Auszüge oder Abschriften selbst fertigen oder sich Ablichtungen durch die Behörde erteilen lassen. </w:t>
      </w:r>
      <w:r>
        <w:rPr>
          <w:rStyle w:val="Satznummer"/>
        </w:rPr>
        <w:t>2</w:t>
      </w:r>
      <w:r>
        <w:t xml:space="preserve">Soweit die Akteneinsicht in eine elektronische Akte zu gestatten ist, kann die Behörde Akteneinsicht gewähren, indem sie Unterlagen ganz oder teilweise ausdruckt, elektronische Dokumente auf einem Bildschirm wiedergibt, elektronische Dokumente zur Verfügung stellt oder den elektronischen Zugriff auf den Inhalt der Akte gestattet. </w:t>
      </w:r>
      <w:r>
        <w:rPr>
          <w:rStyle w:val="Satznummer"/>
        </w:rPr>
        <w:t>3</w:t>
      </w:r>
      <w:r>
        <w:t>Die Behörde kann Ersatz ihrer Aufwendungen in angemessenem Umfang verlangen.</w:t>
      </w:r>
    </w:p>
    <w:p>
      <w:pPr>
        <w:pStyle w:val="Heading3"/>
      </w:pPr>
      <w:bookmarkStart w:id="30" w:name="b29"/>
      <w:r>
        <w:t>Zweiter Titel Fristen, Termine, Wiedereinsetzung</w:t>
      </w:r>
      <w:bookmarkEnd w:id="30"/>
    </w:p>
    <w:p>
      <w:pPr>
        <w:pStyle w:val="Heading4"/>
      </w:pPr>
      <w:bookmarkStart w:id="31" w:name="b30"/>
      <w:r>
        <w:t>§ 26 Fristen und Termine</w:t>
      </w:r>
      <w:r>
        <w:t xml:space="preserve"> </w:t>
      </w:r>
      <w:r>
        <w:rPr>
          <w:rStyle w:val="Suchmarke"/>
        </w:rPr>
        <w:t>#26#</w:t>
      </w:r>
      <w:bookmarkEnd w:id="31"/>
    </w:p>
    <w:p>
      <w:r>
        <w:t>(1) Für die Berechnung von Fristen und für die Bestimmung von Terminen gelten die §§ 187 bis 193 des Bürgerlichen Gesetzbuches entsprechend, soweit nicht durch die Absätze 2 bis 5 etwas anderes bestimmt ist.</w:t>
      </w:r>
    </w:p>
    <w:p>
      <w:r>
        <w:t>(2) Der Lauf einer Frist, die von einer Behörde gesetzt wird, beginnt mit dem Tag, der auf die Bekanntgabe der Frist folgt, außer wenn dem Betroffenen etwas anderes mitgeteilt wird.</w:t>
      </w:r>
    </w:p>
    <w:p>
      <w:r>
        <w:t xml:space="preserve">(3) </w:t>
      </w:r>
      <w:r>
        <w:rPr>
          <w:rStyle w:val="Satznummer"/>
        </w:rPr>
        <w:t>1</w:t>
      </w:r>
      <w:r>
        <w:t xml:space="preserve">Fällt das Ende einer Frist auf einen Sonntag, einen gesetzlichen Feiertag oder einen Sonnabend, endet die Frist mit dem Ablauf des nächstfolgenden Werktages. </w:t>
      </w:r>
      <w:r>
        <w:rPr>
          <w:rStyle w:val="Satznummer"/>
        </w:rPr>
        <w:t>2</w:t>
      </w:r>
      <w:r>
        <w:t>Dies gilt nicht, wenn dem Betroffenen unter Hinweis auf diese Vorschrift ein bestimmter Tag als Ende der Frist mitgeteilt worden ist.</w:t>
      </w:r>
    </w:p>
    <w:p>
      <w:r>
        <w:t>(4) Hat eine Behörde Leistungen nur für einen bestimmten Zeitraum zu erbringen, endet dieser Zeitraum auch dann mit dem Ablauf seines letzten Tages, wenn dieser auf einen Sonntag, einen gesetzlichen Feiertag oder einen Sonnabend fällt.</w:t>
      </w:r>
    </w:p>
    <w:p>
      <w:r>
        <w:t>(5) Der von einer Behörde gesetzte Termin ist auch dann einzuhalten, wenn er auf einen Sonntag, gesetzlichen Feiertag oder Sonnabend fällt.</w:t>
      </w:r>
    </w:p>
    <w:p>
      <w:r>
        <w:t>(6) Ist eine Frist nach Stunden bestimmt, werden Sonntage, gesetzliche Feiertage oder Sonnabende mitgerechnet.</w:t>
      </w:r>
    </w:p>
    <w:p>
      <w:r>
        <w:t xml:space="preserve">(7) </w:t>
      </w:r>
      <w:r>
        <w:rPr>
          <w:rStyle w:val="Satznummer"/>
        </w:rPr>
        <w:t>1</w:t>
      </w:r>
      <w:r>
        <w:t xml:space="preserve">Fristen, die von einer Behörde gesetzt sind, können verlängert werden. </w:t>
      </w:r>
      <w:r>
        <w:rPr>
          <w:rStyle w:val="Satznummer"/>
        </w:rPr>
        <w:t>2</w:t>
      </w:r>
      <w:r>
        <w:t xml:space="preserve">Sind solche Fristen bereits abgelaufen, können sie rückwirkend verlängert werden, insbesondere wenn es unbillig wäre, die durch den Fristablauf eingetretenen Rechtsfolgen bestehen zu lassen. </w:t>
      </w:r>
      <w:r>
        <w:rPr>
          <w:rStyle w:val="Satznummer"/>
        </w:rPr>
        <w:t>3</w:t>
      </w:r>
      <w:r>
        <w:t xml:space="preserve">Die Behörde kann die Verlängerung der Frist nach </w:t>
      </w:r>
      <w:hyperlink w:anchor="b40" w:history="1">
        <w:r>
          <w:rPr>
            <w:color w:val="0A3A8C"/>
            <w:u w:val="single"/>
          </w:rPr>
          <w:t xml:space="preserve">§ 32</w:t>
        </w:r>
      </w:hyperlink>
      <w:r>
        <w:t xml:space="preserve"> mit einer Nebenbestimmung verbinden.</w:t>
      </w:r>
    </w:p>
    <w:p>
      <w:pPr>
        <w:pStyle w:val="Heading4"/>
      </w:pPr>
      <w:bookmarkStart w:id="32" w:name="b31"/>
      <w:r>
        <w:t>§ 27 Wiedereinsetzung in den vorigen Stand</w:t>
      </w:r>
      <w:r>
        <w:t xml:space="preserve"> </w:t>
      </w:r>
      <w:r>
        <w:rPr>
          <w:rStyle w:val="Suchmarke"/>
        </w:rPr>
        <w:t>#27#</w:t>
      </w:r>
      <w:bookmarkEnd w:id="32"/>
    </w:p>
    <w:p>
      <w:r>
        <w:t xml:space="preserve">(1) </w:t>
      </w:r>
      <w:r>
        <w:rPr>
          <w:rStyle w:val="Satznummer"/>
        </w:rPr>
        <w:t>1</w:t>
      </w:r>
      <w:r>
        <w:t xml:space="preserve">War jemand ohne Verschulden verhindert, eine gesetzliche Frist einzuhalten, ist ihm auf Antrag Wiedereinsetzung in den vorigen Stand zu gewähren. </w:t>
      </w:r>
      <w:r>
        <w:rPr>
          <w:rStyle w:val="Satznummer"/>
        </w:rPr>
        <w:t>2</w:t>
      </w:r>
      <w:r>
        <w:t>Das Verschulden eines Vertreters ist dem Vertretenen zuzurechnen.</w:t>
      </w:r>
    </w:p>
    <w:p>
      <w:r>
        <w:t xml:space="preserve">(2) </w:t>
      </w:r>
      <w:r>
        <w:rPr>
          <w:rStyle w:val="Satznummer"/>
        </w:rPr>
        <w:t>1</w:t>
      </w:r>
      <w:r>
        <w:t xml:space="preserve">Der Antrag ist innerhalb von zwei Wochen nach Wegfall des Hindernisses zu stellen. </w:t>
      </w:r>
      <w:r>
        <w:rPr>
          <w:rStyle w:val="Satznummer"/>
        </w:rPr>
        <w:t>2</w:t>
      </w:r>
      <w:r>
        <w:t xml:space="preserve">Die Tatsachen zur Begründung des Antrages sind bei der Antragstellung oder im Verfahren über den Antrag glaubhaft zu machen. </w:t>
      </w:r>
      <w:r>
        <w:rPr>
          <w:rStyle w:val="Satznummer"/>
        </w:rPr>
        <w:t>3</w:t>
      </w:r>
      <w:r>
        <w:t xml:space="preserve">Innerhalb der Antragsfrist ist die versäumte Handlung nachzuholen. </w:t>
      </w:r>
      <w:r>
        <w:rPr>
          <w:rStyle w:val="Satznummer"/>
        </w:rPr>
        <w:t>4</w:t>
      </w:r>
      <w:r>
        <w:t>Ist dies geschehen, kann Wiedereinsetzung auch ohne Antrag gewährt werden.</w:t>
      </w:r>
    </w:p>
    <w:p>
      <w:r>
        <w:t>(3) Nach einem Jahr seit dem Ende der versäumten Frist kann die Wiedereinsetzung nicht mehr beantragt oder die versäumte Handlung nicht mehr nachgeholt werden, außer wenn dies vor Ablauf der Jahresfrist infolge höherer Gewalt unmöglich war.</w:t>
      </w:r>
    </w:p>
    <w:p>
      <w:r>
        <w:t>(4) Über den Antrag auf Wiedereinsetzung entscheidet die Behörde, die über die versäumte Handlung zu befinden hat.</w:t>
      </w:r>
    </w:p>
    <w:p>
      <w:r>
        <w:t>(5) Die Wiedereinsetzung ist unzulässig, wenn sich aus einer Rechtsvorschrift ergibt, dass sie ausgeschlossen ist.</w:t>
      </w:r>
    </w:p>
    <w:p>
      <w:pPr>
        <w:pStyle w:val="Heading4"/>
      </w:pPr>
      <w:bookmarkStart w:id="33" w:name="b32"/>
      <w:r>
        <w:t>§ 28 Wiederholte Antragstellung</w:t>
      </w:r>
      <w:r>
        <w:t xml:space="preserve"> </w:t>
      </w:r>
      <w:r>
        <w:rPr>
          <w:rStyle w:val="Suchmarke"/>
        </w:rPr>
        <w:t>#28#</w:t>
      </w:r>
      <w:bookmarkEnd w:id="33"/>
    </w:p>
    <w:p>
      <w:r>
        <w:t xml:space="preserve">(1) </w:t>
      </w:r>
      <w:r>
        <w:rPr>
          <w:rStyle w:val="Satznummer"/>
        </w:rPr>
        <w:t>1</w:t>
      </w:r>
      <w:r>
        <w:t xml:space="preserve">Hat ein Leistungsberechtigter von der Stellung eines Antrages auf eine Sozialleistung abgesehen, weil ein Anspruch auf eine andere Sozialleistung geltend gemacht worden ist, und wird diese Leistung versagt oder ist sie zu erstatten, wirkt der nunmehr nachgeholte Antrag bis zu einem Jahr zurück, wenn er innerhalb von sechs Monaten nach Ablauf des Monats gestellt ist, in dem die Ablehnung oder Erstattung der anderen Leistung bindend geworden ist. </w:t>
      </w:r>
      <w:r>
        <w:rPr>
          <w:rStyle w:val="Satznummer"/>
        </w:rPr>
        <w:t>2</w:t>
      </w:r>
      <w:r>
        <w:t>Satz 1 gilt auch dann, wenn der Antrag auf die zunächst geltend gemachte Sozialleistung zurückgenommen wird.</w:t>
      </w:r>
    </w:p>
    <w:p>
      <w:r>
        <w:t>(2) Absatz 1 gilt auch dann, wenn der rechtzeitige Antrag auf eine andere Leistung aus Unkenntnis über deren Anspruchsvoraussetzung unterlassen wurde und die zweite Leistung gegenüber der ersten Leistung, wenn diese erbracht worden wäre, nachrangig gewesen wäre.</w:t>
      </w:r>
    </w:p>
    <w:p>
      <w:pPr>
        <w:pStyle w:val="Heading3"/>
      </w:pPr>
      <w:bookmarkStart w:id="34" w:name="b33"/>
      <w:r>
        <w:t>Dritter Titel Amtliche Beglaubigung</w:t>
      </w:r>
      <w:bookmarkEnd w:id="34"/>
    </w:p>
    <w:p>
      <w:pPr>
        <w:pStyle w:val="Heading4"/>
      </w:pPr>
      <w:bookmarkStart w:id="35" w:name="b34"/>
      <w:r>
        <w:t>§ 29 Beglaubigung von Dokumenten</w:t>
      </w:r>
      <w:r>
        <w:t xml:space="preserve"> </w:t>
      </w:r>
      <w:r>
        <w:rPr>
          <w:rStyle w:val="Suchmarke"/>
        </w:rPr>
        <w:t>#29#</w:t>
      </w:r>
      <w:bookmarkEnd w:id="35"/>
    </w:p>
    <w:p>
      <w:r>
        <w:t xml:space="preserve">(1) </w:t>
      </w:r>
      <w:r>
        <w:rPr>
          <w:rStyle w:val="Satznummer"/>
        </w:rPr>
        <w:t>1</w:t>
      </w:r>
      <w:r>
        <w:t xml:space="preserve">Jede Behörde ist befugt, Abschriften von Urkunden, die sie selbst ausgestellt hat, zu beglaubigen. </w:t>
      </w:r>
      <w:r>
        <w:rPr>
          <w:rStyle w:val="Satznummer"/>
        </w:rPr>
        <w:t>2</w:t>
      </w:r>
      <w:r>
        <w:t>Darüber hinaus sind die von der Bundesregierung durch Rechtsverordnung bestimmten Behörden des Bundes, der bundesunmittelbaren Körperschaften, Anstalten und Stiftungen des öffentlichen Rechts und die nach Landesrecht zuständigen Behörden befugt, Abschriften zu beglaubigen, wenn die Urschrift von einer Behörde ausgestellt ist oder die Abschrift zur Vorlage bei einer Behörde benötigt wird, sofern nicht durch Rechtsvorschrift die Erteilung beglaubigter Abschriften aus amtlichen Registern und Archiven anderen Behörden ausschließlich vorbehalten ist; die Rechtsverordnung bedarf nicht der Zustimmung des Bundesrates.</w:t>
      </w:r>
    </w:p>
    <w:p>
      <w:r>
        <w:t>(2) Abschriften dürfen nicht beglaubigt werden, wenn Umstände zu der Annahme berechtigen, dass der ursprüngliche Inhalt des Schriftstückes, dessen Abschrift beglaubigt werden soll, geändert worden ist, insbesondere wenn dieses Schriftstück Lücken, Durchstreichungen, Einschaltungen, Änderungen, unleserliche Wörter, Zahlen oder Zeichen, Spuren der Beseitigung von Wörtern, Zahlen und Zeichen enthält oder wenn der Zusammenhang eines aus mehreren Blättern bestehenden Schriftstückes aufgehoben ist.</w:t>
      </w:r>
    </w:p>
    <w:p>
      <w:r>
        <w:t xml:space="preserve">(3) </w:t>
      </w:r>
      <w:r>
        <w:rPr>
          <w:rStyle w:val="Satznummer"/>
        </w:rPr>
        <w:t>1</w:t>
      </w:r>
      <w:r>
        <w:t xml:space="preserve">Eine Abschrift wird beglaubigt durch einen Beglaubigungsvermerk, der unter die Abschrift zu setzen ist. </w:t>
      </w:r>
      <w:r>
        <w:rPr>
          <w:rStyle w:val="Satznummer"/>
        </w:rPr>
        <w:t>2</w:t>
      </w:r>
      <w:r>
        <w:t>Der Vermerk muss enthalten</w:t>
      </w:r>
    </w:p>
    <w:p>
      <w:pPr>
        <w:tabs>
          <w:tab w:pos="567" w:val="left"/>
        </w:tabs>
        <w:ind w:left="567" w:hanging="567"/>
      </w:pPr>
      <w:r>
        <w:t>1.</w:t>
      </w:r>
      <w:r>
        <w:tab/>
      </w:r>
      <w:r>
        <w:t>die genaue Bezeichnung des Schriftstückes, dessen Abschrift beglaubigt wird,</w:t>
      </w:r>
    </w:p>
    <w:p>
      <w:pPr>
        <w:tabs>
          <w:tab w:pos="567" w:val="left"/>
        </w:tabs>
        <w:ind w:left="567" w:hanging="567"/>
      </w:pPr>
      <w:r>
        <w:t>2.</w:t>
      </w:r>
      <w:r>
        <w:tab/>
      </w:r>
      <w:r>
        <w:t>die Feststellung, dass die beglaubigte Abschrift mit dem vorgelegten Schriftstück übereinstimmt,</w:t>
      </w:r>
    </w:p>
    <w:p>
      <w:pPr>
        <w:tabs>
          <w:tab w:pos="567" w:val="left"/>
        </w:tabs>
        <w:ind w:left="567" w:hanging="567"/>
      </w:pPr>
      <w:r>
        <w:t>3.</w:t>
      </w:r>
      <w:r>
        <w:tab/>
      </w:r>
      <w:r>
        <w:t>den Hinweis, dass die beglaubigte Abschrift nur zur Vorlage bei der angegebenen Behörde erteilt wird, wenn die Urschrift nicht von einer Behörde ausgestellt worden ist,</w:t>
      </w:r>
    </w:p>
    <w:p>
      <w:pPr>
        <w:tabs>
          <w:tab w:pos="567" w:val="left"/>
        </w:tabs>
        <w:ind w:left="567" w:hanging="567"/>
      </w:pPr>
      <w:r>
        <w:t>4.</w:t>
      </w:r>
      <w:r>
        <w:tab/>
      </w:r>
      <w:r>
        <w:t>den Ort und den Tag der Beglaubigung, die Unterschrift des für die Beglaubigung zuständigen Bediensteten und das Dienstsiegel.</w:t>
      </w:r>
    </w:p>
    <w:p>
      <w:r>
        <w:t>(4) Die Absätze 1 bis 3 gelten entsprechend für die Beglaubigung von</w:t>
      </w:r>
    </w:p>
    <w:p>
      <w:pPr>
        <w:tabs>
          <w:tab w:pos="567" w:val="left"/>
        </w:tabs>
        <w:ind w:left="567" w:hanging="567"/>
      </w:pPr>
      <w:r>
        <w:t>1.</w:t>
      </w:r>
      <w:r>
        <w:tab/>
      </w:r>
      <w:r>
        <w:t>Ablichtungen, Lichtdrucken und ähnlichen in technischen Verfahren hergestellten Vervielfältigungen,</w:t>
      </w:r>
    </w:p>
    <w:p>
      <w:pPr>
        <w:tabs>
          <w:tab w:pos="567" w:val="left"/>
        </w:tabs>
        <w:ind w:left="567" w:hanging="567"/>
      </w:pPr>
      <w:r>
        <w:t>2.</w:t>
      </w:r>
      <w:r>
        <w:tab/>
      </w:r>
      <w:r>
        <w:t>auf fototechnischem Wege von Schriftstücken hergestellten Negativen, die bei einer Behörde aufbewahrt werden,</w:t>
      </w:r>
    </w:p>
    <w:p>
      <w:pPr>
        <w:tabs>
          <w:tab w:pos="567" w:val="left"/>
        </w:tabs>
        <w:ind w:left="567" w:hanging="567"/>
      </w:pPr>
      <w:r>
        <w:t>3.</w:t>
      </w:r>
      <w:r>
        <w:tab/>
      </w:r>
      <w:r>
        <w:t>Ausdrucken elektronischer Dokumente,</w:t>
      </w:r>
    </w:p>
    <w:p>
      <w:pPr>
        <w:tabs>
          <w:tab w:pos="567" w:val="left"/>
        </w:tabs>
        <w:ind w:left="567" w:hanging="567"/>
      </w:pPr>
      <w:r>
        <w:t>4.</w:t>
      </w:r>
      <w:r>
        <w:tab/>
      </w:r>
      <w:r>
        <w:t>elektronischen Dokumenten,</w:t>
      </w:r>
    </w:p>
    <w:p>
      <w:pPr>
        <w:tabs>
          <w:tab w:pos="1134" w:val="left"/>
        </w:tabs>
        <w:ind w:left="1134" w:hanging="567"/>
      </w:pPr>
      <w:r>
        <w:t>a)</w:t>
      </w:r>
      <w:r>
        <w:tab/>
      </w:r>
      <w:r>
        <w:t>die zur Abbildung eines Schriftstücks hergestellt wurden,</w:t>
      </w:r>
    </w:p>
    <w:p>
      <w:pPr>
        <w:tabs>
          <w:tab w:pos="1134" w:val="left"/>
        </w:tabs>
        <w:ind w:left="1134" w:hanging="567"/>
      </w:pPr>
      <w:r>
        <w:t>b)</w:t>
      </w:r>
      <w:r>
        <w:tab/>
      </w:r>
      <w:r>
        <w:t>die ein anderes technisches Format als das Ausgangsdokument, das verbunden ist mit einer qualifizierten elektronischen Signatur oder einem qualifizierten elektronischen Siegel einer Behörde, erhalten haben.</w:t>
      </w:r>
    </w:p>
    <w:p>
      <w:r>
        <w:t xml:space="preserve">(5) </w:t>
      </w:r>
      <w:r>
        <w:rPr>
          <w:rStyle w:val="Satznummer"/>
        </w:rPr>
        <w:t>1</w:t>
      </w:r>
      <w:r>
        <w:t>Der Beglaubigungsvermerk muss zusätzlich zu den Angaben nach Absatz 3 Satz 2 bei der Beglaubigung</w:t>
      </w:r>
    </w:p>
    <w:p>
      <w:pPr>
        <w:tabs>
          <w:tab w:pos="567" w:val="left"/>
        </w:tabs>
        <w:ind w:left="567" w:hanging="567"/>
      </w:pPr>
      <w:r>
        <w:t>1.</w:t>
      </w:r>
      <w:r>
        <w:tab/>
      </w:r>
      <w:r>
        <w:t>des Ausdrucks eines elektronischen Dokuments, das mit einer qualifizierten elektronischen Signatur oder einem qualifizierten elektronischen Siegel einer Behörde verbunden ist, die Feststellungen enthalten,</w:t>
      </w:r>
    </w:p>
    <w:p>
      <w:pPr>
        <w:tabs>
          <w:tab w:pos="1134" w:val="left"/>
        </w:tabs>
        <w:ind w:left="1134" w:hanging="567"/>
      </w:pPr>
      <w:r>
        <w:t>a)</w:t>
      </w:r>
      <w:r>
        <w:tab/>
      </w:r>
      <w:r>
        <w:t>wen die Signaturprüfung als Inhaber der Signatur oder welche Behörde die Signaturprüfung als Inhaber des Siegels ausweist,</w:t>
      </w:r>
    </w:p>
    <w:p>
      <w:pPr>
        <w:tabs>
          <w:tab w:pos="1134" w:val="left"/>
        </w:tabs>
        <w:ind w:left="1134" w:hanging="567"/>
      </w:pPr>
      <w:r>
        <w:t>b)</w:t>
      </w:r>
      <w:r>
        <w:tab/>
      </w:r>
      <w:r>
        <w:t>welchen Zeitpunkt die Signaturprüfung für die Anbringung der Signatur oder des Siegels ausweist und</w:t>
      </w:r>
    </w:p>
    <w:p>
      <w:pPr>
        <w:tabs>
          <w:tab w:pos="1134" w:val="left"/>
        </w:tabs>
        <w:ind w:left="1134" w:hanging="567"/>
      </w:pPr>
      <w:r>
        <w:t>c)</w:t>
      </w:r>
      <w:r>
        <w:tab/>
      </w:r>
      <w:r>
        <w:t>welche Zertifikate mit welchen Daten dieser Signatur oder diesem Siegel zugrunde lagen;</w:t>
      </w:r>
    </w:p>
    <w:p>
      <w:pPr>
        <w:tabs>
          <w:tab w:pos="567" w:val="left"/>
        </w:tabs>
        <w:ind w:left="567" w:hanging="567"/>
      </w:pPr>
      <w:r>
        <w:t>2.</w:t>
      </w:r>
      <w:r>
        <w:tab/>
      </w:r>
      <w:r>
        <w:t>eines elektronischen Dokuments den Namen des für die Beglaubigung zuständigen Bediensteten und die Bezeichnung der Behörde, die die Beglaubigung vornimmt, enthalten; die Unterschrift des für die Beglaubigung zuständigen Bediensteten und das Dienstsiegel nach Absatz 3 Satz 2 Nummer 4 werden durch eine dauerhaft überprüfbare qualifizierte elektronische Signatur oder durch ein dauerhaft überprüfbares qualifiziertes elektronisches Siegel der Behörde ersetzt.</w:t>
      </w:r>
    </w:p>
    <w:p>
      <w:r>
        <w:rPr>
          <w:rStyle w:val="Satznummer"/>
        </w:rPr>
        <w:t>2</w:t>
      </w:r>
      <w:r>
        <w:t>Wird ein elektronisches Dokument, das ein anderes technisches Format erhalten hat als das Ausgangsdokument, das mit einer qualifizierten elektronischen Signatur oder einem qualifizierten elektronischen Siegel einer Behörde verbunden ist, nach Satz 1 Nummer 2 beglaubigt, so muss der Beglaubigungsvermerk zusätzlich die Feststellungen nach Satz 1 Nummer 1 für das Ausgangsdokument enthalten.</w:t>
      </w:r>
    </w:p>
    <w:p>
      <w:r>
        <w:t>(6) Die nach Absatz 4 hergestellten Dokumente stehen, sofern sie beglaubigt sind, beglaubigten Abschriften gleich.</w:t>
      </w:r>
    </w:p>
    <w:p>
      <w:r>
        <w:t>(7) Soweit eine Behörde über die technischen Möglichkeiten verfügt, kann sie von Urkunden, die sie selbst ausgestellt hat, auf Verlangen ein elektronisches Dokument nach Absatz 4 Nummer 4 Buchstabe a oder eine elektronische Abschrift fertigen und beglaubigen.</w:t>
      </w:r>
    </w:p>
    <w:p>
      <w:pPr>
        <w:pStyle w:val="Heading4"/>
      </w:pPr>
      <w:bookmarkStart w:id="36" w:name="b35"/>
      <w:r>
        <w:t>§ 30 Beglaubigung von Unterschriften</w:t>
      </w:r>
      <w:r>
        <w:t xml:space="preserve"> </w:t>
      </w:r>
      <w:r>
        <w:rPr>
          <w:rStyle w:val="Suchmarke"/>
        </w:rPr>
        <w:t>#30#</w:t>
      </w:r>
      <w:bookmarkEnd w:id="36"/>
    </w:p>
    <w:p>
      <w:r>
        <w:t xml:space="preserve">(1) </w:t>
      </w:r>
      <w:r>
        <w:rPr>
          <w:rStyle w:val="Satznummer"/>
        </w:rPr>
        <w:t>1</w:t>
      </w:r>
      <w:r>
        <w:t xml:space="preserve">Die von der Bundesregierung durch Rechtsverordnung bestimmten Behörden des Bundes, der bundesunmittelbaren Körperschaften, Anstalten und Stiftungen des öffentlichen Rechts und die nach Landesrecht zuständigen Behörden sind befugt, Unterschriften zu beglaubigen, wenn das unterzeichnete Schriftstück zur Vorlage bei einer Behörde oder bei einer sonstigen Stelle, der auf Grund einer Rechtsvorschrift das unterzeichnete Schriftstück vorzulegen ist, benötigt wird. </w:t>
      </w:r>
      <w:r>
        <w:rPr>
          <w:rStyle w:val="Satznummer"/>
        </w:rPr>
        <w:t>2</w:t>
      </w:r>
      <w:r>
        <w:t>Dies gilt nicht für</w:t>
      </w:r>
    </w:p>
    <w:p>
      <w:pPr>
        <w:tabs>
          <w:tab w:pos="567" w:val="left"/>
        </w:tabs>
        <w:ind w:left="567" w:hanging="567"/>
      </w:pPr>
      <w:r>
        <w:t>1.</w:t>
      </w:r>
      <w:r>
        <w:tab/>
      </w:r>
      <w:r>
        <w:t>Unterschriften ohne zugehörigen Text,</w:t>
      </w:r>
    </w:p>
    <w:p>
      <w:pPr>
        <w:tabs>
          <w:tab w:pos="567" w:val="left"/>
        </w:tabs>
        <w:ind w:left="567" w:hanging="567"/>
      </w:pPr>
      <w:r>
        <w:t>2.</w:t>
      </w:r>
      <w:r>
        <w:tab/>
      </w:r>
      <w:r>
        <w:t>Unterschriften, die der öffentlichen Beglaubigung (§ 129 des Bürgerlichen Gesetzbuches) bedürfen.</w:t>
      </w:r>
    </w:p>
    <w:p>
      <w:r>
        <w:t>(2) Eine Unterschrift soll nur beglaubigt werden, wenn sie in Gegenwart des beglaubigenden Bediensteten vollzogen oder anerkannt wird.</w:t>
      </w:r>
    </w:p>
    <w:p>
      <w:r>
        <w:t xml:space="preserve">(3) </w:t>
      </w:r>
      <w:r>
        <w:rPr>
          <w:rStyle w:val="Satznummer"/>
        </w:rPr>
        <w:t>1</w:t>
      </w:r>
      <w:r>
        <w:t xml:space="preserve">Der Beglaubigungsvermerk ist unmittelbar bei der Unterschrift, die beglaubigt werden soll, anzubringen. </w:t>
      </w:r>
      <w:r>
        <w:rPr>
          <w:rStyle w:val="Satznummer"/>
        </w:rPr>
        <w:t>2</w:t>
      </w:r>
      <w:r>
        <w:t>Er muss enthalten</w:t>
      </w:r>
    </w:p>
    <w:p>
      <w:pPr>
        <w:tabs>
          <w:tab w:pos="567" w:val="left"/>
        </w:tabs>
        <w:ind w:left="567" w:hanging="567"/>
      </w:pPr>
      <w:r>
        <w:t>1.</w:t>
      </w:r>
      <w:r>
        <w:tab/>
      </w:r>
      <w:r>
        <w:t>die Bestätigung, dass die Unterschrift echt ist,</w:t>
      </w:r>
    </w:p>
    <w:p>
      <w:pPr>
        <w:tabs>
          <w:tab w:pos="567" w:val="left"/>
        </w:tabs>
        <w:ind w:left="567" w:hanging="567"/>
      </w:pPr>
      <w:r>
        <w:t>2.</w:t>
      </w:r>
      <w:r>
        <w:tab/>
      </w:r>
      <w:r>
        <w:t>die genaue Bezeichnung desjenigen, dessen Unterschrift beglaubigt wird, sowie die Angabe, ob sich der für die Beglaubigung zuständige Bedienstete Gewissheit über diese Person verschafft hat und ob die Unterschrift in seiner Gegenwart vollzogen oder anerkannt worden ist,</w:t>
      </w:r>
    </w:p>
    <w:p>
      <w:pPr>
        <w:tabs>
          <w:tab w:pos="567" w:val="left"/>
        </w:tabs>
        <w:ind w:left="567" w:hanging="567"/>
      </w:pPr>
      <w:r>
        <w:t>3.</w:t>
      </w:r>
      <w:r>
        <w:tab/>
      </w:r>
      <w:r>
        <w:t>den Hinweis, dass die Beglaubigung nur zur Vorlage bei der angegebenen Behörde oder Stelle bestimmt ist,</w:t>
      </w:r>
    </w:p>
    <w:p>
      <w:pPr>
        <w:tabs>
          <w:tab w:pos="567" w:val="left"/>
        </w:tabs>
        <w:ind w:left="567" w:hanging="567"/>
      </w:pPr>
      <w:r>
        <w:t>4.</w:t>
      </w:r>
      <w:r>
        <w:tab/>
      </w:r>
      <w:r>
        <w:t>den Ort und den Tag der Beglaubigung, die Unterschrift des für die Beglaubigung zuständigen Bediensteten und das Dienstsiegel.</w:t>
      </w:r>
    </w:p>
    <w:p>
      <w:r>
        <w:t>(4) Die Absätze 1 bis 3 gelten für die Beglaubigung von Handzeichen entsprechend.</w:t>
      </w:r>
    </w:p>
    <w:p>
      <w:r>
        <w:t>(5) Die Rechtsverordnungen nach den Absätzen 1 und 4 bedürfen nicht der Zustimmung des Bundesrates.</w:t>
      </w:r>
    </w:p>
    <w:p>
      <w:pPr>
        <w:pStyle w:val="Heading2"/>
      </w:pPr>
      <w:bookmarkStart w:id="37" w:name="b36"/>
      <w:r>
        <w:t>Dritter Abschnitt Verwaltungsakt</w:t>
      </w:r>
      <w:bookmarkEnd w:id="37"/>
    </w:p>
    <w:p>
      <w:pPr>
        <w:pStyle w:val="Heading3"/>
      </w:pPr>
      <w:bookmarkStart w:id="38" w:name="b37"/>
      <w:r>
        <w:t>Erster Titel Zustandekommen des Verwaltungsaktes</w:t>
      </w:r>
      <w:bookmarkEnd w:id="38"/>
    </w:p>
    <w:p>
      <w:pPr>
        <w:pStyle w:val="Heading4"/>
      </w:pPr>
      <w:bookmarkStart w:id="39" w:name="b38"/>
      <w:r>
        <w:t>§ 31 Begriff des Verwaltungsaktes</w:t>
      </w:r>
      <w:r>
        <w:t xml:space="preserve"> </w:t>
      </w:r>
      <w:r>
        <w:rPr>
          <w:rStyle w:val="Suchmarke"/>
        </w:rPr>
        <w:t>#31#</w:t>
      </w:r>
      <w:bookmarkEnd w:id="39"/>
    </w:p>
    <w:p>
      <w:r>
        <w:rPr>
          <w:rStyle w:val="Satznummer"/>
        </w:rPr>
        <w:t>1</w:t>
      </w:r>
      <w:r>
        <w:t xml:space="preserve">Verwaltungsakt ist jede Verfügung, Entscheidung oder andere hoheitliche Maßnahme, die eine Behörde zur Regelung eines Einzelfalles auf dem Gebiet des öffentlichen Rechts trifft und die auf unmittelbare Rechtswirkung nach außen gerichtet ist. </w:t>
      </w:r>
      <w:r>
        <w:rPr>
          <w:rStyle w:val="Satznummer"/>
        </w:rPr>
        <w:t>2</w:t>
      </w:r>
      <w:r>
        <w:t>Allgemeinverfügung ist ein Verwaltungsakt, der sich an einen nach allgemeinen Merkmalen bestimmten oder bestimmbaren Personenkreis richtet oder die öffentlich-rechtliche Eigenschaft einer Sache oder ihre Benutzung durch die Allgemeinheit betrifft.</w:t>
      </w:r>
    </w:p>
    <w:p>
      <w:pPr>
        <w:pStyle w:val="Heading4"/>
      </w:pPr>
      <w:bookmarkStart w:id="40" w:name="b39"/>
      <w:r>
        <w:t>§ 31a Vollständig automatisierter Erlass eines Verwaltungsaktes</w:t>
      </w:r>
      <w:r>
        <w:t xml:space="preserve"> </w:t>
      </w:r>
      <w:r>
        <w:rPr>
          <w:rStyle w:val="Suchmarke"/>
        </w:rPr>
        <w:t>#31a#</w:t>
      </w:r>
      <w:bookmarkEnd w:id="40"/>
    </w:p>
    <w:p>
      <w:r>
        <w:rPr>
          <w:rStyle w:val="Satznummer"/>
        </w:rPr>
        <w:t>1</w:t>
      </w:r>
      <w:r>
        <w:t xml:space="preserve">Ein Verwaltungsakt kann vollständig durch automatische Einrichtungen erlassen werden, sofern kein Anlass besteht, den Einzelfall durch Amtsträger zu bearbeiten. </w:t>
      </w:r>
      <w:r>
        <w:rPr>
          <w:rStyle w:val="Satznummer"/>
        </w:rPr>
        <w:t>2</w:t>
      </w:r>
      <w:r>
        <w:t>Setzt die Behörde automatische Einrichtungen zum Erlass von Verwaltungsakten ein, muss sie für den Einzelfall bedeutsame tatsächliche Angaben des Beteiligten berücksichtigen, die im automatischen Verfahren nicht ermittelt würden.</w:t>
      </w:r>
    </w:p>
    <w:p>
      <w:pPr>
        <w:pStyle w:val="Heading4"/>
      </w:pPr>
      <w:bookmarkStart w:id="41" w:name="b40"/>
      <w:r>
        <w:t>§ 32 Nebenbestimmungen zum Verwaltungsakt</w:t>
      </w:r>
      <w:r>
        <w:t xml:space="preserve"> </w:t>
      </w:r>
      <w:r>
        <w:rPr>
          <w:rStyle w:val="Suchmarke"/>
        </w:rPr>
        <w:t>#32#</w:t>
      </w:r>
      <w:bookmarkEnd w:id="41"/>
    </w:p>
    <w:p>
      <w:r>
        <w:t>(1) Ein Verwaltungsakt, auf den ein Anspruch besteht, darf mit einer Nebenbestimmung nur versehen werden, wenn sie durch Rechtsvorschrift zugelassen ist oder wenn sie sicherstellen soll, dass die gesetzlichen Voraussetzungen des Verwaltungsaktes erfüllt werden.</w:t>
      </w:r>
    </w:p>
    <w:p>
      <w:r>
        <w:t>(2) Unbeschadet des Absatzes 1 darf ein Verwaltungsakt nach pflichtgemäßem Ermessen erlassen werden mit</w:t>
      </w:r>
    </w:p>
    <w:p>
      <w:pPr>
        <w:tabs>
          <w:tab w:pos="567" w:val="left"/>
        </w:tabs>
        <w:ind w:left="567" w:hanging="567"/>
      </w:pPr>
      <w:r>
        <w:t>1.</w:t>
      </w:r>
      <w:r>
        <w:tab/>
      </w:r>
      <w:r>
        <w:t>einer Bestimmung, nach der eine Vergünstigung oder Belastung zu einem bestimmten Zeitpunkt beginnt, endet oder für einen bestimmten Zeitraum gilt (Befristung),</w:t>
      </w:r>
    </w:p>
    <w:p>
      <w:pPr>
        <w:tabs>
          <w:tab w:pos="567" w:val="left"/>
        </w:tabs>
        <w:ind w:left="567" w:hanging="567"/>
      </w:pPr>
      <w:r>
        <w:t>2.</w:t>
      </w:r>
      <w:r>
        <w:tab/>
      </w:r>
      <w:r>
        <w:t>einer Bestimmung, nach der der Eintritt oder der Wegfall einer Vergünstigung oder einer Belastung von dem ungewissen Eintritt eines zukünftigen Ereignisses abhängt (Bedingung),</w:t>
      </w:r>
    </w:p>
    <w:p>
      <w:pPr>
        <w:tabs>
          <w:tab w:pos="567" w:val="left"/>
        </w:tabs>
        <w:ind w:left="567" w:hanging="567"/>
      </w:pPr>
      <w:r>
        <w:t>3.</w:t>
      </w:r>
      <w:r>
        <w:tab/>
      </w:r>
      <w:r>
        <w:t>einem Vorbehalt des Widerrufs</w:t>
      </w:r>
    </w:p>
    <w:p>
      <w:r>
        <w:t>oder verbunden werden mit</w:t>
      </w:r>
    </w:p>
    <w:p>
      <w:pPr>
        <w:tabs>
          <w:tab w:pos="567" w:val="left"/>
        </w:tabs>
        <w:ind w:left="567" w:hanging="567"/>
      </w:pPr>
      <w:r>
        <w:t>4.</w:t>
      </w:r>
      <w:r>
        <w:tab/>
      </w:r>
      <w:r>
        <w:t>einer Bestimmung, durch die dem Begünstigten ein Tun, Dulden oder Unterlassen vorgeschrieben wird (Auflage),</w:t>
      </w:r>
    </w:p>
    <w:p>
      <w:pPr>
        <w:tabs>
          <w:tab w:pos="567" w:val="left"/>
        </w:tabs>
        <w:ind w:left="567" w:hanging="567"/>
      </w:pPr>
      <w:r>
        <w:t>5.</w:t>
      </w:r>
      <w:r>
        <w:tab/>
      </w:r>
      <w:r>
        <w:t>einem Vorbehalt der nachträglichen Aufnahme, Änderung oder Ergänzung einer Auflage.</w:t>
      </w:r>
    </w:p>
    <w:p>
      <w:r>
        <w:t>(3) Eine Nebenbestimmung darf dem Zweck des Verwaltungsaktes nicht zuwiderlaufen.</w:t>
      </w:r>
    </w:p>
    <w:p>
      <w:pPr>
        <w:pStyle w:val="Heading4"/>
      </w:pPr>
      <w:bookmarkStart w:id="42" w:name="b41"/>
      <w:r>
        <w:t>§ 33 Bestimmtheit und Form des Verwaltungsaktes</w:t>
      </w:r>
      <w:r>
        <w:t xml:space="preserve"> </w:t>
      </w:r>
      <w:r>
        <w:rPr>
          <w:rStyle w:val="Suchmarke"/>
        </w:rPr>
        <w:t>#33#</w:t>
      </w:r>
      <w:bookmarkEnd w:id="42"/>
    </w:p>
    <w:p>
      <w:r>
        <w:t>(1) Ein Verwaltungsakt muss inhaltlich hinreichend bestimmt sein.</w:t>
      </w:r>
    </w:p>
    <w:p>
      <w:r>
        <w:t xml:space="preserve">(2) </w:t>
      </w:r>
      <w:r>
        <w:rPr>
          <w:rStyle w:val="Satznummer"/>
        </w:rPr>
        <w:t>1</w:t>
      </w:r>
      <w:r>
        <w:t xml:space="preserve">Ein Verwaltungsakt kann schriftlich, elektronisch, mündlich oder in anderer Weise erlassen werden. </w:t>
      </w:r>
      <w:r>
        <w:rPr>
          <w:rStyle w:val="Satznummer"/>
        </w:rPr>
        <w:t>2</w:t>
      </w:r>
      <w:r>
        <w:t xml:space="preserve">Ein mündlicher Verwaltungsakt ist schriftlich oder elektronisch zu bestätigen, wenn hieran ein berechtigtes Interesse besteht und der Betroffene dies unverzüglich verlangt. </w:t>
      </w:r>
      <w:r>
        <w:rPr>
          <w:rStyle w:val="Satznummer"/>
        </w:rPr>
        <w:t>3</w:t>
      </w:r>
      <w:r>
        <w:t>Ein elektronischer Verwaltungsakt ist unter denselben Voraussetzungen schriftlich zu bestätigen; § 36a Absatz 2 und 2a des Ersten Buches findet insoweit keine Anwendung.</w:t>
      </w:r>
    </w:p>
    <w:p>
      <w:r>
        <w:t xml:space="preserve">(3) </w:t>
      </w:r>
      <w:r>
        <w:rPr>
          <w:rStyle w:val="Satznummer"/>
        </w:rPr>
        <w:t>1</w:t>
      </w:r>
      <w:r>
        <w:t xml:space="preserve">Ein schriftlicher oder elektronischer Verwaltungsakt muss die erlassende Behörde erkennen lassen und die Unterschrift oder die Namenswiedergabe des Behördenleiters, seines Vertreters oder seines Beauftragten enthalten. </w:t>
      </w:r>
      <w:r>
        <w:rPr>
          <w:rStyle w:val="Satznummer"/>
        </w:rPr>
        <w:t>2</w:t>
      </w:r>
      <w:r>
        <w:t>Wird für einen Verwaltungsakt, für den durch Rechtsvorschrift die Schriftform angeordnet ist, die elektronische Form verwendet, muss auch das der Signatur zugrunde liegende qualifizierte Zertifikat oder ein zugehöriges qualifiziertes Attributzertifikat die erlassende Behörde erkennen lassen.</w:t>
      </w:r>
    </w:p>
    <w:p>
      <w:r>
        <w:t>(4) Für einen Verwaltungsakt kann für die nach § 36a Absatz 2 des Ersten Buches erforderliche Signatur oder für das nach § 36a Absatz 2a Nummer 3 Buchstabe a des Ersten Buches erforderliche Siegel durch Rechtsvorschrift die dauerhafte Überprüfbarkeit vorgeschrieben werden.</w:t>
      </w:r>
    </w:p>
    <w:p>
      <w:r>
        <w:t xml:space="preserve">(5) </w:t>
      </w:r>
      <w:r>
        <w:rPr>
          <w:rStyle w:val="Satznummer"/>
        </w:rPr>
        <w:t>1</w:t>
      </w:r>
      <w:r>
        <w:t xml:space="preserve">Bei einem Verwaltungsakt, der mit Hilfe automatischer Einrichtungen erlassen wird, können abweichend von Absatz 3 Satz 1 Unterschrift und Namenswiedergabe fehlen; bei einem elektronischen Verwaltungsakt muss auch das der Signatur zugrunde liegende Zertifikat nur die erlassende Behörde erkennen lassen. </w:t>
      </w:r>
      <w:r>
        <w:rPr>
          <w:rStyle w:val="Satznummer"/>
        </w:rPr>
        <w:t>2</w:t>
      </w:r>
      <w:r>
        <w:t>Zur Inhaltsangabe können Schlüsselzeichen verwendet werden, wenn derjenige, für den der Verwaltungsakt bestimmt ist oder der von ihm betroffen wird, auf Grund der dazu gegebenen Erläuterungen den Inhalt des Verwaltungsaktes eindeutig erkennen kann.</w:t>
      </w:r>
    </w:p>
    <w:p>
      <w:pPr>
        <w:pStyle w:val="Heading4"/>
      </w:pPr>
      <w:bookmarkStart w:id="43" w:name="b42"/>
      <w:r>
        <w:t>§ 34 Zusicherung</w:t>
      </w:r>
      <w:r>
        <w:t xml:space="preserve"> </w:t>
      </w:r>
      <w:r>
        <w:rPr>
          <w:rStyle w:val="Suchmarke"/>
        </w:rPr>
        <w:t>#34#</w:t>
      </w:r>
      <w:bookmarkEnd w:id="43"/>
    </w:p>
    <w:p>
      <w:r>
        <w:t xml:space="preserve">(1) </w:t>
      </w:r>
      <w:r>
        <w:rPr>
          <w:rStyle w:val="Satznummer"/>
        </w:rPr>
        <w:t>1</w:t>
      </w:r>
      <w:r>
        <w:t xml:space="preserve">Eine von der zuständigen Behörde erteilte Zusage, einen bestimmten Verwaltungsakt später zu erlassen oder zu unterlassen (Zusicherung), bedarf zu ihrer Wirksamkeit der schriftlichen Form. </w:t>
      </w:r>
      <w:r>
        <w:rPr>
          <w:rStyle w:val="Satznummer"/>
        </w:rPr>
        <w:t>2</w:t>
      </w:r>
      <w:r>
        <w:t>Ist vor dem Erlass des zugesicherten Verwaltungsaktes die Anhörung Beteiligter oder die Mitwirkung einer anderen Behörde oder eines Ausschusses auf Grund einer Rechtsvorschrift erforderlich, darf die Zusicherung erst nach Anhörung der Beteiligten oder nach Mitwirkung dieser Behörde oder des Ausschusses gegeben werden.</w:t>
      </w:r>
    </w:p>
    <w:p>
      <w:r>
        <w:t xml:space="preserve">(2) Auf die Unwirksamkeit der Zusicherung finden, unbeschadet des Absatzes 1 Satz 1, </w:t>
      </w:r>
      <w:hyperlink w:anchor="b49" w:history="1">
        <w:r>
          <w:rPr>
            <w:color w:val="0A3A8C"/>
            <w:u w:val="single"/>
          </w:rPr>
          <w:t xml:space="preserve">§ 40</w:t>
        </w:r>
      </w:hyperlink>
      <w:r>
        <w:t xml:space="preserve">, auf die Heilung von Mängeln bei der Anhörung Beteiligter und der Mitwirkung anderer Behörden oder Ausschüsse </w:t>
      </w:r>
      <w:hyperlink w:anchor="b50" w:history="1">
        <w:r>
          <w:rPr>
            <w:color w:val="0A3A8C"/>
            <w:u w:val="single"/>
          </w:rPr>
          <w:t xml:space="preserve">§ 41</w:t>
        </w:r>
      </w:hyperlink>
      <w:r>
        <w:t xml:space="preserve"> Abs. 1 Nr. 3 bis 6 sowie Abs. 2, auf die Rücknahme </w:t>
      </w:r>
      <w:hyperlink w:anchor="b53" w:history="1">
        <w:r>
          <w:rPr>
            <w:color w:val="0A3A8C"/>
            <w:u w:val="single"/>
          </w:rPr>
          <w:t xml:space="preserve">§§ 44</w:t>
        </w:r>
      </w:hyperlink>
      <w:r>
        <w:t xml:space="preserve"> und </w:t>
      </w:r>
      <w:hyperlink w:anchor="b54" w:history="1">
        <w:r>
          <w:rPr>
            <w:color w:val="0A3A8C"/>
            <w:u w:val="single"/>
          </w:rPr>
          <w:t xml:space="preserve">45</w:t>
        </w:r>
      </w:hyperlink>
      <w:r>
        <w:t xml:space="preserve">, auf den Widerruf, unbeschadet des Absatzes 3, </w:t>
      </w:r>
      <w:hyperlink w:anchor="b55" w:history="1">
        <w:r>
          <w:rPr>
            <w:color w:val="0A3A8C"/>
            <w:u w:val="single"/>
          </w:rPr>
          <w:t xml:space="preserve">§§ 46</w:t>
        </w:r>
      </w:hyperlink>
      <w:r>
        <w:t xml:space="preserve"> und </w:t>
      </w:r>
      <w:hyperlink w:anchor="b56" w:history="1">
        <w:r>
          <w:rPr>
            <w:color w:val="0A3A8C"/>
            <w:u w:val="single"/>
          </w:rPr>
          <w:t xml:space="preserve">47</w:t>
        </w:r>
      </w:hyperlink>
      <w:r>
        <w:t xml:space="preserve"> entsprechende Anwendung.</w:t>
      </w:r>
    </w:p>
    <w:p>
      <w:r>
        <w:t>(3) Ändert sich nach Abgabe der Zusicherung die Sach- oder Rechtslage derart, dass die Behörde bei Kenntnis der nachträglich eingetretenen Änderung die Zusicherung nicht gegeben hätte oder aus rechtlichen Gründen nicht hätte geben dürfen, ist die Behörde an die Zusicherung nicht mehr gebunden.</w:t>
      </w:r>
    </w:p>
    <w:p>
      <w:pPr>
        <w:pStyle w:val="Heading4"/>
      </w:pPr>
      <w:bookmarkStart w:id="44" w:name="b43"/>
      <w:r>
        <w:t>§ 35 Begründung des Verwaltungsaktes</w:t>
      </w:r>
      <w:r>
        <w:t xml:space="preserve"> </w:t>
      </w:r>
      <w:r>
        <w:rPr>
          <w:rStyle w:val="Suchmarke"/>
        </w:rPr>
        <w:t>#35#</w:t>
      </w:r>
      <w:bookmarkEnd w:id="44"/>
    </w:p>
    <w:p>
      <w:r>
        <w:t xml:space="preserve">(1) </w:t>
      </w:r>
      <w:r>
        <w:rPr>
          <w:rStyle w:val="Satznummer"/>
        </w:rPr>
        <w:t>1</w:t>
      </w:r>
      <w:r>
        <w:t xml:space="preserve">Ein schriftlicher oder elektronischer sowie ein schriftlich oder elektronisch bestätigter Verwaltungsakt ist mit einer Begründung zu versehen. </w:t>
      </w:r>
      <w:r>
        <w:rPr>
          <w:rStyle w:val="Satznummer"/>
        </w:rPr>
        <w:t>2</w:t>
      </w:r>
      <w:r>
        <w:t xml:space="preserve">In der Begründung sind die wesentlichen tatsächlichen und rechtlichen Gründe mitzuteilen, die die Behörde zu ihrer Entscheidung bewogen haben. </w:t>
      </w:r>
      <w:r>
        <w:rPr>
          <w:rStyle w:val="Satznummer"/>
        </w:rPr>
        <w:t>3</w:t>
      </w:r>
      <w:r>
        <w:t>Die Begründung von Ermessensentscheidungen muss auch die Gesichtspunkte erkennen lassen, von denen die Behörde bei der Ausübung ihres Ermessens ausgegangen ist.</w:t>
      </w:r>
    </w:p>
    <w:p>
      <w:r>
        <w:t>(2) Einer Begründung bedarf es nicht,</w:t>
      </w:r>
    </w:p>
    <w:p>
      <w:pPr>
        <w:tabs>
          <w:tab w:pos="567" w:val="left"/>
        </w:tabs>
        <w:ind w:left="567" w:hanging="567"/>
      </w:pPr>
      <w:r>
        <w:t>1.</w:t>
      </w:r>
      <w:r>
        <w:tab/>
      </w:r>
      <w:r>
        <w:t>soweit die Behörde einem Antrag entspricht oder einer Erklärung folgt und der Verwaltungsakt nicht in Rechte eines anderen eingreift,</w:t>
      </w:r>
    </w:p>
    <w:p>
      <w:pPr>
        <w:tabs>
          <w:tab w:pos="567" w:val="left"/>
        </w:tabs>
        <w:ind w:left="567" w:hanging="567"/>
      </w:pPr>
      <w:r>
        <w:t>2.</w:t>
      </w:r>
      <w:r>
        <w:tab/>
      </w:r>
      <w:r>
        <w:t>soweit demjenigen, für den der Verwaltungsakt bestimmt ist oder der von ihm betroffen wird, die Auffassung der Behörde über die Sach- und Rechtslage bereits bekannt oder auch ohne Begründung für ihn ohne weiteres erkennbar ist,</w:t>
      </w:r>
    </w:p>
    <w:p>
      <w:pPr>
        <w:tabs>
          <w:tab w:pos="567" w:val="left"/>
        </w:tabs>
        <w:ind w:left="567" w:hanging="567"/>
      </w:pPr>
      <w:r>
        <w:t>3.</w:t>
      </w:r>
      <w:r>
        <w:tab/>
      </w:r>
      <w:r>
        <w:t>wenn die Behörde gleichartige Verwaltungsakte in größerer Zahl oder Verwaltungsakte mit Hilfe automatischer Einrichtungen erlässt und die Begründung nach den Umständen des Einzelfalles nicht geboten ist,</w:t>
      </w:r>
    </w:p>
    <w:p>
      <w:pPr>
        <w:tabs>
          <w:tab w:pos="567" w:val="left"/>
        </w:tabs>
        <w:ind w:left="567" w:hanging="567"/>
      </w:pPr>
      <w:r>
        <w:t>4.</w:t>
      </w:r>
      <w:r>
        <w:tab/>
      </w:r>
      <w:r>
        <w:t>wenn sich dies aus einer Rechtsvorschrift ergibt,</w:t>
      </w:r>
    </w:p>
    <w:p>
      <w:pPr>
        <w:tabs>
          <w:tab w:pos="567" w:val="left"/>
        </w:tabs>
        <w:ind w:left="567" w:hanging="567"/>
      </w:pPr>
      <w:r>
        <w:t>5.</w:t>
      </w:r>
      <w:r>
        <w:tab/>
      </w:r>
      <w:r>
        <w:t>wenn eine Allgemeinverfügung öffentlich bekannt gegeben wird.</w:t>
      </w:r>
    </w:p>
    <w:p>
      <w:r>
        <w:t>(3) In den Fällen des Absatzes 2 Nr. 1 bis 3 ist der Verwaltungsakt schriftlich oder elektronisch zu begründen, wenn der Beteiligte, dem der Verwaltungsakt bekannt gegeben ist, es innerhalb eines Jahres seit Bekanntgabe verlangt.</w:t>
      </w:r>
    </w:p>
    <w:p>
      <w:pPr>
        <w:pStyle w:val="Heading4"/>
      </w:pPr>
      <w:bookmarkStart w:id="45" w:name="b44"/>
      <w:r>
        <w:t>§ 36 Rechtsbehelfsbelehrung</w:t>
      </w:r>
      <w:r>
        <w:t xml:space="preserve"> </w:t>
      </w:r>
      <w:r>
        <w:rPr>
          <w:rStyle w:val="Suchmarke"/>
        </w:rPr>
        <w:t>#36#</w:t>
      </w:r>
      <w:bookmarkEnd w:id="45"/>
    </w:p>
    <w:p>
      <w:r>
        <w:rPr>
          <w:rStyle w:val="Satznummer"/>
        </w:rPr>
        <w:t>1</w:t>
      </w:r>
      <w:r>
        <w:t xml:space="preserve">Erlässt die Behörde einen schriftlichen Verwaltungsakt oder bestätigt sie schriftlich einen Verwaltungsakt, ist der durch ihn beschwerte Beteiligte über den Rechtsbehelf und die Behörde oder das Gericht, bei denen der Rechtsbehelf anzubringen ist, deren Sitz, die einzuhaltende Frist und die Form schriftlich zu belehren. </w:t>
      </w:r>
      <w:r>
        <w:rPr>
          <w:rStyle w:val="Satznummer"/>
        </w:rPr>
        <w:t>2</w:t>
      </w:r>
      <w:r>
        <w:t>Erlässt die Behörde einen elektronischen Verwaltungsakt oder bestätigt sie elektronisch einen Verwaltungsakt, hat die Rechtsbehelfsbelehrung nach Satz 1 elektronisch zu erfolgen.</w:t>
      </w:r>
    </w:p>
    <w:p>
      <w:pPr>
        <w:pStyle w:val="Heading4"/>
      </w:pPr>
      <w:bookmarkStart w:id="46" w:name="b45"/>
      <w:r>
        <w:t>§ 37 Bekanntgabe des Verwaltungsaktes</w:t>
      </w:r>
      <w:r>
        <w:t xml:space="preserve"> </w:t>
      </w:r>
      <w:r>
        <w:rPr>
          <w:rStyle w:val="Suchmarke"/>
        </w:rPr>
        <w:t>#37#</w:t>
      </w:r>
      <w:bookmarkEnd w:id="46"/>
    </w:p>
    <w:p>
      <w:r>
        <w:t xml:space="preserve">(1) </w:t>
      </w:r>
      <w:r>
        <w:rPr>
          <w:rStyle w:val="Satznummer"/>
        </w:rPr>
        <w:t>1</w:t>
      </w:r>
      <w:r>
        <w:t xml:space="preserve">Ein Verwaltungsakt ist demjenigen Beteiligten bekannt zu geben, für den er bestimmt ist oder der von ihm betroffen wird. </w:t>
      </w:r>
      <w:r>
        <w:rPr>
          <w:rStyle w:val="Satznummer"/>
        </w:rPr>
        <w:t>2</w:t>
      </w:r>
      <w:r>
        <w:t>Ist ein Bevollmächtigter bestellt, kann die Bekanntgabe ihm gegenüber vorgenommen werden.</w:t>
      </w:r>
    </w:p>
    <w:p>
      <w:r>
        <w:t xml:space="preserve">(2) </w:t>
      </w:r>
      <w:r>
        <w:rPr>
          <w:rStyle w:val="Satznummer"/>
        </w:rPr>
        <w:t>1</w:t>
      </w:r>
      <w:r>
        <w:t xml:space="preserve">Ein schriftlicher Verwaltungsakt, der im Inland durch die Post übermittelt wird, gilt am vierten Tag nach der Aufgabe zur Post als bekannt gegeben. </w:t>
      </w:r>
      <w:r>
        <w:rPr>
          <w:rStyle w:val="Satznummer"/>
        </w:rPr>
        <w:t>2</w:t>
      </w:r>
      <w:r>
        <w:t xml:space="preserve">Ein Verwaltungsakt, der im Inland oder Ausland elektronisch übermittelt wird, gilt am vierten Tag nach der Absendung als bekannt gegeben. </w:t>
      </w:r>
      <w:r>
        <w:rPr>
          <w:rStyle w:val="Satznummer"/>
        </w:rPr>
        <w:t>3</w:t>
      </w:r>
      <w:r>
        <w:t>Dies gilt nicht, wenn der Verwaltungsakt nicht oder zu einem späteren Zeitpunkt zugegangen ist; im Zweifel hat die Behörde den Zugang des Verwaltungsaktes und den Zeitpunkt des Zugangs nachzuweisen.</w:t>
      </w:r>
    </w:p>
    <w:p>
      <w:r>
        <w:t xml:space="preserve">(2a) </w:t>
      </w:r>
      <w:r>
        <w:rPr>
          <w:rStyle w:val="Satznummer"/>
        </w:rPr>
        <w:t>1</w:t>
      </w:r>
      <w:r>
        <w:t xml:space="preserve">Mit Einwilligung des Beteiligten können elektronische Verwaltungsakte bekannt gegeben werden, indem sie dem Beteiligten zum Abruf über öffentlich zugängliche Netze bereitgestellt werden. </w:t>
      </w:r>
      <w:r>
        <w:rPr>
          <w:rStyle w:val="Satznummer"/>
        </w:rPr>
        <w:t>2</w:t>
      </w:r>
      <w:r>
        <w:t xml:space="preserve">Die Einwilligung kann jederzeit mit Wirkung für die Zukunft widerrufen werden. </w:t>
      </w:r>
      <w:r>
        <w:rPr>
          <w:rStyle w:val="Satznummer"/>
        </w:rPr>
        <w:t>3</w:t>
      </w:r>
      <w:r>
        <w:t xml:space="preserve">Die Behörde hat zu gewährleisten, dass der Abruf nur nach Authentifizierung der berechtigten Person möglich ist und der elektronische Verwaltungsakt von ihr gespeichert werden kann. </w:t>
      </w:r>
      <w:r>
        <w:rPr>
          <w:rStyle w:val="Satznummer"/>
        </w:rPr>
        <w:t>4</w:t>
      </w:r>
      <w:r>
        <w:t xml:space="preserve">Ein zum Abruf bereitgestellter Verwaltungsakt gilt am vierten Tag nach Absendung der elektronischen Benachrichtigung über die Bereitstellung des Verwaltungsaktes an die abrufberechtigte Person als bekannt gegeben. </w:t>
      </w:r>
      <w:r>
        <w:rPr>
          <w:rStyle w:val="Satznummer"/>
        </w:rPr>
        <w:t>5</w:t>
      </w:r>
      <w:r>
        <w:t xml:space="preserve">Im Zweifel hat die Behörde den Zugang der Benachrichtigung nachzuweisen. </w:t>
      </w:r>
      <w:r>
        <w:rPr>
          <w:rStyle w:val="Satznummer"/>
        </w:rPr>
        <w:t>6</w:t>
      </w:r>
      <w:r>
        <w:t xml:space="preserve">Kann die Behörde den von der abrufberechtigten Person bestrittenen Zugang der Benachrichtigung nicht nachweisen, gilt der Verwaltungsakt an dem Tag als bekannt gegeben, an dem die abrufberechtigte Person den Verwaltungsakt abgerufen hat. </w:t>
      </w:r>
      <w:r>
        <w:rPr>
          <w:rStyle w:val="Satznummer"/>
        </w:rPr>
        <w:t>7</w:t>
      </w:r>
      <w:r>
        <w:t xml:space="preserve">Das Gleiche gilt, wenn die abrufberechtigte Person unwiderlegbar vorträgt, die Benachrichtigung nicht innerhalb von vier Tagen nach der Absendung erhalten zu haben. </w:t>
      </w:r>
      <w:r>
        <w:rPr>
          <w:rStyle w:val="Satznummer"/>
        </w:rPr>
        <w:t>8</w:t>
      </w:r>
      <w:r>
        <w:t>Die Möglichkeit einer erneuten Bereitstellung zum Abruf oder der Bekanntgabe auf andere Weise bleibt unberührt.</w:t>
      </w:r>
    </w:p>
    <w:p>
      <w:r>
        <w:t>(2b) In Angelegenheiten nach dem Abschnitt 1 des Bundeselterngeld- und Elternzeitgesetzes gilt abweichend von Absatz 2a für die Bekanntgabe von elektronischen Verwaltungsakten § 9 des Onlinezugangsgesetzes.</w:t>
      </w:r>
    </w:p>
    <w:p>
      <w:r>
        <w:t xml:space="preserve">(3) </w:t>
      </w:r>
      <w:r>
        <w:rPr>
          <w:rStyle w:val="Satznummer"/>
        </w:rPr>
        <w:t>1</w:t>
      </w:r>
      <w:r>
        <w:t xml:space="preserve">Ein Verwaltungsakt darf öffentlich bekannt gegeben werden, wenn dies durch Rechtsvorschrift zugelassen ist. </w:t>
      </w:r>
      <w:r>
        <w:rPr>
          <w:rStyle w:val="Satznummer"/>
        </w:rPr>
        <w:t>2</w:t>
      </w:r>
      <w:r>
        <w:t>Eine Allgemeinverfügung darf auch dann öffentlich bekannt gegeben werden, wenn eine Bekanntgabe an die Beteiligten untunlich ist.</w:t>
      </w:r>
    </w:p>
    <w:p>
      <w:r>
        <w:t xml:space="preserve">(4) </w:t>
      </w:r>
      <w:r>
        <w:rPr>
          <w:rStyle w:val="Satznummer"/>
        </w:rPr>
        <w:t>1</w:t>
      </w:r>
      <w:r>
        <w:t xml:space="preserve">Die öffentliche Bekanntgabe eines schriftlichen oder elektronischen Verwaltungsaktes wird dadurch bewirkt, dass sein verfügender Teil in der jeweils vorgeschriebenen Weise entweder ortsüblich oder in der sonst für amtliche Veröffentlichungen vorgeschriebenen Art bekannt gemacht wird. </w:t>
      </w:r>
      <w:r>
        <w:rPr>
          <w:rStyle w:val="Satznummer"/>
        </w:rPr>
        <w:t>2</w:t>
      </w:r>
      <w:r>
        <w:t xml:space="preserve">In der Bekanntmachung ist anzugeben, wo der Verwaltungsakt und seine Begründung eingesehen werden können. </w:t>
      </w:r>
      <w:r>
        <w:rPr>
          <w:rStyle w:val="Satznummer"/>
        </w:rPr>
        <w:t>3</w:t>
      </w:r>
      <w:r>
        <w:t xml:space="preserve">Der Verwaltungsakt gilt zwei Wochen nach der Bekanntmachung als bekannt gegeben. </w:t>
      </w:r>
      <w:r>
        <w:rPr>
          <w:rStyle w:val="Satznummer"/>
        </w:rPr>
        <w:t>4</w:t>
      </w:r>
      <w:r>
        <w:t>In einer Allgemeinverfügung kann ein hiervon abweichender Tag, jedoch frühestens der auf die Bekanntmachung folgende Tag bestimmt werden.</w:t>
      </w:r>
    </w:p>
    <w:p>
      <w:r>
        <w:t>(5) Vorschriften über die Bekanntgabe eines Verwaltungsaktes mittels Zustellung bleiben unberührt.</w:t>
      </w:r>
    </w:p>
    <w:p>
      <w:pPr>
        <w:pStyle w:val="Heading4"/>
      </w:pPr>
      <w:bookmarkStart w:id="47" w:name="b46"/>
      <w:r>
        <w:t>§ 38 Offenbare Unrichtigkeiten im Verwaltungsakt</w:t>
      </w:r>
      <w:r>
        <w:t xml:space="preserve"> </w:t>
      </w:r>
      <w:r>
        <w:rPr>
          <w:rStyle w:val="Suchmarke"/>
        </w:rPr>
        <w:t>#38#</w:t>
      </w:r>
      <w:bookmarkEnd w:id="47"/>
    </w:p>
    <w:p>
      <w:r>
        <w:rPr>
          <w:rStyle w:val="Satznummer"/>
        </w:rPr>
        <w:t>1</w:t>
      </w:r>
      <w:r>
        <w:t xml:space="preserve">Die Behörde kann Schreibfehler, Rechenfehler und ähnliche offenbare Unrichtigkeiten in einem Verwaltungsakt jederzeit berichtigen. </w:t>
      </w:r>
      <w:r>
        <w:rPr>
          <w:rStyle w:val="Satznummer"/>
        </w:rPr>
        <w:t>2</w:t>
      </w:r>
      <w:r>
        <w:t xml:space="preserve">Bei berechtigtem Interesse des Beteiligten ist zu berichtigen. </w:t>
      </w:r>
      <w:r>
        <w:rPr>
          <w:rStyle w:val="Satznummer"/>
        </w:rPr>
        <w:t>3</w:t>
      </w:r>
      <w:r>
        <w:t>Die Behörde ist berechtigt, die Vorlage des Dokumentes zu verlangen, das berichtigt werden soll.</w:t>
      </w:r>
    </w:p>
    <w:p>
      <w:pPr>
        <w:pStyle w:val="Heading3"/>
      </w:pPr>
      <w:bookmarkStart w:id="48" w:name="b47"/>
      <w:r>
        <w:t>Zweiter Titel Bestandskraft des Verwaltungsaktes</w:t>
      </w:r>
      <w:bookmarkEnd w:id="48"/>
    </w:p>
    <w:p>
      <w:pPr>
        <w:pStyle w:val="Heading4"/>
      </w:pPr>
      <w:bookmarkStart w:id="49" w:name="b48"/>
      <w:r>
        <w:t>§ 39 Wirksamkeit des Verwaltungsaktes</w:t>
      </w:r>
      <w:r>
        <w:t xml:space="preserve"> </w:t>
      </w:r>
      <w:r>
        <w:rPr>
          <w:rStyle w:val="Suchmarke"/>
        </w:rPr>
        <w:t>#39#</w:t>
      </w:r>
      <w:bookmarkEnd w:id="49"/>
    </w:p>
    <w:p>
      <w:r>
        <w:t xml:space="preserve">(1) </w:t>
      </w:r>
      <w:r>
        <w:rPr>
          <w:rStyle w:val="Satznummer"/>
        </w:rPr>
        <w:t>1</w:t>
      </w:r>
      <w:r>
        <w:t xml:space="preserve">Ein Verwaltungsakt wird gegenüber demjenigen, für den er bestimmt ist oder der von ihm betroffen wird, in dem Zeitpunkt wirksam, in dem er ihm bekannt gegeben wird. </w:t>
      </w:r>
      <w:r>
        <w:rPr>
          <w:rStyle w:val="Satznummer"/>
        </w:rPr>
        <w:t>2</w:t>
      </w:r>
      <w:r>
        <w:t>Der Verwaltungsakt wird mit dem Inhalt wirksam, mit dem er bekannt gegeben wird.</w:t>
      </w:r>
    </w:p>
    <w:p>
      <w:r>
        <w:t>(2) Ein Verwaltungsakt bleibt wirksam, solange und soweit er nicht zurückgenommen, widerrufen, anderweitig aufgehoben oder durch Zeitablauf oder auf andere Weise erledigt ist.</w:t>
      </w:r>
    </w:p>
    <w:p>
      <w:r>
        <w:t>(3) Ein nichtiger Verwaltungsakt ist unwirksam.</w:t>
      </w:r>
    </w:p>
    <w:p>
      <w:pPr>
        <w:pStyle w:val="Heading4"/>
      </w:pPr>
      <w:bookmarkStart w:id="50" w:name="b49"/>
      <w:r>
        <w:t>§ 40 Nichtigkeit des Verwaltungsaktes</w:t>
      </w:r>
      <w:r>
        <w:t xml:space="preserve"> </w:t>
      </w:r>
      <w:r>
        <w:rPr>
          <w:rStyle w:val="Suchmarke"/>
        </w:rPr>
        <w:t>#40#</w:t>
      </w:r>
      <w:bookmarkEnd w:id="50"/>
    </w:p>
    <w:p>
      <w:r>
        <w:t>(1) Ein Verwaltungsakt ist nichtig, soweit er an einem besonders schwerwiegenden Fehler leidet und dies bei verständiger Würdigung aller in Betracht kommenden Umstände offensichtlich ist.</w:t>
      </w:r>
    </w:p>
    <w:p>
      <w:r>
        <w:t>(2) Ohne Rücksicht auf das Vorliegen der Voraussetzungen des Absatzes 1 ist ein Verwaltungsakt nichtig,</w:t>
      </w:r>
    </w:p>
    <w:p>
      <w:pPr>
        <w:tabs>
          <w:tab w:pos="567" w:val="left"/>
        </w:tabs>
        <w:ind w:left="567" w:hanging="567"/>
      </w:pPr>
      <w:r>
        <w:t>1.</w:t>
      </w:r>
      <w:r>
        <w:tab/>
      </w:r>
      <w:r>
        <w:t>der schriftlich oder elektronisch erlassen worden ist, die erlassende Behörde aber nicht erkennen lässt,</w:t>
      </w:r>
    </w:p>
    <w:p>
      <w:pPr>
        <w:tabs>
          <w:tab w:pos="567" w:val="left"/>
        </w:tabs>
        <w:ind w:left="567" w:hanging="567"/>
      </w:pPr>
      <w:r>
        <w:t>2.</w:t>
      </w:r>
      <w:r>
        <w:tab/>
      </w:r>
      <w:r>
        <w:t>der nach einer Rechtsvorschrift nur durch die Aushändigung einer Urkunde erlassen werden kann, aber dieser Form nicht genügt,</w:t>
      </w:r>
    </w:p>
    <w:p>
      <w:pPr>
        <w:tabs>
          <w:tab w:pos="567" w:val="left"/>
        </w:tabs>
        <w:ind w:left="567" w:hanging="567"/>
      </w:pPr>
      <w:r>
        <w:t>3.</w:t>
      </w:r>
      <w:r>
        <w:tab/>
      </w:r>
      <w:r>
        <w:t>den aus tatsächlichen Gründen niemand ausführen kann,</w:t>
      </w:r>
    </w:p>
    <w:p>
      <w:pPr>
        <w:tabs>
          <w:tab w:pos="567" w:val="left"/>
        </w:tabs>
        <w:ind w:left="567" w:hanging="567"/>
      </w:pPr>
      <w:r>
        <w:t>4.</w:t>
      </w:r>
      <w:r>
        <w:tab/>
      </w:r>
      <w:r>
        <w:t>der die Begehung einer rechtswidrigen Tat verlangt, die einen Straf- oder Bußgeldtatbestand verwirklicht,</w:t>
      </w:r>
    </w:p>
    <w:p>
      <w:pPr>
        <w:tabs>
          <w:tab w:pos="567" w:val="left"/>
        </w:tabs>
        <w:ind w:left="567" w:hanging="567"/>
      </w:pPr>
      <w:r>
        <w:t>5.</w:t>
      </w:r>
      <w:r>
        <w:tab/>
      </w:r>
      <w:r>
        <w:t>der gegen die guten Sitten verstößt.</w:t>
      </w:r>
    </w:p>
    <w:p>
      <w:r>
        <w:t>(3) Ein Verwaltungsakt ist nicht schon deshalb nichtig, weil</w:t>
      </w:r>
    </w:p>
    <w:p>
      <w:pPr>
        <w:tabs>
          <w:tab w:pos="567" w:val="left"/>
        </w:tabs>
        <w:ind w:left="567" w:hanging="567"/>
      </w:pPr>
      <w:r>
        <w:t>1.</w:t>
      </w:r>
      <w:r>
        <w:tab/>
      </w:r>
      <w:r>
        <w:t>Vorschriften über die örtliche Zuständigkeit nicht eingehalten worden sind,</w:t>
      </w:r>
    </w:p>
    <w:p>
      <w:pPr>
        <w:tabs>
          <w:tab w:pos="567" w:val="left"/>
        </w:tabs>
        <w:ind w:left="567" w:hanging="567"/>
      </w:pPr>
      <w:r>
        <w:t>2.</w:t>
      </w:r>
      <w:r>
        <w:tab/>
      </w:r>
      <w:r>
        <w:t xml:space="preserve">eine nach </w:t>
      </w:r>
      <w:hyperlink w:anchor="b19" w:history="1">
        <w:r>
          <w:rPr>
            <w:color w:val="0A3A8C"/>
            <w:u w:val="single"/>
          </w:rPr>
          <w:t xml:space="preserve">§ 16</w:t>
        </w:r>
      </w:hyperlink>
      <w:r>
        <w:t xml:space="preserve"> Abs. 1 Satz 1 Nr. 2 bis 6 ausgeschlossene Person mitgewirkt hat,</w:t>
      </w:r>
    </w:p>
    <w:p>
      <w:pPr>
        <w:tabs>
          <w:tab w:pos="567" w:val="left"/>
        </w:tabs>
        <w:ind w:left="567" w:hanging="567"/>
      </w:pPr>
      <w:r>
        <w:t>3.</w:t>
      </w:r>
      <w:r>
        <w:tab/>
      </w:r>
      <w:r>
        <w:t>ein durch Rechtsvorschrift zur Mitwirkung berufener Ausschuss den für den Erlass des Verwaltungsaktes vorgeschriebenen Beschluss nicht gefasst hat oder nicht beschlussfähig war,</w:t>
      </w:r>
    </w:p>
    <w:p>
      <w:pPr>
        <w:tabs>
          <w:tab w:pos="567" w:val="left"/>
        </w:tabs>
        <w:ind w:left="567" w:hanging="567"/>
      </w:pPr>
      <w:r>
        <w:t>4.</w:t>
      </w:r>
      <w:r>
        <w:tab/>
      </w:r>
      <w:r>
        <w:t>die nach einer Rechtsvorschrift erforderliche Mitwirkung einer anderen Behörde unterblieben ist.</w:t>
      </w:r>
    </w:p>
    <w:p>
      <w:r>
        <w:t>(4) Betrifft die Nichtigkeit nur einen Teil des Verwaltungsaktes, ist er im Ganzen nichtig, wenn der nichtige Teil so wesentlich ist, dass die Behörde den Verwaltungsakt ohne den nichtigen Teil nicht erlassen hätte.</w:t>
      </w:r>
    </w:p>
    <w:p>
      <w:r>
        <w:t>(5) Die Behörde kann die Nichtigkeit jederzeit von Amts wegen feststellen; auf Antrag ist sie festzustellen, wenn der Antragsteller hieran ein berechtigtes Interesse hat.</w:t>
      </w:r>
    </w:p>
    <w:p>
      <w:pPr>
        <w:pStyle w:val="Heading4"/>
      </w:pPr>
      <w:bookmarkStart w:id="51" w:name="b50"/>
      <w:r>
        <w:t>§ 41 Heilung von Verfahrens- und Formfehlern</w:t>
      </w:r>
      <w:r>
        <w:t xml:space="preserve"> </w:t>
      </w:r>
      <w:r>
        <w:rPr>
          <w:rStyle w:val="Suchmarke"/>
        </w:rPr>
        <w:t>#41#</w:t>
      </w:r>
      <w:bookmarkEnd w:id="51"/>
    </w:p>
    <w:p>
      <w:r>
        <w:t xml:space="preserve">(1) Eine Verletzung von Verfahrens- oder Formvorschriften, die nicht den Verwaltungsakt nach </w:t>
      </w:r>
      <w:hyperlink w:anchor="b49" w:history="1">
        <w:r>
          <w:rPr>
            <w:color w:val="0A3A8C"/>
            <w:u w:val="single"/>
          </w:rPr>
          <w:t xml:space="preserve">§ 40</w:t>
        </w:r>
      </w:hyperlink>
      <w:r>
        <w:t xml:space="preserve"> nichtig macht, ist unbeachtlich, wenn</w:t>
      </w:r>
    </w:p>
    <w:p>
      <w:pPr>
        <w:tabs>
          <w:tab w:pos="567" w:val="left"/>
        </w:tabs>
        <w:ind w:left="567" w:hanging="567"/>
      </w:pPr>
      <w:r>
        <w:t>1.</w:t>
      </w:r>
      <w:r>
        <w:tab/>
      </w:r>
      <w:r>
        <w:t>der für den Erlass des Verwaltungsaktes erforderliche Antrag nachträglich gestellt wird,</w:t>
      </w:r>
    </w:p>
    <w:p>
      <w:pPr>
        <w:tabs>
          <w:tab w:pos="567" w:val="left"/>
        </w:tabs>
        <w:ind w:left="567" w:hanging="567"/>
      </w:pPr>
      <w:r>
        <w:t>2.</w:t>
      </w:r>
      <w:r>
        <w:tab/>
      </w:r>
      <w:r>
        <w:t>die erforderliche Begründung nachträglich gegeben wird,</w:t>
      </w:r>
    </w:p>
    <w:p>
      <w:pPr>
        <w:tabs>
          <w:tab w:pos="567" w:val="left"/>
        </w:tabs>
        <w:ind w:left="567" w:hanging="567"/>
      </w:pPr>
      <w:r>
        <w:t>3.</w:t>
      </w:r>
      <w:r>
        <w:tab/>
      </w:r>
      <w:r>
        <w:t>die erforderliche Anhörung eines Beteiligten nachgeholt wird,</w:t>
      </w:r>
    </w:p>
    <w:p>
      <w:pPr>
        <w:tabs>
          <w:tab w:pos="567" w:val="left"/>
        </w:tabs>
        <w:ind w:left="567" w:hanging="567"/>
      </w:pPr>
      <w:r>
        <w:t>4.</w:t>
      </w:r>
      <w:r>
        <w:tab/>
      </w:r>
      <w:r>
        <w:t>der Beschluss eines Ausschusses, dessen Mitwirkung für den Erlass des Verwaltungsaktes erforderlich ist, nachträglich gefasst wird,</w:t>
      </w:r>
    </w:p>
    <w:p>
      <w:pPr>
        <w:tabs>
          <w:tab w:pos="567" w:val="left"/>
        </w:tabs>
        <w:ind w:left="567" w:hanging="567"/>
      </w:pPr>
      <w:r>
        <w:t>5.</w:t>
      </w:r>
      <w:r>
        <w:tab/>
      </w:r>
      <w:r>
        <w:t>die erforderliche Mitwirkung einer anderen Behörde nachgeholt wird,</w:t>
      </w:r>
    </w:p>
    <w:p>
      <w:pPr>
        <w:tabs>
          <w:tab w:pos="567" w:val="left"/>
        </w:tabs>
        <w:ind w:left="567" w:hanging="567"/>
      </w:pPr>
      <w:r>
        <w:t>6.</w:t>
      </w:r>
      <w:r>
        <w:tab/>
      </w:r>
      <w:r>
        <w:t>die erforderliche Hinzuziehung eines Beteiligten nachgeholt wird.</w:t>
      </w:r>
    </w:p>
    <w:p>
      <w:r>
        <w:t>(2) Handlungen nach Absatz 1 Nr. 2 bis 6 können bis zur letzten Tatsacheninstanz eines sozial- oder verwaltungsgerichtlichen Verfahrens nachgeholt werden.</w:t>
      </w:r>
    </w:p>
    <w:p>
      <w:r>
        <w:t xml:space="preserve">(3) </w:t>
      </w:r>
      <w:r>
        <w:rPr>
          <w:rStyle w:val="Satznummer"/>
        </w:rPr>
        <w:t>1</w:t>
      </w:r>
      <w:r>
        <w:t xml:space="preserve">Fehlt einem Verwaltungsakt die erforderliche Begründung oder ist die erforderliche Anhörung eines Beteiligten vor Erlass des Verwaltungsaktes unterblieben und ist dadurch die rechtzeitige Anfechtung des Verwaltungsaktes versäumt worden, gilt die Versäumung der Rechtsbehelfsfrist als nicht verschuldet. </w:t>
      </w:r>
      <w:r>
        <w:rPr>
          <w:rStyle w:val="Satznummer"/>
        </w:rPr>
        <w:t>2</w:t>
      </w:r>
      <w:r>
        <w:t>Das für die Wiedereinsetzungsfrist maßgebende Ereignis tritt im Zeitpunkt der Nachholung der unterlassenen Verfahrenshandlung ein.</w:t>
      </w:r>
    </w:p>
    <w:p>
      <w:pPr>
        <w:pStyle w:val="Heading4"/>
      </w:pPr>
      <w:bookmarkStart w:id="52" w:name="b51"/>
      <w:r>
        <w:t>§ 42 Folgen von Verfahrens- und Formfehlern</w:t>
      </w:r>
      <w:r>
        <w:t xml:space="preserve"> </w:t>
      </w:r>
      <w:r>
        <w:rPr>
          <w:rStyle w:val="Suchmarke"/>
        </w:rPr>
        <w:t>#42#</w:t>
      </w:r>
      <w:bookmarkEnd w:id="52"/>
    </w:p>
    <w:p>
      <w:r>
        <w:rPr>
          <w:rStyle w:val="Satznummer"/>
        </w:rPr>
        <w:t>1</w:t>
      </w:r>
      <w:r>
        <w:t xml:space="preserve">Die Aufhebung eines Verwaltungsaktes, der nicht nach </w:t>
      </w:r>
      <w:hyperlink w:anchor="b49" w:history="1">
        <w:r>
          <w:rPr>
            <w:color w:val="0A3A8C"/>
            <w:u w:val="single"/>
          </w:rPr>
          <w:t xml:space="preserve">§ 40</w:t>
        </w:r>
      </w:hyperlink>
      <w:r>
        <w:t xml:space="preserve"> nichtig ist, kann nicht allein deshalb beansprucht werden, weil er unter Verletzung von Vorschriften über das Verfahren, die Form oder die örtliche Zuständigkeit zustande gekommen ist, wenn offensichtlich ist, dass die Verletzung die Entscheidung in der Sache nicht beeinflusst hat. </w:t>
      </w:r>
      <w:r>
        <w:rPr>
          <w:rStyle w:val="Satznummer"/>
        </w:rPr>
        <w:t>2</w:t>
      </w:r>
      <w:r>
        <w:t>Satz 1 gilt nicht, wenn die erforderliche Anhörung unterblieben oder nicht wirksam nachgeholt ist.</w:t>
      </w:r>
    </w:p>
    <w:p>
      <w:pPr>
        <w:pStyle w:val="Heading4"/>
      </w:pPr>
      <w:bookmarkStart w:id="53" w:name="b52"/>
      <w:r>
        <w:t>§ 43 Umdeutung eines fehlerhaften Verwaltungsaktes</w:t>
      </w:r>
      <w:r>
        <w:t xml:space="preserve"> </w:t>
      </w:r>
      <w:r>
        <w:rPr>
          <w:rStyle w:val="Suchmarke"/>
        </w:rPr>
        <w:t>#43#</w:t>
      </w:r>
      <w:bookmarkEnd w:id="53"/>
    </w:p>
    <w:p>
      <w:r>
        <w:t>(1) Ein fehlerhafter Verwaltungsakt kann in einen anderen Verwaltungsakt umgedeutet werden, wenn er auf das gleiche Ziel gerichtet ist, von der erlassenden Behörde in der geschehenen Verfahrensweise und Form rechtmäßig hätte erlassen werden können und wenn die Voraussetzungen für dessen Erlass erfüllt sind.</w:t>
      </w:r>
    </w:p>
    <w:p>
      <w:r>
        <w:t xml:space="preserve">(2) </w:t>
      </w:r>
      <w:r>
        <w:rPr>
          <w:rStyle w:val="Satznummer"/>
        </w:rPr>
        <w:t>1</w:t>
      </w:r>
      <w:r>
        <w:t xml:space="preserve">Absatz 1 gilt nicht, wenn der Verwaltungsakt, in den der fehlerhafte Verwaltungsakt umzudeuten wäre, der erkennbaren Absicht der erlassenden Behörde widerspräche oder seine Rechtsfolgen für den Betroffenen ungünstiger wären als die des fehlerhaften Verwaltungsaktes. </w:t>
      </w:r>
      <w:r>
        <w:rPr>
          <w:rStyle w:val="Satznummer"/>
        </w:rPr>
        <w:t>2</w:t>
      </w:r>
      <w:r>
        <w:t>Eine Umdeutung ist ferner unzulässig, wenn der fehlerhafte Verwaltungsakt nicht zurückgenommen werden dürfte.</w:t>
      </w:r>
    </w:p>
    <w:p>
      <w:r>
        <w:t>(3) Eine Entscheidung, die nur als gesetzlich gebundene Entscheidung ergehen kann, kann nicht in eine Ermessensentscheidung umgedeutet werden.</w:t>
      </w:r>
    </w:p>
    <w:p>
      <w:r>
        <w:t xml:space="preserve">(4) </w:t>
      </w:r>
      <w:hyperlink w:anchor="b27" w:history="1">
        <w:r>
          <w:rPr>
            <w:color w:val="0A3A8C"/>
            <w:u w:val="single"/>
          </w:rPr>
          <w:t xml:space="preserve">§ 24</w:t>
        </w:r>
      </w:hyperlink>
      <w:r>
        <w:t xml:space="preserve"> ist entsprechend anzuwenden.</w:t>
      </w:r>
    </w:p>
    <w:p>
      <w:pPr>
        <w:pStyle w:val="Heading4"/>
      </w:pPr>
      <w:bookmarkStart w:id="54" w:name="b53"/>
      <w:r>
        <w:t>§ 44 Rücknahme eines rechtswidrigen nicht begünstigenden Verwaltungsaktes</w:t>
      </w:r>
      <w:r>
        <w:t xml:space="preserve"> </w:t>
      </w:r>
      <w:r>
        <w:rPr>
          <w:rStyle w:val="Suchmarke"/>
        </w:rPr>
        <w:t>#44#</w:t>
      </w:r>
      <w:bookmarkEnd w:id="54"/>
    </w:p>
    <w:p>
      <w:r>
        <w:t xml:space="preserve">(1) </w:t>
      </w:r>
      <w:r>
        <w:rPr>
          <w:rStyle w:val="Satznummer"/>
        </w:rPr>
        <w:t>1</w:t>
      </w:r>
      <w:r>
        <w:t xml:space="preserve">Soweit sich im Einzelfall ergibt, dass bei Erlass eines Verwaltungsaktes das Recht unrichtig angewandt oder von einem Sachverhalt ausgegangen worden ist, der sich als unrichtig erweist, und soweit deshalb Sozialleistungen zu Unrecht nicht erbracht oder Beiträge zu Unrecht erhoben worden sind, ist der Verwaltungsakt, auch nachdem er unanfechtbar geworden ist, mit Wirkung für die Vergangenheit zurückzunehmen. </w:t>
      </w:r>
      <w:r>
        <w:rPr>
          <w:rStyle w:val="Satznummer"/>
        </w:rPr>
        <w:t>2</w:t>
      </w:r>
      <w:r>
        <w:t>Dies gilt nicht, wenn der Verwaltungsakt auf Angaben beruht, die der Betroffene vorsätzlich in wesentlicher Beziehung unrichtig oder unvollständig gemacht hat.</w:t>
      </w:r>
    </w:p>
    <w:p>
      <w:r>
        <w:t xml:space="preserve">(2) </w:t>
      </w:r>
      <w:r>
        <w:rPr>
          <w:rStyle w:val="Satznummer"/>
        </w:rPr>
        <w:t>1</w:t>
      </w:r>
      <w:r>
        <w:t xml:space="preserve">Im Übrigen ist ein rechtswidriger nicht begünstigender Verwaltungsakt, auch nachdem er unanfechtbar geworden ist, ganz oder teilweise mit Wirkung für die Zukunft zurückzunehmen. </w:t>
      </w:r>
      <w:r>
        <w:rPr>
          <w:rStyle w:val="Satznummer"/>
        </w:rPr>
        <w:t>2</w:t>
      </w:r>
      <w:r>
        <w:t>Er kann auch für die Vergangenheit zurückgenommen werden.</w:t>
      </w:r>
    </w:p>
    <w:p>
      <w:r>
        <w:t>(3) Über die Rücknahme entscheidet nach Unanfechtbarkeit des Verwaltungsaktes die zuständige Behörde; dies gilt auch dann, wenn der zurückzunehmende Verwaltungsakt von einer anderen Behörde erlassen worden ist.</w:t>
      </w:r>
    </w:p>
    <w:p>
      <w:r>
        <w:t xml:space="preserve">(4) </w:t>
      </w:r>
      <w:r>
        <w:rPr>
          <w:rStyle w:val="Satznummer"/>
        </w:rPr>
        <w:t>1</w:t>
      </w:r>
      <w:r>
        <w:t xml:space="preserve">Ist ein Verwaltungsakt mit Wirkung für die Vergangenheit zurückgenommen worden, werden Sozialleistungen nach den Vorschriften der besonderen Teile dieses Gesetzbuches längstens für einen Zeitraum bis zu vier Jahren vor der Rücknahme erbracht. </w:t>
      </w:r>
      <w:r>
        <w:rPr>
          <w:rStyle w:val="Satznummer"/>
        </w:rPr>
        <w:t>2</w:t>
      </w:r>
      <w:r>
        <w:t xml:space="preserve">Dabei wird der Zeitpunkt der Rücknahme von Beginn des Jahres an gerechnet, in dem der Verwaltungsakt zurückgenommen wird. </w:t>
      </w:r>
      <w:r>
        <w:rPr>
          <w:rStyle w:val="Satznummer"/>
        </w:rPr>
        <w:t>3</w:t>
      </w:r>
      <w:r>
        <w:t>Erfolgt die Rücknahme auf Antrag, tritt bei der Berechnung des Zeitraumes, für den rückwirkend Leistungen zu erbringen sind, anstelle der Rücknahme der Antrag.</w:t>
      </w:r>
    </w:p>
    <w:p>
      <w:pPr>
        <w:pStyle w:val="Heading4"/>
      </w:pPr>
      <w:bookmarkStart w:id="55" w:name="b54"/>
      <w:r>
        <w:t>§ 45 Rücknahme eines rechtswidrigen begünstigenden Verwaltungsaktes</w:t>
      </w:r>
      <w:r>
        <w:t xml:space="preserve"> </w:t>
      </w:r>
      <w:r>
        <w:rPr>
          <w:rStyle w:val="Suchmarke"/>
        </w:rPr>
        <w:t>#45#</w:t>
      </w:r>
      <w:bookmarkEnd w:id="55"/>
    </w:p>
    <w:p>
      <w:r>
        <w:t>(1) Soweit ein Verwaltungsakt, der ein Recht oder einen rechtlich erheblichen Vorteil begründet oder bestätigt hat (begünstigender Verwaltungsakt), rechtswidrig ist, darf er, auch nachdem er unanfechtbar geworden ist, nur unter den Einschränkungen der Absätze 2 bis 4 ganz oder teilweise mit Wirkung für die Zukunft oder für die Vergangenheit zurückgenommen werden.</w:t>
      </w:r>
    </w:p>
    <w:p>
      <w:r>
        <w:t xml:space="preserve">(2) </w:t>
      </w:r>
      <w:r>
        <w:rPr>
          <w:rStyle w:val="Satznummer"/>
        </w:rPr>
        <w:t>1</w:t>
      </w:r>
      <w:r>
        <w:t xml:space="preserve">Ein rechtswidriger begünstigender Verwaltungsakt darf nicht zurückgenommen werden, soweit der Begünstigte auf den Bestand des Verwaltungsaktes vertraut hat und sein Vertrauen unter Abwägung mit dem öffentlichen Interesse an einer Rücknahme schutzwürdig ist. </w:t>
      </w:r>
      <w:r>
        <w:rPr>
          <w:rStyle w:val="Satznummer"/>
        </w:rPr>
        <w:t>2</w:t>
      </w:r>
      <w:r>
        <w:t xml:space="preserve">Das Vertrauen ist in der Regel schutzwürdig, wenn der Begünstigte erbrachte Leistungen verbraucht oder eine Vermögensdisposition getroffen hat, die er nicht mehr oder nur unter unzumutbaren Nachteilen rückgängig machen kann. </w:t>
      </w:r>
      <w:r>
        <w:rPr>
          <w:rStyle w:val="Satznummer"/>
        </w:rPr>
        <w:t>3</w:t>
      </w:r>
      <w:r>
        <w:t>Auf Vertrauen kann sich der Begünstigte nicht berufen, soweit</w:t>
      </w:r>
    </w:p>
    <w:p>
      <w:pPr>
        <w:tabs>
          <w:tab w:pos="567" w:val="left"/>
        </w:tabs>
        <w:ind w:left="567" w:hanging="567"/>
      </w:pPr>
      <w:r>
        <w:t>1.</w:t>
      </w:r>
      <w:r>
        <w:tab/>
      </w:r>
      <w:r>
        <w:t>er den Verwaltungsakt durch arglistige Täuschung, Drohung oder Bestechung erwirkt hat,</w:t>
      </w:r>
    </w:p>
    <w:p>
      <w:pPr>
        <w:tabs>
          <w:tab w:pos="567" w:val="left"/>
        </w:tabs>
        <w:ind w:left="567" w:hanging="567"/>
      </w:pPr>
      <w:r>
        <w:t>2.</w:t>
      </w:r>
      <w:r>
        <w:tab/>
      </w:r>
      <w:r>
        <w:t>der Verwaltungsakt auf Angaben beruht, die der Begünstigte vorsätzlich oder grob fahrlässig in wesentlicher Beziehung unrichtig oder unvollständig gemacht hat, oder</w:t>
      </w:r>
    </w:p>
    <w:p>
      <w:pPr>
        <w:tabs>
          <w:tab w:pos="567" w:val="left"/>
        </w:tabs>
        <w:ind w:left="567" w:hanging="567"/>
      </w:pPr>
      <w:r>
        <w:t>3.</w:t>
      </w:r>
      <w:r>
        <w:tab/>
      </w:r>
      <w:r>
        <w:t>er die Rechtswidrigkeit des Verwaltungsaktes kannte oder infolge grober Fahrlässigkeit nicht kannte; grobe Fahrlässigkeit liegt vor, wenn der Begünstigte die erforderliche Sorgfalt in besonders schwerem Maße verletzt hat.</w:t>
      </w:r>
    </w:p>
    <w:p>
      <w:r>
        <w:t xml:space="preserve">(3) </w:t>
      </w:r>
      <w:r>
        <w:rPr>
          <w:rStyle w:val="Satznummer"/>
        </w:rPr>
        <w:t>1</w:t>
      </w:r>
      <w:r>
        <w:t xml:space="preserve">Ein rechtswidriger begünstigender Verwaltungsakt mit Dauerwirkung kann nach Absatz 2 nur bis zum Ablauf von zwei Jahren nach seiner Bekanntgabe zurückgenommen werden. </w:t>
      </w:r>
      <w:r>
        <w:rPr>
          <w:rStyle w:val="Satznummer"/>
        </w:rPr>
        <w:t>2</w:t>
      </w:r>
      <w:r>
        <w:t xml:space="preserve">Satz 1 gilt nicht, wenn Wiederaufnahmegründe entsprechend § 580 der Zivilprozessordnung vorliegen. </w:t>
      </w:r>
      <w:r>
        <w:rPr>
          <w:rStyle w:val="Satznummer"/>
        </w:rPr>
        <w:t>3</w:t>
      </w:r>
      <w:r>
        <w:t>Bis zum Ablauf von zehn Jahren nach seiner Bekanntgabe kann ein rechtswidriger begünstigender Verwaltungsakt mit Dauerwirkung nach Absatz 2 zurückgenommen werden, wenn</w:t>
      </w:r>
    </w:p>
    <w:p>
      <w:pPr>
        <w:tabs>
          <w:tab w:pos="567" w:val="left"/>
        </w:tabs>
        <w:ind w:left="567" w:hanging="567"/>
      </w:pPr>
      <w:r>
        <w:t>1.</w:t>
      </w:r>
      <w:r>
        <w:tab/>
      </w:r>
      <w:r>
        <w:t>die Voraussetzungen des Absatzes 2 Satz 3 Nr. 2 oder 3 gegeben sind oder</w:t>
      </w:r>
    </w:p>
    <w:p>
      <w:pPr>
        <w:tabs>
          <w:tab w:pos="567" w:val="left"/>
        </w:tabs>
        <w:ind w:left="567" w:hanging="567"/>
      </w:pPr>
      <w:r>
        <w:t>2.</w:t>
      </w:r>
      <w:r>
        <w:tab/>
      </w:r>
      <w:r>
        <w:t>der Verwaltungsakt mit einem zulässigen Vorbehalt des Widerrufs erlassen wurde.</w:t>
      </w:r>
    </w:p>
    <w:p>
      <w:r>
        <w:rPr>
          <w:rStyle w:val="Satznummer"/>
        </w:rPr>
        <w:t>4</w:t>
      </w:r>
      <w:r>
        <w:t xml:space="preserve">In den Fällen des Satzes 3 kann ein Verwaltungsakt über eine laufende Geldleistung auch nach Ablauf der Frist von zehn Jahren zurückgenommen werden, wenn diese Geldleistung mindestens bis zum Beginn des Verwaltungsverfahrens über die Rücknahme gezahlt wurde. </w:t>
      </w:r>
      <w:r>
        <w:rPr>
          <w:rStyle w:val="Satznummer"/>
        </w:rPr>
        <w:t>5</w:t>
      </w:r>
      <w:r>
        <w:t>War die Frist von zehn Jahren am 15. April 1998 bereits abgelaufen, gilt Satz 4 mit der Maßgabe, dass der Verwaltungsakt nur mit Wirkung für die Zukunft aufgehoben wird.</w:t>
      </w:r>
    </w:p>
    <w:p>
      <w:r>
        <w:t xml:space="preserve">(4) </w:t>
      </w:r>
      <w:r>
        <w:rPr>
          <w:rStyle w:val="Satznummer"/>
        </w:rPr>
        <w:t>1</w:t>
      </w:r>
      <w:r>
        <w:t xml:space="preserve">Nur in den Fällen von Absatz 2 Satz 3 und Absatz 3 Satz 2 wird der Verwaltungsakt mit Wirkung für die Vergangenheit zurückgenommen. </w:t>
      </w:r>
      <w:r>
        <w:rPr>
          <w:rStyle w:val="Satznummer"/>
        </w:rPr>
        <w:t>2</w:t>
      </w:r>
      <w:r>
        <w:t>Die Behörde muss dies innerhalb eines Jahres seit Kenntnis der Tatsachen tun, welche die Rücknahme eines rechtswidrigen begünstigenden Verwaltungsaktes für die Vergangenheit rechtfertigen.</w:t>
      </w:r>
    </w:p>
    <w:p>
      <w:r>
        <w:t xml:space="preserve">(5) </w:t>
      </w:r>
      <w:hyperlink w:anchor="b53" w:history="1">
        <w:r>
          <w:rPr>
            <w:color w:val="0A3A8C"/>
            <w:u w:val="single"/>
          </w:rPr>
          <w:t xml:space="preserve">§ 44</w:t>
        </w:r>
      </w:hyperlink>
      <w:r>
        <w:t xml:space="preserve"> Abs. 3 gilt entsprechend.</w:t>
      </w:r>
    </w:p>
    <w:p>
      <w:pPr>
        <w:pStyle w:val="Heading4"/>
      </w:pPr>
      <w:bookmarkStart w:id="56" w:name="b55"/>
      <w:r>
        <w:t>§ 46 Widerruf eines rechtmäßigen nicht begünstigenden Verwaltungsaktes</w:t>
      </w:r>
      <w:r>
        <w:t xml:space="preserve"> </w:t>
      </w:r>
      <w:r>
        <w:rPr>
          <w:rStyle w:val="Suchmarke"/>
        </w:rPr>
        <w:t>#46#</w:t>
      </w:r>
      <w:bookmarkEnd w:id="56"/>
    </w:p>
    <w:p>
      <w:r>
        <w:t>(1) Ein rechtmäßiger nicht begünstigender Verwaltungsakt kann, auch nachdem er unanfechtbar geworden ist, ganz oder teilweise mit Wirkung für die Zukunft widerrufen werden, außer wenn ein Verwaltungsakt gleichen Inhalts erneut erlassen werden müsste oder aus anderen Gründen ein Widerruf unzulässig ist.</w:t>
      </w:r>
    </w:p>
    <w:p>
      <w:r>
        <w:t xml:space="preserve">(2) </w:t>
      </w:r>
      <w:hyperlink w:anchor="b53" w:history="1">
        <w:r>
          <w:rPr>
            <w:color w:val="0A3A8C"/>
            <w:u w:val="single"/>
          </w:rPr>
          <w:t xml:space="preserve">§ 44</w:t>
        </w:r>
      </w:hyperlink>
      <w:r>
        <w:t xml:space="preserve"> Abs. 3 gilt entsprechend.</w:t>
      </w:r>
    </w:p>
    <w:p>
      <w:pPr>
        <w:pStyle w:val="Heading4"/>
      </w:pPr>
      <w:bookmarkStart w:id="57" w:name="b56"/>
      <w:r>
        <w:t>§ 47 Widerruf eines rechtmäßigen begünstigenden Verwaltungsaktes</w:t>
      </w:r>
      <w:r>
        <w:t xml:space="preserve"> </w:t>
      </w:r>
      <w:r>
        <w:rPr>
          <w:rStyle w:val="Suchmarke"/>
        </w:rPr>
        <w:t>#47#</w:t>
      </w:r>
      <w:bookmarkEnd w:id="57"/>
    </w:p>
    <w:p>
      <w:r>
        <w:t>(1) Ein rechtmäßiger begünstigender Verwaltungsakt darf, auch nachdem er unanfechtbar geworden ist, ganz oder teilweise mit Wirkung für die Zukunft nur widerrufen werden, soweit</w:t>
      </w:r>
    </w:p>
    <w:p>
      <w:pPr>
        <w:tabs>
          <w:tab w:pos="567" w:val="left"/>
        </w:tabs>
        <w:ind w:left="567" w:hanging="567"/>
      </w:pPr>
      <w:r>
        <w:t>1.</w:t>
      </w:r>
      <w:r>
        <w:tab/>
      </w:r>
      <w:r>
        <w:t>der Widerruf durch Rechtsvorschrift zugelassen oder im Verwaltungsakt vorbehalten ist,</w:t>
      </w:r>
    </w:p>
    <w:p>
      <w:pPr>
        <w:tabs>
          <w:tab w:pos="567" w:val="left"/>
        </w:tabs>
        <w:ind w:left="567" w:hanging="567"/>
      </w:pPr>
      <w:r>
        <w:t>2.</w:t>
      </w:r>
      <w:r>
        <w:tab/>
      </w:r>
      <w:r>
        <w:t>mit dem Verwaltungsakt eine Auflage verbunden ist und der Begünstigte diese nicht oder nicht innerhalb einer ihm gesetzten Frist erfüllt hat.</w:t>
      </w:r>
    </w:p>
    <w:p>
      <w:r>
        <w:t xml:space="preserve">(2) </w:t>
      </w:r>
      <w:r>
        <w:rPr>
          <w:rStyle w:val="Satznummer"/>
        </w:rPr>
        <w:t>1</w:t>
      </w:r>
      <w:r>
        <w:t>Ein rechtmäßiger begünstigender Verwaltungsakt, der eine Geld- oder Sachleistung zur Erfüllung eines bestimmten Zweckes zuerkennt oder hierfür Voraussetzung ist, kann, auch nachdem er unanfechtbar geworden ist, ganz oder teilweise auch mit Wirkung für die Vergangenheit widerrufen werden, wenn</w:t>
      </w:r>
    </w:p>
    <w:p>
      <w:pPr>
        <w:tabs>
          <w:tab w:pos="567" w:val="left"/>
        </w:tabs>
        <w:ind w:left="567" w:hanging="567"/>
      </w:pPr>
      <w:r>
        <w:t>1.</w:t>
      </w:r>
      <w:r>
        <w:tab/>
      </w:r>
      <w:r>
        <w:t>die Leistung nicht, nicht alsbald nach der Erbringung oder nicht mehr für den in dem Verwaltungsakt bestimmten Zweck verwendet wird,</w:t>
      </w:r>
    </w:p>
    <w:p>
      <w:pPr>
        <w:tabs>
          <w:tab w:pos="567" w:val="left"/>
        </w:tabs>
        <w:ind w:left="567" w:hanging="567"/>
      </w:pPr>
      <w:r>
        <w:t>2.</w:t>
      </w:r>
      <w:r>
        <w:tab/>
      </w:r>
      <w:r>
        <w:t>mit dem Verwaltungsakt eine Auflage verbunden ist und der Begünstigte diese nicht oder nicht innerhalb einer ihm gesetzten Frist erfüllt hat.</w:t>
      </w:r>
    </w:p>
    <w:p>
      <w:r>
        <w:rPr>
          <w:rStyle w:val="Satznummer"/>
        </w:rPr>
        <w:t>2</w:t>
      </w:r>
      <w:r>
        <w:t xml:space="preserve">Der Verwaltungsakt darf mit Wirkung für die Vergangenheit nicht widerrufen werden, soweit der Begünstigte auf den Bestand des Verwaltungsaktes vertraut hat und sein Vertrauen unter Abwägung mit dem öffentlichen Interesse an einem Widerruf schutzwürdig ist. </w:t>
      </w:r>
      <w:r>
        <w:rPr>
          <w:rStyle w:val="Satznummer"/>
        </w:rPr>
        <w:t>3</w:t>
      </w:r>
      <w:r>
        <w:t xml:space="preserve">Das Vertrauen ist in der Regel schutzwürdig, wenn der Begünstigte erbrachte Leistungen verbraucht oder eine Vermögensdisposition getroffen hat, die er nicht mehr oder nur unter unzumutbaren Nachteilen rückgängig machen kann. </w:t>
      </w:r>
      <w:r>
        <w:rPr>
          <w:rStyle w:val="Satznummer"/>
        </w:rPr>
        <w:t>4</w:t>
      </w:r>
      <w:r>
        <w:t xml:space="preserve">Auf Vertrauen kann sich der Begünstigte nicht berufen, soweit er die Umstände kannte oder infolge grober Fahrlässigkeit nicht kannte, die zum Widerruf des Verwaltungsaktes geführt haben. </w:t>
      </w:r>
      <w:r>
        <w:rPr>
          <w:rStyle w:val="Satznummer"/>
        </w:rPr>
        <w:t>5</w:t>
      </w:r>
      <w:hyperlink w:anchor="b54" w:history="1">
        <w:r>
          <w:rPr>
            <w:color w:val="0A3A8C"/>
            <w:u w:val="single"/>
          </w:rPr>
          <w:t xml:space="preserve">§ 45</w:t>
        </w:r>
      </w:hyperlink>
      <w:r>
        <w:t xml:space="preserve"> Abs. 4 Satz 2 gilt entsprechend.</w:t>
      </w:r>
    </w:p>
    <w:p>
      <w:r>
        <w:t xml:space="preserve">(3) </w:t>
      </w:r>
      <w:hyperlink w:anchor="b53" w:history="1">
        <w:r>
          <w:rPr>
            <w:color w:val="0A3A8C"/>
            <w:u w:val="single"/>
          </w:rPr>
          <w:t xml:space="preserve">§ 44</w:t>
        </w:r>
      </w:hyperlink>
      <w:r>
        <w:t xml:space="preserve"> Abs. 3 gilt entsprechend.</w:t>
      </w:r>
    </w:p>
    <w:p>
      <w:pPr>
        <w:pStyle w:val="Heading4"/>
      </w:pPr>
      <w:bookmarkStart w:id="58" w:name="b57"/>
      <w:r>
        <w:t>§ 48 Aufhebung eines Verwaltungsaktes mit Dauerwirkung bei Änderung der Verhältnisse</w:t>
      </w:r>
      <w:r>
        <w:t xml:space="preserve"> </w:t>
      </w:r>
      <w:r>
        <w:rPr>
          <w:rStyle w:val="Suchmarke"/>
        </w:rPr>
        <w:t>#48#</w:t>
      </w:r>
      <w:bookmarkEnd w:id="58"/>
    </w:p>
    <w:p>
      <w:r>
        <w:t xml:space="preserve">(1) </w:t>
      </w:r>
      <w:r>
        <w:rPr>
          <w:rStyle w:val="Satznummer"/>
        </w:rPr>
        <w:t>1</w:t>
      </w:r>
      <w:r>
        <w:t xml:space="preserve">Soweit in den tatsächlichen oder rechtlichen Verhältnissen, die beim Erlass eines Verwaltungsaktes mit Dauerwirkung vorgelegen haben, eine wesentliche Änderung eintritt, ist der Verwaltungsakt mit Wirkung für die Zukunft aufzuheben. </w:t>
      </w:r>
      <w:r>
        <w:rPr>
          <w:rStyle w:val="Satznummer"/>
        </w:rPr>
        <w:t>2</w:t>
      </w:r>
      <w:r>
        <w:t>Der Verwaltungsakt soll mit Wirkung vom Zeitpunkt der Änderung der Verhältnisse aufgehoben werden, soweit</w:t>
      </w:r>
    </w:p>
    <w:p>
      <w:pPr>
        <w:tabs>
          <w:tab w:pos="567" w:val="left"/>
        </w:tabs>
        <w:ind w:left="567" w:hanging="567"/>
      </w:pPr>
      <w:r>
        <w:t>1.</w:t>
      </w:r>
      <w:r>
        <w:tab/>
      </w:r>
      <w:r>
        <w:t>die Änderung zugunsten des Betroffenen erfolgt,</w:t>
      </w:r>
    </w:p>
    <w:p>
      <w:pPr>
        <w:tabs>
          <w:tab w:pos="567" w:val="left"/>
        </w:tabs>
        <w:ind w:left="567" w:hanging="567"/>
      </w:pPr>
      <w:r>
        <w:t>2.</w:t>
      </w:r>
      <w:r>
        <w:tab/>
      </w:r>
      <w:r>
        <w:t>der Betroffene einer durch Rechtsvorschrift vorgeschriebenen Pflicht zur Mitteilung wesentlicher für ihn nachteiliger Änderungen der Verhältnisse vorsätzlich oder grob fahrlässig nicht nachgekommen ist,</w:t>
      </w:r>
    </w:p>
    <w:p>
      <w:pPr>
        <w:tabs>
          <w:tab w:pos="567" w:val="left"/>
        </w:tabs>
        <w:ind w:left="567" w:hanging="567"/>
      </w:pPr>
      <w:r>
        <w:t>3.</w:t>
      </w:r>
      <w:r>
        <w:tab/>
      </w:r>
      <w:r>
        <w:t>nach Antragstellung oder Erlass des Verwaltungsaktes Einkommen oder Vermögen erzielt worden ist, das zum Wegfall oder zur Minderung des Anspruchs geführt haben würde, oder</w:t>
      </w:r>
    </w:p>
    <w:p>
      <w:pPr>
        <w:tabs>
          <w:tab w:pos="567" w:val="left"/>
        </w:tabs>
        <w:ind w:left="567" w:hanging="567"/>
      </w:pPr>
      <w:r>
        <w:t>4.</w:t>
      </w:r>
      <w:r>
        <w:tab/>
      </w:r>
      <w:r>
        <w:t>der Betroffene wusste oder nicht wusste, weil er die erforderliche Sorgfalt in besonders schwerem Maße verletzt hat, dass der sich aus dem Verwaltungsakt ergebende Anspruch kraft Gesetzes zum Ruhen gekommen oder ganz oder teilweise weggefallen ist.</w:t>
      </w:r>
    </w:p>
    <w:p>
      <w:r>
        <w:rPr>
          <w:rStyle w:val="Satznummer"/>
        </w:rPr>
        <w:t>3</w:t>
      </w:r>
      <w:r>
        <w:t>Als Zeitpunkt der Änderung der Verhältnisse gilt in Fällen, in denen Einkommen oder Vermögen auf einen zurückliegenden Zeitraum auf Grund der besonderen Teile dieses Gesetzbuches anzurechnen ist, der Beginn des Anrechnungszeitraumes.</w:t>
      </w:r>
    </w:p>
    <w:p>
      <w:r>
        <w:t xml:space="preserve">(2) Der Verwaltungsakt ist im Einzelfall mit Wirkung für die Zukunft auch dann aufzuheben, wenn der zuständige oberste Gerichtshof des Bundes in ständiger Rechtsprechung nachträglich das Recht anders auslegt als die Behörde bei Erlass des Verwaltungsaktes und sich dieses zugunsten des Berechtigten auswirkt; </w:t>
      </w:r>
      <w:hyperlink w:anchor="b53" w:history="1">
        <w:r>
          <w:rPr>
            <w:color w:val="0A3A8C"/>
            <w:u w:val="single"/>
          </w:rPr>
          <w:t xml:space="preserve">§ 44</w:t>
        </w:r>
      </w:hyperlink>
      <w:r>
        <w:t xml:space="preserve"> bleibt unberührt.</w:t>
      </w:r>
    </w:p>
    <w:p>
      <w:r>
        <w:t xml:space="preserve">(3) </w:t>
      </w:r>
      <w:r>
        <w:rPr>
          <w:rStyle w:val="Satznummer"/>
        </w:rPr>
        <w:t>1</w:t>
      </w:r>
      <w:r>
        <w:t xml:space="preserve">Kann ein rechtswidriger begünstigender Verwaltungsakt nach </w:t>
      </w:r>
      <w:hyperlink w:anchor="b54" w:history="1">
        <w:r>
          <w:rPr>
            <w:color w:val="0A3A8C"/>
            <w:u w:val="single"/>
          </w:rPr>
          <w:t xml:space="preserve">§ 45</w:t>
        </w:r>
      </w:hyperlink>
      <w:r>
        <w:t xml:space="preserve"> nicht zurückgenommen werden und ist eine Änderung nach Absatz 1 oder 2 zugunsten des Betroffenen eingetreten, darf die neu festzustellende Leistung nicht über den Betrag hinausgehen, wie er sich der Höhe nach ohne Berücksichtigung der Bestandskraft ergibt. </w:t>
      </w:r>
      <w:r>
        <w:rPr>
          <w:rStyle w:val="Satznummer"/>
        </w:rPr>
        <w:t>2</w:t>
      </w:r>
      <w:r>
        <w:t xml:space="preserve">Satz 1 gilt entsprechend, soweit einem rechtmäßigen begünstigenden Verwaltungsakt ein rechtswidriger begünstigender Verwaltungsakt zugrunde liegt, der nach </w:t>
      </w:r>
      <w:hyperlink w:anchor="b54" w:history="1">
        <w:r>
          <w:rPr>
            <w:color w:val="0A3A8C"/>
            <w:u w:val="single"/>
          </w:rPr>
          <w:t xml:space="preserve">§ 45</w:t>
        </w:r>
      </w:hyperlink>
      <w:r>
        <w:t xml:space="preserve"> nicht zurückgenommen werden kann.</w:t>
      </w:r>
    </w:p>
    <w:p>
      <w:r>
        <w:t xml:space="preserve">(4) </w:t>
      </w:r>
      <w:r>
        <w:rPr>
          <w:rStyle w:val="Satznummer"/>
        </w:rPr>
        <w:t>1</w:t>
      </w:r>
      <w:hyperlink w:anchor="b53" w:history="1">
        <w:r>
          <w:rPr>
            <w:color w:val="0A3A8C"/>
            <w:u w:val="single"/>
          </w:rPr>
          <w:t xml:space="preserve">§ 44</w:t>
        </w:r>
      </w:hyperlink>
      <w:r>
        <w:t xml:space="preserve"> Abs. 3 und 4, </w:t>
      </w:r>
      <w:hyperlink w:anchor="b54" w:history="1">
        <w:r>
          <w:rPr>
            <w:color w:val="0A3A8C"/>
            <w:u w:val="single"/>
          </w:rPr>
          <w:t xml:space="preserve">§ 45</w:t>
        </w:r>
      </w:hyperlink>
      <w:r>
        <w:t xml:space="preserve"> Abs. 3 Satz 3 bis 5 und Abs. 4 Satz 2 gelten entsprechend. </w:t>
      </w:r>
      <w:r>
        <w:rPr>
          <w:rStyle w:val="Satznummer"/>
        </w:rPr>
        <w:t>2</w:t>
      </w:r>
      <w:hyperlink w:anchor="b54" w:history="1">
        <w:r>
          <w:rPr>
            <w:color w:val="0A3A8C"/>
            <w:u w:val="single"/>
          </w:rPr>
          <w:t xml:space="preserve">§ 45</w:t>
        </w:r>
      </w:hyperlink>
      <w:r>
        <w:t xml:space="preserve"> Abs. 4 Satz 2 gilt nicht im Fall des Absatzes 1 Satz 2 Nr. 1.</w:t>
      </w:r>
    </w:p>
    <w:p>
      <w:pPr>
        <w:pStyle w:val="Heading4"/>
      </w:pPr>
      <w:bookmarkStart w:id="59" w:name="b58"/>
      <w:r>
        <w:t>§ 49 Rücknahme und Widerruf im Rechtsbehelfsverfahren</w:t>
      </w:r>
      <w:r>
        <w:t xml:space="preserve"> </w:t>
      </w:r>
      <w:r>
        <w:rPr>
          <w:rStyle w:val="Suchmarke"/>
        </w:rPr>
        <w:t>#49#</w:t>
      </w:r>
      <w:bookmarkEnd w:id="59"/>
    </w:p>
    <w:p>
      <w:hyperlink w:anchor="b54" w:history="1">
        <w:r>
          <w:rPr>
            <w:color w:val="0A3A8C"/>
            <w:u w:val="single"/>
          </w:rPr>
          <w:t xml:space="preserve">§ 45</w:t>
        </w:r>
      </w:hyperlink>
      <w:r>
        <w:t xml:space="preserve"> Abs. 1 bis 4, </w:t>
      </w:r>
      <w:hyperlink w:anchor="b56" w:history="1">
        <w:r>
          <w:rPr>
            <w:color w:val="0A3A8C"/>
            <w:u w:val="single"/>
          </w:rPr>
          <w:t xml:space="preserve">§§ 47</w:t>
        </w:r>
      </w:hyperlink>
      <w:r>
        <w:t xml:space="preserve"> und </w:t>
      </w:r>
      <w:hyperlink w:anchor="b57" w:history="1">
        <w:r>
          <w:rPr>
            <w:color w:val="0A3A8C"/>
            <w:u w:val="single"/>
          </w:rPr>
          <w:t xml:space="preserve">48</w:t>
        </w:r>
      </w:hyperlink>
      <w:r>
        <w:t xml:space="preserve"> gelten nicht, wenn ein begünstigender Verwaltungsakt, der von einem Dritten angefochten worden ist, während des Vorverfahrens oder während des sozial- oder verwaltungsgerichtlichen Verfahrens aufgehoben wird, soweit dadurch dem Widerspruch abgeholfen oder der Klage stattgegeben wird.</w:t>
      </w:r>
    </w:p>
    <w:p>
      <w:pPr>
        <w:pStyle w:val="Heading4"/>
      </w:pPr>
      <w:bookmarkStart w:id="60" w:name="b59"/>
      <w:r>
        <w:t>§ 50 Erstattung zu Unrecht erbrachter Leistungen</w:t>
      </w:r>
      <w:r>
        <w:t xml:space="preserve"> </w:t>
      </w:r>
      <w:r>
        <w:rPr>
          <w:rStyle w:val="Suchmarke"/>
        </w:rPr>
        <w:t>#50#</w:t>
      </w:r>
      <w:bookmarkEnd w:id="60"/>
    </w:p>
    <w:p>
      <w:r>
        <w:t xml:space="preserve">(1) </w:t>
      </w:r>
      <w:r>
        <w:rPr>
          <w:rStyle w:val="Satznummer"/>
        </w:rPr>
        <w:t>1</w:t>
      </w:r>
      <w:r>
        <w:t xml:space="preserve">Soweit ein Verwaltungsakt aufgehoben worden ist, sind bereits erbrachte Leistungen zu erstatten. </w:t>
      </w:r>
      <w:r>
        <w:rPr>
          <w:rStyle w:val="Satznummer"/>
        </w:rPr>
        <w:t>2</w:t>
      </w:r>
      <w:r>
        <w:t>Sach- und Dienstleistungen sind in Geld zu erstatten.</w:t>
      </w:r>
    </w:p>
    <w:p>
      <w:r>
        <w:t xml:space="preserve">(2) </w:t>
      </w:r>
      <w:r>
        <w:rPr>
          <w:rStyle w:val="Satznummer"/>
        </w:rPr>
        <w:t>1</w:t>
      </w:r>
      <w:r>
        <w:t xml:space="preserve">Soweit Leistungen ohne Verwaltungsakt zu Unrecht erbracht worden sind, sind sie zu erstatten. </w:t>
      </w:r>
      <w:r>
        <w:rPr>
          <w:rStyle w:val="Satznummer"/>
        </w:rPr>
        <w:t>2</w:t>
      </w:r>
      <w:hyperlink w:anchor="b54" w:history="1">
        <w:r>
          <w:rPr>
            <w:color w:val="0A3A8C"/>
            <w:u w:val="single"/>
          </w:rPr>
          <w:t xml:space="preserve">§§ 45</w:t>
        </w:r>
      </w:hyperlink>
      <w:r>
        <w:t xml:space="preserve"> und </w:t>
      </w:r>
      <w:hyperlink w:anchor="b57" w:history="1">
        <w:r>
          <w:rPr>
            <w:color w:val="0A3A8C"/>
            <w:u w:val="single"/>
          </w:rPr>
          <w:t xml:space="preserve">48</w:t>
        </w:r>
      </w:hyperlink>
      <w:r>
        <w:t xml:space="preserve"> gelten entsprechend.</w:t>
      </w:r>
    </w:p>
    <w:p>
      <w:r>
        <w:t xml:space="preserve">(2a) </w:t>
      </w:r>
      <w:r>
        <w:rPr>
          <w:rStyle w:val="Satznummer"/>
        </w:rPr>
        <w:t>1</w:t>
      </w:r>
      <w:r>
        <w:t xml:space="preserve">Der zu erstattende Betrag ist vom Eintritt der Unwirksamkeit eines Verwaltungsaktes, auf Grund dessen Leistungen zur Förderung von Einrichtungen oder ähnliche Leistungen erbracht worden sind, mit fünf Prozentpunkten über dem Basiszinssatz jährlich zu verzinsen. </w:t>
      </w:r>
      <w:r>
        <w:rPr>
          <w:rStyle w:val="Satznummer"/>
        </w:rPr>
        <w:t>2</w:t>
      </w:r>
      <w:r>
        <w:t xml:space="preserve">Von der Geltendmachung des Zinsanspruchs kann insbesondere dann abgesehen werden, wenn der Begünstigte die Umstände, die zur Rücknahme, zum Widerruf oder zur Unwirksamkeit des Verwaltungsaktes geführt haben, nicht zu vertreten hat und den zu erstattenden Betrag innerhalb der von der Behörde festgesetzten Frist leistet. </w:t>
      </w:r>
      <w:r>
        <w:rPr>
          <w:rStyle w:val="Satznummer"/>
        </w:rPr>
        <w:t>3</w:t>
      </w:r>
      <w:r>
        <w:t xml:space="preserve">Wird eine Leistung nicht alsbald nach der Auszahlung für den bestimmten Zweck verwendet, können für die Zeit bis zur zweckentsprechenden Verwendung Zinsen nach Satz 1 verlangt werden; Entsprechendes gilt, soweit eine Leistung in Anspruch genommen wird, obwohl andere Mittel anteilig oder vorrangig einzusetzen sind; </w:t>
      </w:r>
      <w:hyperlink w:anchor="b56" w:history="1">
        <w:r>
          <w:rPr>
            <w:color w:val="0A3A8C"/>
            <w:u w:val="single"/>
          </w:rPr>
          <w:t xml:space="preserve">§ 47</w:t>
        </w:r>
      </w:hyperlink>
      <w:r>
        <w:t xml:space="preserve"> Abs. 2 Satz 1 Nr. 1 bleibt unberührt.</w:t>
      </w:r>
    </w:p>
    <w:p>
      <w:r>
        <w:t xml:space="preserve">(3) </w:t>
      </w:r>
      <w:r>
        <w:rPr>
          <w:rStyle w:val="Satznummer"/>
        </w:rPr>
        <w:t>1</w:t>
      </w:r>
      <w:r>
        <w:t xml:space="preserve">Die zu erstattende Leistung ist durch schriftlichen Verwaltungsakt festzusetzen. </w:t>
      </w:r>
      <w:r>
        <w:rPr>
          <w:rStyle w:val="Satznummer"/>
        </w:rPr>
        <w:t>2</w:t>
      </w:r>
      <w:r>
        <w:t>Die Festsetzung soll, sofern die Leistung auf Grund eines Verwaltungsakts erbracht worden ist, mit der Aufhebung des Verwaltungsaktes verbunden werden.</w:t>
      </w:r>
    </w:p>
    <w:p>
      <w:r>
        <w:t xml:space="preserve">(4) </w:t>
      </w:r>
      <w:r>
        <w:rPr>
          <w:rStyle w:val="Satznummer"/>
        </w:rPr>
        <w:t>1</w:t>
      </w:r>
      <w:r>
        <w:t xml:space="preserve">Der Erstattungsanspruch verjährt in vier Jahren nach Ablauf des Kalenderjahres, in dem der Verwaltungsakt nach Absatz 3 unanfechtbar geworden ist. </w:t>
      </w:r>
      <w:r>
        <w:rPr>
          <w:rStyle w:val="Satznummer"/>
        </w:rPr>
        <w:t>2</w:t>
      </w:r>
      <w:r>
        <w:t xml:space="preserve">Für die Hemmung, die Ablaufhemmung, den Neubeginn und die Wirkung der Verjährung gelten die Vorschriften des Bürgerlichen Gesetzbuchs sinngemäß. </w:t>
      </w:r>
      <w:r>
        <w:rPr>
          <w:rStyle w:val="Satznummer"/>
        </w:rPr>
        <w:t>3</w:t>
      </w:r>
      <w:hyperlink w:anchor="b62" w:history="1">
        <w:r>
          <w:rPr>
            <w:color w:val="0A3A8C"/>
            <w:u w:val="single"/>
          </w:rPr>
          <w:t xml:space="preserve">§ 52</w:t>
        </w:r>
      </w:hyperlink>
      <w:r>
        <w:t xml:space="preserve"> bleibt unberührt.</w:t>
      </w:r>
    </w:p>
    <w:p>
      <w:r>
        <w:t xml:space="preserve">(5) Die Absätze 1 bis 4 gelten bei Berichtigungen nach </w:t>
      </w:r>
      <w:hyperlink w:anchor="b46" w:history="1">
        <w:r>
          <w:rPr>
            <w:color w:val="0A3A8C"/>
            <w:u w:val="single"/>
          </w:rPr>
          <w:t xml:space="preserve">§ 38</w:t>
        </w:r>
      </w:hyperlink>
      <w:r>
        <w:t xml:space="preserve"> entsprechend.</w:t>
      </w:r>
    </w:p>
    <w:p>
      <w:pPr>
        <w:pStyle w:val="Heading4"/>
      </w:pPr>
      <w:bookmarkStart w:id="61" w:name="b60"/>
      <w:r>
        <w:t>§ 51 Rückgabe von Urkunden und Sachen</w:t>
      </w:r>
      <w:r>
        <w:t xml:space="preserve"> </w:t>
      </w:r>
      <w:r>
        <w:rPr>
          <w:rStyle w:val="Suchmarke"/>
        </w:rPr>
        <w:t>#51#</w:t>
      </w:r>
      <w:bookmarkEnd w:id="61"/>
    </w:p>
    <w:p>
      <w:r>
        <w:rPr>
          <w:rStyle w:val="Satznummer"/>
        </w:rPr>
        <w:t>1</w:t>
      </w:r>
      <w:r>
        <w:t xml:space="preserve">Ist ein Verwaltungsakt unanfechtbar widerrufen oder zurückgenommen oder ist seine Wirksamkeit aus einem anderen Grund nicht oder nicht mehr gegeben, kann die Behörde die auf Grund dieses Verwaltungsaktes erteilten Urkunden oder Sachen, die zum Nachweis der Rechte aus dem Verwaltungsakt oder zu deren Ausübung bestimmt sind, zurückfordern. </w:t>
      </w:r>
      <w:r>
        <w:rPr>
          <w:rStyle w:val="Satznummer"/>
        </w:rPr>
        <w:t>2</w:t>
      </w:r>
      <w:r>
        <w:t xml:space="preserve">Der Inhaber und, sofern er nicht der Besitzer ist, auch der Besitzer dieser Urkunden oder Sachen sind zu ihrer Herausgabe verpflichtet. </w:t>
      </w:r>
      <w:r>
        <w:rPr>
          <w:rStyle w:val="Satznummer"/>
        </w:rPr>
        <w:t>3</w:t>
      </w:r>
      <w:r>
        <w:t>Der Inhaber oder der Besitzer kann jedoch verlangen, dass ihm die Urkunden oder Sachen wieder ausgehändigt werden, nachdem sie von der Behörde als ungültig gekennzeichnet sind; dies gilt nicht bei Sachen, bei denen eine solche Kennzeichnung nicht oder nicht mit der erforderlichen Offensichtlichkeit oder Dauerhaftigkeit möglich ist.</w:t>
      </w:r>
    </w:p>
    <w:p>
      <w:pPr>
        <w:pStyle w:val="Heading3"/>
      </w:pPr>
      <w:bookmarkStart w:id="62" w:name="b61"/>
      <w:r>
        <w:t>Dritter Titel Verjährungsrechtliche Wirkungen des Verwaltungsaktes</w:t>
      </w:r>
      <w:bookmarkEnd w:id="62"/>
    </w:p>
    <w:p>
      <w:pPr>
        <w:pStyle w:val="Heading4"/>
      </w:pPr>
      <w:bookmarkStart w:id="63" w:name="b62"/>
      <w:r>
        <w:t>§ 52 Hemmung der Verjährung durch Verwaltungsakt</w:t>
      </w:r>
      <w:r>
        <w:t xml:space="preserve"> </w:t>
      </w:r>
      <w:r>
        <w:rPr>
          <w:rStyle w:val="Suchmarke"/>
        </w:rPr>
        <w:t>#52#</w:t>
      </w:r>
      <w:bookmarkEnd w:id="63"/>
    </w:p>
    <w:p>
      <w:r>
        <w:t xml:space="preserve">(1) </w:t>
      </w:r>
      <w:r>
        <w:rPr>
          <w:rStyle w:val="Satznummer"/>
        </w:rPr>
        <w:t>1</w:t>
      </w:r>
      <w:r>
        <w:t xml:space="preserve">Ein Verwaltungsakt, der zur Feststellung oder Durchsetzung des Anspruchs eines öffentlich-rechtlichen Rechtsträgers erlassen wird, hemmt die Verjährung dieses Anspruchs. </w:t>
      </w:r>
      <w:r>
        <w:rPr>
          <w:rStyle w:val="Satznummer"/>
        </w:rPr>
        <w:t>2</w:t>
      </w:r>
      <w:r>
        <w:t>Die Hemmung endet mit Eintritt der Unanfechtbarkeit des Verwaltungsakts oder sechs Monate nach seiner anderweitigen Erledigung.</w:t>
      </w:r>
    </w:p>
    <w:p>
      <w:r>
        <w:t>(2) Ist ein Verwaltungsakt im Sinne des Absatzes 1 unanfechtbar geworden, beträgt die Verjährungsfrist 30 Jahre.</w:t>
      </w:r>
    </w:p>
    <w:p>
      <w:pPr>
        <w:pStyle w:val="Heading2"/>
      </w:pPr>
      <w:bookmarkStart w:id="64" w:name="b63"/>
      <w:r>
        <w:t>Vierter Abschnitt Öffentlich-rechtlicher Vertrag</w:t>
      </w:r>
      <w:bookmarkEnd w:id="64"/>
    </w:p>
    <w:p>
      <w:pPr>
        <w:pStyle w:val="Heading3"/>
      </w:pPr>
      <w:bookmarkStart w:id="65" w:name="b64"/>
      <w:r>
        <w:t>§ 53 Zulässigkeit des öffentlich-rechtlichen Vertrages</w:t>
      </w:r>
      <w:r>
        <w:t xml:space="preserve"> </w:t>
      </w:r>
      <w:r>
        <w:rPr>
          <w:rStyle w:val="Suchmarke"/>
        </w:rPr>
        <w:t>#53#</w:t>
      </w:r>
      <w:bookmarkEnd w:id="65"/>
    </w:p>
    <w:p>
      <w:r>
        <w:t xml:space="preserve">(1) </w:t>
      </w:r>
      <w:r>
        <w:rPr>
          <w:rStyle w:val="Satznummer"/>
        </w:rPr>
        <w:t>1</w:t>
      </w:r>
      <w:r>
        <w:t xml:space="preserve">Ein Rechtsverhältnis auf dem Gebiet des öffentlichen Rechts kann durch Vertrag begründet, geändert oder aufgehoben werden (öffentlich-rechtlicher Vertrag), soweit Rechtsvorschriften nicht entgegenstehen. </w:t>
      </w:r>
      <w:r>
        <w:rPr>
          <w:rStyle w:val="Satznummer"/>
        </w:rPr>
        <w:t>2</w:t>
      </w:r>
      <w:r>
        <w:t>Insbesondere kann die Behörde, anstatt einen Verwaltungsakt zu erlassen, einen öffentlich-rechtlichen Vertrag mit demjenigen schließen, an den sie sonst den Verwaltungsakt richten würde.</w:t>
      </w:r>
    </w:p>
    <w:p>
      <w:r>
        <w:t>(2) Ein öffentlich-rechtlicher Vertrag über Sozialleistungen kann nur geschlossen werden, soweit die Erbringung der Leistungen im Ermessen des Leistungsträgers steht.</w:t>
      </w:r>
    </w:p>
    <w:p>
      <w:pPr>
        <w:pStyle w:val="Heading3"/>
      </w:pPr>
      <w:bookmarkStart w:id="66" w:name="b65"/>
      <w:r>
        <w:t>§ 54 Vergleichsvertrag</w:t>
      </w:r>
      <w:r>
        <w:t xml:space="preserve"> </w:t>
      </w:r>
      <w:r>
        <w:rPr>
          <w:rStyle w:val="Suchmarke"/>
        </w:rPr>
        <w:t>#54#</w:t>
      </w:r>
      <w:bookmarkEnd w:id="66"/>
    </w:p>
    <w:p>
      <w:r>
        <w:t xml:space="preserve">(1) Ein öffentlich-rechtlicher Vertrag im Sinne des </w:t>
      </w:r>
      <w:hyperlink w:anchor="b64" w:history="1">
        <w:r>
          <w:rPr>
            <w:color w:val="0A3A8C"/>
            <w:u w:val="single"/>
          </w:rPr>
          <w:t xml:space="preserve">§ 53</w:t>
        </w:r>
      </w:hyperlink>
      <w:r>
        <w:t xml:space="preserve"> Abs. 1 Satz 2, durch den eine bei verständiger Würdigung des Sachverhalts oder der Rechtslage bestehende Ungewissheit durch gegenseitiges Nachgeben beseitigt wird (Vergleich), kann geschlossen werden, wenn die Behörde den Abschluss des Vergleichs zur Beseitigung der Ungewissheit nach pflichtgemäßem Ermessen für zweckmäßig hält.</w:t>
      </w:r>
    </w:p>
    <w:p>
      <w:r>
        <w:t xml:space="preserve">(2) </w:t>
      </w:r>
      <w:hyperlink w:anchor="b64" w:history="1">
        <w:r>
          <w:rPr>
            <w:color w:val="0A3A8C"/>
            <w:u w:val="single"/>
          </w:rPr>
          <w:t xml:space="preserve">§ 53</w:t>
        </w:r>
      </w:hyperlink>
      <w:r>
        <w:t xml:space="preserve"> Abs. 2 gilt im Fall des Absatzes 1 nicht.</w:t>
      </w:r>
    </w:p>
    <w:p>
      <w:pPr>
        <w:pStyle w:val="Heading3"/>
      </w:pPr>
      <w:bookmarkStart w:id="67" w:name="b66"/>
      <w:r>
        <w:t>§ 55 Austauschvertrag</w:t>
      </w:r>
      <w:r>
        <w:t xml:space="preserve"> </w:t>
      </w:r>
      <w:r>
        <w:rPr>
          <w:rStyle w:val="Suchmarke"/>
        </w:rPr>
        <w:t>#55#</w:t>
      </w:r>
      <w:bookmarkEnd w:id="67"/>
    </w:p>
    <w:p>
      <w:r>
        <w:t xml:space="preserve">(1) </w:t>
      </w:r>
      <w:r>
        <w:rPr>
          <w:rStyle w:val="Satznummer"/>
        </w:rPr>
        <w:t>1</w:t>
      </w:r>
      <w:r>
        <w:t xml:space="preserve">Ein öffentlich-rechtlicher Vertrag im Sinne des </w:t>
      </w:r>
      <w:hyperlink w:anchor="b64" w:history="1">
        <w:r>
          <w:rPr>
            <w:color w:val="0A3A8C"/>
            <w:u w:val="single"/>
          </w:rPr>
          <w:t xml:space="preserve">§ 53</w:t>
        </w:r>
      </w:hyperlink>
      <w:r>
        <w:t xml:space="preserve"> Abs. 1 Satz 2, in dem sich der Vertragspartner der Behörde zu einer Gegenleistung verpflichtet, kann geschlossen werden, wenn die Gegenleistung für einen bestimmten Zweck im Vertrag vereinbart wird und der Behörde zur Erfüllung ihrer öffentlichen Aufgaben dient. </w:t>
      </w:r>
      <w:r>
        <w:rPr>
          <w:rStyle w:val="Satznummer"/>
        </w:rPr>
        <w:t>2</w:t>
      </w:r>
      <w:r>
        <w:t>Die Gegenleistung muss den gesamten Umständen nach angemessen sein und im sachlichen Zusammenhang mit der vertraglichen Leistung der Behörde stehen.</w:t>
      </w:r>
    </w:p>
    <w:p>
      <w:r>
        <w:t xml:space="preserve">(2) Besteht auf die Leistung der Behörde ein Anspruch, kann nur eine solche Gegenleistung vereinbart werden, die bei Erlass eines Verwaltungsaktes Inhalt einer Nebenbestimmung nach </w:t>
      </w:r>
      <w:hyperlink w:anchor="b40" w:history="1">
        <w:r>
          <w:rPr>
            <w:color w:val="0A3A8C"/>
            <w:u w:val="single"/>
          </w:rPr>
          <w:t xml:space="preserve">§ 32</w:t>
        </w:r>
      </w:hyperlink>
      <w:r>
        <w:t xml:space="preserve"> sein könnte.</w:t>
      </w:r>
    </w:p>
    <w:p>
      <w:r>
        <w:t xml:space="preserve">(3) </w:t>
      </w:r>
      <w:hyperlink w:anchor="b64" w:history="1">
        <w:r>
          <w:rPr>
            <w:color w:val="0A3A8C"/>
            <w:u w:val="single"/>
          </w:rPr>
          <w:t xml:space="preserve">§ 53</w:t>
        </w:r>
      </w:hyperlink>
      <w:r>
        <w:t xml:space="preserve"> Abs. 2 gilt in den Fällen der Absätze 1 und 2 nicht.</w:t>
      </w:r>
    </w:p>
    <w:p>
      <w:pPr>
        <w:pStyle w:val="Heading3"/>
      </w:pPr>
      <w:bookmarkStart w:id="68" w:name="b67"/>
      <w:r>
        <w:t>§ 56 Schriftform</w:t>
      </w:r>
      <w:r>
        <w:t xml:space="preserve"> </w:t>
      </w:r>
      <w:r>
        <w:rPr>
          <w:rStyle w:val="Suchmarke"/>
        </w:rPr>
        <w:t>#56#</w:t>
      </w:r>
      <w:bookmarkEnd w:id="68"/>
    </w:p>
    <w:p>
      <w:r>
        <w:t>Ein öffentlich-rechtlicher Vertrag ist schriftlich zu schließen, soweit nicht durch Rechtsvorschrift eine andere Form vorgeschrieben ist.</w:t>
      </w:r>
    </w:p>
    <w:p>
      <w:pPr>
        <w:pStyle w:val="Heading3"/>
      </w:pPr>
      <w:bookmarkStart w:id="69" w:name="b68"/>
      <w:r>
        <w:t>§ 57 Zustimmung von Dritten und Behörden</w:t>
      </w:r>
      <w:r>
        <w:t xml:space="preserve"> </w:t>
      </w:r>
      <w:r>
        <w:rPr>
          <w:rStyle w:val="Suchmarke"/>
        </w:rPr>
        <w:t>#57#</w:t>
      </w:r>
      <w:bookmarkEnd w:id="69"/>
    </w:p>
    <w:p>
      <w:r>
        <w:t>(1) Ein öffentlich-rechtlicher Vertrag, der in Rechte eines Dritten eingreift, wird erst wirksam, wenn der Dritte schriftlich zustimmt.</w:t>
      </w:r>
    </w:p>
    <w:p>
      <w:r>
        <w:t>(2) Wird anstatt eines Verwaltungsaktes, bei dessen Erlass nach einer Rechtsvorschrift die Genehmigung, die Zustimmung oder das Einvernehmen einer anderen Behörde erforderlich ist, ein Vertrag geschlossen, so wird dieser erst wirksam, nachdem die andere Behörde in der vorgeschriebenen Form mitgewirkt hat.</w:t>
      </w:r>
    </w:p>
    <w:p>
      <w:pPr>
        <w:pStyle w:val="Heading3"/>
      </w:pPr>
      <w:bookmarkStart w:id="70" w:name="b69"/>
      <w:r>
        <w:t>§ 58 Nichtigkeit des öffentlich-rechtlichen Vertrages</w:t>
      </w:r>
      <w:r>
        <w:t xml:space="preserve"> </w:t>
      </w:r>
      <w:r>
        <w:rPr>
          <w:rStyle w:val="Suchmarke"/>
        </w:rPr>
        <w:t>#58#</w:t>
      </w:r>
      <w:bookmarkEnd w:id="70"/>
    </w:p>
    <w:p>
      <w:r>
        <w:t>(1) Ein öffentlich-rechtlicher Vertrag ist nichtig, wenn sich die Nichtigkeit aus der entsprechenden Anwendung von Vorschriften des Bürgerlichen Gesetzbuches ergibt.</w:t>
      </w:r>
    </w:p>
    <w:p>
      <w:r>
        <w:t xml:space="preserve">(2) Ein Vertrag im Sinne des </w:t>
      </w:r>
      <w:hyperlink w:anchor="b64" w:history="1">
        <w:r>
          <w:rPr>
            <w:color w:val="0A3A8C"/>
            <w:u w:val="single"/>
          </w:rPr>
          <w:t xml:space="preserve">§ 53</w:t>
        </w:r>
      </w:hyperlink>
      <w:r>
        <w:t xml:space="preserve"> Abs. 1 Satz 2 ist ferner nichtig, wenn</w:t>
      </w:r>
    </w:p>
    <w:p>
      <w:pPr>
        <w:tabs>
          <w:tab w:pos="567" w:val="left"/>
        </w:tabs>
        <w:ind w:left="567" w:hanging="567"/>
      </w:pPr>
      <w:r>
        <w:t>1.</w:t>
      </w:r>
      <w:r>
        <w:tab/>
      </w:r>
      <w:r>
        <w:t>ein Verwaltungsakt mit entsprechendem Inhalt nichtig wäre,</w:t>
      </w:r>
    </w:p>
    <w:p>
      <w:pPr>
        <w:tabs>
          <w:tab w:pos="567" w:val="left"/>
        </w:tabs>
        <w:ind w:left="567" w:hanging="567"/>
      </w:pPr>
      <w:r>
        <w:t>2.</w:t>
      </w:r>
      <w:r>
        <w:tab/>
      </w:r>
      <w:r>
        <w:t xml:space="preserve">ein Verwaltungsakt mit entsprechendem Inhalt nicht nur wegen eines Verfahrens- oder Formfehlers im Sinne des </w:t>
      </w:r>
      <w:hyperlink w:anchor="b51" w:history="1">
        <w:r>
          <w:rPr>
            <w:color w:val="0A3A8C"/>
            <w:u w:val="single"/>
          </w:rPr>
          <w:t xml:space="preserve">§ 42</w:t>
        </w:r>
      </w:hyperlink>
      <w:r>
        <w:t xml:space="preserve"> rechtswidrig wäre und dies den Vertragschließenden bekannt war,</w:t>
      </w:r>
    </w:p>
    <w:p>
      <w:pPr>
        <w:tabs>
          <w:tab w:pos="567" w:val="left"/>
        </w:tabs>
        <w:ind w:left="567" w:hanging="567"/>
      </w:pPr>
      <w:r>
        <w:t>3.</w:t>
      </w:r>
      <w:r>
        <w:tab/>
      </w:r>
      <w:r>
        <w:t xml:space="preserve">die Voraussetzungen zum Abschluss eines Vergleichsvertrages nicht vorlagen und ein Verwaltungsakt mit entsprechendem Inhalt nicht nur wegen eines Verfahrens- oder Formfehlers im Sinne des </w:t>
      </w:r>
      <w:hyperlink w:anchor="b51" w:history="1">
        <w:r>
          <w:rPr>
            <w:color w:val="0A3A8C"/>
            <w:u w:val="single"/>
          </w:rPr>
          <w:t xml:space="preserve">§ 42</w:t>
        </w:r>
      </w:hyperlink>
      <w:r>
        <w:t xml:space="preserve"> rechtswidrig wäre,</w:t>
      </w:r>
    </w:p>
    <w:p>
      <w:pPr>
        <w:tabs>
          <w:tab w:pos="567" w:val="left"/>
        </w:tabs>
        <w:ind w:left="567" w:hanging="567"/>
      </w:pPr>
      <w:r>
        <w:t>4.</w:t>
      </w:r>
      <w:r>
        <w:tab/>
      </w:r>
      <w:r>
        <w:t xml:space="preserve">sich die Behörde eine nach </w:t>
      </w:r>
      <w:hyperlink w:anchor="b66" w:history="1">
        <w:r>
          <w:rPr>
            <w:color w:val="0A3A8C"/>
            <w:u w:val="single"/>
          </w:rPr>
          <w:t xml:space="preserve">§ 55</w:t>
        </w:r>
      </w:hyperlink>
      <w:r>
        <w:t xml:space="preserve"> unzulässige Gegenleistung versprechen lässt.</w:t>
      </w:r>
    </w:p>
    <w:p>
      <w:r>
        <w:t>(3) Betrifft die Nichtigkeit nur einen Teil des Vertrages, so ist er im Ganzen nichtig, wenn nicht anzunehmen ist, dass er auch ohne den nichtigen Teil geschlossen worden wäre.</w:t>
      </w:r>
    </w:p>
    <w:p>
      <w:pPr>
        <w:pStyle w:val="Heading3"/>
      </w:pPr>
      <w:bookmarkStart w:id="71" w:name="b70"/>
      <w:r>
        <w:t>§ 59 Anpassung und Kündigung in besonderen Fällen</w:t>
      </w:r>
      <w:r>
        <w:t xml:space="preserve"> </w:t>
      </w:r>
      <w:r>
        <w:rPr>
          <w:rStyle w:val="Suchmarke"/>
        </w:rPr>
        <w:t>#59#</w:t>
      </w:r>
      <w:bookmarkEnd w:id="71"/>
    </w:p>
    <w:p>
      <w:r>
        <w:t xml:space="preserve">(1) </w:t>
      </w:r>
      <w:r>
        <w:rPr>
          <w:rStyle w:val="Satznummer"/>
        </w:rPr>
        <w:t>1</w:t>
      </w:r>
      <w:r>
        <w:t xml:space="preserve">Haben die Verhältnisse, die für die Festsetzung des Vertragsinhalts maßgebend gewesen sind, sich seit Abschluss des Vertrages so wesentlich geändert, dass einer Vertragspartei das Festhalten an der ursprünglichen vertraglichen Regelung nicht zuzumuten ist, so kann diese Vertragspartei eine Anpassung des Vertragsinhalts an die geänderten Verhältnisse verlangen oder, sofern eine Anpassung nicht möglich oder einer Vertragspartei nicht zuzumuten ist, den Vertrag kündigen. </w:t>
      </w:r>
      <w:r>
        <w:rPr>
          <w:rStyle w:val="Satznummer"/>
        </w:rPr>
        <w:t>2</w:t>
      </w:r>
      <w:r>
        <w:t>Die Behörde kann den Vertrag auch kündigen, um schwere Nachteile für das Gemeinwohl zu verhüten oder zu beseitigen.</w:t>
      </w:r>
    </w:p>
    <w:p>
      <w:r>
        <w:t xml:space="preserve">(2) </w:t>
      </w:r>
      <w:r>
        <w:rPr>
          <w:rStyle w:val="Satznummer"/>
        </w:rPr>
        <w:t>1</w:t>
      </w:r>
      <w:r>
        <w:t xml:space="preserve">Die Kündigung bedarf der Schriftform, soweit nicht durch Rechtsvorschrift eine andere Form vorgeschrieben ist. </w:t>
      </w:r>
      <w:r>
        <w:rPr>
          <w:rStyle w:val="Satznummer"/>
        </w:rPr>
        <w:t>2</w:t>
      </w:r>
      <w:r>
        <w:t>Sie soll begründet werden.</w:t>
      </w:r>
    </w:p>
    <w:p>
      <w:pPr>
        <w:pStyle w:val="Heading3"/>
      </w:pPr>
      <w:bookmarkStart w:id="72" w:name="b71"/>
      <w:r>
        <w:t>§ 60 Unterwerfung unter die sofortige Vollstreckung</w:t>
      </w:r>
      <w:r>
        <w:t xml:space="preserve"> </w:t>
      </w:r>
      <w:r>
        <w:rPr>
          <w:rStyle w:val="Suchmarke"/>
        </w:rPr>
        <w:t>#60#</w:t>
      </w:r>
      <w:bookmarkEnd w:id="72"/>
    </w:p>
    <w:p>
      <w:r>
        <w:t xml:space="preserve">(1) </w:t>
      </w:r>
      <w:r>
        <w:rPr>
          <w:rStyle w:val="Satznummer"/>
        </w:rPr>
        <w:t>1</w:t>
      </w:r>
      <w:r>
        <w:t xml:space="preserve">Jeder Vertragschließende kann sich der sofortigen Vollstreckung aus einem öffentlich-rechtlichen Vertrag im Sinne des </w:t>
      </w:r>
      <w:hyperlink w:anchor="b64" w:history="1">
        <w:r>
          <w:rPr>
            <w:color w:val="0A3A8C"/>
            <w:u w:val="single"/>
          </w:rPr>
          <w:t xml:space="preserve">§ 53</w:t>
        </w:r>
      </w:hyperlink>
      <w:r>
        <w:t xml:space="preserve"> Abs. 1 Satz 2 unterwerfen. </w:t>
      </w:r>
      <w:r>
        <w:rPr>
          <w:rStyle w:val="Satznummer"/>
        </w:rPr>
        <w:t>2</w:t>
      </w:r>
      <w:r>
        <w:t>Die Behörde muss hierbei von dem Behördenleiter, seinem allgemeinen Vertreter oder einem Angehörigen des öffentlichen Dienstes, der die Befähigung zum Richteramt hat, vertreten werden.</w:t>
      </w:r>
    </w:p>
    <w:p>
      <w:r>
        <w:t xml:space="preserve">(2) </w:t>
      </w:r>
      <w:r>
        <w:rPr>
          <w:rStyle w:val="Satznummer"/>
        </w:rPr>
        <w:t>1</w:t>
      </w:r>
      <w:r>
        <w:t xml:space="preserve">Auf öffentlich-rechtliche Verträge im Sinne des Absatzes 1 Satz 1 ist </w:t>
      </w:r>
      <w:hyperlink w:anchor="b79" w:history="1">
        <w:r>
          <w:rPr>
            <w:color w:val="0A3A8C"/>
            <w:u w:val="single"/>
          </w:rPr>
          <w:t xml:space="preserve">§ 66</w:t>
        </w:r>
      </w:hyperlink>
      <w:r>
        <w:t xml:space="preserve"> entsprechend anzuwenden. </w:t>
      </w:r>
      <w:r>
        <w:rPr>
          <w:rStyle w:val="Satznummer"/>
        </w:rPr>
        <w:t>2</w:t>
      </w:r>
      <w:r>
        <w:t xml:space="preserve">Will eine natürliche oder juristische Person des Privatrechts oder eine sonstige Personenvereinigung die Vollstreckung wegen einer Geldforderung betreiben, so ist § 170 Abs. 1 bis 3 der Verwaltungsgerichtsordnung entsprechend anzuwenden. </w:t>
      </w:r>
      <w:r>
        <w:rPr>
          <w:rStyle w:val="Satznummer"/>
        </w:rPr>
        <w:t>3</w:t>
      </w:r>
      <w:r>
        <w:t>Richtet sich die Vollstreckung wegen der Erzwingung einer Handlung, Duldung oder Unterlassung gegen eine Behörde, ist § 172 der Verwaltungsgerichtsordnung entsprechend anzuwenden.</w:t>
      </w:r>
    </w:p>
    <w:p>
      <w:pPr>
        <w:pStyle w:val="Heading3"/>
      </w:pPr>
      <w:bookmarkStart w:id="73" w:name="b72"/>
      <w:r>
        <w:t>§ 61 Ergänzende Anwendung von Vorschriften</w:t>
      </w:r>
      <w:r>
        <w:t xml:space="preserve"> </w:t>
      </w:r>
      <w:r>
        <w:rPr>
          <w:rStyle w:val="Suchmarke"/>
        </w:rPr>
        <w:t>#61#</w:t>
      </w:r>
      <w:bookmarkEnd w:id="73"/>
    </w:p>
    <w:p>
      <w:r>
        <w:rPr>
          <w:rStyle w:val="Satznummer"/>
        </w:rPr>
        <w:t>1</w:t>
      </w:r>
      <w:r>
        <w:t xml:space="preserve">Soweit sich aus den </w:t>
      </w:r>
      <w:hyperlink w:anchor="b64" w:history="1">
        <w:r>
          <w:rPr>
            <w:color w:val="0A3A8C"/>
            <w:u w:val="single"/>
          </w:rPr>
          <w:t xml:space="preserve">§§ 53</w:t>
        </w:r>
      </w:hyperlink>
      <w:r>
        <w:t xml:space="preserve"> bis </w:t>
      </w:r>
      <w:hyperlink w:anchor="b71" w:history="1">
        <w:r>
          <w:rPr>
            <w:color w:val="0A3A8C"/>
            <w:u w:val="single"/>
          </w:rPr>
          <w:t xml:space="preserve">60</w:t>
        </w:r>
      </w:hyperlink>
      <w:r>
        <w:t xml:space="preserve"> nichts Abweichendes ergibt, gelten die übrigen Vorschriften dieses Gesetzbuches. </w:t>
      </w:r>
      <w:r>
        <w:rPr>
          <w:rStyle w:val="Satznummer"/>
        </w:rPr>
        <w:t>2</w:t>
      </w:r>
      <w:r>
        <w:t>Ergänzend gelten die Vorschriften des Bürgerlichen Gesetzbuches entsprechend.</w:t>
      </w:r>
    </w:p>
    <w:p>
      <w:pPr>
        <w:pStyle w:val="Heading2"/>
      </w:pPr>
      <w:bookmarkStart w:id="74" w:name="b73"/>
      <w:r>
        <w:t>Fünfter Abschnitt Rechtsbehelfsverfahren</w:t>
      </w:r>
      <w:bookmarkEnd w:id="74"/>
    </w:p>
    <w:p>
      <w:pPr>
        <w:pStyle w:val="Heading3"/>
      </w:pPr>
      <w:bookmarkStart w:id="75" w:name="b74"/>
      <w:r>
        <w:t>§ 62 Rechtsbehelfe gegen Verwaltungsakte</w:t>
      </w:r>
      <w:r>
        <w:t xml:space="preserve"> </w:t>
      </w:r>
      <w:r>
        <w:rPr>
          <w:rStyle w:val="Suchmarke"/>
        </w:rPr>
        <w:t>#62#</w:t>
      </w:r>
      <w:bookmarkEnd w:id="75"/>
    </w:p>
    <w:p>
      <w:r>
        <w:t>Für förmliche Rechtsbehelfe gegen Verwaltungsakte gelten, wenn der Sozialrechtsweg gegeben ist, das Sozialgerichtsgesetz, wenn der Verwaltungsrechtsweg gegeben ist, die Verwaltungsgerichtsordnung und die zu ihrer Ausführung ergangenen Rechtsvorschriften, soweit nicht durch Gesetz etwas anderes bestimmt ist; im Übrigen gelten die Vorschriften dieses Gesetzbuches.</w:t>
      </w:r>
    </w:p>
    <w:p>
      <w:pPr>
        <w:pStyle w:val="Heading3"/>
      </w:pPr>
      <w:bookmarkStart w:id="76" w:name="b75"/>
      <w:r>
        <w:t>§ 63 Erstattung von Kosten im Vorverfahren</w:t>
      </w:r>
      <w:r>
        <w:t xml:space="preserve"> </w:t>
      </w:r>
      <w:r>
        <w:rPr>
          <w:rStyle w:val="Suchmarke"/>
        </w:rPr>
        <w:t>#63#</w:t>
      </w:r>
      <w:bookmarkEnd w:id="76"/>
    </w:p>
    <w:p>
      <w:r>
        <w:t xml:space="preserve">(1) </w:t>
      </w:r>
      <w:r>
        <w:rPr>
          <w:rStyle w:val="Satznummer"/>
        </w:rPr>
        <w:t>1</w:t>
      </w:r>
      <w:r>
        <w:t xml:space="preserve">Soweit der Widerspruch erfolgreich ist, hat der Rechtsträger, dessen Behörde den angefochtenen Verwaltungsakt erlassen hat, demjenigen, der Widerspruch erhoben hat, die zur zweckentsprechenden Rechtsverfolgung oder Rechtsverteidigung notwendigen Aufwendungen zu erstatten. </w:t>
      </w:r>
      <w:r>
        <w:rPr>
          <w:rStyle w:val="Satznummer"/>
        </w:rPr>
        <w:t>2</w:t>
      </w:r>
      <w:r>
        <w:t xml:space="preserve">Dies gilt auch, wenn der Widerspruch nur deshalb keinen Erfolg hat, weil die Verletzung einer Verfahrens- oder Formvorschrift nach </w:t>
      </w:r>
      <w:hyperlink w:anchor="b50" w:history="1">
        <w:r>
          <w:rPr>
            <w:color w:val="0A3A8C"/>
            <w:u w:val="single"/>
          </w:rPr>
          <w:t xml:space="preserve">§ 41</w:t>
        </w:r>
      </w:hyperlink>
      <w:r>
        <w:t xml:space="preserve"> unbeachtlich ist. </w:t>
      </w:r>
      <w:r>
        <w:rPr>
          <w:rStyle w:val="Satznummer"/>
        </w:rPr>
        <w:t>3</w:t>
      </w:r>
      <w:r>
        <w:t>Aufwendungen, die durch das Verschulden eines Erstattungsberechtigten entstanden sind, hat dieser selbst zu tragen; das Verschulden eines Vertreters ist dem Vertretenen zuzurechnen.</w:t>
      </w:r>
    </w:p>
    <w:p>
      <w:r>
        <w:t>(2) Die Gebühren und Auslagen eines Rechtsanwalts oder eines sonstigen Bevollmächtigten im Vorverfahren sind erstattungsfähig, wenn die Zuziehung eines Bevollmächtigten notwendig war.</w:t>
      </w:r>
    </w:p>
    <w:p>
      <w:r>
        <w:t xml:space="preserve">(3) </w:t>
      </w:r>
      <w:r>
        <w:rPr>
          <w:rStyle w:val="Satznummer"/>
        </w:rPr>
        <w:t>1</w:t>
      </w:r>
      <w:r>
        <w:t xml:space="preserve">Die Behörde, die die Kostenentscheidung getroffen hat, setzt auf Antrag den Betrag der zu erstattenden Aufwendungen fest; hat ein Ausschuss oder Beirat die Kostenentscheidung getroffen, obliegt die Kostenfestsetzung der Behörde, bei der der Ausschuss oder Beirat gebildet ist. </w:t>
      </w:r>
      <w:r>
        <w:rPr>
          <w:rStyle w:val="Satznummer"/>
        </w:rPr>
        <w:t>2</w:t>
      </w:r>
      <w:r>
        <w:t>Die Kostenentscheidung bestimmt auch, ob die Zuziehung eines Rechtsanwalts oder eines sonstigen Bevollmächtigten notwendig war.</w:t>
      </w:r>
    </w:p>
    <w:p>
      <w:pPr>
        <w:pStyle w:val="Heading2"/>
      </w:pPr>
      <w:bookmarkStart w:id="77" w:name="b76"/>
      <w:r>
        <w:t>Sechster Abschnitt Kosten, Zustellung und Vollstreckung</w:t>
      </w:r>
      <w:bookmarkEnd w:id="77"/>
    </w:p>
    <w:p>
      <w:pPr>
        <w:pStyle w:val="Heading3"/>
      </w:pPr>
      <w:bookmarkStart w:id="78" w:name="b77"/>
      <w:r>
        <w:t>§ 64 Kostenfreiheit</w:t>
      </w:r>
      <w:r>
        <w:t xml:space="preserve"> </w:t>
      </w:r>
      <w:r>
        <w:rPr>
          <w:rStyle w:val="Suchmarke"/>
        </w:rPr>
        <w:t>#64#</w:t>
      </w:r>
      <w:bookmarkEnd w:id="78"/>
    </w:p>
    <w:p>
      <w:r>
        <w:t xml:space="preserve">(1) </w:t>
      </w:r>
      <w:r>
        <w:rPr>
          <w:rStyle w:val="Satznummer"/>
        </w:rPr>
        <w:t>1</w:t>
      </w:r>
      <w:r>
        <w:t xml:space="preserve">Für das Verfahren bei den Behörden nach diesem Gesetzbuch werden keine Gebühren und Auslagen erhoben. </w:t>
      </w:r>
      <w:r>
        <w:rPr>
          <w:rStyle w:val="Satznummer"/>
        </w:rPr>
        <w:t>2</w:t>
      </w:r>
      <w:r>
        <w:t xml:space="preserve">Abweichend von Satz 1 erhalten die Träger der gesetzlichen Rentenversicherung für jede auf der Grundlage des </w:t>
      </w:r>
      <w:hyperlink w:anchor="b97" w:history="1">
        <w:r>
          <w:rPr>
            <w:color w:val="0A3A8C"/>
            <w:u w:val="single"/>
          </w:rPr>
          <w:t xml:space="preserve">§ 74a</w:t>
        </w:r>
      </w:hyperlink>
      <w:r>
        <w:t xml:space="preserve"> Absatz 2 und 3 erteilte Auskunft eine Gebühr von 10,20 Euro.</w:t>
      </w:r>
    </w:p>
    <w:p>
      <w:r>
        <w:t xml:space="preserve">(2) </w:t>
      </w:r>
      <w:r>
        <w:rPr>
          <w:rStyle w:val="Satznummer"/>
        </w:rPr>
        <w:t>1</w:t>
      </w:r>
      <w:r>
        <w:t xml:space="preserve">Geschäfte und Verhandlungen, die aus Anlass der Beantragung, Erbringung oder der Erstattung einer Sozialleistung nötig werden, sind kostenfrei. </w:t>
      </w:r>
      <w:r>
        <w:rPr>
          <w:rStyle w:val="Satznummer"/>
        </w:rPr>
        <w:t>2</w:t>
      </w:r>
      <w:r>
        <w:t xml:space="preserve">Dies gilt auch für die im Gerichts- und Notarkostengesetz bestimmten Gerichtskosten. </w:t>
      </w:r>
      <w:r>
        <w:rPr>
          <w:rStyle w:val="Satznummer"/>
        </w:rPr>
        <w:t>3</w:t>
      </w:r>
      <w:r>
        <w:t>Von Beurkundungs- und Beglaubigungskosten sind befreit Urkunden, die</w:t>
      </w:r>
    </w:p>
    <w:p>
      <w:pPr>
        <w:tabs>
          <w:tab w:pos="567" w:val="left"/>
        </w:tabs>
        <w:ind w:left="567" w:hanging="567"/>
      </w:pPr>
      <w:r>
        <w:t>1.</w:t>
      </w:r>
      <w:r>
        <w:tab/>
      </w:r>
      <w:r>
        <w:t>in der Sozialversicherung bei den Versicherungsträgern und Versicherungsbehörden erforderlich werden, um die Rechtsverhältnisse zwischen den Versicherungsträgern einerseits und den Arbeitgebern, Versicherten oder ihren Hinterbliebenen andererseits abzuwickeln,</w:t>
      </w:r>
    </w:p>
    <w:p>
      <w:pPr>
        <w:tabs>
          <w:tab w:pos="567" w:val="left"/>
        </w:tabs>
        <w:ind w:left="567" w:hanging="567"/>
      </w:pPr>
      <w:r>
        <w:t>2.</w:t>
      </w:r>
      <w:r>
        <w:tab/>
      </w:r>
      <w:r>
        <w:t>im Sozialhilferecht, im Recht der Grundsicherung für Arbeitsuchende sowie im Kinder- und Jugendhilferecht aus Anlass der Beantragung, Erbringung oder Erstattung einer nach dem Zwölften Buch, dem Zweiten oder dem Achten Buch vorgesehenen Leistung benötigt werden,</w:t>
      </w:r>
    </w:p>
    <w:p>
      <w:pPr>
        <w:tabs>
          <w:tab w:pos="567" w:val="left"/>
        </w:tabs>
        <w:ind w:left="567" w:hanging="567"/>
      </w:pPr>
      <w:r>
        <w:t>3.</w:t>
      </w:r>
      <w:r>
        <w:tab/>
      </w:r>
      <w:r>
        <w:t>im Schwerbehindertenrecht von der zuständigen Stelle im Zusammenhang mit der Verwendung der Ausgleichsabgabe für erforderlich gehalten werden,</w:t>
      </w:r>
    </w:p>
    <w:p>
      <w:pPr>
        <w:tabs>
          <w:tab w:pos="567" w:val="left"/>
        </w:tabs>
        <w:ind w:left="567" w:hanging="567"/>
      </w:pPr>
      <w:r>
        <w:t>4.</w:t>
      </w:r>
      <w:r>
        <w:tab/>
      </w:r>
      <w:r>
        <w:t>im Recht der Sozialen Entschädigung und der Soldatenentschädigung für erforderlich gehalten werden,</w:t>
      </w:r>
    </w:p>
    <w:p>
      <w:pPr>
        <w:tabs>
          <w:tab w:pos="567" w:val="left"/>
        </w:tabs>
        <w:ind w:left="567" w:hanging="567"/>
      </w:pPr>
      <w:r>
        <w:t>5.</w:t>
      </w:r>
      <w:r>
        <w:tab/>
      </w:r>
      <w:r>
        <w:t>im Kindergeldrecht für erforderlich gehalten werden.</w:t>
      </w:r>
    </w:p>
    <w:p>
      <w:r>
        <w:t xml:space="preserve">(3) </w:t>
      </w:r>
      <w:r>
        <w:rPr>
          <w:rStyle w:val="Satznummer"/>
        </w:rPr>
        <w:t>1</w:t>
      </w:r>
      <w:r>
        <w:t xml:space="preserve">Absatz 2 Satz 1 gilt auch für gerichtliche Verfahren, auf die das Gesetz über das Verfahren in Familiensachen und in den Angelegenheiten der freiwilligen Gerichtsbarkeit anzuwenden ist. </w:t>
      </w:r>
      <w:r>
        <w:rPr>
          <w:rStyle w:val="Satznummer"/>
        </w:rPr>
        <w:t>2</w:t>
      </w:r>
      <w:r>
        <w:t>Im Verfahren nach der Zivilprozessordnung, dem Gesetz über das Verfahren in Familiensachen und in den Angelegenheiten der freiwilligen Gerichtsbarkeit sowie im Verfahren vor Gerichten der Sozial- und Finanzgerichtsbarkeit sind die Träger der Eingliederungshilfe, der Sozialhilfe, der Grundsicherung für Arbeitsuchende, der Leistungen nach dem Asylbewerberleistungsgesetz, der Jugendhilfe und der Sozialen Entschädigung, von den Gerichtskosten befreit; § 197a des Sozialgerichtsgesetzes bleibt unberührt.</w:t>
      </w:r>
    </w:p>
    <w:p>
      <w:pPr>
        <w:pStyle w:val="Heading3"/>
      </w:pPr>
      <w:bookmarkStart w:id="79" w:name="b78"/>
      <w:r>
        <w:t>§ 65 Zustellung</w:t>
      </w:r>
      <w:r>
        <w:t xml:space="preserve"> </w:t>
      </w:r>
      <w:r>
        <w:rPr>
          <w:rStyle w:val="Suchmarke"/>
        </w:rPr>
        <w:t>#65#</w:t>
      </w:r>
      <w:bookmarkEnd w:id="79"/>
    </w:p>
    <w:p>
      <w:r>
        <w:t xml:space="preserve">(1) </w:t>
      </w:r>
      <w:r>
        <w:rPr>
          <w:rStyle w:val="Satznummer"/>
        </w:rPr>
        <w:t>1</w:t>
      </w:r>
      <w:r>
        <w:t xml:space="preserve">Soweit Zustellungen durch Behörden des Bundes, der bundesunmittelbaren Körperschaften, Anstalten und Stiftungen des öffentlichen Rechts vorgeschrieben sind, gelten die §§ 2 bis 10 des Verwaltungszustellungsgesetzes. </w:t>
      </w:r>
      <w:r>
        <w:rPr>
          <w:rStyle w:val="Satznummer"/>
        </w:rPr>
        <w:t>2</w:t>
      </w:r>
      <w:r>
        <w:t xml:space="preserve">§ 5 Abs. 4 des Verwaltungszustellungsgesetzes und § 178 Abs. 1 Nr. 2 der Zivilprozessordnung sind auf die nach § 73 Absatz 2 Satz 2 Nummer 5 bis 9 und Satz 3 des Sozialgerichtsgesetzes als Bevollmächtigte zugelassenen Personen entsprechend anzuwenden. </w:t>
      </w:r>
      <w:r>
        <w:rPr>
          <w:rStyle w:val="Satznummer"/>
        </w:rPr>
        <w:t>3</w:t>
      </w:r>
      <w:r>
        <w:t>Diese Vorschriften gelten auch, soweit Zustellungen durch die nach Landesrecht zur Durchführung des Vierzehnten Buches zuständigen Stellen vorgeschrieben sind.</w:t>
      </w:r>
    </w:p>
    <w:p>
      <w:r>
        <w:t>(2) Für die übrigen Behörden gelten die jeweiligen landesrechtlichen Vorschriften über das Zustellungsverfahren.</w:t>
      </w:r>
    </w:p>
    <w:p>
      <w:pPr>
        <w:pStyle w:val="Heading3"/>
      </w:pPr>
      <w:bookmarkStart w:id="80" w:name="b79"/>
      <w:r>
        <w:t>§ 66 Vollstreckung</w:t>
      </w:r>
      <w:r>
        <w:t xml:space="preserve"> </w:t>
      </w:r>
      <w:r>
        <w:rPr>
          <w:rStyle w:val="Suchmarke"/>
        </w:rPr>
        <w:t>#66#</w:t>
      </w:r>
      <w:bookmarkEnd w:id="80"/>
    </w:p>
    <w:p>
      <w:r>
        <w:t xml:space="preserve">(1) </w:t>
      </w:r>
      <w:r>
        <w:rPr>
          <w:rStyle w:val="Satznummer"/>
        </w:rPr>
        <w:t>1</w:t>
      </w:r>
      <w:r>
        <w:t xml:space="preserve">Für die Vollstreckung zugunsten der Behörden des Bundes, der bundesunmittelbaren Körperschaften, Anstalten und Stiftungen des öffentlichen Rechts gilt das Verwaltungs-Vollstreckungsgesetz. </w:t>
      </w:r>
      <w:r>
        <w:rPr>
          <w:rStyle w:val="Satznummer"/>
        </w:rPr>
        <w:t>2</w:t>
      </w:r>
      <w:r>
        <w:t xml:space="preserve">In Angelegenheiten des § 51 des Sozialgerichtsgesetzes ist für die Anordnung der Ersatzzwangshaft das Sozialgericht zuständig. </w:t>
      </w:r>
      <w:r>
        <w:rPr>
          <w:rStyle w:val="Satznummer"/>
        </w:rPr>
        <w:t>3</w:t>
      </w:r>
      <w:r>
        <w:t xml:space="preserve">Die oberste Verwaltungsbehörde kann bestimmen, dass die Aufsichtsbehörde nach Anhörung der in Satz 1 genannten Behörden für die Vollstreckung fachlich geeignete Bedienstete als Vollstreckungsbeamte und sonstige hierfür fachlich geeignete Bedienstete dieser Behörde als Vollziehungsbeamte bestellen darf; die fachliche Eignung ist durch einen qualifizierten beruflichen Abschluss, die Teilnahme an einem Lehrgang einschließlich berufspraktischer Tätigkeit oder entsprechende mehrjährige Berufserfahrung nachzuweisen. </w:t>
      </w:r>
      <w:r>
        <w:rPr>
          <w:rStyle w:val="Satznummer"/>
        </w:rPr>
        <w:t>4</w:t>
      </w:r>
      <w:r>
        <w:t>Die oberste Verwaltungsbehörde kann auch bestimmen, dass die Aufsichtsbehörde nach Anhörung der in Satz 1 genannten Behörden für die Vollstreckung von Ansprüchen auf Gesamtsozialversicherungsbeiträge fachlich geeignete Bedienstete</w:t>
      </w:r>
    </w:p>
    <w:p>
      <w:pPr>
        <w:tabs>
          <w:tab w:pos="567" w:val="left"/>
        </w:tabs>
        <w:ind w:left="567" w:hanging="567"/>
      </w:pPr>
      <w:r>
        <w:t>1.</w:t>
      </w:r>
      <w:r>
        <w:tab/>
      </w:r>
      <w:r>
        <w:t>der Verbände der Krankenkassen oder</w:t>
      </w:r>
    </w:p>
    <w:p>
      <w:pPr>
        <w:tabs>
          <w:tab w:pos="567" w:val="left"/>
        </w:tabs>
        <w:ind w:left="567" w:hanging="567"/>
      </w:pPr>
      <w:r>
        <w:t>2.</w:t>
      </w:r>
      <w:r>
        <w:tab/>
      </w:r>
      <w:r>
        <w:t>einer bestimmten Krankenkasse</w:t>
      </w:r>
    </w:p>
    <w:p>
      <w:r>
        <w:t xml:space="preserve">als Vollstreckungsbeamte und sonstige hierfür fachlich geeignete Bedienstete der genannten Verbände und Krankenkassen als Vollziehungsbeamte bestellen darf. </w:t>
      </w:r>
      <w:r>
        <w:rPr>
          <w:rStyle w:val="Satznummer"/>
        </w:rPr>
        <w:t>5</w:t>
      </w:r>
      <w:r>
        <w:t>Der nach Satz 4 beauftragte Verband der Krankenkassen ist berechtigt, Verwaltungsakte zur Erfüllung der mit der Vollstreckung verbundenen Aufgabe zu erlassen.</w:t>
      </w:r>
    </w:p>
    <w:p>
      <w:r>
        <w:t>(2) Absatz 1 Satz 1 bis 3 gilt auch für die Vollstreckung durch die nach Landesrecht zur Durchführung des Vierzehnten Buches zuständigen Stellen; das Land bestimmt die Vollstreckungsbehörde.</w:t>
      </w:r>
    </w:p>
    <w:p>
      <w:r>
        <w:t xml:space="preserve">(3) </w:t>
      </w:r>
      <w:r>
        <w:rPr>
          <w:rStyle w:val="Satznummer"/>
        </w:rPr>
        <w:t>1</w:t>
      </w:r>
      <w:r>
        <w:t xml:space="preserve">Für die Vollstreckung zugunsten der übrigen Behörden gelten die jeweiligen landesrechtlichen Vorschriften über das Verwaltungsvollstreckungsverfahren. </w:t>
      </w:r>
      <w:r>
        <w:rPr>
          <w:rStyle w:val="Satznummer"/>
        </w:rPr>
        <w:t>2</w:t>
      </w:r>
      <w:r>
        <w:t xml:space="preserve">Für die landesunmittelbaren Körperschaften, Anstalten und Stiftungen des öffentlichen Rechts gilt Absatz 1 Satz 2 bis 5 entsprechend. </w:t>
      </w:r>
      <w:r>
        <w:rPr>
          <w:rStyle w:val="Satznummer"/>
        </w:rPr>
        <w:t>3</w:t>
      </w:r>
      <w:r>
        <w:t>Abweichend von Satz 1 vollstrecken die nach Landesrecht zuständigen Vollstreckungsbehörden zugunsten der landesunmittelbaren Krankenkassen, die sich über mehr als ein Land erstrecken, nach den Vorschriften des Verwaltungs-Vollstreckungsgesetzes.</w:t>
      </w:r>
    </w:p>
    <w:p>
      <w:r>
        <w:t xml:space="preserve">(4) </w:t>
      </w:r>
      <w:r>
        <w:rPr>
          <w:rStyle w:val="Satznummer"/>
        </w:rPr>
        <w:t>1</w:t>
      </w:r>
      <w:r>
        <w:t xml:space="preserve">Aus einem Verwaltungsakt kann auch die Zwangsvollstreckung in entsprechender Anwendung der Zivilprozessordnung stattfinden. </w:t>
      </w:r>
      <w:r>
        <w:rPr>
          <w:rStyle w:val="Satznummer"/>
        </w:rPr>
        <w:t>2</w:t>
      </w:r>
      <w:r>
        <w:t xml:space="preserve">Der Vollstreckungsschuldner soll vor Beginn der Vollstreckung mit einer Zahlungsfrist von einer Woche gemahnt werden. </w:t>
      </w:r>
      <w:r>
        <w:rPr>
          <w:rStyle w:val="Satznummer"/>
        </w:rPr>
        <w:t>3</w:t>
      </w:r>
      <w:r>
        <w:t xml:space="preserve">Die vollstreckbare Ausfertigung erteilt der Behördenleiter, sein allgemeiner Vertreter oder ein anderer auf Antrag eines Leistungsträgers von der Aufsichtsbehörde ermächtigter Angehöriger des öffentlichen Dienstes. </w:t>
      </w:r>
      <w:r>
        <w:rPr>
          <w:rStyle w:val="Satznummer"/>
        </w:rPr>
        <w:t>4</w:t>
      </w:r>
      <w:r>
        <w:t>Bei den Versicherungsträgern und der Bundesagentur für Arbeit tritt in Satz 3 an die Stelle der Aufsichtsbehörden der Vorstand.</w:t>
      </w:r>
    </w:p>
    <w:p>
      <w:r>
        <w:t xml:space="preserve">(5) </w:t>
      </w:r>
      <w:r>
        <w:rPr>
          <w:rStyle w:val="Satznummer"/>
        </w:rPr>
        <w:t>1</w:t>
      </w:r>
      <w:r>
        <w:t xml:space="preserve">Bei einer Vollstreckung aus einem Verwaltungsakt, der zu einer Geldleistung verpflichtet, kann in den Fällen des Absatzes 4 an die Stelle der vollstreckbaren Ausfertigung der Vollstreckungsauftrag oder der Vollstreckungsantrag an das jeweils zuständige Vollstreckungsorgan treten. </w:t>
      </w:r>
      <w:r>
        <w:rPr>
          <w:rStyle w:val="Satznummer"/>
        </w:rPr>
        <w:t>2</w:t>
      </w:r>
      <w:r>
        <w:t>Der Vollstreckungsauftrag und der Vollstreckungsantrag müssen im Fall des Satzes 1 enthalten:</w:t>
      </w:r>
    </w:p>
    <w:p>
      <w:pPr>
        <w:tabs>
          <w:tab w:pos="567" w:val="left"/>
        </w:tabs>
        <w:ind w:left="567" w:hanging="567"/>
      </w:pPr>
      <w:r>
        <w:t>1.</w:t>
      </w:r>
      <w:r>
        <w:tab/>
      </w:r>
      <w:r>
        <w:t>die Bezeichnung des Vollstreckungsgläubigers,</w:t>
      </w:r>
    </w:p>
    <w:p>
      <w:pPr>
        <w:tabs>
          <w:tab w:pos="567" w:val="left"/>
        </w:tabs>
        <w:ind w:left="567" w:hanging="567"/>
      </w:pPr>
      <w:r>
        <w:t>2.</w:t>
      </w:r>
      <w:r>
        <w:tab/>
      </w:r>
      <w:r>
        <w:t>die Bezeichnung des Vollstreckungsschuldners,</w:t>
      </w:r>
    </w:p>
    <w:p>
      <w:pPr>
        <w:tabs>
          <w:tab w:pos="567" w:val="left"/>
        </w:tabs>
        <w:ind w:left="567" w:hanging="567"/>
      </w:pPr>
      <w:r>
        <w:t>3.</w:t>
      </w:r>
      <w:r>
        <w:tab/>
      </w:r>
      <w:r>
        <w:t>die Bezeichnung des zu vollstreckenden Verwaltungsaktes unter Angabe der erlassenden Behörde, des Datums und des Aktenzeichens,</w:t>
      </w:r>
    </w:p>
    <w:p>
      <w:pPr>
        <w:tabs>
          <w:tab w:pos="567" w:val="left"/>
        </w:tabs>
        <w:ind w:left="567" w:hanging="567"/>
      </w:pPr>
      <w:r>
        <w:t>4.</w:t>
      </w:r>
      <w:r>
        <w:tab/>
      </w:r>
      <w:r>
        <w:t>die Angabe des Grundes und der Höhe der Geldforderung,</w:t>
      </w:r>
    </w:p>
    <w:p>
      <w:pPr>
        <w:tabs>
          <w:tab w:pos="567" w:val="left"/>
        </w:tabs>
        <w:ind w:left="567" w:hanging="567"/>
      </w:pPr>
      <w:r>
        <w:t>5.</w:t>
      </w:r>
      <w:r>
        <w:tab/>
      </w:r>
      <w:r>
        <w:t>die Angabe, dass der Vollstreckungsschuldner fristgerecht gemahnt worden ist oder dass die Mahnung unterbleiben konnte, und</w:t>
      </w:r>
    </w:p>
    <w:p>
      <w:pPr>
        <w:tabs>
          <w:tab w:pos="567" w:val="left"/>
        </w:tabs>
        <w:ind w:left="567" w:hanging="567"/>
      </w:pPr>
      <w:r>
        <w:t>6.</w:t>
      </w:r>
      <w:r>
        <w:tab/>
      </w:r>
      <w:r>
        <w:t>die Angabe, dass der Verwaltungsakt unanfechtbar geworden ist oder dass die aufschiebende Wirkung des Rechtsbehelfs entfällt.</w:t>
      </w:r>
    </w:p>
    <w:p>
      <w:r>
        <w:rPr>
          <w:rStyle w:val="Satznummer"/>
        </w:rPr>
        <w:t>3</w:t>
      </w:r>
      <w:r>
        <w:t>Der Vollstreckungsauftrag und der Vollstreckungsantrag müssen dem Vollstreckungsschuldner nicht zugestellt werden.</w:t>
      </w:r>
    </w:p>
    <w:p>
      <w:r>
        <w:t xml:space="preserve">(6) </w:t>
      </w:r>
      <w:r>
        <w:rPr>
          <w:rStyle w:val="Satznummer"/>
        </w:rPr>
        <w:t>1</w:t>
      </w:r>
      <w:r>
        <w:t xml:space="preserve">Bei einer Vollstreckung nach Absatz 4 besteht keine Pflicht zur Nutzung der mit Rechtsverordnung nach </w:t>
      </w:r>
      <w:r>
        <w:t>§ 753</w:t>
      </w:r>
      <w:r>
        <w:t xml:space="preserve"> Absatz 3, § 758a Absatz 6 und § 829 Absatz 4 der Zivilprozessordnung eingeführten Formulare. </w:t>
      </w:r>
      <w:r>
        <w:rPr>
          <w:rStyle w:val="Satznummer"/>
        </w:rPr>
        <w:t>2</w:t>
      </w:r>
      <w:r>
        <w:t xml:space="preserve">Der Vollstreckungsauftrag und der Vollstreckungsantrag sind beim jeweils zuständigen Vollstreckungsorgan als elektronisches Dokument einzureichen. </w:t>
      </w:r>
      <w:r>
        <w:rPr>
          <w:rStyle w:val="Satznummer"/>
        </w:rPr>
        <w:t>3</w:t>
      </w:r>
      <w:r>
        <w:t>Die §§ 752a und 753a der Zivilprozessordnung sind mit der Maßgabe anzuwenden, dass an die Stelle der in § 79 Absatz 2 Satz 1 und 2 Nummer 3 und 4 der Zivilprozessordnung Genannten die in § 73 Absatz 2 Satz 1 des Sozialgerichtsgesetzes genannten Rechtsanwälte und die in § 73 Absatz 2 Satz 2 Nummer 3 und 4 des Sozialgerichtsgesetzes Genannten treten.</w:t>
      </w:r>
    </w:p>
    <w:p>
      <w:pPr>
        <w:pStyle w:val="Heading1"/>
      </w:pPr>
      <w:bookmarkStart w:id="81" w:name="b80"/>
      <w:r>
        <w:t>Zweites Kapitel Schutz der Sozialdaten</w:t>
      </w:r>
      <w:bookmarkEnd w:id="81"/>
    </w:p>
    <w:p>
      <w:pPr>
        <w:pStyle w:val="Heading2"/>
      </w:pPr>
      <w:bookmarkStart w:id="82" w:name="b81"/>
      <w:r>
        <w:t>Erster Abschnitt Begriffsbestimmungen</w:t>
      </w:r>
      <w:bookmarkEnd w:id="82"/>
    </w:p>
    <w:p>
      <w:pPr>
        <w:pStyle w:val="Heading3"/>
      </w:pPr>
      <w:bookmarkStart w:id="83" w:name="b82"/>
      <w:r>
        <w:t>§ 67 Begriffsbestimmungen</w:t>
      </w:r>
      <w:r>
        <w:t xml:space="preserve"> </w:t>
      </w:r>
      <w:r>
        <w:rPr>
          <w:rStyle w:val="Suchmarke"/>
        </w:rPr>
        <w:t>#67#</w:t>
      </w:r>
      <w:bookmarkEnd w:id="83"/>
    </w:p>
    <w:p>
      <w:r>
        <w:t>(1) Die nachfolgenden Begriffsbestimmungen gelten ergänzend zu Artikel 4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w:t>
      </w:r>
    </w:p>
    <w:p>
      <w:r>
        <w:t xml:space="preserve">(2) </w:t>
      </w:r>
      <w:r>
        <w:rPr>
          <w:rStyle w:val="Satznummer"/>
        </w:rPr>
        <w:t>1</w:t>
      </w:r>
      <w:r>
        <w:t xml:space="preserve">Sozialdaten sind personenbezogene Daten (Artikel 4 Nummer 1 der Verordnung (EU) 2016/679), die von einer in § 35 des Ersten Buches genannten Stelle im Hinblick auf ihre Aufgaben nach diesem Gesetzbuch verarbeitet werden. </w:t>
      </w:r>
      <w:r>
        <w:rPr>
          <w:rStyle w:val="Satznummer"/>
        </w:rPr>
        <w:t>2</w:t>
      </w:r>
      <w:r>
        <w:t>Betriebs- und Geschäftsgeheimnisse sind alle betriebs- oder geschäftsbezogenen Daten, auch von juristischen Personen, die Geheimnischarakter haben.</w:t>
      </w:r>
    </w:p>
    <w:p>
      <w:r>
        <w:t>(3) Aufgaben nach diesem Gesetzbuch sind, soweit dieses Kapitel angewandt wird, auch</w:t>
      </w:r>
    </w:p>
    <w:p>
      <w:pPr>
        <w:tabs>
          <w:tab w:pos="567" w:val="left"/>
        </w:tabs>
        <w:ind w:left="567" w:hanging="567"/>
      </w:pPr>
      <w:r>
        <w:t>1.</w:t>
      </w:r>
      <w:r>
        <w:tab/>
      </w:r>
      <w:r>
        <w:t>Aufgaben auf Grund von Verordnungen, deren Ermächtigungsgrundlage sich im Sozialgesetzbuch befindet,</w:t>
      </w:r>
    </w:p>
    <w:p>
      <w:pPr>
        <w:tabs>
          <w:tab w:pos="567" w:val="left"/>
        </w:tabs>
        <w:ind w:left="567" w:hanging="567"/>
      </w:pPr>
      <w:r>
        <w:t>2.</w:t>
      </w:r>
      <w:r>
        <w:tab/>
      </w:r>
      <w:r>
        <w:t>Aufgaben auf Grund von über- und zwischenstaatlichem Recht im Bereich der sozialen Sicherheit,</w:t>
      </w:r>
    </w:p>
    <w:p>
      <w:pPr>
        <w:tabs>
          <w:tab w:pos="567" w:val="left"/>
        </w:tabs>
        <w:ind w:left="567" w:hanging="567"/>
      </w:pPr>
      <w:r>
        <w:t>3.</w:t>
      </w:r>
      <w:r>
        <w:tab/>
      </w:r>
      <w:r>
        <w:t>Aufgaben auf Grund von Rechtsvorschriften, die das Erste und das Zehnte Buch für entsprechend anwendbar erklären, und</w:t>
      </w:r>
    </w:p>
    <w:p>
      <w:pPr>
        <w:tabs>
          <w:tab w:pos="567" w:val="left"/>
        </w:tabs>
        <w:ind w:left="567" w:hanging="567"/>
      </w:pPr>
      <w:r>
        <w:t>4.</w:t>
      </w:r>
      <w:r>
        <w:tab/>
      </w:r>
      <w:r>
        <w:t xml:space="preserve">Aufgaben auf Grund des Arbeitssicherheitsgesetzes und Aufgaben, soweit sie den in § 35 des Ersten Buches genannten Stellen durch Gesetz zugewiesen sind. </w:t>
      </w:r>
      <w:r>
        <w:rPr>
          <w:rStyle w:val="Satznummer"/>
        </w:rPr>
        <w:t>2</w:t>
      </w:r>
      <w:r>
        <w:t>§ 8 Absatz 1 Satz 3 des Arbeitssicherheitsgesetzes bleibt unberührt.</w:t>
      </w:r>
    </w:p>
    <w:p>
      <w:r>
        <w:t xml:space="preserve">(4) </w:t>
      </w:r>
      <w:r>
        <w:rPr>
          <w:rStyle w:val="Satznummer"/>
        </w:rPr>
        <w:t>1</w:t>
      </w:r>
      <w:r>
        <w:t xml:space="preserve">Werden Sozialdaten von einem Leistungsträger im Sinne von § 12 des Ersten Buches verarbeitet, ist der Verantwortliche der Leistungsträger. </w:t>
      </w:r>
      <w:r>
        <w:rPr>
          <w:rStyle w:val="Satznummer"/>
        </w:rPr>
        <w:t>2</w:t>
      </w:r>
      <w:r>
        <w:t>Ist der Leistungsträger eine Gebietskörperschaft, so sind der Verantwortliche die Organisationseinheiten, die eine Aufgabe nach einem der besonderen Teile dieses Gesetzbuches funktional durchführen.</w:t>
      </w:r>
    </w:p>
    <w:p>
      <w:r>
        <w:t xml:space="preserve">(5) Nicht-öffentliche Stellen sind natürliche und juristische Personen, Gesellschaften und andere Personenvereinigungen des privaten Rechts, soweit sie nicht unter </w:t>
      </w:r>
      <w:hyperlink w:anchor="b107" w:history="1">
        <w:r>
          <w:rPr>
            <w:color w:val="0A3A8C"/>
            <w:u w:val="single"/>
          </w:rPr>
          <w:t xml:space="preserve">§ 81</w:t>
        </w:r>
      </w:hyperlink>
      <w:r>
        <w:t xml:space="preserve"> Absatz 3 fallen.</w:t>
      </w:r>
    </w:p>
    <w:p>
      <w:pPr>
        <w:pStyle w:val="Heading2"/>
      </w:pPr>
      <w:bookmarkStart w:id="84" w:name="b83"/>
      <w:r>
        <w:t>Zweiter Abschnitt Verarbeitung von Sozialdaten</w:t>
      </w:r>
      <w:bookmarkEnd w:id="84"/>
    </w:p>
    <w:p>
      <w:pPr>
        <w:pStyle w:val="Heading3"/>
      </w:pPr>
      <w:bookmarkStart w:id="85" w:name="b84"/>
      <w:r>
        <w:t>§ 67a Erhebung von Sozialdaten</w:t>
      </w:r>
      <w:r>
        <w:t xml:space="preserve"> </w:t>
      </w:r>
      <w:r>
        <w:rPr>
          <w:rStyle w:val="Suchmarke"/>
        </w:rPr>
        <w:t>#67a#</w:t>
      </w:r>
      <w:bookmarkEnd w:id="85"/>
    </w:p>
    <w:p>
      <w:r>
        <w:t xml:space="preserve">(1) </w:t>
      </w:r>
      <w:r>
        <w:rPr>
          <w:rStyle w:val="Satznummer"/>
        </w:rPr>
        <w:t>1</w:t>
      </w:r>
      <w:r>
        <w:t xml:space="preserve">Die Erhebung von Sozialdaten durch die in § 35 des Ersten Buches genannten Stellen ist zulässig, wenn ihre Kenntnis zur Erfüllung einer Aufgabe der erhebenden Stelle nach diesem Gesetzbuch erforderlich ist. </w:t>
      </w:r>
      <w:r>
        <w:rPr>
          <w:rStyle w:val="Satznummer"/>
        </w:rPr>
        <w:t>2</w:t>
      </w:r>
      <w:r>
        <w:t>Dies gilt auch für die Erhebung der besonderen Kategorien personenbezogener Daten im Sinne des Artikels 9 Absatz 1 der Verordnung (EU) 2016/679. § 22 Absatz 2 des Bundesdatenschutzgesetzes gilt entsprechend.</w:t>
      </w:r>
    </w:p>
    <w:p>
      <w:r>
        <w:t xml:space="preserve">(2) </w:t>
      </w:r>
      <w:r>
        <w:rPr>
          <w:rStyle w:val="Satznummer"/>
        </w:rPr>
        <w:t>1</w:t>
      </w:r>
      <w:r>
        <w:t xml:space="preserve">Sozialdaten sind bei der betroffenen Person zu erheben. </w:t>
      </w:r>
      <w:r>
        <w:rPr>
          <w:rStyle w:val="Satznummer"/>
        </w:rPr>
        <w:t>2</w:t>
      </w:r>
      <w:r>
        <w:t xml:space="preserve">Als Erhebung nach Satz 1 gilt auch die Entscheidung der betroffenen Person nach </w:t>
      </w:r>
      <w:hyperlink w:anchor="b89" w:history="1">
        <w:r>
          <w:rPr>
            <w:color w:val="0A3A8C"/>
            <w:u w:val="single"/>
          </w:rPr>
          <w:t xml:space="preserve">§ 67f</w:t>
        </w:r>
      </w:hyperlink>
      <w:r>
        <w:t xml:space="preserve"> Absatz 1 Satz 1 Nummer 1 in Verbindung mit Absatz 4 Satz 2 oder ein ausdrückliches Ersuchen im Anwendungsbereich des </w:t>
      </w:r>
      <w:hyperlink w:anchor="b101" w:history="1">
        <w:r>
          <w:rPr>
            <w:color w:val="0A3A8C"/>
            <w:u w:val="single"/>
          </w:rPr>
          <w:t xml:space="preserve">§ 77a</w:t>
        </w:r>
      </w:hyperlink>
      <w:r>
        <w:t xml:space="preserve">. </w:t>
      </w:r>
      <w:r>
        <w:rPr>
          <w:rStyle w:val="Satznummer"/>
        </w:rPr>
        <w:t>3</w:t>
      </w:r>
      <w:r>
        <w:t>Ohne ihre Mitwirkung dürfen sie nur erhoben werden</w:t>
      </w:r>
    </w:p>
    <w:p>
      <w:pPr>
        <w:tabs>
          <w:tab w:pos="567" w:val="left"/>
        </w:tabs>
        <w:ind w:left="567" w:hanging="567"/>
      </w:pPr>
      <w:r>
        <w:t>1.</w:t>
      </w:r>
      <w:r>
        <w:tab/>
      </w:r>
      <w:r>
        <w:t xml:space="preserve">bei den in § 35 des Ersten Buches oder in </w:t>
      </w:r>
      <w:hyperlink w:anchor="b91" w:history="1">
        <w:r>
          <w:rPr>
            <w:color w:val="0A3A8C"/>
            <w:u w:val="single"/>
          </w:rPr>
          <w:t xml:space="preserve">§ 69</w:t>
        </w:r>
      </w:hyperlink>
      <w:r>
        <w:t xml:space="preserve"> Absatz 2 genannten Stellen, wenn</w:t>
      </w:r>
    </w:p>
    <w:p>
      <w:pPr>
        <w:tabs>
          <w:tab w:pos="1134" w:val="left"/>
        </w:tabs>
        <w:ind w:left="1134" w:hanging="567"/>
      </w:pPr>
      <w:r>
        <w:t>a)</w:t>
      </w:r>
      <w:r>
        <w:tab/>
      </w:r>
      <w:r>
        <w:t>diese zur Übermittlung der Daten an die erhebende Stelle befugt sind,</w:t>
      </w:r>
    </w:p>
    <w:p>
      <w:pPr>
        <w:tabs>
          <w:tab w:pos="1134" w:val="left"/>
        </w:tabs>
        <w:ind w:left="1134" w:hanging="567"/>
      </w:pPr>
      <w:r>
        <w:t>b)</w:t>
      </w:r>
      <w:r>
        <w:tab/>
      </w:r>
      <w:r>
        <w:t>die Erhebung bei der betroffenen Person einen unverhältnismäßigen Aufwand erfordern würde und</w:t>
      </w:r>
    </w:p>
    <w:p>
      <w:pPr>
        <w:tabs>
          <w:tab w:pos="1134" w:val="left"/>
        </w:tabs>
        <w:ind w:left="1134" w:hanging="567"/>
      </w:pPr>
      <w:r>
        <w:t>c)</w:t>
      </w:r>
      <w:r>
        <w:tab/>
      </w:r>
      <w:r>
        <w:t>keine Anhaltspunkte dafür bestehen, dass überwiegende schutzwürdige Interessen der betroffenen Person beeinträchtigt werden,</w:t>
      </w:r>
    </w:p>
    <w:p>
      <w:pPr>
        <w:tabs>
          <w:tab w:pos="567" w:val="left"/>
        </w:tabs>
        <w:ind w:left="567" w:hanging="567"/>
      </w:pPr>
      <w:r>
        <w:t>2.</w:t>
      </w:r>
      <w:r>
        <w:tab/>
      </w:r>
      <w:r>
        <w:t>bei anderen Personen oder Stellen, wenn</w:t>
      </w:r>
    </w:p>
    <w:p>
      <w:pPr>
        <w:tabs>
          <w:tab w:pos="1134" w:val="left"/>
        </w:tabs>
        <w:ind w:left="1134" w:hanging="567"/>
      </w:pPr>
      <w:r>
        <w:t>a)</w:t>
      </w:r>
      <w:r>
        <w:tab/>
      </w:r>
      <w:r>
        <w:t>eine Rechtsvorschrift die Erhebung bei ihnen zulässt oder die Übermittlung an die erhebende Stelle ausdrücklich vorschreibt oder</w:t>
      </w:r>
    </w:p>
    <w:p>
      <w:pPr>
        <w:tabs>
          <w:tab w:pos="1134" w:val="left"/>
        </w:tabs>
        <w:ind w:left="1134" w:hanging="567"/>
      </w:pPr>
      <w:r>
        <w:t>b)</w:t>
      </w:r>
      <w:r>
        <w:tab/>
      </w:r>
    </w:p>
    <w:p>
      <w:pPr>
        <w:tabs>
          <w:tab w:pos="1701" w:val="left"/>
        </w:tabs>
        <w:ind w:left="1701" w:hanging="567"/>
      </w:pPr>
      <w:r>
        <w:t>aa)</w:t>
      </w:r>
      <w:r>
        <w:tab/>
      </w:r>
      <w:r>
        <w:t>die Aufgaben nach diesem Gesetzbuch ihrer Art nach eine Erhebung bei anderen Personen oder Stellen erforderlich machen oder</w:t>
      </w:r>
    </w:p>
    <w:p>
      <w:pPr>
        <w:tabs>
          <w:tab w:pos="1701" w:val="left"/>
        </w:tabs>
        <w:ind w:left="1701" w:hanging="567"/>
      </w:pPr>
      <w:r>
        <w:t>bb)</w:t>
      </w:r>
      <w:r>
        <w:tab/>
      </w:r>
      <w:r>
        <w:t>die Erhebung bei der betroffenen Person einen unverhältnismäßigen Aufwand erfordern würde</w:t>
      </w:r>
    </w:p>
    <w:p>
      <w:pPr>
        <w:ind w:left="1134"/>
      </w:pPr>
      <w:r>
        <w:t>und keine Anhaltspunkte dafür bestehen, dass überwiegende schutzwürdige Interessen der betroffenen Person beeinträchtigt werden.</w:t>
      </w:r>
    </w:p>
    <w:p>
      <w:pPr>
        <w:pStyle w:val="Heading3"/>
      </w:pPr>
      <w:bookmarkStart w:id="86" w:name="b85"/>
      <w:r>
        <w:t>§ 67b Speicherung, Veränderung, Nutzung, Übermittlung, Einschränkung der Verarbeitung und Löschung von Sozialdaten</w:t>
      </w:r>
      <w:r>
        <w:t xml:space="preserve"> </w:t>
      </w:r>
      <w:r>
        <w:rPr>
          <w:rStyle w:val="Suchmarke"/>
        </w:rPr>
        <w:t>#67b#</w:t>
      </w:r>
      <w:bookmarkEnd w:id="86"/>
    </w:p>
    <w:p>
      <w:r>
        <w:t xml:space="preserve">(1) </w:t>
      </w:r>
      <w:r>
        <w:rPr>
          <w:rStyle w:val="Satznummer"/>
        </w:rPr>
        <w:t>1</w:t>
      </w:r>
      <w:r>
        <w:t xml:space="preserve">Die Speicherung, Veränderung, Nutzung, Übermittlung, Einschränkung der Verarbeitung und Löschung von Sozialdaten durch die in § 35 des Ersten Buches genannten Stellen ist zulässig, soweit die nachfolgenden Vorschriften oder eine andere Rechtsvorschrift in diesem Gesetzbuch es erlauben oder anordnen. </w:t>
      </w:r>
      <w:r>
        <w:rPr>
          <w:rStyle w:val="Satznummer"/>
        </w:rPr>
        <w:t>2</w:t>
      </w:r>
      <w:r>
        <w:t xml:space="preserve">Dies gilt auch für die besonderen Kategorien personenbezogener Daten im Sinne des Artikels 9 Absatz 1 der Verordnung (EU) 2016/679. </w:t>
      </w:r>
      <w:r>
        <w:rPr>
          <w:rStyle w:val="Satznummer"/>
        </w:rPr>
        <w:t>3</w:t>
      </w:r>
      <w:r>
        <w:t xml:space="preserve">Die Übermittlung von biometrischen, genetischen oder Gesundheitsdaten ist abweichend von Artikel 9 Absatz 2 Buchstabe b, d bis j der Verordnung (EU) 2016/679 nur zulässig, soweit eine gesetzliche Übermittlungsbefugnis nach den </w:t>
      </w:r>
      <w:hyperlink w:anchor="b90" w:history="1">
        <w:r>
          <w:rPr>
            <w:color w:val="0A3A8C"/>
            <w:u w:val="single"/>
          </w:rPr>
          <w:t xml:space="preserve">§§ 68</w:t>
        </w:r>
      </w:hyperlink>
      <w:r>
        <w:t xml:space="preserve"> bis </w:t>
      </w:r>
      <w:hyperlink w:anchor="b100" w:history="1">
        <w:r>
          <w:rPr>
            <w:color w:val="0A3A8C"/>
            <w:u w:val="single"/>
          </w:rPr>
          <w:t xml:space="preserve">77</w:t>
        </w:r>
      </w:hyperlink>
      <w:r>
        <w:t xml:space="preserve"> oder nach einer anderen Rechtsvorschrift in diesem Gesetzbuch vorliegt. </w:t>
      </w:r>
      <w:r>
        <w:rPr>
          <w:rStyle w:val="Satznummer"/>
        </w:rPr>
        <w:t>4</w:t>
      </w:r>
      <w:r>
        <w:t>§ 22 Absatz 2 des Bundesdatenschutzgesetzes gilt entsprechend.</w:t>
      </w:r>
    </w:p>
    <w:p>
      <w:r>
        <w:t xml:space="preserve">(2) </w:t>
      </w:r>
      <w:r>
        <w:rPr>
          <w:rStyle w:val="Satznummer"/>
        </w:rPr>
        <w:t>1</w:t>
      </w:r>
      <w:r>
        <w:t xml:space="preserve">Zum Nachweis im Sinne des Artikels 7 Absatz 1 der Verordnung (EU) 2016/679, dass die betroffene Person in die Verarbeitung ihrer personenbezogenen Daten eingewilligt hat, soll die Einwilligung schriftlich oder elektronisch erfolgen. </w:t>
      </w:r>
      <w:r>
        <w:rPr>
          <w:rStyle w:val="Satznummer"/>
        </w:rPr>
        <w:t>2</w:t>
      </w:r>
      <w:r>
        <w:t xml:space="preserve">Die Einwilligung zur Verarbeitung von genetischen, biometrischen oder Gesundheitsdaten oder Betriebs- oder Geschäftsgeheimnissen hat schriftlich oder elektronisch zu erfolgen, soweit nicht wegen besonderer Umstände eine andere Form angemessen ist. </w:t>
      </w:r>
      <w:r>
        <w:rPr>
          <w:rStyle w:val="Satznummer"/>
        </w:rPr>
        <w:t>3</w:t>
      </w:r>
      <w:r>
        <w:t>Wird die Einwilligung der betroffenen Person eingeholt, ist diese auf den Zweck der vorgesehenen Verarbeitung, auf die Folgen der Verweigerung der Einwilligung sowie auf die jederzeitige Widerrufsmöglichkeit gemäß Artikel 7 Absatz 3 der Verordnung (EU) 2016/679 hinzuweisen.</w:t>
      </w:r>
    </w:p>
    <w:p>
      <w:r>
        <w:t xml:space="preserve">(3) </w:t>
      </w:r>
      <w:r>
        <w:rPr>
          <w:rStyle w:val="Satznummer"/>
        </w:rPr>
        <w:t>1</w:t>
      </w:r>
      <w:r>
        <w:t xml:space="preserve">Die Einwilligung zur Verarbeitung personenbezogener Daten zu Forschungszwecken kann für ein bestimmtes Vorhaben oder für bestimmte Bereiche der wissenschaftlichen Forschung erteilt werden. </w:t>
      </w:r>
      <w:r>
        <w:rPr>
          <w:rStyle w:val="Satznummer"/>
        </w:rPr>
        <w:t>2</w:t>
      </w:r>
      <w:r>
        <w:t xml:space="preserve">Im Bereich der wissenschaftlichen Forschung liegt ein besonderer Umstand im Sinne des Absatzes 2 Satz 2 auch dann vor, wenn durch die Einholung einer schriftlichen oder elektronischen Einwilligung der Forschungszweck erheblich beeinträchtigt würde. </w:t>
      </w:r>
      <w:r>
        <w:rPr>
          <w:rStyle w:val="Satznummer"/>
        </w:rPr>
        <w:t>3</w:t>
      </w:r>
      <w:r>
        <w:t>In diesem Fall sind die Gründe, aus denen sich die erhebliche Beeinträchtigung des Forschungszweckes ergibt, schriftlich festzuhalten.</w:t>
      </w:r>
    </w:p>
    <w:p>
      <w:pPr>
        <w:pStyle w:val="Heading3"/>
      </w:pPr>
      <w:bookmarkStart w:id="87" w:name="b86"/>
      <w:r>
        <w:t>§ 67c Zweckbindung sowie Speicherung, Veränderung und Nutzung von Sozialdaten zu anderen Zwecken</w:t>
      </w:r>
      <w:r>
        <w:t xml:space="preserve"> </w:t>
      </w:r>
      <w:r>
        <w:rPr>
          <w:rStyle w:val="Suchmarke"/>
        </w:rPr>
        <w:t>#67c#</w:t>
      </w:r>
      <w:bookmarkEnd w:id="87"/>
    </w:p>
    <w:p>
      <w:r>
        <w:t xml:space="preserve">(1) </w:t>
      </w:r>
      <w:r>
        <w:rPr>
          <w:rStyle w:val="Satznummer"/>
        </w:rPr>
        <w:t>1</w:t>
      </w:r>
      <w:r>
        <w:t xml:space="preserve">Die Speicherung, Veränderung oder Nutzung von Sozialdaten durch die in § 35 des Ersten Buches genannten Stellen ist zulässig, wenn sie zur Erfüllung der in der Zuständigkeit des Verantwortlichen liegenden gesetzlichen Aufgaben nach diesem Gesetzbuch erforderlich ist und für die Zwecke erfolgt, für die die Daten erhoben worden sind. </w:t>
      </w:r>
      <w:r>
        <w:rPr>
          <w:rStyle w:val="Satznummer"/>
        </w:rPr>
        <w:t>2</w:t>
      </w:r>
      <w:r>
        <w:t>Ist keine Erhebung vorausgegangen, dürfen die Daten nur für die Zwecke geändert oder genutzt werden, für die sie gespeichert worden sind.</w:t>
      </w:r>
    </w:p>
    <w:p>
      <w:r>
        <w:t>(2) Die nach Absatz 1 gespeicherten Daten dürfen von demselben Verantwortlichen für andere Zwecke nur gespeichert, verändert oder genutzt werden, wenn</w:t>
      </w:r>
    </w:p>
    <w:p>
      <w:pPr>
        <w:tabs>
          <w:tab w:pos="567" w:val="left"/>
        </w:tabs>
        <w:ind w:left="567" w:hanging="567"/>
      </w:pPr>
      <w:r>
        <w:t>1.</w:t>
      </w:r>
      <w:r>
        <w:tab/>
      </w:r>
      <w:r>
        <w:t>die Daten für die Erfüllung von Aufgaben nach anderen Rechtsvorschriften dieses Gesetzbuches als diejenigen, für die sie erhoben wurden, erforderlich sind,</w:t>
      </w:r>
    </w:p>
    <w:p>
      <w:pPr>
        <w:tabs>
          <w:tab w:pos="567" w:val="left"/>
        </w:tabs>
        <w:ind w:left="567" w:hanging="567"/>
      </w:pPr>
      <w:r>
        <w:t>2.</w:t>
      </w:r>
      <w:r>
        <w:tab/>
      </w:r>
      <w:r>
        <w:t xml:space="preserve">es zur Durchführung eines bestimmten Vorhabens der wissenschaftlichen Forschung oder Planung im Sozialleistungsbereich erforderlich ist und die Voraussetzungen des </w:t>
      </w:r>
      <w:hyperlink w:anchor="b98" w:history="1">
        <w:r>
          <w:rPr>
            <w:color w:val="0A3A8C"/>
            <w:u w:val="single"/>
          </w:rPr>
          <w:t xml:space="preserve">§ 75</w:t>
        </w:r>
      </w:hyperlink>
      <w:r>
        <w:t xml:space="preserve"> Absatz 1, 2 oder 4a Satz 1 vorliegen.</w:t>
      </w:r>
    </w:p>
    <w:p>
      <w:r>
        <w:t xml:space="preserve">(3) </w:t>
      </w:r>
      <w:r>
        <w:rPr>
          <w:rStyle w:val="Satznummer"/>
        </w:rPr>
        <w:t>1</w:t>
      </w:r>
      <w:r>
        <w:t xml:space="preserve">Die in § 35 des Ersten Buches genannten Stellen dürfen die von ihnen für einen anderen Zweck erhobenen Sozialdaten auch zum Entwickeln, insbesondere zum Trainieren, Validieren und Testen, von KI-Modellen und KI-Systemen speichern, verändern oder nutzen, soweit die Daten dafür erforderlich sind, die Verwendung von anonymisierten Daten zu einer Verfälschung der Verarbeitungsergebnisse führen würde und die KI-Modelle und KI-Systeme der Erfüllung einer gesetzlichen Aufgabe nach diesem Gesetzbuch durch dieselbe Stelle dienen. </w:t>
      </w:r>
      <w:r>
        <w:rPr>
          <w:rStyle w:val="Satznummer"/>
        </w:rPr>
        <w:t>2</w:t>
      </w:r>
      <w:r>
        <w:t xml:space="preserve">Die Sozialdaten sind zu pseudonymisieren. </w:t>
      </w:r>
      <w:r>
        <w:rPr>
          <w:rStyle w:val="Satznummer"/>
        </w:rPr>
        <w:t>3</w:t>
      </w:r>
      <w:r>
        <w:t xml:space="preserve">Unter den in Satz 1 genannten Voraussetzungen dürfen die in § 35 des Ersten Buches genannten Stellen auch pseudonymisierte Sozialdaten von anderen in § 35 des Ersten Buches genannten Stellen erheben, speichern, verändern oder nutzen, soweit diese übermittelten Daten in einem sachlichen Zusammenhang zum Aufgabenbereich der erhebenden Stelle stehen. </w:t>
      </w:r>
      <w:r>
        <w:rPr>
          <w:rStyle w:val="Satznummer"/>
        </w:rPr>
        <w:t>4</w:t>
      </w:r>
      <w:r>
        <w:t xml:space="preserve">Die nach den Sätzen 1 bis 3 erhobenen, gespeicherten, veränderten oder genutzten Daten dürfen nur für die in Satz 1 genannten Zwecke verwendet werden; die Stellen nach den Sätzen 1 und 3 haben die hierfür angemessenen technischen und organisatorischen Vorkehrungen, wie technische Zugriffsbeschränkungen auf eine begrenzte Anzahl von Mitarbeitern, deren besondere Qualifizierung und eine technische Trennung von Datenbeständen nach ihren unterschiedlichen Verarbeitungszwecken, zu treffen sowie eine angemessene Löschfrist festzulegen. </w:t>
      </w:r>
      <w:r>
        <w:rPr>
          <w:rStyle w:val="Satznummer"/>
        </w:rPr>
        <w:t>5</w:t>
      </w:r>
      <w:r>
        <w:t>Soweit Daten nach Artikel 9 der Verordnung (EU) 2016/679 verarbeitet werden, gilt § 22 Absatz 2 des Bundesdatenschutzgesetzes entsprechend.</w:t>
      </w:r>
    </w:p>
    <w:p>
      <w:r>
        <w:t xml:space="preserve">(4) </w:t>
      </w:r>
      <w:r>
        <w:rPr>
          <w:rStyle w:val="Satznummer"/>
        </w:rPr>
        <w:t>1</w:t>
      </w:r>
      <w:r>
        <w:t xml:space="preserve">Eine Speicherung, Veränderung oder Nutzung von Sozialdaten ist zulässig, wenn sie für die Wahrnehmung von Aufsichts-, Kontroll- und Disziplinarbefugnissen, der Rechnungsprüfung oder der Durchführung von Organisationsuntersuchungen für den Verantwortlichen oder für die Wahrung oder Wiederherstellung der Sicherheit und Funktionsfähigkeit eines informationstechnischen Systems durch das Bundesamt für Sicherheit in der Informationstechnik erforderlich ist. </w:t>
      </w:r>
      <w:r>
        <w:rPr>
          <w:rStyle w:val="Satznummer"/>
        </w:rPr>
        <w:t>2</w:t>
      </w:r>
      <w:r>
        <w:t>Das gilt auch für die Veränderung oder Nutzung zu Ausbildungs- und Prüfungszwecken durch den Verantwortlichen, soweit nicht überwiegende schutzwürdige Interessen der betroffenen Person entgegenstehen.</w:t>
      </w:r>
    </w:p>
    <w:p>
      <w:r>
        <w:t>(5) Sozialdaten, die ausschließlich zu Zwecken der Datenschutzkontrolle, der Datensicherung oder zur Sicherstellung eines ordnungsgemäßen Betriebes einer Datenverarbeitungsanlage gespeichert werden, dürfen nur für diese Zwecke verändert, genutzt und in der Verarbeitung eingeschränkt werden.</w:t>
      </w:r>
    </w:p>
    <w:p>
      <w:r>
        <w:t xml:space="preserve">(6) </w:t>
      </w:r>
      <w:r>
        <w:rPr>
          <w:rStyle w:val="Satznummer"/>
        </w:rPr>
        <w:t>1</w:t>
      </w:r>
      <w:r>
        <w:t xml:space="preserve">Für Zwecke der wissenschaftlichen Forschung oder Planung im Sozialleistungsbereich erhobene oder gespeicherte Sozialdaten dürfen von den in § 35 des Ersten Buches genannten Stellen nur für ein bestimmtes Vorhaben der wissenschaftlichen Forschung im Sozialleistungsbereich oder der Planung im Sozialleistungsbereich verändert oder genutzt werden. </w:t>
      </w:r>
      <w:r>
        <w:rPr>
          <w:rStyle w:val="Satznummer"/>
        </w:rPr>
        <w:t>2</w:t>
      </w:r>
      <w:r>
        <w:t xml:space="preserve">Die Sozialdaten sind zu anonymisieren, sobald dies nach dem Forschungs- oder Planungszweck möglich ist. </w:t>
      </w:r>
      <w:r>
        <w:rPr>
          <w:rStyle w:val="Satznummer"/>
        </w:rPr>
        <w:t>3</w:t>
      </w:r>
      <w:r>
        <w:t xml:space="preserve">Bis dahin sind die Merkmale gesondert zu speichern, mit denen Einzelangaben über persönliche oder sachliche Verhältnisse einer bestimmten oder bestimmbaren Person zugeordnet werden können. </w:t>
      </w:r>
      <w:r>
        <w:rPr>
          <w:rStyle w:val="Satznummer"/>
        </w:rPr>
        <w:t>4</w:t>
      </w:r>
      <w:r>
        <w:t>Sie dürfen mit den Einzelangaben nur zusammengeführt werden, soweit der Forschungs- oder Planungszweck dies erfordert.</w:t>
      </w:r>
    </w:p>
    <w:p>
      <w:r>
        <w:t>(7) Die Speicherung und Nutzung der Identifikationsnummer nach dem Identifikationsnummerngesetz ist ausschließlich zum Zweck der eindeutigen Zuordnung der betroffenen Person bei der Erbringung von Verwaltungsleistungen nach dem Onlinezugangsgesetz zulässig sowie zur Qualitätssicherung nach § 10 des Identifikationsnummerngesetzes und zur Erfüllung der Aufgaben nach § 2 des Identifikationsnummerngesetzes.</w:t>
      </w:r>
    </w:p>
    <w:p>
      <w:pPr>
        <w:pStyle w:val="Heading3"/>
      </w:pPr>
      <w:bookmarkStart w:id="88" w:name="b87"/>
      <w:r>
        <w:t>§ 67d Übermittlungsgrundsätze</w:t>
      </w:r>
      <w:r>
        <w:t xml:space="preserve"> </w:t>
      </w:r>
      <w:r>
        <w:rPr>
          <w:rStyle w:val="Suchmarke"/>
        </w:rPr>
        <w:t>#67d#</w:t>
      </w:r>
      <w:bookmarkEnd w:id="88"/>
    </w:p>
    <w:p>
      <w:r>
        <w:t xml:space="preserve">(1) </w:t>
      </w:r>
      <w:r>
        <w:rPr>
          <w:rStyle w:val="Satznummer"/>
        </w:rPr>
        <w:t>1</w:t>
      </w:r>
      <w:r>
        <w:t xml:space="preserve">Die Verantwortung für die Zulässigkeit der Bekanntgabe von Sozialdaten durch ihre Weitergabe an einen Dritten oder durch die Einsichtnahme oder den Abruf eines Dritten von zur Einsicht oder zum Abruf bereitgehaltenen Daten trägt die übermittelnde Stelle. </w:t>
      </w:r>
      <w:r>
        <w:rPr>
          <w:rStyle w:val="Satznummer"/>
        </w:rPr>
        <w:t>2</w:t>
      </w:r>
      <w:r>
        <w:t>Erfolgt die Übermittlung auf Ersuchen des Dritten, an den die Daten übermittelt werden, trägt dieser die Verantwortung für die Richtigkeit der Angaben in seinem Ersuchen.</w:t>
      </w:r>
    </w:p>
    <w:p>
      <w:r>
        <w:t>(2) Sind mit Sozialdaten, die übermittelt werden dürfen, weitere personenbezogene Daten der betroffenen Person oder eines Dritten so verbunden, dass eine Trennung nicht oder nur mit unvertretbarem Aufwand möglich ist, so ist die Übermittlung auch dieser Daten nur zulässig, wenn schutzwürdige Interessen der betroffenen Person oder eines Dritten an deren Geheimhaltung nicht überwiegen; eine Veränderung oder Nutzung dieser Daten ist unzulässig.</w:t>
      </w:r>
    </w:p>
    <w:p>
      <w:r>
        <w:t>(3) Die Übermittlung von Sozialdaten ist auch über Vermittlungsstellen im Rahmen einer Auftragsverarbeitung zulässig.</w:t>
      </w:r>
    </w:p>
    <w:p>
      <w:r>
        <w:t xml:space="preserve">(4) </w:t>
      </w:r>
      <w:r>
        <w:rPr>
          <w:rStyle w:val="Satznummer"/>
        </w:rPr>
        <w:t>1</w:t>
      </w:r>
      <w:r>
        <w:t xml:space="preserve">Zur eindeutigen Zuordnung der betroffenen Person bei der Erbringung von Verwaltungsleistungen nach dem Onlinezugangsgesetz, bei Übermittlungen zur Qualitätssicherung gemäß § 10 des Identifikationsnummerngesetzes sowie zur Erfüllung der Aufgaben nach § 2 des Identifikationsnummerngesetzes ist die Übermittlung der Identifikationsnummer nach dem Identifikationsnummerngesetz mit dem Geburtsdatum der betroffenen Person zulässig. </w:t>
      </w:r>
      <w:r>
        <w:rPr>
          <w:rStyle w:val="Satznummer"/>
        </w:rPr>
        <w:t>2</w:t>
      </w:r>
      <w:r>
        <w:t>Dies gilt auch, wenn in den Rechtsvorschriften zur Übermittlung von Sozialdaten nach diesem Gesetzbuch die Daten nach Satz 1 nicht aufgeführt werden, ihre Übermittlung aber zu den in Satz 1 genannten Zwecken erforderlich ist.</w:t>
      </w:r>
    </w:p>
    <w:p>
      <w:pPr>
        <w:pStyle w:val="Heading3"/>
      </w:pPr>
      <w:bookmarkStart w:id="89" w:name="b88"/>
      <w:r>
        <w:t>§ 67e Erhebung und Übermittlung zur Bekämpfung von Leistungsmissbrauch und illegaler Ausländerbeschäftigung</w:t>
      </w:r>
      <w:r>
        <w:t xml:space="preserve"> </w:t>
      </w:r>
      <w:r>
        <w:rPr>
          <w:rStyle w:val="Suchmarke"/>
        </w:rPr>
        <w:t>#67e#</w:t>
      </w:r>
      <w:bookmarkEnd w:id="89"/>
    </w:p>
    <w:p>
      <w:r>
        <w:rPr>
          <w:rStyle w:val="Satznummer"/>
        </w:rPr>
        <w:t>1</w:t>
      </w:r>
      <w:r>
        <w:t>Bei der Prüfung nach § 2 des Schwarzarbeitsbekämpfungsgesetzes oder nach § 28p des Vierten Buches darf bei der überprüften Person zusätzlich erfragt werden,</w:t>
      </w:r>
    </w:p>
    <w:p>
      <w:pPr>
        <w:tabs>
          <w:tab w:pos="567" w:val="left"/>
        </w:tabs>
        <w:ind w:left="567" w:hanging="567"/>
      </w:pPr>
      <w:r>
        <w:t>1.</w:t>
      </w:r>
      <w:r>
        <w:tab/>
      </w:r>
      <w:r>
        <w:t>ob und welche Art von Sozialleistungen nach diesem Gesetzbuch oder Leistungen nach dem Asylbewerberleistungsgesetz sie bezieht und von welcher Stelle sie diese Leistungen bezieht,</w:t>
      </w:r>
    </w:p>
    <w:p>
      <w:pPr>
        <w:tabs>
          <w:tab w:pos="567" w:val="left"/>
        </w:tabs>
        <w:ind w:left="567" w:hanging="567"/>
      </w:pPr>
      <w:r>
        <w:t>2.</w:t>
      </w:r>
      <w:r>
        <w:tab/>
      </w:r>
      <w:r>
        <w:t>bei welcher Krankenkasse sie versichert oder ob sie als Selbständige tätig ist,</w:t>
      </w:r>
    </w:p>
    <w:p>
      <w:pPr>
        <w:tabs>
          <w:tab w:pos="567" w:val="left"/>
        </w:tabs>
        <w:ind w:left="567" w:hanging="567"/>
      </w:pPr>
      <w:r>
        <w:t>3.</w:t>
      </w:r>
      <w:r>
        <w:tab/>
      </w:r>
      <w:r>
        <w:t>ob und welche Art von Beiträgen nach diesem Gesetzbuch sie abführt und</w:t>
      </w:r>
    </w:p>
    <w:p>
      <w:pPr>
        <w:tabs>
          <w:tab w:pos="567" w:val="left"/>
        </w:tabs>
        <w:ind w:left="567" w:hanging="567"/>
      </w:pPr>
      <w:r>
        <w:t>4.</w:t>
      </w:r>
      <w:r>
        <w:tab/>
      </w:r>
      <w:r>
        <w:t>ob und welche ausländischen Arbeitnehmerinnen und Arbeitnehmer sie mit einer für ihre Tätigkeit erforderlichen Genehmigung und nicht zu ungünstigeren Arbeitsbedingungen als vergleichbare deutsche Arbeitnehmerinnen und Arbeitnehmer beschäftigt.</w:t>
      </w:r>
    </w:p>
    <w:p>
      <w:r>
        <w:rPr>
          <w:rStyle w:val="Satznummer"/>
        </w:rPr>
        <w:t>2</w:t>
      </w:r>
      <w:r>
        <w:t xml:space="preserve">Zu Prüfzwecken dürfen die Antworten auf Fragen nach Satz 1 Nummer 1 an den jeweils zuständigen Leistungsträger und nach Satz 1 Nummer 2 bis 4 an die jeweils zuständige Einzugsstelle und die Bundesagentur für Arbeit übermittelt werden. </w:t>
      </w:r>
      <w:r>
        <w:rPr>
          <w:rStyle w:val="Satznummer"/>
        </w:rPr>
        <w:t>3</w:t>
      </w:r>
      <w:r>
        <w:t>Der Empfänger hat die Prüfung unverzüglich durchzuführen.</w:t>
      </w:r>
    </w:p>
    <w:p>
      <w:pPr>
        <w:pStyle w:val="Heading3"/>
      </w:pPr>
      <w:bookmarkStart w:id="90" w:name="b89"/>
      <w:r>
        <w:t>§ 67f Erhebung und Übermittlung von Sozialdaten zur Nachweiserbringung</w:t>
      </w:r>
      <w:r>
        <w:t xml:space="preserve"> </w:t>
      </w:r>
      <w:r>
        <w:rPr>
          <w:rStyle w:val="Suchmarke"/>
        </w:rPr>
        <w:t>#67f#</w:t>
      </w:r>
      <w:bookmarkEnd w:id="90"/>
    </w:p>
    <w:p>
      <w:r>
        <w:t xml:space="preserve">(1) </w:t>
      </w:r>
      <w:r>
        <w:rPr>
          <w:rStyle w:val="Satznummer"/>
        </w:rPr>
        <w:t>1</w:t>
      </w:r>
      <w:r>
        <w:t>Wird ein Verwaltungsverfahren elektronisch durchgeführt, ist die Erhebung von Sozialdaten zulässig, wenn nach Wahl der betroffenen Person</w:t>
      </w:r>
    </w:p>
    <w:p>
      <w:pPr>
        <w:tabs>
          <w:tab w:pos="567" w:val="left"/>
        </w:tabs>
        <w:ind w:left="567" w:hanging="567"/>
      </w:pPr>
      <w:r>
        <w:t>1.</w:t>
      </w:r>
      <w:r>
        <w:tab/>
      </w:r>
      <w:r>
        <w:t>die nachweisanfordernde Stelle den jeweiligen Nachweis automatisiert bei der nachweisliefernden Stelle abruft, sofern der jeweils erforderliche Nachweis elektronisch vorliegt und ohne zeitlichen Verzug automatisiert abgerufen werden kann, oder</w:t>
      </w:r>
    </w:p>
    <w:p>
      <w:pPr>
        <w:tabs>
          <w:tab w:pos="567" w:val="left"/>
        </w:tabs>
        <w:ind w:left="567" w:hanging="567"/>
      </w:pPr>
      <w:r>
        <w:t>2.</w:t>
      </w:r>
      <w:r>
        <w:tab/>
      </w:r>
      <w:r>
        <w:t>die betroffene Person den jeweiligen Nachweis elektronisch einreicht.</w:t>
      </w:r>
    </w:p>
    <w:p>
      <w:r>
        <w:rPr>
          <w:rStyle w:val="Satznummer"/>
        </w:rPr>
        <w:t>2</w:t>
      </w:r>
      <w:r>
        <w:t xml:space="preserve">Nachweise sind Unterlagen und Daten jeder Art unabhängig vom verwendeten Medium, die zur Ermittlung des Sachverhalts geeignet sind. </w:t>
      </w:r>
      <w:r>
        <w:rPr>
          <w:rStyle w:val="Satznummer"/>
        </w:rPr>
        <w:t>3</w:t>
      </w:r>
      <w:r>
        <w:t xml:space="preserve">Nachweisanfordernde Stelle kann die für die Entscheidung zuständige Behörde oder eine andere öffentliche Stelle sein, die dafür zuständig ist, Nachweise einzuholen und an die für die Entscheidung zuständige Behörde weiterzuleiten. </w:t>
      </w:r>
      <w:r>
        <w:rPr>
          <w:rStyle w:val="Satznummer"/>
        </w:rPr>
        <w:t>4</w:t>
      </w:r>
      <w:r>
        <w:t>Nachweisliefernde Stelle ist diejenige öffentliche Stelle, die dafür zuständig ist, den Nachweis auszustellen.</w:t>
      </w:r>
    </w:p>
    <w:p>
      <w:r>
        <w:t xml:space="preserve">(2) </w:t>
      </w:r>
      <w:r>
        <w:rPr>
          <w:rStyle w:val="Satznummer"/>
        </w:rPr>
        <w:t>1</w:t>
      </w:r>
      <w:r>
        <w:t>Hat sich die betroffene Person für den automatisierten Nachweisabruf entschieden, darf die nachweisanfordernde Stelle den Nachweis der betroffenen Person bei der nachweisliefernden Stelle abrufen und die nachweisliefernde Stelle den Nachweis an die nachweisanfordernde Stelle übermitteln, wenn</w:t>
      </w:r>
    </w:p>
    <w:p>
      <w:pPr>
        <w:tabs>
          <w:tab w:pos="567" w:val="left"/>
        </w:tabs>
        <w:ind w:left="567" w:hanging="567"/>
      </w:pPr>
      <w:r>
        <w:t>1.</w:t>
      </w:r>
      <w:r>
        <w:tab/>
      </w:r>
      <w:r>
        <w:t>dies zur Erfüllung der Aufgabe der nachweisanfordernden Stelle erforderlich ist und</w:t>
      </w:r>
    </w:p>
    <w:p>
      <w:pPr>
        <w:tabs>
          <w:tab w:pos="567" w:val="left"/>
        </w:tabs>
        <w:ind w:left="567" w:hanging="567"/>
      </w:pPr>
      <w:r>
        <w:t>2.</w:t>
      </w:r>
      <w:r>
        <w:tab/>
      </w:r>
      <w:r>
        <w:t>die nachweisanfordernde Stelle den Nachweis auch auf Grund anderer Rechtsvorschriften bei der betroffenen Person erheben dürfte.</w:t>
      </w:r>
    </w:p>
    <w:p>
      <w:r>
        <w:rPr>
          <w:rStyle w:val="Satznummer"/>
        </w:rPr>
        <w:t>2</w:t>
      </w:r>
      <w:r>
        <w:t xml:space="preserve">Die in Absatz 1 Satz 3 zweite Alternative genannte andere öffentliche Stelle darf den Nachweis an die für die Entscheidung zuständige Stelle übermitteln. </w:t>
      </w:r>
      <w:r>
        <w:rPr>
          <w:rStyle w:val="Satznummer"/>
        </w:rPr>
        <w:t>3</w:t>
      </w:r>
      <w:r>
        <w:t xml:space="preserve">Die Datenübermittlungen zwischen öffentlichen Stellen nach diesem Absatz sind durch die jeweiligen Stellen in einer Weise zu protokollieren, die eine Kontrolle der Zulässigkeit von Datenabrufen technisch unterstützt. </w:t>
      </w:r>
      <w:r>
        <w:rPr>
          <w:rStyle w:val="Satznummer"/>
        </w:rPr>
        <w:t>4</w:t>
      </w:r>
      <w:r>
        <w:t xml:space="preserve">Die Pflicht nach Satz 3 gilt ab dem Tag, der dem Tag folgt, an dem das Bundesministerium des Innern und für Heimat im Bundesanzeiger bekannt gibt, dass die technischen und rechtlichen Voraussetzungen für eine Anzeige der Datenübermittlungen nach diesem Absatz im Datenschutzcockpit nach § 10 des Onlinezugangsgesetzes vorliegen. </w:t>
      </w:r>
      <w:r>
        <w:rPr>
          <w:rStyle w:val="Satznummer"/>
        </w:rPr>
        <w:t>5</w:t>
      </w:r>
      <w:r>
        <w:t>§ 9 Absatz 2 und 3 des Identifikationsnummerngesetzes gilt ab diesem Zeitpunkt entsprechend.</w:t>
      </w:r>
    </w:p>
    <w:p>
      <w:r>
        <w:t xml:space="preserve">(3) </w:t>
      </w:r>
      <w:r>
        <w:rPr>
          <w:rStyle w:val="Satznummer"/>
        </w:rPr>
        <w:t>1</w:t>
      </w:r>
      <w:r>
        <w:t xml:space="preserve">Soll der Nachweis aus einem Register, welches in der Anlage zum Identifikationsnummerngesetz aufgeführt ist, abgerufen werden, darf die nachweisanfordernde Stelle die Identifikationsnummer nach § 1 des Identifikationsnummerngesetzes zur Zuordnung der Datensätze der betroffenen Person und zum Abruf des Nachweises an die nachweisliefernde Stelle übermitteln. </w:t>
      </w:r>
      <w:r>
        <w:rPr>
          <w:rStyle w:val="Satznummer"/>
        </w:rPr>
        <w:t>2</w:t>
      </w:r>
      <w:r>
        <w:t xml:space="preserve">Das Nachweisabrufersuchen darf zusätzlich weitere Daten im Sinne von § 4 Absatz 2 und 3 des Identifikationsnummerngesetzes, in der Regel das Geburtsdatum, zur Validierung der Zuordnung enthalten. </w:t>
      </w:r>
      <w:r>
        <w:rPr>
          <w:rStyle w:val="Satznummer"/>
        </w:rPr>
        <w:t>3</w:t>
      </w:r>
      <w:r>
        <w:t>Zu diesem Zweck darf die nachweisliefernde Stelle diese Daten verarbeiten.</w:t>
      </w:r>
    </w:p>
    <w:p>
      <w:r>
        <w:t xml:space="preserve">(4) </w:t>
      </w:r>
      <w:r>
        <w:rPr>
          <w:rStyle w:val="Satznummer"/>
        </w:rPr>
        <w:t>1</w:t>
      </w:r>
      <w:r>
        <w:t xml:space="preserve">Bevor die für die Entscheidung zuständige Behörde den abgerufenen Nachweis verwenden darf, hat die betroffene Person im Fall des Absatzes 1 Satz 1 Nummer 1 die Möglichkeit, den Nachweis vorab einzusehen. </w:t>
      </w:r>
      <w:r>
        <w:rPr>
          <w:rStyle w:val="Satznummer"/>
        </w:rPr>
        <w:t>2</w:t>
      </w:r>
      <w:r>
        <w:t>Die betroffene Person kann entscheiden, ob der Nachweis für das Verwaltungsverfahren verwendet werden soll.</w:t>
      </w:r>
    </w:p>
    <w:p>
      <w:r>
        <w:t>(5) Die Verantwortung für die Zulässigkeit der Nachweiserhebung und des Nachweisabrufs nach Absatz 1 Satz 1 Nummer 1 trägt die nachweisanfordernde Stelle.</w:t>
      </w:r>
    </w:p>
    <w:p>
      <w:pPr>
        <w:pStyle w:val="Heading3"/>
      </w:pPr>
      <w:bookmarkStart w:id="91" w:name="b90"/>
      <w:r>
        <w:t>§ 68 Übermittlung für Aufgaben der Polizeibehörden, der Staatsanwaltschaften, Gerichte und der Behörden der Gefahrenabwehr</w:t>
      </w:r>
      <w:r>
        <w:t xml:space="preserve"> </w:t>
      </w:r>
      <w:r>
        <w:rPr>
          <w:rStyle w:val="Suchmarke"/>
        </w:rPr>
        <w:t>#68#</w:t>
      </w:r>
      <w:bookmarkEnd w:id="91"/>
    </w:p>
    <w:p>
      <w:r>
        <w:t xml:space="preserve">(1) </w:t>
      </w:r>
      <w:r>
        <w:rPr>
          <w:rStyle w:val="Satznummer"/>
        </w:rPr>
        <w:t>1</w:t>
      </w:r>
      <w:r>
        <w:t xml:space="preserve">Zur Erfüllung von Aufgaben der Polizeibehörden, der Staatsanwaltschaften und Gerichte, der Behörden der Gefahrenabwehr und der Justizvollzugsanstalten dürfen im Einzelfall auf Ersuchen Name, Vorname, Geburtsdatum, Geburtsort, derzeitige Anschrift der betroffenen Person, ihr derzeitiger oder zukünftiger Aufenthaltsort sowie Namen, Vornamen oder Firma und Anschriften ihrer derzeitigen Arbeitgeber übermittelt werden, soweit kein Grund zu der Annahme besteht, dass dadurch schutzwürdige Interessen der betroffenen Person beeinträchtigt werden, und wenn das Ersuchen nicht länger als sechs Monate zurückliegt. </w:t>
      </w:r>
      <w:r>
        <w:rPr>
          <w:rStyle w:val="Satznummer"/>
        </w:rPr>
        <w:t>2</w:t>
      </w:r>
      <w:r>
        <w:t xml:space="preserve">Die ersuchte Stelle ist über </w:t>
      </w:r>
      <w:hyperlink w:anchor="b5" w:history="1">
        <w:r>
          <w:rPr>
            <w:color w:val="0A3A8C"/>
            <w:u w:val="single"/>
          </w:rPr>
          <w:t xml:space="preserve">§ 4</w:t>
        </w:r>
      </w:hyperlink>
      <w:r>
        <w:t xml:space="preserve"> Absatz 3 hinaus zur Übermittlung auch dann nicht verpflichtet, wenn sich die ersuchende Stelle die Angaben auf andere Weise beschaffen kann. </w:t>
      </w:r>
      <w:r>
        <w:rPr>
          <w:rStyle w:val="Satznummer"/>
        </w:rPr>
        <w:t>3</w:t>
      </w:r>
      <w:r>
        <w:t xml:space="preserve">Satz 2 findet keine Anwendung, wenn das Amtshilfeersuchen zur Durchführung einer Vollstreckung nach </w:t>
      </w:r>
      <w:hyperlink w:anchor="b79" w:history="1">
        <w:r>
          <w:rPr>
            <w:color w:val="0A3A8C"/>
            <w:u w:val="single"/>
          </w:rPr>
          <w:t xml:space="preserve">§ 66</w:t>
        </w:r>
      </w:hyperlink>
      <w:r>
        <w:t xml:space="preserve"> erforderlich ist.</w:t>
      </w:r>
    </w:p>
    <w:p>
      <w:r>
        <w:t>(1a) Zu dem in § 7 Absatz 3 des Internationalen Familienrechtsverfahrensgesetzes bezeichneten Zweck ist es zulässig, der in dieser Vorschrift bezeichneten Zentralen Behörde auf Ersuchen im Einzelfall den derzeitigen Aufenthalt der betroffenen Person zu übermitteln, soweit kein Grund zur Annahme besteht, dass dadurch schutzwürdige Interessen der betroffenen Person beeinträchtigt werden.</w:t>
      </w:r>
    </w:p>
    <w:p>
      <w:r>
        <w:t>(2) Über das Übermittlungsersuchen entscheidet der Leiter oder die Leiterin der ersuchten Stelle, dessen oder deren allgemeiner Stellvertreter oder allgemeine Stellvertreterin oder eine besonders bevollmächtigte bedienstete Person.</w:t>
      </w:r>
    </w:p>
    <w:p>
      <w:r>
        <w:t xml:space="preserve">(3) </w:t>
      </w:r>
      <w:r>
        <w:rPr>
          <w:rStyle w:val="Satznummer"/>
        </w:rPr>
        <w:t>1</w:t>
      </w:r>
      <w:r>
        <w:t xml:space="preserve">Eine Übermittlung der in Absatz 1 Satz 1 genannten Sozialdaten, von Angaben zur Staats- und Religionsangehörigkeit, früherer Anschriften der betroffenen Personen, von Namen und Anschriften früherer Arbeitgeber der betroffenen Personen sowie von Angaben über an betroffene Personen erbrachte oder demnächst zu erbringende Geldleistungen ist zulässig, soweit sie zur Durchführung einer nach Bundes- oder Landesrecht zulässigen Rasterfahndung erforderlich ist. </w:t>
      </w:r>
      <w:r>
        <w:rPr>
          <w:rStyle w:val="Satznummer"/>
        </w:rPr>
        <w:t>2</w:t>
      </w:r>
      <w:r>
        <w:t xml:space="preserve">Die Verantwortung für die Zulässigkeit der Übermittlung trägt abweichend von § 67d Absatz 1 Satz 1 der Dritte, an den die Daten übermittelt werden. </w:t>
      </w:r>
      <w:r>
        <w:rPr>
          <w:rStyle w:val="Satznummer"/>
        </w:rPr>
        <w:t>3</w:t>
      </w:r>
      <w:r>
        <w:t>Die übermittelnde Stelle prüft nur, ob das Übermittlungsersuchen im Rahmen der Aufgaben des Dritten liegt, an den die Daten übermittelt werden, es sei denn, dass besonderer Anlass zur Prüfung der Zulässigkeit der Übermittlung besteht.</w:t>
      </w:r>
    </w:p>
    <w:p>
      <w:pPr>
        <w:pStyle w:val="Heading3"/>
      </w:pPr>
      <w:bookmarkStart w:id="92" w:name="b91"/>
      <w:r>
        <w:t>§ 69 Übermittlung für die Erfüllung sozialer Aufgaben</w:t>
      </w:r>
      <w:r>
        <w:t xml:space="preserve"> </w:t>
      </w:r>
      <w:r>
        <w:rPr>
          <w:rStyle w:val="Suchmarke"/>
        </w:rPr>
        <w:t>#69#</w:t>
      </w:r>
      <w:bookmarkEnd w:id="92"/>
    </w:p>
    <w:p>
      <w:r>
        <w:t>(1) Eine Übermittlung von Sozialdaten ist zulässig, soweit sie erforderlich ist</w:t>
      </w:r>
    </w:p>
    <w:p>
      <w:pPr>
        <w:tabs>
          <w:tab w:pos="567" w:val="left"/>
        </w:tabs>
        <w:ind w:left="567" w:hanging="567"/>
      </w:pPr>
      <w:r>
        <w:t>1.</w:t>
      </w:r>
      <w:r>
        <w:tab/>
      </w:r>
      <w:r>
        <w:t>für die Erfüllung der Zwecke, für die sie erhoben worden sind, oder für die Erfüllung einer gesetzlichen Aufgabe der übermittelnden Stelle nach diesem Gesetzbuch oder einer solchen Aufgabe des Dritten, an den die Daten übermittelt werden, wenn er eine in § 35 des Ersten Buches genannte Stelle ist,</w:t>
      </w:r>
    </w:p>
    <w:p>
      <w:pPr>
        <w:tabs>
          <w:tab w:pos="567" w:val="left"/>
        </w:tabs>
        <w:ind w:left="567" w:hanging="567"/>
      </w:pPr>
      <w:r>
        <w:t>2.</w:t>
      </w:r>
      <w:r>
        <w:tab/>
      </w:r>
      <w:r>
        <w:t>für die Durchführung eines mit der Erfüllung einer Aufgabe nach Nummer 1 zusammenhängenden gerichtlichen Verfahrens einschließlich eines Strafverfahrens,</w:t>
      </w:r>
    </w:p>
    <w:p>
      <w:pPr>
        <w:tabs>
          <w:tab w:pos="567" w:val="left"/>
        </w:tabs>
        <w:ind w:left="567" w:hanging="567"/>
      </w:pPr>
      <w:r>
        <w:t>3.</w:t>
      </w:r>
      <w:r>
        <w:tab/>
      </w:r>
      <w:r>
        <w:t>für die Richtigstellung unwahrer Tatsachenbehauptungen der betroffenen Person im Zusammenhang mit einem Verfahren über die Erbringung von Sozialleistungen; die Übermittlung bedarf der vorherigen Genehmigung durch die zuständige oberste Bundes- oder Landesbehörde oder</w:t>
      </w:r>
    </w:p>
    <w:p>
      <w:pPr>
        <w:tabs>
          <w:tab w:pos="567" w:val="left"/>
        </w:tabs>
        <w:ind w:left="567" w:hanging="567"/>
      </w:pPr>
      <w:r>
        <w:t>4.</w:t>
      </w:r>
      <w:r>
        <w:tab/>
      </w:r>
      <w:r>
        <w:t xml:space="preserve">für das Entwickeln von KI-Modellen und KI-Systemen unter den Voraussetzungen des </w:t>
      </w:r>
      <w:hyperlink w:anchor="b86" w:history="1">
        <w:r>
          <w:rPr>
            <w:color w:val="0A3A8C"/>
            <w:u w:val="single"/>
          </w:rPr>
          <w:t xml:space="preserve">§ 67c</w:t>
        </w:r>
      </w:hyperlink>
      <w:r>
        <w:t xml:space="preserve"> Absatz 3 Satz 3 bis 5.</w:t>
      </w:r>
    </w:p>
    <w:p>
      <w:r>
        <w:t>(2) Für die Erfüllung einer gesetzlichen oder sich aus einem Tarifvertrag ergebenden Aufgabe sind den in § 35 des Ersten Buches genannten Stellen gleichgestellt</w:t>
      </w:r>
    </w:p>
    <w:p>
      <w:pPr>
        <w:tabs>
          <w:tab w:pos="567" w:val="left"/>
        </w:tabs>
        <w:ind w:left="567" w:hanging="567"/>
      </w:pPr>
      <w:r>
        <w:t>1.</w:t>
      </w:r>
      <w:r>
        <w:tab/>
      </w:r>
      <w:r>
        <w:t>die Stellen, die Leistungen nach dem Lastenausgleichsgesetz, dem Bundesentschädigungsgesetz, dem Strafrechtlichen Rehabilitierungsgesetz, dem Beruflichen Rehabilitierungsgesetz, dem Gesetz über die Entschädigung für Strafverfolgungsmaßnahmen, dem Unterhaltssicherungsgesetz, dem Beamtenversorgungsgesetz und den Vorschriften, die auf das Beamtenversorgungsgesetz verweisen, dem Soldatenentschädigungsgesetz, dem Anspruchs- und Anwartschaftsüberführungsgesetz und den Vorschriften der Länder über die Gewährung von Blinden- und Pflegegeldleistungen zu erbringen haben,</w:t>
      </w:r>
    </w:p>
    <w:p>
      <w:pPr>
        <w:tabs>
          <w:tab w:pos="567" w:val="left"/>
        </w:tabs>
        <w:ind w:left="567" w:hanging="567"/>
      </w:pPr>
      <w:r>
        <w:t>2.</w:t>
      </w:r>
      <w:r>
        <w:tab/>
      </w:r>
      <w:r>
        <w:t>die gemeinsamen Einrichtungen der Tarifvertragsparteien im Sinne des § 4 Absatz 2 des Tarifvertragsgesetzes, die Zusatzversorgungseinrichtungen des öffentlichen Dienstes und die öffentlich-rechtlichen Zusatzversorgungseinrichtungen,</w:t>
      </w:r>
    </w:p>
    <w:p>
      <w:pPr>
        <w:tabs>
          <w:tab w:pos="567" w:val="left"/>
        </w:tabs>
        <w:ind w:left="567" w:hanging="567"/>
      </w:pPr>
      <w:r>
        <w:t>3.</w:t>
      </w:r>
      <w:r>
        <w:tab/>
      </w:r>
      <w:r>
        <w:t>die Bezügestellen des öffentlichen Dienstes, soweit sie kindergeldabhängige Leistungen des Besoldungs-, Versorgungs- und Tarifrechts unter Verwendung von personenbezogenen Kindergelddaten festzusetzen haben.</w:t>
      </w:r>
    </w:p>
    <w:p>
      <w:r>
        <w:t>(3) Die Übermittlung von Sozialdaten durch die Bundesagentur für Arbeit an die Krankenkassen ist zulässig, soweit sie erforderlich ist, den Krankenkassen die Feststellung der Arbeitgeber zu ermöglichen, die am Ausgleich der Arbeitgeberaufwendungen nach dem Aufwendungsausgleichsgesetz teilnehmen.</w:t>
      </w:r>
    </w:p>
    <w:p>
      <w:r>
        <w:t>(4) Die Krankenkassen sind befugt, einem Arbeitgeber mitzuteilen, ob die Fortdauer einer Arbeitsunfähigkeit oder eine erneute Arbeitsunfähigkeit eines Arbeitnehmers auf derselben Krankheit beruht; die Übermittlung von Diagnosedaten an den Arbeitgeber ist nicht zulässig.</w:t>
      </w:r>
    </w:p>
    <w:p>
      <w:r>
        <w:t>(5) Die Übermittlung von Sozialdaten ist zulässig für die Erfüllung der gesetzlichen Aufgaben der Rechnungshöfe und der anderen Stellen, auf die § 67c Absatz 4 Satz 1 Anwendung findet.</w:t>
      </w:r>
    </w:p>
    <w:p>
      <w:pPr>
        <w:pStyle w:val="Heading3"/>
      </w:pPr>
      <w:bookmarkStart w:id="93" w:name="b92"/>
      <w:r>
        <w:t>§ 70 Übermittlung für die Durchführung des Arbeitsschutzes</w:t>
      </w:r>
      <w:r>
        <w:t xml:space="preserve"> </w:t>
      </w:r>
      <w:r>
        <w:rPr>
          <w:rStyle w:val="Suchmarke"/>
        </w:rPr>
        <w:t>#70#</w:t>
      </w:r>
      <w:bookmarkEnd w:id="93"/>
    </w:p>
    <w:p>
      <w:r>
        <w:t>Eine Übermittlung von Sozialdaten ist zulässig, soweit sie zur Erfüllung der gesetzlichen Aufgaben der für den Arbeitsschutz zuständigen staatlichen Behörden oder der Bergbehörden bei der Durchführung des Arbeitsschutzes erforderlich ist und schutzwürdige Interessen der betroffenen Person nicht beeinträchtigt werden oder das öffentliche Interesse an der Durchführung des Arbeitsschutzes das Geheimhaltungsinteresse der betroffenen Person erheblich überwiegt.</w:t>
      </w:r>
    </w:p>
    <w:p>
      <w:pPr>
        <w:pStyle w:val="Heading3"/>
      </w:pPr>
      <w:bookmarkStart w:id="94" w:name="b93"/>
      <w:r>
        <w:t>§ 71 Übermittlung für die Erfüllung besonderer gesetzlicher Pflichten und Mitteilungsbefugnisse</w:t>
      </w:r>
      <w:r>
        <w:t xml:space="preserve"> </w:t>
      </w:r>
      <w:r>
        <w:rPr>
          <w:rStyle w:val="Suchmarke"/>
        </w:rPr>
        <w:t>#71#</w:t>
      </w:r>
      <w:bookmarkEnd w:id="94"/>
    </w:p>
    <w:p>
      <w:r>
        <w:t xml:space="preserve">(1) </w:t>
      </w:r>
      <w:r>
        <w:rPr>
          <w:rStyle w:val="Satznummer"/>
        </w:rPr>
        <w:t>1</w:t>
      </w:r>
      <w:r>
        <w:t>Eine Übermittlung von Sozialdaten ist zulässig, soweit sie erforderlich ist für die Erfüllung der gesetzlichen Mitteilungspflichten</w:t>
      </w:r>
    </w:p>
    <w:p>
      <w:pPr>
        <w:tabs>
          <w:tab w:pos="567" w:val="left"/>
        </w:tabs>
        <w:ind w:left="567" w:hanging="567"/>
      </w:pPr>
      <w:r>
        <w:t>1.</w:t>
      </w:r>
      <w:r>
        <w:tab/>
      </w:r>
      <w:r>
        <w:t>zur Abwendung geplanter Straftaten nach § 138 des Strafgesetzbuches,</w:t>
      </w:r>
    </w:p>
    <w:p>
      <w:pPr>
        <w:tabs>
          <w:tab w:pos="567" w:val="left"/>
        </w:tabs>
        <w:ind w:left="567" w:hanging="567"/>
      </w:pPr>
      <w:r>
        <w:t>2.</w:t>
      </w:r>
      <w:r>
        <w:tab/>
      </w:r>
      <w:r>
        <w:t>zum Schutz der öffentlichen Gesundheit nach § 8 des Infektionsschutzgesetzes,</w:t>
      </w:r>
    </w:p>
    <w:p>
      <w:pPr>
        <w:tabs>
          <w:tab w:pos="567" w:val="left"/>
        </w:tabs>
        <w:ind w:left="567" w:hanging="567"/>
      </w:pPr>
      <w:r>
        <w:t>3.</w:t>
      </w:r>
      <w:r>
        <w:tab/>
      </w:r>
      <w:r>
        <w:t>zur Sicherung des Steueraufkommens nach § 22a des Einkommensteuergesetzes und den §§ 93, 97, 105, 111 Absatz 1 und 5, § 116 der Abgabenordnung und § 32b Absatz 3 des Einkommensteuergesetzes, soweit diese Vorschriften unmittelbar anwendbar sind, und zur Mitteilung von Daten der ausländischen Unternehmen, die auf Grund bilateraler Regierungsvereinbarungen über die Beschäftigung von Arbeitnehmern zur Ausführung von Werkverträgen tätig werden, nach § 93a der Abgabenordnung,</w:t>
      </w:r>
    </w:p>
    <w:p>
      <w:pPr>
        <w:tabs>
          <w:tab w:pos="567" w:val="left"/>
        </w:tabs>
        <w:ind w:left="567" w:hanging="567"/>
      </w:pPr>
      <w:r>
        <w:t>4.</w:t>
      </w:r>
      <w:r>
        <w:tab/>
      </w:r>
      <w:r>
        <w:t>zur Gewährung und Prüfung des Sonderausgabenabzugs nach § 10 des Einkommensteuergesetzes,</w:t>
      </w:r>
    </w:p>
    <w:p>
      <w:pPr>
        <w:tabs>
          <w:tab w:pos="567" w:val="left"/>
        </w:tabs>
        <w:ind w:left="567" w:hanging="567"/>
      </w:pPr>
      <w:r>
        <w:t>5.</w:t>
      </w:r>
      <w:r>
        <w:tab/>
      </w:r>
      <w:r>
        <w:t>zur Überprüfung der Voraussetzungen für die Einziehung der Ausgleichszahlungen und für die Leistung von Wohngeld nach § 33 des Wohngeldgesetzes,</w:t>
      </w:r>
    </w:p>
    <w:p>
      <w:pPr>
        <w:tabs>
          <w:tab w:pos="567" w:val="left"/>
        </w:tabs>
        <w:ind w:left="567" w:hanging="567"/>
      </w:pPr>
      <w:r>
        <w:t>6.</w:t>
      </w:r>
      <w:r>
        <w:tab/>
      </w:r>
      <w:r>
        <w:t>zur Bekämpfung von Schwarzarbeit und illegaler Beschäftigung nach dem Schwarzarbeitsbekämpfungsgesetz,</w:t>
      </w:r>
    </w:p>
    <w:p>
      <w:pPr>
        <w:tabs>
          <w:tab w:pos="567" w:val="left"/>
        </w:tabs>
        <w:ind w:left="567" w:hanging="567"/>
      </w:pPr>
      <w:r>
        <w:t>7.</w:t>
      </w:r>
      <w:r>
        <w:tab/>
      </w:r>
      <w:r>
        <w:t>zur Mitteilung in das Gewerbezentralregister und das Wettbewerbsregister einzutragender Tatsachen an die Registerbehörde,</w:t>
      </w:r>
    </w:p>
    <w:p>
      <w:pPr>
        <w:tabs>
          <w:tab w:pos="567" w:val="left"/>
        </w:tabs>
        <w:ind w:left="567" w:hanging="567"/>
      </w:pPr>
      <w:r>
        <w:t>8.</w:t>
      </w:r>
      <w:r>
        <w:tab/>
      </w:r>
      <w:r>
        <w:t>zur Erfüllung der Aufgaben der statistischen Ämter der Länder und des Statistischen Bundesamtes gemäß § 3 Absatz 1 des Statistikregistergesetzes zum Aufbau und zur Führung des Statistikregisters,</w:t>
      </w:r>
    </w:p>
    <w:p>
      <w:pPr>
        <w:tabs>
          <w:tab w:pos="567" w:val="left"/>
        </w:tabs>
        <w:ind w:left="567" w:hanging="567"/>
      </w:pPr>
      <w:r>
        <w:t>9.</w:t>
      </w:r>
      <w:r>
        <w:tab/>
      </w:r>
      <w:r>
        <w:t>zur Aktualisierung des Betriebsregisters nach § 97 Absatz 5 des Agrarstatistikgesetzes,</w:t>
      </w:r>
    </w:p>
    <w:p>
      <w:pPr>
        <w:tabs>
          <w:tab w:pos="567" w:val="left"/>
        </w:tabs>
        <w:ind w:left="567" w:hanging="567"/>
      </w:pPr>
      <w:r>
        <w:t>10.</w:t>
      </w:r>
      <w:r>
        <w:tab/>
      </w:r>
      <w:r>
        <w:t>zur Erfüllung der Aufgaben der Deutschen Rentenversicherung Bund als zentraler Stelle nach § 22a und § 91 Absatz 1 Satz 1 des Einkommensteuergesetzes,</w:t>
      </w:r>
    </w:p>
    <w:p>
      <w:pPr>
        <w:tabs>
          <w:tab w:pos="567" w:val="left"/>
        </w:tabs>
        <w:ind w:left="567" w:hanging="567"/>
      </w:pPr>
      <w:r>
        <w:t>11.</w:t>
      </w:r>
      <w:r>
        <w:tab/>
      </w:r>
      <w:r>
        <w:t>zur Erfüllung der Aufgaben der Deutschen Rentenversicherung Knappschaft-Bahn-See, soweit sie bei geringfügig Beschäftigten Aufgaben nach dem Einkommensteuergesetz durchführt,</w:t>
      </w:r>
    </w:p>
    <w:p>
      <w:pPr>
        <w:tabs>
          <w:tab w:pos="567" w:val="left"/>
        </w:tabs>
        <w:ind w:left="567" w:hanging="567"/>
      </w:pPr>
      <w:r>
        <w:t>12.</w:t>
      </w:r>
      <w:r>
        <w:tab/>
      </w:r>
      <w:r>
        <w:t>zur Erfüllung der Aufgaben des Statistischen Bundesamtes</w:t>
      </w:r>
    </w:p>
    <w:p>
      <w:pPr>
        <w:tabs>
          <w:tab w:pos="1134" w:val="left"/>
        </w:tabs>
        <w:ind w:left="1134" w:hanging="567"/>
      </w:pPr>
      <w:r>
        <w:t>a)</w:t>
      </w:r>
      <w:r>
        <w:tab/>
      </w:r>
      <w:r>
        <w:t>nach § 5a Absatz 1 in Verbindung mit Absatz 3 des Bundesstatistikgesetzes und</w:t>
      </w:r>
    </w:p>
    <w:p>
      <w:pPr>
        <w:tabs>
          <w:tab w:pos="1134" w:val="left"/>
        </w:tabs>
        <w:ind w:left="1134" w:hanging="567"/>
      </w:pPr>
      <w:r>
        <w:t>b)</w:t>
      </w:r>
      <w:r>
        <w:tab/>
      </w:r>
      <w:r>
        <w:t>nach § 12 des Registerzensuserprobungsgesetzes zum Zwecke der Erprobung von Verfahren zur Ermittlung des Bildungsstands der Bevölkerung,</w:t>
      </w:r>
    </w:p>
    <w:p>
      <w:pPr>
        <w:tabs>
          <w:tab w:pos="567" w:val="left"/>
        </w:tabs>
        <w:ind w:left="567" w:hanging="567"/>
      </w:pPr>
      <w:r>
        <w:t>13.</w:t>
      </w:r>
      <w:r>
        <w:tab/>
      </w:r>
      <w:r>
        <w:t>nach § 58 des Energiefinanzierungsgesetzes zur Berechnung der Bruttowertschöpfung im Verfahren der Besonderen Ausgleichsregelung,</w:t>
      </w:r>
    </w:p>
    <w:p>
      <w:pPr>
        <w:tabs>
          <w:tab w:pos="567" w:val="left"/>
        </w:tabs>
        <w:ind w:left="567" w:hanging="567"/>
      </w:pPr>
      <w:r>
        <w:t>14.</w:t>
      </w:r>
      <w:r>
        <w:tab/>
      </w:r>
      <w:r>
        <w:t>nach § 6 Absatz 3 des Wohnungslosenberichterstattungsgesetzes für die Erhebung über wohnungslose Personen,</w:t>
      </w:r>
    </w:p>
    <w:p>
      <w:pPr>
        <w:tabs>
          <w:tab w:pos="567" w:val="left"/>
        </w:tabs>
        <w:ind w:left="567" w:hanging="567"/>
      </w:pPr>
      <w:r>
        <w:t>15.</w:t>
      </w:r>
      <w:r>
        <w:tab/>
      </w:r>
      <w:r>
        <w:t>nach § 4 des Sozialdienstleister-Einsatzgesetzes für die Feststellung des nachträglichen Erstattungsanspruchs oder</w:t>
      </w:r>
    </w:p>
    <w:p>
      <w:pPr>
        <w:tabs>
          <w:tab w:pos="567" w:val="left"/>
        </w:tabs>
        <w:ind w:left="567" w:hanging="567"/>
      </w:pPr>
      <w:r>
        <w:t>16.</w:t>
      </w:r>
      <w:r>
        <w:tab/>
      </w:r>
      <w:r>
        <w:t>nach § 5 Absatz 1 des Rentenübersichtsgesetzes zur Erfüllung der Aufgaben der Zentralen Stelle für die Digitale Rentenübersicht.</w:t>
      </w:r>
    </w:p>
    <w:p>
      <w:r>
        <w:rPr>
          <w:rStyle w:val="Satznummer"/>
        </w:rPr>
        <w:t>2</w:t>
      </w:r>
      <w:r>
        <w:t xml:space="preserve">Erklärungspflichten als Drittschuldner, welche das Vollstreckungsrecht vorsieht, werden durch Bestimmungen dieses Gesetzbuches nicht berührt. </w:t>
      </w:r>
      <w:r>
        <w:rPr>
          <w:rStyle w:val="Satznummer"/>
        </w:rPr>
        <w:t>3</w:t>
      </w:r>
      <w:r>
        <w:t xml:space="preserve">Eine Übermittlung von Sozialdaten ist zulässig, soweit sie erforderlich ist für die Erfüllung der gesetzlichen Pflichten zur Sicherung und Nutzung von Archivgut des Bundes nach </w:t>
      </w:r>
      <w:hyperlink w:anchor="b2" w:history="1">
        <w:r>
          <w:rPr>
            <w:color w:val="0A3A8C"/>
            <w:u w:val="single"/>
          </w:rPr>
          <w:t xml:space="preserve">§ 1</w:t>
        </w:r>
      </w:hyperlink>
      <w:r>
        <w:t xml:space="preserve"> Nummer 8 und 9, </w:t>
      </w:r>
      <w:hyperlink w:anchor="b4" w:history="1">
        <w:r>
          <w:rPr>
            <w:color w:val="0A3A8C"/>
            <w:u w:val="single"/>
          </w:rPr>
          <w:t xml:space="preserve">§ 3</w:t>
        </w:r>
      </w:hyperlink>
      <w:r>
        <w:t xml:space="preserve"> Absatz 4, nach den </w:t>
      </w:r>
      <w:hyperlink w:anchor="b6" w:history="1">
        <w:r>
          <w:rPr>
            <w:color w:val="0A3A8C"/>
            <w:u w:val="single"/>
          </w:rPr>
          <w:t xml:space="preserve">§§ 5</w:t>
        </w:r>
      </w:hyperlink>
      <w:r>
        <w:t xml:space="preserve"> bis </w:t>
      </w:r>
      <w:hyperlink w:anchor="b8" w:history="1">
        <w:r>
          <w:rPr>
            <w:color w:val="0A3A8C"/>
            <w:u w:val="single"/>
          </w:rPr>
          <w:t xml:space="preserve">7</w:t>
        </w:r>
      </w:hyperlink>
      <w:r>
        <w:t xml:space="preserve"> sowie nach den §§ 10 bis 13 des Bundesarchivgesetzes oder nach entsprechenden gesetzlichen Vorschriften der Länder, die die Schutzfristen dieses Gesetzes nicht unterschreiten. </w:t>
      </w:r>
      <w:r>
        <w:rPr>
          <w:rStyle w:val="Satznummer"/>
        </w:rPr>
        <w:t>4</w:t>
      </w:r>
      <w:r>
        <w:t xml:space="preserve">Eine Übermittlung von Sozialdaten ist auch zulässig, soweit sie erforderlich ist, Meldebehörden nach § 6 Absatz 2 des Bundesmeldegesetzes über konkrete Anhaltspunkte für die Unrichtigkeit oder Unvollständigkeit von diesen auf Grund Melderechts übermittelter Daten zu unterrichten. </w:t>
      </w:r>
      <w:r>
        <w:rPr>
          <w:rStyle w:val="Satznummer"/>
        </w:rPr>
        <w:t>5</w:t>
      </w:r>
      <w:r>
        <w:t xml:space="preserve">Zur Überprüfung des Anspruchs auf Kindergeld ist die Übermittlung von Sozialdaten gemäß § 68 Absatz 7 des Einkommensteuergesetzes an die Familienkassen zulässig. </w:t>
      </w:r>
      <w:r>
        <w:rPr>
          <w:rStyle w:val="Satznummer"/>
        </w:rPr>
        <w:t>6</w:t>
      </w:r>
      <w:r>
        <w:t xml:space="preserve">Eine Übermittlung von Sozialdaten ist auch zulässig, soweit sie zum Schutz des Kindeswohls nach § 4 Absatz 1 und 5 des Gesetzes zur Kooperation und Information im Kinderschutz erforderlich ist. </w:t>
      </w:r>
      <w:r>
        <w:rPr>
          <w:rStyle w:val="Satznummer"/>
        </w:rPr>
        <w:t>7</w:t>
      </w:r>
      <w:r>
        <w:t>Eine Übermittlung von Sozialdaten ist zulässig, soweit sie für die Qualitätssicherung nach § 10 des Identifikationsnummerngesetzes erforderlich ist.</w:t>
      </w:r>
    </w:p>
    <w:p>
      <w:r>
        <w:t xml:space="preserve">(2) </w:t>
      </w:r>
      <w:r>
        <w:rPr>
          <w:rStyle w:val="Satznummer"/>
        </w:rPr>
        <w:t>1</w:t>
      </w:r>
      <w:r>
        <w:t>Eine Übermittlung von Sozialdaten eines Ausländers ist auch zulässig, soweit sie erforderlich ist</w:t>
      </w:r>
    </w:p>
    <w:p>
      <w:pPr>
        <w:tabs>
          <w:tab w:pos="567" w:val="left"/>
        </w:tabs>
        <w:ind w:left="567" w:hanging="567"/>
      </w:pPr>
      <w:r>
        <w:t>1.</w:t>
      </w:r>
      <w:r>
        <w:tab/>
      </w:r>
      <w:r>
        <w:t xml:space="preserve">im Einzelfall auf Ersuchen der mit der Ausführung des Aufenthaltsgesetzes betrauten Behörden nach § 87 Absatz 1 des Aufenthaltsgesetzes mit der Maßgabe, dass über die Angaben nach </w:t>
      </w:r>
      <w:hyperlink w:anchor="b90" w:history="1">
        <w:r>
          <w:rPr>
            <w:color w:val="0A3A8C"/>
            <w:u w:val="single"/>
          </w:rPr>
          <w:t xml:space="preserve">§ 68</w:t>
        </w:r>
      </w:hyperlink>
      <w:r>
        <w:t xml:space="preserve"> hinaus nur mitgeteilt werden können</w:t>
      </w:r>
    </w:p>
    <w:p>
      <w:pPr>
        <w:tabs>
          <w:tab w:pos="1134" w:val="left"/>
        </w:tabs>
        <w:ind w:left="1134" w:hanging="567"/>
      </w:pPr>
      <w:r>
        <w:t>a)</w:t>
      </w:r>
      <w:r>
        <w:tab/>
      </w:r>
      <w:r>
        <w:t>für die Entscheidung über den Aufenthalt des Ausländers oder eines Familienangehörigen des Ausländers Daten über die Gewährung oder Nichtgewährung von Leistungen, Daten über frühere und bestehende Versicherungen und das Nichtbestehen einer Versicherung,</w:t>
      </w:r>
    </w:p>
    <w:p>
      <w:pPr>
        <w:tabs>
          <w:tab w:pos="1134" w:val="left"/>
        </w:tabs>
        <w:ind w:left="1134" w:hanging="567"/>
      </w:pPr>
      <w:r>
        <w:t>b)</w:t>
      </w:r>
      <w:r>
        <w:tab/>
      </w:r>
      <w:r>
        <w:t>für die Entscheidung über den Aufenthalt oder über die ausländerrechtliche Zulassung oder Beschränkung einer Erwerbstätigkeit des Ausländers Daten über die Zustimmung nach § 4a Absatz 2 Satz 1, § 16a Absatz 1 Satz 1 und § 18 Absatz 2 Nummer 2 des Aufenthaltsgesetzes,</w:t>
      </w:r>
    </w:p>
    <w:p>
      <w:pPr>
        <w:tabs>
          <w:tab w:pos="1134" w:val="left"/>
        </w:tabs>
        <w:ind w:left="1134" w:hanging="567"/>
      </w:pPr>
      <w:r>
        <w:t>c)</w:t>
      </w:r>
      <w:r>
        <w:tab/>
      </w:r>
      <w:r>
        <w:t>für eine Entscheidung über den Aufenthalt des Ausländers Angaben darüber, ob die in § 54 Absatz 2 Nummer 4 des Aufenthaltsgesetzes bezeichneten Voraussetzungen vorliegen, und</w:t>
      </w:r>
    </w:p>
    <w:p>
      <w:pPr>
        <w:tabs>
          <w:tab w:pos="1134" w:val="left"/>
        </w:tabs>
        <w:ind w:left="1134" w:hanging="567"/>
      </w:pPr>
      <w:r>
        <w:t>d)</w:t>
      </w:r>
      <w:r>
        <w:tab/>
      </w:r>
      <w:r>
        <w:t>durch die Jugendämter für die Entscheidung über den weiteren Aufenthalt oder die Beendigung des Aufenthalts eines Ausländers, bei dem ein Ausweisungsgrund nach den §§ 53 bis 56 des Aufenthaltsgesetzes vorliegt, Angaben über das zu erwartende soziale Verhalten,</w:t>
      </w:r>
    </w:p>
    <w:p>
      <w:pPr>
        <w:tabs>
          <w:tab w:pos="567" w:val="left"/>
        </w:tabs>
        <w:ind w:left="567" w:hanging="567"/>
      </w:pPr>
      <w:r>
        <w:t>2.</w:t>
      </w:r>
      <w:r>
        <w:tab/>
      </w:r>
      <w:r>
        <w:t>für die Erfüllung der in § 87 Absatz 2 und 7 des Aufenthaltsgesetzes bezeichneten Mitteilungspflichten,</w:t>
      </w:r>
    </w:p>
    <w:p>
      <w:pPr>
        <w:tabs>
          <w:tab w:pos="567" w:val="left"/>
        </w:tabs>
        <w:ind w:left="567" w:hanging="567"/>
      </w:pPr>
      <w:r>
        <w:t>3.</w:t>
      </w:r>
      <w:r>
        <w:tab/>
      </w:r>
      <w:r>
        <w:t>für die Erfüllung der in § 99 Absatz 1 Nummer 14 Buchstabe d, f und j des Aufenthaltsgesetzes bezeichneten Mitteilungspflichten, wenn die Mitteilung die Erteilung, den Widerruf oder Beschränkungen der Zustimmung nach § 4 Absatz 2 Satz 1, § 16a Absatz 1 Satz 1 und § 18 Absatz 2 Nummer 2 des Aufenthaltsgesetzes oder eines Versicherungsschutzes oder die Gewährung von Leistungen zur Sicherung des Lebensunterhalts nach dem Zweiten Buch betrifft,</w:t>
      </w:r>
    </w:p>
    <w:p>
      <w:pPr>
        <w:tabs>
          <w:tab w:pos="567" w:val="left"/>
        </w:tabs>
        <w:ind w:left="567" w:hanging="567"/>
      </w:pPr>
      <w:r>
        <w:t>4.</w:t>
      </w:r>
      <w:r>
        <w:tab/>
      </w:r>
      <w:r>
        <w:t xml:space="preserve">für die Erfüllung der in </w:t>
      </w:r>
      <w:hyperlink w:anchor="b7" w:history="1">
        <w:r>
          <w:rPr>
            <w:color w:val="0A3A8C"/>
            <w:u w:val="single"/>
          </w:rPr>
          <w:t xml:space="preserve">§ 6</w:t>
        </w:r>
      </w:hyperlink>
      <w:r>
        <w:t xml:space="preserve"> Absatz 1 Nummer 8 in Verbindung mit Absatz 2 Nummer 6 des Gesetzes über das Ausländerzentralregister bezeichneten Mitteilungspflichten,</w:t>
      </w:r>
    </w:p>
    <w:p>
      <w:pPr>
        <w:tabs>
          <w:tab w:pos="567" w:val="left"/>
        </w:tabs>
        <w:ind w:left="567" w:hanging="567"/>
      </w:pPr>
      <w:r>
        <w:t>5.</w:t>
      </w:r>
      <w:r>
        <w:tab/>
      </w:r>
      <w:r>
        <w:t>für die Erfüllung der in § 32 Absatz 1 Satz 1 und 2 des Staatsangehörigkeitsgesetzes bezeichneten Mitteilungspflichten oder</w:t>
      </w:r>
    </w:p>
    <w:p>
      <w:pPr>
        <w:tabs>
          <w:tab w:pos="567" w:val="left"/>
        </w:tabs>
        <w:ind w:left="567" w:hanging="567"/>
      </w:pPr>
      <w:r>
        <w:t>6.</w:t>
      </w:r>
      <w:r>
        <w:tab/>
      </w:r>
      <w:r>
        <w:t>für die Erfüllung der nach § 8 Absatz 1c des Asylgesetzes bezeichneten Mitteilungspflichten der Träger der Grundsicherung für Arbeitsuchende.</w:t>
      </w:r>
    </w:p>
    <w:p>
      <w:r>
        <w:rPr>
          <w:rStyle w:val="Satznummer"/>
        </w:rPr>
        <w:t>2</w:t>
      </w:r>
      <w:r>
        <w:t>Daten über die Gesundheit eines Ausländers dürfen nur übermittelt werden,</w:t>
      </w:r>
    </w:p>
    <w:p>
      <w:pPr>
        <w:tabs>
          <w:tab w:pos="567" w:val="left"/>
        </w:tabs>
        <w:ind w:left="567" w:hanging="567"/>
      </w:pPr>
      <w:r>
        <w:t>1.</w:t>
      </w:r>
      <w:r>
        <w:tab/>
      </w:r>
      <w:r>
        <w:t>wenn der Ausländer die öffentliche Gesundheit gefährdet und besondere Schutzmaßnahmen zum Ausschluss der Gefährdung nicht möglich sind oder von dem Ausländer nicht eingehalten werden oder</w:t>
      </w:r>
    </w:p>
    <w:p>
      <w:pPr>
        <w:tabs>
          <w:tab w:pos="567" w:val="left"/>
        </w:tabs>
        <w:ind w:left="567" w:hanging="567"/>
      </w:pPr>
      <w:r>
        <w:t>2.</w:t>
      </w:r>
      <w:r>
        <w:tab/>
      </w:r>
      <w:r>
        <w:t>soweit sie für die Feststellung erforderlich sind, ob die Voraussetzungen des § 54 Absatz 2 Nummer 4 des Aufenthaltsgesetzes vorliegen.</w:t>
      </w:r>
    </w:p>
    <w:p>
      <w:r>
        <w:t>(2a) Eine Übermittlung personenbezogener Daten eines Leistungsberechtigten nach § 1 des Asylbewerberleistungsgesetzes ist zulässig, soweit sie für die Durchführung des Asylbewerberleistungsgesetzes erforderlich ist.</w:t>
      </w:r>
    </w:p>
    <w:p>
      <w:r>
        <w:t xml:space="preserve">(3) </w:t>
      </w:r>
      <w:r>
        <w:rPr>
          <w:rStyle w:val="Satznummer"/>
        </w:rPr>
        <w:t>1</w:t>
      </w:r>
      <w:r>
        <w:t xml:space="preserve">Eine Übermittlung von Sozialdaten ist zulässig, soweit es nach pflichtgemäßem Ermessen eines Leistungsträgers erforderlich ist, dem Betreuungsgericht die Bestellung eines Betreuers oder eine andere Maßnahme in Betreuungssachen zu ermöglichen. </w:t>
      </w:r>
      <w:r>
        <w:rPr>
          <w:rStyle w:val="Satznummer"/>
        </w:rPr>
        <w:t>2</w:t>
      </w:r>
      <w:r>
        <w:t xml:space="preserve">§ 9 des Betreuungsorganisationsgesetzes gilt entsprechend. </w:t>
      </w:r>
      <w:r>
        <w:rPr>
          <w:rStyle w:val="Satznummer"/>
        </w:rPr>
        <w:t>3</w:t>
      </w:r>
      <w:r>
        <w:t>Eine Übermittlung von Sozialdaten ist auch zulässig, soweit sie im Einzelfall für die Erfüllung der Aufgaben der Betreuungsbehörden nach § 8 des Betreuungsorganisationsgesetzes erforderlich ist.</w:t>
      </w:r>
    </w:p>
    <w:p>
      <w:r>
        <w:t xml:space="preserve">(4) </w:t>
      </w:r>
      <w:r>
        <w:rPr>
          <w:rStyle w:val="Satznummer"/>
        </w:rPr>
        <w:t>1</w:t>
      </w:r>
      <w:r>
        <w:t xml:space="preserve">Eine Übermittlung von Sozialdaten ist außerdem zulässig, soweit sie im Einzelfall für die rechtmäßige Erfüllung der in der Zuständigkeit der Zentralstelle für Finanztransaktionsuntersuchungen liegenden Aufgaben nach § 28 Absatz 1 Satz 2 Nummer 2 des Geldwäschegesetzes erforderlich ist. </w:t>
      </w:r>
      <w:r>
        <w:rPr>
          <w:rStyle w:val="Satznummer"/>
        </w:rPr>
        <w:t>2</w:t>
      </w:r>
      <w:r>
        <w:t>Die Übermittlung ist auf Angaben über Name, Vorname sowie früher geführte Namen, Geburtsdatum, Geburtsort, derzeitige und frühere Anschriften der betroffenen Person sowie Namen und Anschriften seiner derzeitigen und früheren Arbeitgeber beschränkt.</w:t>
      </w:r>
    </w:p>
    <w:p>
      <w:pPr>
        <w:pStyle w:val="Heading3"/>
      </w:pPr>
      <w:bookmarkStart w:id="95" w:name="b94"/>
      <w:r>
        <w:t>§ 72 Übermittlung für den Schutz der inneren und äußeren Sicherheit</w:t>
      </w:r>
      <w:r>
        <w:t xml:space="preserve"> </w:t>
      </w:r>
      <w:r>
        <w:rPr>
          <w:rStyle w:val="Suchmarke"/>
        </w:rPr>
        <w:t>#72#</w:t>
      </w:r>
      <w:bookmarkEnd w:id="95"/>
    </w:p>
    <w:p>
      <w:r>
        <w:t xml:space="preserve">(1) </w:t>
      </w:r>
      <w:r>
        <w:rPr>
          <w:rStyle w:val="Satznummer"/>
        </w:rPr>
        <w:t>1</w:t>
      </w:r>
      <w:r>
        <w:t xml:space="preserve">Eine Übermittlung von Sozialdaten ist zulässig, soweit sie im Einzelfall für die rechtmäßige Erfüllung der in der Zuständigkeit der Behörden für Verfassungsschutz, des Bundesnachrichtendienstes, des Militärischen Abschirmdienstes und des Bundeskriminalamtes liegenden Aufgaben erforderlich ist. </w:t>
      </w:r>
      <w:r>
        <w:rPr>
          <w:rStyle w:val="Satznummer"/>
        </w:rPr>
        <w:t>2</w:t>
      </w:r>
      <w:r>
        <w:t>Die Übermittlung ist auf Angaben über Name und Vorname sowie früher geführte Namen, Geburtsdatum, Geburtsort, derzeitige und frühere Anschriften der betroffenen Person sowie Namen und Anschriften ihrer derzeitigen und früheren Arbeitgeber beschränkt.</w:t>
      </w:r>
    </w:p>
    <w:p>
      <w:r>
        <w:t xml:space="preserve">(2) </w:t>
      </w:r>
      <w:r>
        <w:rPr>
          <w:rStyle w:val="Satznummer"/>
        </w:rPr>
        <w:t>1</w:t>
      </w:r>
      <w:r>
        <w:t xml:space="preserve">Über die Erforderlichkeit des Übermittlungsersuchens entscheidet eine von dem Leiter oder der Leiterin der ersuchenden Stelle bestimmte beauftragte Person, die die Befähigung zum Richteramt haben soll. </w:t>
      </w:r>
      <w:r>
        <w:rPr>
          <w:rStyle w:val="Satznummer"/>
        </w:rPr>
        <w:t>2</w:t>
      </w:r>
      <w:r>
        <w:t xml:space="preserve">Wenn eine oberste Bundes- oder Landesbehörde für die Aufsicht über die ersuchende Stelle zuständig ist, ist sie über die gestellten Übermittlungsersuchen zu unterrichten. </w:t>
      </w:r>
      <w:r>
        <w:rPr>
          <w:rStyle w:val="Satznummer"/>
        </w:rPr>
        <w:t>3</w:t>
      </w:r>
      <w:r>
        <w:t>Bei der ersuchten Stelle entscheidet über das Übermittlungsersuchen der Behördenleiter oder die Behördenleiterin oder dessen oder deren allgemeiner Stellvertreter oder allgemeine Stellvertreterin.</w:t>
      </w:r>
    </w:p>
    <w:p>
      <w:pPr>
        <w:pStyle w:val="Heading3"/>
      </w:pPr>
      <w:bookmarkStart w:id="96" w:name="b95"/>
      <w:r>
        <w:t>§ 73 Übermittlung für die Durchführung eines Strafverfahrens</w:t>
      </w:r>
      <w:r>
        <w:t xml:space="preserve"> </w:t>
      </w:r>
      <w:r>
        <w:rPr>
          <w:rStyle w:val="Suchmarke"/>
        </w:rPr>
        <w:t>#73#</w:t>
      </w:r>
      <w:bookmarkEnd w:id="96"/>
    </w:p>
    <w:p>
      <w:r>
        <w:t>(1) Eine Übermittlung von Sozialdaten ist zulässig, soweit sie zur Durchführung eines Strafverfahrens wegen eines Verbrechens oder wegen einer sonstigen Straftat von erheblicher Bedeutung erforderlich ist.</w:t>
      </w:r>
    </w:p>
    <w:p>
      <w:r>
        <w:t xml:space="preserve">(2) Eine Übermittlung von Sozialdaten zur Durchführung eines Strafverfahrens wegen einer anderen Straftat ist zulässig, soweit die Übermittlung auf die in </w:t>
      </w:r>
      <w:hyperlink w:anchor="b94" w:history="1">
        <w:r>
          <w:rPr>
            <w:color w:val="0A3A8C"/>
            <w:u w:val="single"/>
          </w:rPr>
          <w:t xml:space="preserve">§ 72</w:t>
        </w:r>
      </w:hyperlink>
      <w:r>
        <w:t xml:space="preserve"> Absatz 1 Satz 2 genannten Angaben und die Angaben über erbrachte oder demnächst zu erbringende Geldleistungen beschränkt ist.</w:t>
      </w:r>
    </w:p>
    <w:p>
      <w:r>
        <w:t>(3) Die Übermittlung nach den Absätzen 1 und 2 ordnet der Richter oder die Richterin an.</w:t>
      </w:r>
    </w:p>
    <w:p>
      <w:pPr>
        <w:pStyle w:val="Heading3"/>
      </w:pPr>
      <w:bookmarkStart w:id="97" w:name="b96"/>
      <w:r>
        <w:t>§ 74 Übermittlung bei Verletzung der Unterhaltspflicht und beim Versorgungsausgleich</w:t>
      </w:r>
      <w:r>
        <w:t xml:space="preserve"> </w:t>
      </w:r>
      <w:r>
        <w:rPr>
          <w:rStyle w:val="Suchmarke"/>
        </w:rPr>
        <w:t>#74#</w:t>
      </w:r>
      <w:bookmarkEnd w:id="97"/>
    </w:p>
    <w:p>
      <w:r>
        <w:t xml:space="preserve">(1) </w:t>
      </w:r>
      <w:r>
        <w:rPr>
          <w:rStyle w:val="Satznummer"/>
        </w:rPr>
        <w:t>1</w:t>
      </w:r>
      <w:r>
        <w:t>Eine Übermittlung von Sozialdaten ist zulässig, soweit sie erforderlich ist</w:t>
      </w:r>
    </w:p>
    <w:p>
      <w:pPr>
        <w:tabs>
          <w:tab w:pos="567" w:val="left"/>
        </w:tabs>
        <w:ind w:left="567" w:hanging="567"/>
      </w:pPr>
      <w:r>
        <w:t>1.</w:t>
      </w:r>
      <w:r>
        <w:tab/>
      </w:r>
      <w:r>
        <w:t>für die Durchführung</w:t>
      </w:r>
    </w:p>
    <w:p>
      <w:pPr>
        <w:tabs>
          <w:tab w:pos="1134" w:val="left"/>
        </w:tabs>
        <w:ind w:left="1134" w:hanging="567"/>
      </w:pPr>
      <w:r>
        <w:t>a)</w:t>
      </w:r>
      <w:r>
        <w:tab/>
      </w:r>
      <w:r>
        <w:t>eines gerichtlichen Verfahrens oder eines Vollstreckungsverfahrens wegen eines gesetzlichen oder vertraglichen Unterhaltsanspruchs oder eines an seine Stelle getretenen Ersatzanspruchs oder</w:t>
      </w:r>
    </w:p>
    <w:p>
      <w:pPr>
        <w:tabs>
          <w:tab w:pos="1134" w:val="left"/>
        </w:tabs>
        <w:ind w:left="1134" w:hanging="567"/>
      </w:pPr>
      <w:r>
        <w:t>b)</w:t>
      </w:r>
      <w:r>
        <w:tab/>
      </w:r>
      <w:r>
        <w:t>eines Verfahrens über den Versorgungsausgleich nach § 220 des Gesetzes über das Verfahren in Familiensachen und in den Angelegenheiten der freiwilligen Gerichtsbarkeit oder</w:t>
      </w:r>
    </w:p>
    <w:p>
      <w:pPr>
        <w:tabs>
          <w:tab w:pos="567" w:val="left"/>
        </w:tabs>
        <w:ind w:left="567" w:hanging="567"/>
      </w:pPr>
      <w:r>
        <w:t>2.</w:t>
      </w:r>
      <w:r>
        <w:tab/>
      </w:r>
      <w:r>
        <w:t>für die Geltendmachung</w:t>
      </w:r>
    </w:p>
    <w:p>
      <w:pPr>
        <w:tabs>
          <w:tab w:pos="1134" w:val="left"/>
        </w:tabs>
        <w:ind w:left="1134" w:hanging="567"/>
      </w:pPr>
      <w:r>
        <w:t>a)</w:t>
      </w:r>
      <w:r>
        <w:tab/>
      </w:r>
      <w:r>
        <w:t>eines gesetzlichen oder vertraglichen Unterhaltsanspruchs außerhalb eines Verfahrens nach Nummer 1 Buchstabe a, soweit die betroffene Person nach den Vorschriften des bürgerlichen Rechts, insbesondere nach § 1605 oder nach § 1361 Absatz 4 Satz 4, § 1580 Satz 2, § 1615a oder § 1615l Absatz 3 Satz 1 in Verbindung mit § 1605 des Bürgerlichen Gesetzbuchs, zur Auskunft verpflichtet ist, oder</w:t>
      </w:r>
    </w:p>
    <w:p>
      <w:pPr>
        <w:tabs>
          <w:tab w:pos="1134" w:val="left"/>
        </w:tabs>
        <w:ind w:left="1134" w:hanging="567"/>
      </w:pPr>
      <w:r>
        <w:t>b)</w:t>
      </w:r>
      <w:r>
        <w:tab/>
      </w:r>
      <w:r>
        <w:t>eines Ausgleichsanspruchs im Rahmen des Versorgungsausgleichs außerhalb eines Verfahrens nach Nummer 1 Buchstabe b, soweit die betroffene Person nach § 4 Absatz 1 des Versorgungsausgleichsgesetzes zur Auskunft verpflichtet ist, oder</w:t>
      </w:r>
    </w:p>
    <w:p>
      <w:pPr>
        <w:tabs>
          <w:tab w:pos="567" w:val="left"/>
        </w:tabs>
        <w:ind w:left="567" w:hanging="567"/>
      </w:pPr>
      <w:r>
        <w:t>3.</w:t>
      </w:r>
      <w:r>
        <w:tab/>
      </w:r>
      <w:r>
        <w:t>für die Anwendung der Öffnungsklausel des § 22 Nummer 1 Satz 3 Buchstabe a Doppelbuchstabe bb Satz 2 des Einkommensteuergesetzes auf eine im Versorgungsausgleich auf die ausgleichsberechtigte Person übertragene Rentenanwartschaft, soweit die ausgleichspflichtige Person nach § 22 Nummer 1 Satz 3 Buchstabe a Doppelbuchstabe bb Satz 2 des Einkommensteuergesetzes in Verbindung mit § 4 Absatz 1 des Versorgungsausgleichsgesetzes zur Auskunft verpflichtet ist.</w:t>
      </w:r>
    </w:p>
    <w:p>
      <w:r>
        <w:rPr>
          <w:rStyle w:val="Satznummer"/>
        </w:rPr>
        <w:t>2</w:t>
      </w:r>
      <w:r>
        <w:t xml:space="preserve">In den Fällen des Satzes 1 Nummer 2 und 3 ist eine Übermittlung nur zulässig, wenn die auskunftspflichtige Person ihre Pflicht, nachdem sie unter Hinweis auf die in diesem Buch enthaltene Übermittlungsbefugnis der in § 35 des Ersten Buches genannten Stellen gemahnt wurde, innerhalb angemessener Frist nicht oder nicht vollständig erfüllt hat. </w:t>
      </w:r>
      <w:r>
        <w:rPr>
          <w:rStyle w:val="Satznummer"/>
        </w:rPr>
        <w:t>3</w:t>
      </w:r>
      <w:r>
        <w:t>Diese Stellen dürfen die Anschrift der auskunftspflichtigen Person zum Zwecke der Mahnung übermitteln.</w:t>
      </w:r>
    </w:p>
    <w:p>
      <w:r>
        <w:t>(2) Eine Übermittlung von Sozialdaten durch die Träger der gesetzlichen Rentenversicherung und durch die Träger der Grundsicherung für Arbeitsuchende ist auch zulässig, soweit sie für die Erfüllung der nach § 5 des Auslandsunterhaltsgesetzes der zentralen Behörde (§ 4 des Auslandsunterhaltsgesetzes) obliegenden Aufgaben und zur Erreichung der in den §§ 16 und 17 des Auslandsunterhaltsgesetzes bezeichneten Zwecke erforderlich ist.</w:t>
      </w:r>
    </w:p>
    <w:p>
      <w:pPr>
        <w:pStyle w:val="Heading3"/>
      </w:pPr>
      <w:bookmarkStart w:id="98" w:name="b97"/>
      <w:r>
        <w:t>§ 74a Übermittlung zur Durchsetzung öffentlich-rechtlicher Ansprüche und im Vollstreckungsverfahren</w:t>
      </w:r>
      <w:r>
        <w:t xml:space="preserve"> </w:t>
      </w:r>
      <w:r>
        <w:rPr>
          <w:rStyle w:val="Suchmarke"/>
        </w:rPr>
        <w:t>#74a#</w:t>
      </w:r>
      <w:bookmarkEnd w:id="98"/>
    </w:p>
    <w:p>
      <w:r>
        <w:t xml:space="preserve">(1) </w:t>
      </w:r>
      <w:r>
        <w:rPr>
          <w:rStyle w:val="Satznummer"/>
        </w:rPr>
        <w:t>1</w:t>
      </w:r>
      <w:r>
        <w:t xml:space="preserve">Zur Durchsetzung von öffentlich-rechtlichen Ansprüchen dürfen im Einzelfall auf Ersuchen Name, Vorname, Geburtsdatum, Geburtsort, derzeitige Anschrift der betroffenen Person, ihr derzeitiger oder zukünftiger Aufenthaltsort sowie Namen, Vornamen oder Firma und Anschriften ihrer derzeitigen Arbeitgeber übermittelt werden, soweit kein Grund zu der Annahme besteht, dass dadurch schutzwürdige Interessen der betroffenen Person beeinträchtigt werden, und wenn das Ersuchen nicht länger als sechs Monate zurückliegt. </w:t>
      </w:r>
      <w:r>
        <w:rPr>
          <w:rStyle w:val="Satznummer"/>
        </w:rPr>
        <w:t>2</w:t>
      </w:r>
      <w:r>
        <w:t xml:space="preserve">Die ersuchte Stelle ist über </w:t>
      </w:r>
      <w:hyperlink w:anchor="b5" w:history="1">
        <w:r>
          <w:rPr>
            <w:color w:val="0A3A8C"/>
            <w:u w:val="single"/>
          </w:rPr>
          <w:t xml:space="preserve">§ 4</w:t>
        </w:r>
      </w:hyperlink>
      <w:r>
        <w:t xml:space="preserve"> Absatz 3 hinaus zur Übermittlung auch dann nicht verpflichtet, wenn sich die ersuchende Stelle die Angaben auf andere Weise beschaffen kann. </w:t>
      </w:r>
      <w:r>
        <w:rPr>
          <w:rStyle w:val="Satznummer"/>
        </w:rPr>
        <w:t>3</w:t>
      </w:r>
      <w:r>
        <w:t xml:space="preserve">Satz 2 findet keine Anwendung, wenn das Amtshilfeersuchen zur Durchführung einer Vollstreckung nach </w:t>
      </w:r>
      <w:hyperlink w:anchor="b79" w:history="1">
        <w:r>
          <w:rPr>
            <w:color w:val="0A3A8C"/>
            <w:u w:val="single"/>
          </w:rPr>
          <w:t xml:space="preserve">§ 66</w:t>
        </w:r>
      </w:hyperlink>
      <w:r>
        <w:t xml:space="preserve"> erforderlich ist.</w:t>
      </w:r>
    </w:p>
    <w:p>
      <w:r>
        <w:t xml:space="preserve">(2) </w:t>
      </w:r>
      <w:r>
        <w:rPr>
          <w:rStyle w:val="Satznummer"/>
        </w:rPr>
        <w:t>1</w:t>
      </w:r>
      <w:r>
        <w:t xml:space="preserve">Zur Durchführung eines Vollstreckungsverfahrens dürfen die Träger der gesetzlichen Rentenversicherung im Einzelfall auf Ersuchen des Gerichtsvollziehers die derzeitige Anschrift der betroffenen Person, ihren derzeitigen oder zukünftigen Aufenthaltsort sowie Namen, Vornamen oder Firma und Anschriften ihrer derzeitigen Arbeitgeber übermitteln, soweit kein Grund zu der Annahme besteht, dass dadurch schutzwürdige Interessen der betroffenen Person beeinträchtigt werden, und das Ersuchen nicht länger als sechs Monate zurückliegt. </w:t>
      </w:r>
      <w:r>
        <w:rPr>
          <w:rStyle w:val="Satznummer"/>
        </w:rPr>
        <w:t>2</w:t>
      </w:r>
      <w:r>
        <w:t xml:space="preserve">Die Träger der gesetzlichen Rentenversicherung sind über </w:t>
      </w:r>
      <w:hyperlink w:anchor="b5" w:history="1">
        <w:r>
          <w:rPr>
            <w:color w:val="0A3A8C"/>
            <w:u w:val="single"/>
          </w:rPr>
          <w:t xml:space="preserve">§ 4</w:t>
        </w:r>
      </w:hyperlink>
      <w:r>
        <w:t xml:space="preserve"> Absatz 3 hinaus zur Übermittlung auch dann nicht verpflichtet, wenn sich die ersuchende Stelle die Angaben auf andere Weise beschaffen kann. </w:t>
      </w:r>
      <w:r>
        <w:rPr>
          <w:rStyle w:val="Satznummer"/>
        </w:rPr>
        <w:t>3</w:t>
      </w:r>
      <w:r>
        <w:t>Die Übermittlung ist nur zulässig, wenn</w:t>
      </w:r>
    </w:p>
    <w:p>
      <w:pPr>
        <w:tabs>
          <w:tab w:pos="567" w:val="left"/>
        </w:tabs>
        <w:ind w:left="567" w:hanging="567"/>
      </w:pPr>
      <w:r>
        <w:t>1.</w:t>
      </w:r>
      <w:r>
        <w:tab/>
      </w:r>
      <w:r>
        <w:t>die Ladung zu dem Termin zur Abgabe der Vermögensauskunft an den Schuldner nicht zustellbar ist und</w:t>
      </w:r>
    </w:p>
    <w:p>
      <w:pPr>
        <w:tabs>
          <w:tab w:pos="1134" w:val="left"/>
        </w:tabs>
        <w:ind w:left="1134" w:hanging="567"/>
      </w:pPr>
      <w:r>
        <w:t>a)</w:t>
      </w:r>
      <w:r>
        <w:tab/>
      </w:r>
      <w:r>
        <w:t>die Anschrift, unter der die Zustellung ausgeführt werden sollte, mit der Anschrift übereinstimmt, die von einer der in § 755 Absatz 1 und 2 der Zivilprozessordnung genannten Stellen innerhalb von drei Monaten vor oder nach dem Zustellungsversuch mitgeteilt wurde, oder</w:t>
      </w:r>
    </w:p>
    <w:p>
      <w:pPr>
        <w:tabs>
          <w:tab w:pos="1134" w:val="left"/>
        </w:tabs>
        <w:ind w:left="1134" w:hanging="567"/>
      </w:pPr>
      <w:r>
        <w:t>b)</w:t>
      </w:r>
      <w:r>
        <w:tab/>
      </w:r>
      <w:r>
        <w:t>die Meldebehörde nach dem Zustellungsversuch die Auskunft erteilt, dass ihr keine derzeitige Anschrift des Schuldners bekannt ist, oder</w:t>
      </w:r>
    </w:p>
    <w:p>
      <w:pPr>
        <w:tabs>
          <w:tab w:pos="1134" w:val="left"/>
        </w:tabs>
        <w:ind w:left="1134" w:hanging="567"/>
      </w:pPr>
      <w:r>
        <w:t>c)</w:t>
      </w:r>
      <w:r>
        <w:tab/>
      </w:r>
      <w:r>
        <w:t>die Meldebehörde innerhalb von drei Monaten vor Erteilung des Vollstreckungsauftrags die Auskunft erteilt hat, dass ihr keine derzeitige Anschrift des Schuldners bekannt ist,</w:t>
      </w:r>
    </w:p>
    <w:p>
      <w:pPr>
        <w:tabs>
          <w:tab w:pos="567" w:val="left"/>
        </w:tabs>
        <w:ind w:left="567" w:hanging="567"/>
      </w:pPr>
      <w:r>
        <w:t>2.</w:t>
      </w:r>
      <w:r>
        <w:tab/>
      </w:r>
      <w:r>
        <w:t>der Schuldner seiner Pflicht zur Abgabe der Vermögensauskunft in dem dem Ersuchen zugrundeliegenden Vollstreckungsverfahren nicht nachkommt,</w:t>
      </w:r>
    </w:p>
    <w:p>
      <w:pPr>
        <w:tabs>
          <w:tab w:pos="567" w:val="left"/>
        </w:tabs>
        <w:ind w:left="567" w:hanging="567"/>
      </w:pPr>
      <w:r>
        <w:t>3.</w:t>
      </w:r>
      <w:r>
        <w:tab/>
      </w:r>
      <w:r>
        <w:t>bei einer Vollstreckung in die in der Vermögensauskunft aufgeführten Vermögensgegenstände eine vollständige Befriedigung des Gläubigers voraussichtlich nicht zu erwarten ist oder</w:t>
      </w:r>
    </w:p>
    <w:p>
      <w:pPr>
        <w:tabs>
          <w:tab w:pos="567" w:val="left"/>
        </w:tabs>
        <w:ind w:left="567" w:hanging="567"/>
      </w:pPr>
      <w:r>
        <w:t>4.</w:t>
      </w:r>
      <w:r>
        <w:tab/>
      </w:r>
      <w:r>
        <w:t>die Anschrift oder der derzeitige oder zukünftige Aufenthaltsort des Schuldners trotz Anfrage bei der Meldebehörde nicht bekannt ist.</w:t>
      </w:r>
    </w:p>
    <w:p>
      <w:r>
        <w:rPr>
          <w:rStyle w:val="Satznummer"/>
        </w:rPr>
        <w:t>4</w:t>
      </w:r>
      <w:r>
        <w:t xml:space="preserve">Der Gerichtsvollzieher hat in seinem Ersuchen zu bestätigen, dass diese Voraussetzungen vorliegen. </w:t>
      </w:r>
      <w:r>
        <w:rPr>
          <w:rStyle w:val="Satznummer"/>
        </w:rPr>
        <w:t>5</w:t>
      </w:r>
      <w:r>
        <w:t>Das Ersuchen und die Auskunft sind elektronisch zu übermitteln.</w:t>
      </w:r>
    </w:p>
    <w:p>
      <w:r>
        <w:t xml:space="preserve">(3) </w:t>
      </w:r>
      <w:r>
        <w:rPr>
          <w:rStyle w:val="Satznummer"/>
        </w:rPr>
        <w:t>1</w:t>
      </w:r>
      <w:r>
        <w:t xml:space="preserve">Ersucht ein Insolvenzgericht nach § 98 Absatz 1a der Insolvenzordnung die Träger der gesetzlichen Rentenversicherung um Übermittlung des Namens und der Vornamen oder der Firma sowie der Anschrift der derzeitigen Arbeitgeber der betroffenen Person, so dürfen die Träger der gesetzlichen Rentenversicherung diese Daten vorbehaltlich der Sätze 2 bis 4 im Einzelfall übermitteln, wenn versicherungspflichtige Beschäftigungsverhältnisse der betroffenen Person vorliegen. </w:t>
      </w:r>
      <w:r>
        <w:rPr>
          <w:rStyle w:val="Satznummer"/>
        </w:rPr>
        <w:t>2</w:t>
      </w:r>
      <w:r>
        <w:t>Eine Übermittlung nach Satz 1 ist nur dann zulässig, wenn</w:t>
      </w:r>
    </w:p>
    <w:p>
      <w:pPr>
        <w:tabs>
          <w:tab w:pos="567" w:val="left"/>
        </w:tabs>
        <w:ind w:left="567" w:hanging="567"/>
      </w:pPr>
      <w:r>
        <w:t>1.</w:t>
      </w:r>
      <w:r>
        <w:tab/>
      </w:r>
      <w:r>
        <w:t>eine Aufforderung zur Auskunftserteilung nach § 97 Absatz 1 der Insolvenzordnung nicht zustellbar ist und</w:t>
      </w:r>
    </w:p>
    <w:p>
      <w:pPr>
        <w:tabs>
          <w:tab w:pos="1134" w:val="left"/>
        </w:tabs>
        <w:ind w:left="1134" w:hanging="567"/>
      </w:pPr>
      <w:r>
        <w:t>a)</w:t>
      </w:r>
      <w:r>
        <w:tab/>
      </w:r>
      <w:r>
        <w:t>die Anschrift, unter der die Zustellung ausgeführt werden sollte, mit der Anschrift übereinstimmt, die von einer der in § 755 Absatz 1 und 2 der Zivilprozessordnung genannten Stellen innerhalb von drei Monaten vor oder nach dem Zustellungsversuch mitgeteilt wurde, oder</w:t>
      </w:r>
    </w:p>
    <w:p>
      <w:pPr>
        <w:tabs>
          <w:tab w:pos="1134" w:val="left"/>
        </w:tabs>
        <w:ind w:left="1134" w:hanging="567"/>
      </w:pPr>
      <w:r>
        <w:t>b)</w:t>
      </w:r>
      <w:r>
        <w:tab/>
      </w:r>
      <w:r>
        <w:t>die Meldebehörde nach dem Zustellungsversuch die Auskunft erteilt, dass ihr keine derzeitige Anschrift des Schuldners bekannt ist, oder</w:t>
      </w:r>
    </w:p>
    <w:p>
      <w:pPr>
        <w:tabs>
          <w:tab w:pos="1134" w:val="left"/>
        </w:tabs>
        <w:ind w:left="1134" w:hanging="567"/>
      </w:pPr>
      <w:r>
        <w:t>c)</w:t>
      </w:r>
      <w:r>
        <w:tab/>
      </w:r>
      <w:r>
        <w:t>die Meldebehörde innerhalb von drei Monaten vor der Aufforderung zur Auskunftserteilung die Auskunft erteilt hat, dass ihr keine derzeitige Anschrift des Schuldners bekannt ist;</w:t>
      </w:r>
    </w:p>
    <w:p>
      <w:pPr>
        <w:tabs>
          <w:tab w:pos="567" w:val="left"/>
        </w:tabs>
        <w:ind w:left="567" w:hanging="567"/>
      </w:pPr>
      <w:r>
        <w:t>2.</w:t>
      </w:r>
      <w:r>
        <w:tab/>
      </w:r>
      <w:r>
        <w:t>der Schuldner seiner Auskunftspflicht nach § 97 der Insolvenzordnung nicht nachkommt oder</w:t>
      </w:r>
    </w:p>
    <w:p>
      <w:pPr>
        <w:tabs>
          <w:tab w:pos="567" w:val="left"/>
        </w:tabs>
        <w:ind w:left="567" w:hanging="567"/>
      </w:pPr>
      <w:r>
        <w:t>3.</w:t>
      </w:r>
      <w:r>
        <w:tab/>
      </w:r>
      <w:r>
        <w:t>dies aus anderen Gründen zur Erreichung der Zwecke des Insolvenzverfahrens erforderlich erscheint.</w:t>
      </w:r>
    </w:p>
    <w:p>
      <w:r>
        <w:rPr>
          <w:rStyle w:val="Satznummer"/>
        </w:rPr>
        <w:t>3</w:t>
      </w:r>
      <w:r>
        <w:t xml:space="preserve">Die Träger der gesetzlichen Rentenversicherung sind zur Übermittlung nicht verpflichtet, wenn sich das Insolvenzgericht die Angaben auf andere Weise beschaffen kann oder wenn Grund zu der Annahme besteht, dass durch die Übermittlung schutzwürdige Interessen der betroffenen Person beeinträchtigt werden; </w:t>
      </w:r>
      <w:hyperlink w:anchor="b5" w:history="1">
        <w:r>
          <w:rPr>
            <w:color w:val="0A3A8C"/>
            <w:u w:val="single"/>
          </w:rPr>
          <w:t xml:space="preserve">§ 4</w:t>
        </w:r>
      </w:hyperlink>
      <w:r>
        <w:t xml:space="preserve"> Absatz 3 bleibt unberührt. </w:t>
      </w:r>
      <w:r>
        <w:rPr>
          <w:rStyle w:val="Satznummer"/>
        </w:rPr>
        <w:t>4</w:t>
      </w:r>
      <w:r>
        <w:t xml:space="preserve">Das Insolvenzgericht hat in seinem Ersuchen zu bestätigen, dass die Voraussetzungen des Satzes 2 vorliegen. </w:t>
      </w:r>
      <w:r>
        <w:rPr>
          <w:rStyle w:val="Satznummer"/>
        </w:rPr>
        <w:t>5</w:t>
      </w:r>
      <w:r>
        <w:t>Das Ersuchen und die Auskunft sind elektronisch zu übermitteln.</w:t>
      </w:r>
    </w:p>
    <w:p>
      <w:pPr>
        <w:pStyle w:val="Heading3"/>
      </w:pPr>
      <w:bookmarkStart w:id="99" w:name="b98"/>
      <w:r>
        <w:t>§ 75 Übermittlung von Sozialdaten für die Forschung und Planung</w:t>
      </w:r>
      <w:r>
        <w:t xml:space="preserve"> </w:t>
      </w:r>
      <w:r>
        <w:rPr>
          <w:rStyle w:val="Suchmarke"/>
        </w:rPr>
        <w:t>#75#</w:t>
      </w:r>
      <w:bookmarkEnd w:id="99"/>
    </w:p>
    <w:p>
      <w:r>
        <w:t xml:space="preserve">(1) </w:t>
      </w:r>
      <w:r>
        <w:rPr>
          <w:rStyle w:val="Satznummer"/>
        </w:rPr>
        <w:t>1</w:t>
      </w:r>
      <w:r>
        <w:t>Eine Übermittlung von Sozialdaten ist zulässig, soweit sie erforderlich ist für ein bestimmtes Vorhaben</w:t>
      </w:r>
    </w:p>
    <w:p>
      <w:pPr>
        <w:tabs>
          <w:tab w:pos="567" w:val="left"/>
        </w:tabs>
        <w:ind w:left="567" w:hanging="567"/>
      </w:pPr>
      <w:r>
        <w:t>1.</w:t>
      </w:r>
      <w:r>
        <w:tab/>
      </w:r>
      <w:r>
        <w:t>der wissenschaftlichen Forschung im Sozialleistungsbereich oder der wissenschaftlichen Arbeitsmarkt- und Berufsforschung oder</w:t>
      </w:r>
    </w:p>
    <w:p>
      <w:pPr>
        <w:tabs>
          <w:tab w:pos="567" w:val="left"/>
        </w:tabs>
        <w:ind w:left="567" w:hanging="567"/>
      </w:pPr>
      <w:r>
        <w:t>2.</w:t>
      </w:r>
      <w:r>
        <w:tab/>
      </w:r>
      <w:r>
        <w:t>der Planung im Sozialleistungsbereich durch eine öffentliche Stelle im Rahmen ihrer Aufgaben</w:t>
      </w:r>
    </w:p>
    <w:p>
      <w:r>
        <w:t xml:space="preserve">und schutzwürdige Interessen der betroffenen Person nicht beeinträchtigt werden oder das öffentliche Interesse an der Forschung oder Planung das Geheimhaltungsinteresse der betroffenen Person erheblich überwiegt. </w:t>
      </w:r>
      <w:r>
        <w:rPr>
          <w:rStyle w:val="Satznummer"/>
        </w:rPr>
        <w:t>2</w:t>
      </w:r>
      <w:r>
        <w:t xml:space="preserve">Eine Übermittlung ohne Einwilligung der betroffenen Person ist nicht zulässig, soweit es zumutbar ist, ihre Einwilligung einzuholen. </w:t>
      </w:r>
      <w:r>
        <w:rPr>
          <w:rStyle w:val="Satznummer"/>
        </w:rPr>
        <w:t>3</w:t>
      </w:r>
      <w:r>
        <w:t xml:space="preserve">Angaben über den Namen und Vornamen, die Anschrift, die Telefonnummer sowie die für die Einleitung eines Vorhabens nach Satz 1 zwingend erforderlichen Strukturmerkmale der betroffenen Person können für Befragungen auch ohne Einwilligungen übermittelt werden. </w:t>
      </w:r>
      <w:r>
        <w:rPr>
          <w:rStyle w:val="Satznummer"/>
        </w:rPr>
        <w:t>4</w:t>
      </w:r>
      <w:r>
        <w:t>Der nach Absatz 4 Satz 1 zuständigen Behörde ist ein Datenschutzkonzept vorzulegen.</w:t>
      </w:r>
    </w:p>
    <w:p>
      <w:r>
        <w:t>(2) Ergibt sich aus dem Vorhaben nach Absatz 1 Satz 1 eine Forschungsfrage, die in einem inhaltlichen Zusammenhang mit diesem steht, können hierzu auf Antrag die Frist nach Absatz 4 Satz 5 Nummer 4 zur Verarbeitung der erforderlichen Sozialdaten verlängert oder eine neue Frist festgelegt und weitere erforderliche Sozialdaten übermittelt werden.</w:t>
      </w:r>
    </w:p>
    <w:p>
      <w:r>
        <w:t xml:space="preserve">(3) </w:t>
      </w:r>
      <w:r>
        <w:rPr>
          <w:rStyle w:val="Satznummer"/>
        </w:rPr>
        <w:t>1</w:t>
      </w:r>
      <w:r>
        <w:t xml:space="preserve">Soweit nach Absatz 1 oder 2 besondere Kategorien von Daten im Sinne von Artikel 9 Absatz 1 der Verordnung (EU) 2016/679 an einen Dritten übermittelt oder nach Absatz 4a von einem Dritten verarbeitet werden, sieht dieser bei der Verarbeitung angemessene und spezifische Maßnahmen zur Wahrung der Interessen der betroffenen Person gemäß § 22 Absatz 2 Satz 2 des Bundesdatenschutzgesetzes vor. </w:t>
      </w:r>
      <w:r>
        <w:rPr>
          <w:rStyle w:val="Satznummer"/>
        </w:rPr>
        <w:t>2</w:t>
      </w:r>
      <w:r>
        <w:t>Ergänzend zu den dort genannten Maßnahmen sind die besonderen Kategorien von Daten im Sinne des Artikels 9 Absatz 1 der Verordnung (EU) 2016/679 zu anonymisieren, sobald dies nach dem Forschungszweck möglich ist.</w:t>
      </w:r>
    </w:p>
    <w:p>
      <w:r>
        <w:t xml:space="preserve">(4) </w:t>
      </w:r>
      <w:r>
        <w:rPr>
          <w:rStyle w:val="Satznummer"/>
        </w:rPr>
        <w:t>1</w:t>
      </w:r>
      <w:r>
        <w:t xml:space="preserve">Die Übermittlung nach Absatz 1 und die weitere Verarbeitung, einschließlich einer Verarbeitung von Sozialdaten mit weiteren Daten, sowie die Übermittlung nach Absatz 2 bedürfen der vorherigen Genehmigung durch die oberste Bundes- oder Landesbehörde, die für den Bereich, aus dem die Daten herrühren, zuständig ist. </w:t>
      </w:r>
      <w:r>
        <w:rPr>
          <w:rStyle w:val="Satznummer"/>
        </w:rPr>
        <w:t>2</w:t>
      </w:r>
      <w:r>
        <w:t xml:space="preserve">Die oberste Bundesbehörde kann das Genehmigungsverfahren bei Anträgen von Versicherungsträgern nach § 1 Absatz 1 Satz 1 des Vierten Buches oder von deren Verbänden auf das Bundesamt für Soziale Sicherung übertragen. </w:t>
      </w:r>
      <w:r>
        <w:rPr>
          <w:rStyle w:val="Satznummer"/>
        </w:rPr>
        <w:t>3</w:t>
      </w:r>
      <w:r>
        <w:t xml:space="preserve">Eine Übermittlung von Sozialdaten an eine nicht-öffentliche Stelle und eine weitere Verarbeitung durch diese nach Absatz 2 darf nur genehmigt werden, wenn sich die nicht-öffentliche Stelle gegenüber der Genehmigungsbehörde verpflichtet hat, die Daten nur für den vorgesehenen Zweck zu verarbeiten. </w:t>
      </w:r>
      <w:r>
        <w:rPr>
          <w:rStyle w:val="Satznummer"/>
        </w:rPr>
        <w:t>4</w:t>
      </w:r>
      <w:r>
        <w:t xml:space="preserve">Die Genehmigung darf im Hinblick auf die Wahrung des Sozialgeheimnisses nur versagt werden, wenn die Voraussetzungen des Absatzes 1, 2 oder 4a nicht vorliegen. </w:t>
      </w:r>
      <w:r>
        <w:rPr>
          <w:rStyle w:val="Satznummer"/>
        </w:rPr>
        <w:t>5</w:t>
      </w:r>
      <w:r>
        <w:t>Sie muss</w:t>
      </w:r>
    </w:p>
    <w:p>
      <w:pPr>
        <w:tabs>
          <w:tab w:pos="567" w:val="left"/>
        </w:tabs>
        <w:ind w:left="567" w:hanging="567"/>
      </w:pPr>
      <w:r>
        <w:t>1.</w:t>
      </w:r>
      <w:r>
        <w:tab/>
      </w:r>
      <w:r>
        <w:t>den Dritten, an den die Daten übermittelt werden,</w:t>
      </w:r>
    </w:p>
    <w:p>
      <w:pPr>
        <w:tabs>
          <w:tab w:pos="567" w:val="left"/>
        </w:tabs>
        <w:ind w:left="567" w:hanging="567"/>
      </w:pPr>
      <w:r>
        <w:t>2.</w:t>
      </w:r>
      <w:r>
        <w:tab/>
      </w:r>
      <w:r>
        <w:t>die Art der zu übermittelnden Sozialdaten und den Kreis der betroffenen Personen,</w:t>
      </w:r>
    </w:p>
    <w:p>
      <w:pPr>
        <w:tabs>
          <w:tab w:pos="567" w:val="left"/>
        </w:tabs>
        <w:ind w:left="567" w:hanging="567"/>
      </w:pPr>
      <w:r>
        <w:t>3.</w:t>
      </w:r>
      <w:r>
        <w:tab/>
      </w:r>
      <w:r>
        <w:t>die wissenschaftliche Forschung oder die Planung, zu der die übermittelten Sozialdaten verarbeitet werden dürfen, und</w:t>
      </w:r>
    </w:p>
    <w:p>
      <w:pPr>
        <w:tabs>
          <w:tab w:pos="567" w:val="left"/>
        </w:tabs>
        <w:ind w:left="567" w:hanging="567"/>
      </w:pPr>
      <w:r>
        <w:t>4.</w:t>
      </w:r>
      <w:r>
        <w:tab/>
      </w:r>
      <w:r>
        <w:t>den Tag, bis zu dem die übermittelten Sozialdaten verarbeitet werden dürfen,</w:t>
      </w:r>
    </w:p>
    <w:p>
      <w:r>
        <w:t xml:space="preserve">genau bezeichnen und steht auch ohne besonderen Hinweis unter dem Vorbehalt der nachträglichen Aufnahme, Änderung oder Ergänzung einer Auflage. </w:t>
      </w:r>
      <w:r>
        <w:rPr>
          <w:rStyle w:val="Satznummer"/>
        </w:rPr>
        <w:t>6</w:t>
      </w:r>
      <w:r>
        <w:t>Nach Ablauf der Frist nach Satz 5 Nummer 4 können die verarbeiteten Daten bis zu zehn Jahre lang gespeichert werden, um eine Nachprüfung der Forschungsergebnisse auf der Grundlage der ursprünglichen Datenbasis sowie eine Verarbeitung für weitere Forschungsvorhaben nach Absatz 2 zu ermöglichen.</w:t>
      </w:r>
    </w:p>
    <w:p>
      <w:r>
        <w:t xml:space="preserve">(4a) </w:t>
      </w:r>
      <w:r>
        <w:rPr>
          <w:rStyle w:val="Satznummer"/>
        </w:rPr>
        <w:t>1</w:t>
      </w:r>
      <w:r>
        <w:t xml:space="preserve">Ergänzend zur Übermittlung von Sozialdaten zu einem bestimmten Forschungsvorhaben nach Absatz 1 Satz 1 kann die Verarbeitung dieser Sozialdaten auch für noch nicht bestimmte, aber inhaltlich zusammenhängende Forschungsvorhaben des gleichen Forschungsbereiches beantragt werden. </w:t>
      </w:r>
      <w:r>
        <w:rPr>
          <w:rStyle w:val="Satznummer"/>
        </w:rPr>
        <w:t>2</w:t>
      </w:r>
      <w:r>
        <w:t xml:space="preserve">Die Genehmigung ist unter den Voraussetzungen des Absatzes 4 zu erteilen, wenn sich der Datenempfänger gegenüber der genehmigenden Stelle verpflichtet, auch bei künftigen Forschungsvorhaben im Forschungsbereich die Genehmigungsvoraussetzungen einzuhalten. </w:t>
      </w:r>
      <w:r>
        <w:rPr>
          <w:rStyle w:val="Satznummer"/>
        </w:rPr>
        <w:t>3</w:t>
      </w:r>
      <w:r>
        <w:t xml:space="preserve">Die nach Absatz 4 Satz 1 zuständige Behörde kann vom Antragsteller die Vorlage einer unabhängigen Begutachtung des Datenschutzkonzeptes verlangen. </w:t>
      </w:r>
      <w:r>
        <w:rPr>
          <w:rStyle w:val="Satznummer"/>
        </w:rPr>
        <w:t>4</w:t>
      </w:r>
      <w:r>
        <w:t xml:space="preserve">Der Antragsteller ist verpflichtet, der nach Absatz 4 Satz 1 zuständigen Behörde jedes innerhalb des genehmigten Forschungsbereiches vorgesehene Forschungsvorhaben vor dessen Beginn anzuzeigen und dabei die Erfüllung der Genehmigungsvoraussetzungen darzulegen. </w:t>
      </w:r>
      <w:r>
        <w:rPr>
          <w:rStyle w:val="Satznummer"/>
        </w:rPr>
        <w:t>5</w:t>
      </w:r>
      <w:r>
        <w:t>Mit dem Forschungsvorhaben darf acht Wochen nach Eingang der Anzeige bei der Genehmigungsbehörde begonnen werden, sofern nicht die Genehmigungsbehörde vor Ablauf der Frist mitteilt, dass für das angezeigte Vorhaben ein gesondertes Genehmigungsverfahren erforderlich ist.</w:t>
      </w:r>
    </w:p>
    <w:p>
      <w:r>
        <w:t>(5) Wird die Verarbeitung von Sozialdaten nicht-öffentlichen Stellen genehmigt, hat die genehmigende Stelle durch Auflagen sicherzustellen, dass die der Genehmigung durch Absatz 1, 2 und 4a gesetzten Grenzen beachtet werden.</w:t>
      </w:r>
    </w:p>
    <w:p>
      <w:r>
        <w:t>(6) Ist der Dritte, an den Sozialdaten übermittelt werden, eine nicht-öffentliche Stelle, unterliegt dieser der Aufsicht der gemäß § 40 Absatz 1 des Bundesdatenschutzgesetzes zuständigen Behörde.</w:t>
      </w:r>
    </w:p>
    <w:p>
      <w:pPr>
        <w:pStyle w:val="Heading3"/>
      </w:pPr>
      <w:bookmarkStart w:id="100" w:name="b99"/>
      <w:r>
        <w:t>§ 76 Einschränkung der Übermittlungsbefugnis bei besonders schutzwürdigen Sozialdaten</w:t>
      </w:r>
      <w:r>
        <w:t xml:space="preserve"> </w:t>
      </w:r>
      <w:r>
        <w:rPr>
          <w:rStyle w:val="Suchmarke"/>
        </w:rPr>
        <w:t>#76#</w:t>
      </w:r>
      <w:bookmarkEnd w:id="100"/>
    </w:p>
    <w:p>
      <w:r>
        <w:t>(1) Die Übermittlung von Sozialdaten, die einer in § 35 des Ersten Buches genannten Stelle von einem Arzt oder einer Ärztin oder einer anderen in § 203 Absatz 1 und 4 des Strafgesetzbuches genannten Person zugänglich gemacht worden sind, ist nur unter den Voraussetzungen zulässig, unter denen diese Person selbst übermittlungsbefugt wäre.</w:t>
      </w:r>
    </w:p>
    <w:p>
      <w:r>
        <w:t>(2) Absatz 1 gilt nicht</w:t>
      </w:r>
    </w:p>
    <w:p>
      <w:pPr>
        <w:tabs>
          <w:tab w:pos="567" w:val="left"/>
        </w:tabs>
        <w:ind w:left="567" w:hanging="567"/>
      </w:pPr>
      <w:r>
        <w:t>1.</w:t>
      </w:r>
      <w:r>
        <w:tab/>
      </w:r>
      <w:r>
        <w:t xml:space="preserve">im Rahmen des </w:t>
      </w:r>
      <w:hyperlink w:anchor="b91" w:history="1">
        <w:r>
          <w:rPr>
            <w:color w:val="0A3A8C"/>
            <w:u w:val="single"/>
          </w:rPr>
          <w:t xml:space="preserve">§ 69</w:t>
        </w:r>
      </w:hyperlink>
      <w:r>
        <w:t xml:space="preserve"> Absatz 1 Nummer 1 und 2 für Sozialdaten, die im Zusammenhang mit einer Begutachtung wegen der Erbringung von Sozialleistungen oder wegen der Ausstellung einer Bescheinigung übermittelt worden sind, es sei denn, dass die betroffene Person der Übermittlung widerspricht; die betroffene Person ist von dem Verantwortlichen zu Beginn des Verwaltungsverfahrens in allgemeiner Form schriftlich oder elektronisch auf das Widerspruchsrecht hinzuweisen,</w:t>
      </w:r>
    </w:p>
    <w:p>
      <w:pPr>
        <w:tabs>
          <w:tab w:pos="567" w:val="left"/>
        </w:tabs>
        <w:ind w:left="567" w:hanging="567"/>
      </w:pPr>
      <w:r>
        <w:t>1a.</w:t>
      </w:r>
      <w:r>
        <w:tab/>
      </w:r>
      <w:r>
        <w:t>im Rahmen der Geltendmachung und Durchsetzung sowie Abwehr eines Erstattungs- oder Ersatzanspruchs,</w:t>
      </w:r>
    </w:p>
    <w:p>
      <w:pPr>
        <w:tabs>
          <w:tab w:pos="567" w:val="left"/>
        </w:tabs>
        <w:ind w:left="567" w:hanging="567"/>
      </w:pPr>
      <w:r>
        <w:t>2.</w:t>
      </w:r>
      <w:r>
        <w:tab/>
      </w:r>
      <w:r>
        <w:t xml:space="preserve">im Rahmen des </w:t>
      </w:r>
      <w:hyperlink w:anchor="b91" w:history="1">
        <w:r>
          <w:rPr>
            <w:color w:val="0A3A8C"/>
            <w:u w:val="single"/>
          </w:rPr>
          <w:t xml:space="preserve">§ 69</w:t>
        </w:r>
      </w:hyperlink>
      <w:r>
        <w:t xml:space="preserve"> Absatz 4 und 5 und des </w:t>
      </w:r>
      <w:hyperlink w:anchor="b93" w:history="1">
        <w:r>
          <w:rPr>
            <w:color w:val="0A3A8C"/>
            <w:u w:val="single"/>
          </w:rPr>
          <w:t xml:space="preserve">§ 71</w:t>
        </w:r>
      </w:hyperlink>
      <w:r>
        <w:t xml:space="preserve"> Absatz 1 Satz 3,</w:t>
      </w:r>
    </w:p>
    <w:p>
      <w:pPr>
        <w:tabs>
          <w:tab w:pos="567" w:val="left"/>
        </w:tabs>
        <w:ind w:left="567" w:hanging="567"/>
      </w:pPr>
      <w:r>
        <w:t>3.</w:t>
      </w:r>
      <w:r>
        <w:tab/>
      </w:r>
      <w:r>
        <w:t>im Rahmen des § 94 Absatz 2 Satz 2 des Elften Buches.</w:t>
      </w:r>
    </w:p>
    <w:p>
      <w:r>
        <w:t>(3) Ein Widerspruchsrecht besteht nicht in den Fällen des § 275 Absatz 1 bis 3 und 3b, des § 275c Absatz 1 und des § 275d Absatz 1 des Fünften Buches, soweit die Daten durch Personen nach Absatz 1 übermittelt werden.</w:t>
      </w:r>
    </w:p>
    <w:p>
      <w:pPr>
        <w:pStyle w:val="Heading3"/>
      </w:pPr>
      <w:bookmarkStart w:id="101" w:name="b100"/>
      <w:r>
        <w:t>§ 77 Übermittlung ins Ausland und an internationale Organisationen</w:t>
      </w:r>
      <w:r>
        <w:t xml:space="preserve"> </w:t>
      </w:r>
      <w:r>
        <w:rPr>
          <w:rStyle w:val="Suchmarke"/>
        </w:rPr>
        <w:t>#77#</w:t>
      </w:r>
      <w:bookmarkEnd w:id="101"/>
    </w:p>
    <w:p>
      <w:r>
        <w:t xml:space="preserve">(1) </w:t>
      </w:r>
      <w:r>
        <w:rPr>
          <w:rStyle w:val="Satznummer"/>
        </w:rPr>
        <w:t>1</w:t>
      </w:r>
      <w:r>
        <w:t>Die Übermittlung von Sozialdaten an Personen oder Stellen in anderen Mitgliedstaaten der Europäischen Union sowie in diesen nach § 35 Absatz 7 des Ersten Buches gleichgestellten Staaten ist zulässig, soweit</w:t>
      </w:r>
    </w:p>
    <w:p>
      <w:pPr>
        <w:tabs>
          <w:tab w:pos="567" w:val="left"/>
        </w:tabs>
        <w:ind w:left="567" w:hanging="567"/>
      </w:pPr>
      <w:r>
        <w:t>1.</w:t>
      </w:r>
      <w:r>
        <w:tab/>
      </w:r>
      <w:r>
        <w:t>dies für die Erfüllung einer gesetzlichen Aufgabe der in § 35 des Ersten Buches genannten übermittelnden Stelle nach diesem Gesetzbuch oder zur Erfüllung einer solchen Aufgabe von ausländischen Stellen erforderlich ist, soweit diese Aufgaben wahrnehmen, die denen der in § 35 des Ersten Buches genannten Stellen entsprechen,</w:t>
      </w:r>
    </w:p>
    <w:p>
      <w:pPr>
        <w:tabs>
          <w:tab w:pos="567" w:val="left"/>
        </w:tabs>
        <w:ind w:left="567" w:hanging="567"/>
      </w:pPr>
      <w:r>
        <w:t>2.</w:t>
      </w:r>
      <w:r>
        <w:tab/>
      </w:r>
      <w:r>
        <w:t xml:space="preserve">die Voraussetzungen des </w:t>
      </w:r>
      <w:hyperlink w:anchor="b91" w:history="1">
        <w:r>
          <w:rPr>
            <w:color w:val="0A3A8C"/>
            <w:u w:val="single"/>
          </w:rPr>
          <w:t xml:space="preserve">§ 69</w:t>
        </w:r>
      </w:hyperlink>
      <w:r>
        <w:t xml:space="preserve"> Absatz 1 Nummer 2 oder Nummer 3 oder des </w:t>
      </w:r>
      <w:hyperlink w:anchor="b92" w:history="1">
        <w:r>
          <w:rPr>
            <w:color w:val="0A3A8C"/>
            <w:u w:val="single"/>
          </w:rPr>
          <w:t xml:space="preserve">§ 70</w:t>
        </w:r>
      </w:hyperlink>
      <w:r>
        <w:t xml:space="preserve"> oder einer Übermittlungsvorschrift nach dem Dritten Buch oder dem Arbeitnehmerüberlassungsgesetz vorliegen und die Aufgaben der ausländischen Stelle den in diesen Vorschriften genannten entsprechen,</w:t>
      </w:r>
    </w:p>
    <w:p>
      <w:pPr>
        <w:tabs>
          <w:tab w:pos="567" w:val="left"/>
        </w:tabs>
        <w:ind w:left="567" w:hanging="567"/>
      </w:pPr>
      <w:r>
        <w:t>3.</w:t>
      </w:r>
      <w:r>
        <w:tab/>
      </w:r>
      <w:r>
        <w:t xml:space="preserve">die Voraussetzungen des </w:t>
      </w:r>
      <w:hyperlink w:anchor="b96" w:history="1">
        <w:r>
          <w:rPr>
            <w:color w:val="0A3A8C"/>
            <w:u w:val="single"/>
          </w:rPr>
          <w:t xml:space="preserve">§ 74</w:t>
        </w:r>
      </w:hyperlink>
      <w:r>
        <w:t xml:space="preserve"> vorliegen und die gerichtlich geltend gemachten Ansprüche oder die Rechte des Empfängers den in dieser Vorschrift genannten entsprechen oder</w:t>
      </w:r>
    </w:p>
    <w:p>
      <w:pPr>
        <w:tabs>
          <w:tab w:pos="567" w:val="left"/>
        </w:tabs>
        <w:ind w:left="567" w:hanging="567"/>
      </w:pPr>
      <w:r>
        <w:t>4.</w:t>
      </w:r>
      <w:r>
        <w:tab/>
      </w:r>
      <w:r>
        <w:t xml:space="preserve">die Voraussetzungen des </w:t>
      </w:r>
      <w:hyperlink w:anchor="b95" w:history="1">
        <w:r>
          <w:rPr>
            <w:color w:val="0A3A8C"/>
            <w:u w:val="single"/>
          </w:rPr>
          <w:t xml:space="preserve">§ 73</w:t>
        </w:r>
      </w:hyperlink>
      <w:r>
        <w:t xml:space="preserve"> vorliegen; für die Anordnung einer Übermittlung nach </w:t>
      </w:r>
      <w:hyperlink w:anchor="b95" w:history="1">
        <w:r>
          <w:rPr>
            <w:color w:val="0A3A8C"/>
            <w:u w:val="single"/>
          </w:rPr>
          <w:t xml:space="preserve">§ 73</w:t>
        </w:r>
      </w:hyperlink>
      <w:r>
        <w:t xml:space="preserve"> ist ein inländisches Gericht zuständig.</w:t>
      </w:r>
    </w:p>
    <w:p>
      <w:r>
        <w:rPr>
          <w:rStyle w:val="Satznummer"/>
        </w:rPr>
        <w:t>2</w:t>
      </w:r>
      <w:r>
        <w:t>Die Übermittlung von Sozialdaten unterbleibt, soweit sie zu den in Artikel 6 des Vertrages über die Europäische Union enthaltenen Grundsätzen in Widerspruch stünde.</w:t>
      </w:r>
    </w:p>
    <w:p>
      <w:r>
        <w:t>(2) Absatz 1 gilt entsprechend für die Übermittlung an Personen oder Stellen in einem Drittstaat sowie an internationale Organisationen, wenn deren angemessenes Datenschutzniveau durch Angemessenheitsbeschluss gemäß Artikel 45 der Verordnung (EU) 2016/679 festgestellt wurde.</w:t>
      </w:r>
    </w:p>
    <w:p>
      <w:r>
        <w:t xml:space="preserve">(3) </w:t>
      </w:r>
      <w:r>
        <w:rPr>
          <w:rStyle w:val="Satznummer"/>
        </w:rPr>
        <w:t>1</w:t>
      </w:r>
      <w:r>
        <w:t xml:space="preserve">Liegt kein Angemessenheitsbeschluss vor, ist eine Übermittlung von Sozialdaten an Personen oder Stellen in einem Drittstaat oder an internationale Organisationen abweichend von Artikel 46 Absatz 2 Buchstabe a und Artikel 49 Absatz 1 Unterabsatz 1 Buchstabe g der Verordnung (EU) 2016/679 unzulässig. </w:t>
      </w:r>
      <w:r>
        <w:rPr>
          <w:rStyle w:val="Satznummer"/>
        </w:rPr>
        <w:t>2</w:t>
      </w:r>
      <w:r>
        <w:t>Eine Übermittlung aus wichtigen Gründen des öffentlichen Interesses nach Artikel 49 Absatz 1 Unterabsatz 1 Buchstabe d und Absatz 4 der Verordnung (EU) 2016/679 liegt nur vor, wenn</w:t>
      </w:r>
    </w:p>
    <w:p>
      <w:pPr>
        <w:tabs>
          <w:tab w:pos="567" w:val="left"/>
        </w:tabs>
        <w:ind w:left="567" w:hanging="567"/>
      </w:pPr>
      <w:r>
        <w:t>1.</w:t>
      </w:r>
      <w:r>
        <w:tab/>
      </w:r>
      <w:r>
        <w:t>die Übermittlung in Anwendung zwischenstaatlicher Übereinkommen auf dem Gebiet der sozialen Sicherheit erfolgt, oder</w:t>
      </w:r>
    </w:p>
    <w:p>
      <w:pPr>
        <w:tabs>
          <w:tab w:pos="567" w:val="left"/>
        </w:tabs>
        <w:ind w:left="567" w:hanging="567"/>
      </w:pPr>
      <w:r>
        <w:t>2.</w:t>
      </w:r>
      <w:r>
        <w:tab/>
      </w:r>
      <w:r>
        <w:t xml:space="preserve">soweit die Voraussetzungen des </w:t>
      </w:r>
      <w:hyperlink w:anchor="b91" w:history="1">
        <w:r>
          <w:rPr>
            <w:color w:val="0A3A8C"/>
            <w:u w:val="single"/>
          </w:rPr>
          <w:t xml:space="preserve">§ 69</w:t>
        </w:r>
      </w:hyperlink>
      <w:r>
        <w:t xml:space="preserve"> Absatz 1 Nummer 1 und 2 oder des </w:t>
      </w:r>
      <w:hyperlink w:anchor="b92" w:history="1">
        <w:r>
          <w:rPr>
            <w:color w:val="0A3A8C"/>
            <w:u w:val="single"/>
          </w:rPr>
          <w:t xml:space="preserve">§ 70</w:t>
        </w:r>
      </w:hyperlink>
      <w:r>
        <w:t xml:space="preserve"> vorliegen</w:t>
      </w:r>
    </w:p>
    <w:p>
      <w:r>
        <w:t>und soweit die betroffene Person kein schutzwürdiges Interesse an dem Ausschluss der Übermittlung hat.</w:t>
      </w:r>
    </w:p>
    <w:p>
      <w:r>
        <w:t>(4) Die Stelle, an die die Sozialdaten übermittelt werden, ist auf den Zweck hinzuweisen, zu dessen Erfüllung die Sozialdaten übermittelt werden.</w:t>
      </w:r>
    </w:p>
    <w:p>
      <w:pPr>
        <w:pStyle w:val="Heading3"/>
      </w:pPr>
      <w:bookmarkStart w:id="102" w:name="b101"/>
      <w:r>
        <w:t>§ 77a Grenzüberschreitende Nachweisabrufe</w:t>
      </w:r>
      <w:r>
        <w:t xml:space="preserve"> </w:t>
      </w:r>
      <w:r>
        <w:rPr>
          <w:rStyle w:val="Suchmarke"/>
        </w:rPr>
        <w:t>#77a#</w:t>
      </w:r>
      <w:bookmarkEnd w:id="102"/>
    </w:p>
    <w:p>
      <w:r>
        <w:t>(1) Die zuständige Behörde darf bei einer Behörde eines anderen Mitgliedstaats der Europäischen Union einen Nachweis nach Artikel 14 Absatz 2 der Verordnung (EU) 2018/1724 des Europäischen Parlaments und des Rates vom 2. Oktober 2018 über die Einrichtung eines einheitlichen digitalen Zugangstors zu Informationen, Verfahren, Hilfs- und Problemlösungsdiensten und zur Änderung der Verordnung (EU) Nr. 1024/2012 (ABl. L 295 vom 21.11.2018, S. 1) automatisiert abrufen, wenn dies zur Erfüllung ihrer Aufgaben für eines der Verfahren nach Artikel 14 Absatz 1 der Verordnung (EU) 2018/1724 erforderlich ist.</w:t>
      </w:r>
    </w:p>
    <w:p>
      <w:r>
        <w:t xml:space="preserve">(2) Die automatisierte Übermittlung eines Nachweises nach Artikel 14 Absatz 2 der Verordnung (EU) </w:t>
      </w:r>
      <w:r>
        <w:t>2018/1724</w:t>
      </w:r>
      <w:r>
        <w:t xml:space="preserve"> an eine Behörde eines anderen Mitgliedstaats der Europäischen Union ist zulässig, wenn diese Behörde zuständig ist und die Übermittlung zur Erfüllung ihrer Aufgaben für eines der Verfahren nach Artikel 14 Absatz 1 der Verordnung (EU) 2018/1724 erforderlich ist.</w:t>
      </w:r>
    </w:p>
    <w:p>
      <w:r>
        <w:t>(3) Bei der Verarbeitung nach den Absätzen 1 und 2 können intermediäre Plattformen zum Einsatz kommen.</w:t>
      </w:r>
    </w:p>
    <w:p>
      <w:pPr>
        <w:pStyle w:val="Heading3"/>
      </w:pPr>
      <w:bookmarkStart w:id="103" w:name="b102"/>
      <w:r>
        <w:t>§ 78 Zweckbindung und Geheimhaltungspflicht eines Dritten, an den Daten übermittelt werden</w:t>
      </w:r>
      <w:r>
        <w:t xml:space="preserve"> </w:t>
      </w:r>
      <w:r>
        <w:rPr>
          <w:rStyle w:val="Suchmarke"/>
        </w:rPr>
        <w:t>#78#</w:t>
      </w:r>
      <w:bookmarkEnd w:id="103"/>
    </w:p>
    <w:p>
      <w:r>
        <w:t xml:space="preserve">(1) </w:t>
      </w:r>
      <w:r>
        <w:rPr>
          <w:rStyle w:val="Satznummer"/>
        </w:rPr>
        <w:t>1</w:t>
      </w:r>
      <w:r>
        <w:t xml:space="preserve">Personen oder Stellen, die nicht in § 35 des Ersten Buches genannt und denen Sozialdaten übermittelt worden sind, dürfen diese nur zu dem Zweck verarbeiten, zu dem sie ihnen befugt übermittelt worden sind. </w:t>
      </w:r>
      <w:r>
        <w:rPr>
          <w:rStyle w:val="Satznummer"/>
        </w:rPr>
        <w:t>2</w:t>
      </w:r>
      <w:r>
        <w:t xml:space="preserve">Eine Übermittlung von Sozialdaten nach den </w:t>
      </w:r>
      <w:hyperlink w:anchor="b90" w:history="1">
        <w:r>
          <w:rPr>
            <w:color w:val="0A3A8C"/>
            <w:u w:val="single"/>
          </w:rPr>
          <w:t xml:space="preserve">§§ 68</w:t>
        </w:r>
      </w:hyperlink>
      <w:r>
        <w:t xml:space="preserve"> bis </w:t>
      </w:r>
      <w:hyperlink w:anchor="b100" w:history="1">
        <w:r>
          <w:rPr>
            <w:color w:val="0A3A8C"/>
            <w:u w:val="single"/>
          </w:rPr>
          <w:t xml:space="preserve">77</w:t>
        </w:r>
      </w:hyperlink>
      <w:r>
        <w:t xml:space="preserve"> oder nach einer anderen Rechtsvorschrift in diesem Gesetzbuch an eine nicht-öffentliche Stelle auf deren Ersuchen hin ist nur zulässig, wenn diese sich gegenüber der übermittelnden Stelle verpflichtet hat, die Daten nur für den Zweck zu verarbeiten, zu dem sie ihr übermittelt werden. </w:t>
      </w:r>
      <w:r>
        <w:rPr>
          <w:rStyle w:val="Satznummer"/>
        </w:rPr>
        <w:t>3</w:t>
      </w:r>
      <w:r>
        <w:t xml:space="preserve">Die Dritten haben die Daten in demselben Umfang geheim zu halten wie die in § 35 des Ersten Buches genannten Stellen. </w:t>
      </w:r>
      <w:r>
        <w:rPr>
          <w:rStyle w:val="Satznummer"/>
        </w:rPr>
        <w:t>4</w:t>
      </w:r>
      <w:r>
        <w:t xml:space="preserve">Sind Sozialdaten an Gerichte oder Staatsanwaltschaften übermittelt worden, dürfen diese gerichtliche Entscheidungen, die Sozialdaten enthalten, weiter übermitteln, wenn eine in § 35 des Ersten Buches genannte Stelle zur Übermittlung an den weiteren Dritten befugt wäre. </w:t>
      </w:r>
      <w:r>
        <w:rPr>
          <w:rStyle w:val="Satznummer"/>
        </w:rPr>
        <w:t>5</w:t>
      </w:r>
      <w:r>
        <w:t xml:space="preserve">Abweichend von Satz 4 ist eine Übermittlung nach § 115 des Bundesbeamtengesetzes und nach Vorschriften, die auf diese Vorschrift verweisen, zulässig. </w:t>
      </w:r>
      <w:r>
        <w:rPr>
          <w:rStyle w:val="Satznummer"/>
        </w:rPr>
        <w:t>6</w:t>
      </w:r>
      <w:r>
        <w:t>Sind Sozialdaten an Polizeibehörden, Staatsanwaltschaften, Gerichte oder Behörden der Gefahrenabwehr übermittelt worden, dürfen diese die Daten unabhängig vom Zweck der Übermittlung sowohl für Zwecke der Gefahrenabwehr als auch für Zwecke der Strafverfolgung und der Strafvollstreckung speichern, verändern, nutzen, übermitteln, in der Verarbeitung einschränken oder löschen.</w:t>
      </w:r>
    </w:p>
    <w:p>
      <w:r>
        <w:t>(2) Werden Daten an eine nicht-öffentliche Stelle übermittelt, so sind die dort beschäftigten Personen, welche diese Daten speichern, verändern, nutzen, übermitteln, in der Verarbeitung einschränken oder löschen, von dieser Stelle vor, spätestens bei der Übermittlung auf die Einhaltung der Pflichten nach Absatz 1 hinzuweisen.</w:t>
      </w:r>
    </w:p>
    <w:p>
      <w:r>
        <w:t xml:space="preserve">(3) </w:t>
      </w:r>
      <w:r>
        <w:rPr>
          <w:rStyle w:val="Satznummer"/>
        </w:rPr>
        <w:t>1</w:t>
      </w:r>
      <w:r>
        <w:t xml:space="preserve">Ergibt sich im Rahmen eines Vollstreckungsverfahrens nach </w:t>
      </w:r>
      <w:hyperlink w:anchor="b79" w:history="1">
        <w:r>
          <w:rPr>
            <w:color w:val="0A3A8C"/>
            <w:u w:val="single"/>
          </w:rPr>
          <w:t xml:space="preserve">§ 66</w:t>
        </w:r>
      </w:hyperlink>
      <w:r>
        <w:t xml:space="preserve"> die Notwendigkeit, dass eine Strafanzeige zum Schutz des Vollstreckungsbeamten erforderlich ist, so dürfen die zum Zweck der Vollstreckung übermittelten Sozialdaten auch zum Zweck der Strafverfolgung gespeichert, verändert, genutzt, übermittelt, in der Verarbeitung eingeschränkt oder gelöscht werden, soweit dies erforderlich ist. </w:t>
      </w:r>
      <w:r>
        <w:rPr>
          <w:rStyle w:val="Satznummer"/>
        </w:rPr>
        <w:t>2</w:t>
      </w:r>
      <w:r>
        <w:t>Das Gleiche gilt auch für die Klärung von Fragen im Rahmen eines Disziplinarverfahrens.</w:t>
      </w:r>
    </w:p>
    <w:p>
      <w:r>
        <w:t>(4) Sind Sozialdaten an Gerichte oder Staatsanwaltschaften für die Durchführung eines Straf- oder Bußgeldverfahrens übermittelt worden, so dürfen sie nach Maßgabe der §§ 476, 487 Absatz 4 der Strafprozessordnung und der §§ 49b und 49c Absatz 1 des Gesetzes über Ordnungswidrigkeiten für Zwecke der wissenschaftlichen Forschung gespeichert, verändert, genutzt, übermittelt, in der Verarbeitung eingeschränkt oder gelöscht werden.</w:t>
      </w:r>
    </w:p>
    <w:p>
      <w:r>
        <w:t>(5) Behörden der Zollverwaltung dürfen Sozialdaten, die ihnen zum Zweck der Vollstreckung übermittelt worden sind, auch zum Zweck der Vollstreckung öffentlich-rechtlicher Ansprüche anderer Stellen als der in § 35 des Ersten Buches genannten Stellen verarbeiten.</w:t>
      </w:r>
    </w:p>
    <w:p>
      <w:pPr>
        <w:pStyle w:val="Heading2"/>
      </w:pPr>
      <w:bookmarkStart w:id="104" w:name="b103"/>
      <w:r>
        <w:t>Dritter Abschnitt Besondere Datenverarbeitungsarten</w:t>
      </w:r>
      <w:bookmarkEnd w:id="104"/>
    </w:p>
    <w:p>
      <w:pPr>
        <w:pStyle w:val="Heading3"/>
      </w:pPr>
      <w:bookmarkStart w:id="105" w:name="b104"/>
      <w:r>
        <w:t>§ 79 Einrichtung automatisierter Verfahren auf Abruf</w:t>
      </w:r>
      <w:r>
        <w:t xml:space="preserve"> </w:t>
      </w:r>
      <w:r>
        <w:rPr>
          <w:rStyle w:val="Suchmarke"/>
        </w:rPr>
        <w:t>#79#</w:t>
      </w:r>
      <w:bookmarkEnd w:id="105"/>
    </w:p>
    <w:p>
      <w:r>
        <w:t xml:space="preserve">(1) </w:t>
      </w:r>
      <w:r>
        <w:rPr>
          <w:rStyle w:val="Satznummer"/>
        </w:rPr>
        <w:t>1</w:t>
      </w:r>
      <w:r>
        <w:t xml:space="preserve">Die Einrichtung eines automatisierten Verfahrens, das die Übermittlung von Sozialdaten durch Abruf ermöglicht, ist zwischen den in § 35 des Ersten Buches genannten Stellen sowie mit der Deutschen Rentenversicherung Bund als zentraler Stelle zur Erfüllung ihrer Aufgaben nach § 91 Absatz 1 Satz 1 des Einkommensteuergesetzes und der Deutschen Rentenversicherung Knappschaft-Bahn-See, soweit sie bei geringfügig Beschäftigten Aufgaben nach dem Einkommensteuergesetz durchführt, zulässig, soweit dieses Verfahren unter Berücksichtigung der schutzwürdigen Interessen der betroffenen Personen wegen der Vielzahl der Übermittlungen oder wegen ihrer besonderen Eilbedürftigkeit angemessen ist und wenn die jeweiligen Rechts- oder Fachaufsichtsbehörden die Teilnahme der unter ihrer Aufsicht stehenden Stellen genehmigt haben. </w:t>
      </w:r>
      <w:r>
        <w:rPr>
          <w:rStyle w:val="Satznummer"/>
        </w:rPr>
        <w:t>2</w:t>
      </w:r>
      <w:r>
        <w:t xml:space="preserve">Das Gleiche gilt gegenüber den in </w:t>
      </w:r>
      <w:hyperlink w:anchor="b91" w:history="1">
        <w:r>
          <w:rPr>
            <w:color w:val="0A3A8C"/>
            <w:u w:val="single"/>
          </w:rPr>
          <w:t xml:space="preserve">§ 69</w:t>
        </w:r>
      </w:hyperlink>
      <w:r>
        <w:t xml:space="preserve"> Absatz 2 und 3 genannten Stellen.</w:t>
      </w:r>
    </w:p>
    <w:p>
      <w:r>
        <w:t>(1a) Die Einrichtung eines automatisierten Verfahrens auf Abruf für ein Dateisystem der Sozialversicherung für Landwirtschaft, Forsten und Gartenbau ist nur gegenüber den Trägern der gesetzlichen Rentenversicherung, der Deutschen Rentenversicherung Bund als zentraler Stelle zur Erfüllung ihrer Aufgaben nach § 91 Absatz 1 Satz 1 des Einkommensteuergesetzes, den Krankenkassen, der Bundesagentur für Arbeit und der Deutschen Post AG, soweit sie mit der Berechnung oder Auszahlung von Sozialleistungen betraut ist, zulässig; dabei dürfen auch Vermittlungsstellen eingeschaltet werden.</w:t>
      </w:r>
    </w:p>
    <w:p>
      <w:r>
        <w:t xml:space="preserve">(2) </w:t>
      </w:r>
      <w:r>
        <w:rPr>
          <w:rStyle w:val="Satznummer"/>
        </w:rPr>
        <w:t>1</w:t>
      </w:r>
      <w:r>
        <w:t xml:space="preserve">Die beteiligten Stellen haben zu gewährleisten, dass die Zulässigkeit des Verfahrens auf Abruf kontrolliert werden kann. </w:t>
      </w:r>
      <w:r>
        <w:rPr>
          <w:rStyle w:val="Satznummer"/>
        </w:rPr>
        <w:t>2</w:t>
      </w:r>
      <w:r>
        <w:t>Hierzu haben sie schriftlich oder elektronisch festzulegen:</w:t>
      </w:r>
    </w:p>
    <w:p>
      <w:pPr>
        <w:tabs>
          <w:tab w:pos="567" w:val="left"/>
        </w:tabs>
        <w:ind w:left="567" w:hanging="567"/>
      </w:pPr>
      <w:r>
        <w:t>1.</w:t>
      </w:r>
      <w:r>
        <w:tab/>
      </w:r>
      <w:r>
        <w:t>Anlass und Zweck des Verfahrens auf Abruf,</w:t>
      </w:r>
    </w:p>
    <w:p>
      <w:pPr>
        <w:tabs>
          <w:tab w:pos="567" w:val="left"/>
        </w:tabs>
        <w:ind w:left="567" w:hanging="567"/>
      </w:pPr>
      <w:r>
        <w:t>2.</w:t>
      </w:r>
      <w:r>
        <w:tab/>
      </w:r>
      <w:r>
        <w:t>Dritte, an die übermittelt wird,</w:t>
      </w:r>
    </w:p>
    <w:p>
      <w:pPr>
        <w:tabs>
          <w:tab w:pos="567" w:val="left"/>
        </w:tabs>
        <w:ind w:left="567" w:hanging="567"/>
      </w:pPr>
      <w:r>
        <w:t>3.</w:t>
      </w:r>
      <w:r>
        <w:tab/>
      </w:r>
      <w:r>
        <w:t>Art der zu übermittelnden Daten,</w:t>
      </w:r>
    </w:p>
    <w:p>
      <w:pPr>
        <w:tabs>
          <w:tab w:pos="567" w:val="left"/>
        </w:tabs>
        <w:ind w:left="567" w:hanging="567"/>
      </w:pPr>
      <w:r>
        <w:t>4.</w:t>
      </w:r>
      <w:r>
        <w:tab/>
      </w:r>
      <w:r>
        <w:t>nach Artikel 32 der Verordnung (EU) 2016/679 erforderliche technische und organisatorische Maßnahmen.</w:t>
      </w:r>
    </w:p>
    <w:p>
      <w:r>
        <w:t>(3) Über die Einrichtung von Verfahren auf Abruf ist in Fällen, in denen die in § 35 des Ersten Buches genannten Stellen beteiligt sind, die der Kontrolle des oder der Bundesbeauftragten für den Datenschutz und die Informationsfreiheit (Bundesbeauftragte) unterliegen, dieser oder diese, sonst die nach Landesrecht für die Kontrolle des Datenschutzes zuständige Stelle rechtzeitig vorher unter Mitteilung der Festlegungen nach Absatz 2 zu unterrichten.</w:t>
      </w:r>
    </w:p>
    <w:p>
      <w:r>
        <w:t xml:space="preserve">(4) </w:t>
      </w:r>
      <w:r>
        <w:rPr>
          <w:rStyle w:val="Satznummer"/>
        </w:rPr>
        <w:t>1</w:t>
      </w:r>
      <w:r>
        <w:t xml:space="preserve">Die Verantwortung für die Zulässigkeit des einzelnen Abrufs trägt der Dritte, an den übermittelt wird. </w:t>
      </w:r>
      <w:r>
        <w:rPr>
          <w:rStyle w:val="Satznummer"/>
        </w:rPr>
        <w:t>2</w:t>
      </w:r>
      <w:r>
        <w:t xml:space="preserve">Die speichernde Stelle prüft die Zulässigkeit der Abrufe nur, wenn dazu Anlass besteht. </w:t>
      </w:r>
      <w:r>
        <w:rPr>
          <w:rStyle w:val="Satznummer"/>
        </w:rPr>
        <w:t>3</w:t>
      </w:r>
      <w:r>
        <w:t xml:space="preserve">Sie hat mindestens bei jedem zehnten Abruf den Zeitpunkt, die abgerufenen Daten sowie Angaben zur Feststellung des Verfahrens und des für den Abruf Verantwortlichen zu protokollieren; die protokollierten Daten sind spätestens nach sechs Monaten zu löschen. </w:t>
      </w:r>
      <w:r>
        <w:rPr>
          <w:rStyle w:val="Satznummer"/>
        </w:rPr>
        <w:t>4</w:t>
      </w:r>
      <w:r>
        <w:t>Wird ein Gesamtbestand von Sozialdaten abgerufen oder übermittelt (Stapelverarbeitung), so bezieht sich die Gewährleistung der Feststellung und Überprüfung nur auf die Zulässigkeit des Abrufes oder der Übermittlung des Gesamtbestandes.</w:t>
      </w:r>
    </w:p>
    <w:p>
      <w:r>
        <w:t>(5) Die Absätze 1 bis 4 gelten nicht für den Abruf aus Dateisystemen, die mit Einwilligung der betroffenen Personen angelegt werden und die jedermann, sei es ohne oder nach besonderer Zulassung, zur Benutzung offenstehen.</w:t>
      </w:r>
    </w:p>
    <w:p>
      <w:pPr>
        <w:pStyle w:val="Heading3"/>
      </w:pPr>
      <w:bookmarkStart w:id="106" w:name="b105"/>
      <w:r>
        <w:t>§ 80 Verarbeitung von Sozialdaten im Auftrag</w:t>
      </w:r>
      <w:r>
        <w:t xml:space="preserve"> </w:t>
      </w:r>
      <w:r>
        <w:rPr>
          <w:rStyle w:val="Suchmarke"/>
        </w:rPr>
        <w:t>#80#</w:t>
      </w:r>
      <w:bookmarkEnd w:id="106"/>
    </w:p>
    <w:p>
      <w:r>
        <w:t xml:space="preserve">(1) </w:t>
      </w:r>
      <w:r>
        <w:rPr>
          <w:rStyle w:val="Satznummer"/>
        </w:rPr>
        <w:t>1</w:t>
      </w:r>
      <w:r>
        <w:t>Die Erteilung eines Auftrags im Sinne des Artikels 28 der Verordnung (EU) 2016/679 zur Verarbeitung von Sozialdaten ist nur zulässig, wenn der Verantwortliche seiner Rechts- oder Fachaufsichtsbehörde rechtzeitig vor der Auftragserteilung</w:t>
      </w:r>
    </w:p>
    <w:p>
      <w:pPr>
        <w:tabs>
          <w:tab w:pos="567" w:val="left"/>
        </w:tabs>
        <w:ind w:left="567" w:hanging="567"/>
      </w:pPr>
      <w:r>
        <w:t>1.</w:t>
      </w:r>
      <w:r>
        <w:tab/>
      </w:r>
      <w:r>
        <w:t>den Auftragsverarbeiter, die bei diesem vorhandenen technischen und organisatorischen Maßnahmen und ergänzenden Weisungen,</w:t>
      </w:r>
    </w:p>
    <w:p>
      <w:pPr>
        <w:tabs>
          <w:tab w:pos="567" w:val="left"/>
        </w:tabs>
        <w:ind w:left="567" w:hanging="567"/>
      </w:pPr>
      <w:r>
        <w:t>2.</w:t>
      </w:r>
      <w:r>
        <w:tab/>
      </w:r>
      <w:r>
        <w:t>die Art der Daten, die im Auftrag verarbeitet werden sollen, und den Kreis der betroffenen Personen,</w:t>
      </w:r>
    </w:p>
    <w:p>
      <w:pPr>
        <w:tabs>
          <w:tab w:pos="567" w:val="left"/>
        </w:tabs>
        <w:ind w:left="567" w:hanging="567"/>
      </w:pPr>
      <w:r>
        <w:t>3.</w:t>
      </w:r>
      <w:r>
        <w:tab/>
      </w:r>
      <w:r>
        <w:t>die Aufgabe, zu deren Erfüllung die Verarbeitung der Daten im Auftrag erfolgen soll, sowie</w:t>
      </w:r>
    </w:p>
    <w:p>
      <w:pPr>
        <w:tabs>
          <w:tab w:pos="567" w:val="left"/>
        </w:tabs>
        <w:ind w:left="567" w:hanging="567"/>
      </w:pPr>
      <w:r>
        <w:t>4.</w:t>
      </w:r>
      <w:r>
        <w:tab/>
      </w:r>
      <w:r>
        <w:t>den Abschluss von etwaigen Unterauftragsverhältnissen</w:t>
      </w:r>
    </w:p>
    <w:p>
      <w:r>
        <w:t xml:space="preserve">schriftlich oder elektronisch anzeigt. </w:t>
      </w:r>
      <w:r>
        <w:rPr>
          <w:rStyle w:val="Satznummer"/>
        </w:rPr>
        <w:t>2</w:t>
      </w:r>
      <w:r>
        <w:t>Soll eine öffentliche Stelle mit der Verarbeitung von Sozialdaten beauftragt werden, hat diese rechtzeitig vor der Auftragserteilung die beabsichtigte Beauftragung ihrer Rechts- oder Fachaufsichtsbehörde schriftlich oder elektronisch anzuzeigen.</w:t>
      </w:r>
    </w:p>
    <w:p>
      <w:r>
        <w:t>(2) Der Auftrag zur Verarbeitung von Sozialdaten darf nur erteilt werden, wenn die Verarbeitung im Inland, in einem anderen Mitgliedstaat der Europäischen Union, in einem diesem nach § 35 Absatz 7 des Ersten Buches gleichgestellten Staat, oder, sofern ein Angemessenheitsbeschluss gemäß Artikel 45 der Verordnung (EU) 2016/679 vorliegt, in einem Drittstaat oder in einer internationalen Organisation erfolgt.</w:t>
      </w:r>
    </w:p>
    <w:p>
      <w:r>
        <w:t xml:space="preserve">(3) </w:t>
      </w:r>
      <w:r>
        <w:rPr>
          <w:rStyle w:val="Satznummer"/>
        </w:rPr>
        <w:t>1</w:t>
      </w:r>
      <w:r>
        <w:t>Die Erteilung eines Auftrags zur Verarbeitung von Sozialdaten durch nicht-öffentliche Stellen ist nur zulässig, wenn</w:t>
      </w:r>
    </w:p>
    <w:p>
      <w:pPr>
        <w:tabs>
          <w:tab w:pos="567" w:val="left"/>
        </w:tabs>
        <w:ind w:left="567" w:hanging="567"/>
      </w:pPr>
      <w:r>
        <w:t>1.</w:t>
      </w:r>
      <w:r>
        <w:tab/>
      </w:r>
      <w:r>
        <w:t>beim Verantwortlichen sonst Störungen im Betriebsablauf auftreten können oder</w:t>
      </w:r>
    </w:p>
    <w:p>
      <w:pPr>
        <w:tabs>
          <w:tab w:pos="567" w:val="left"/>
        </w:tabs>
        <w:ind w:left="567" w:hanging="567"/>
      </w:pPr>
      <w:r>
        <w:t>2.</w:t>
      </w:r>
      <w:r>
        <w:tab/>
      </w:r>
      <w:r>
        <w:t>die übertragenen Arbeiten beim Auftragsverarbeiter erheblich kostengünstiger besorgt werden können.</w:t>
      </w:r>
    </w:p>
    <w:p>
      <w:r>
        <w:rPr>
          <w:rStyle w:val="Satznummer"/>
        </w:rPr>
        <w:t>2</w:t>
      </w:r>
      <w:r>
        <w:t>Dies gilt nicht, wenn Dienstleister in der Informationstechnik, deren absolute Mehrheit der Anteile oder deren absolute Mehrheit der Stimmen dem Bund oder den Ländern zusteht, mit vorheriger Genehmigung der obersten Dienstbehörde des Verantwortlichen beauftragt werden.</w:t>
      </w:r>
    </w:p>
    <w:p>
      <w:r>
        <w:t xml:space="preserve">(4) </w:t>
      </w:r>
      <w:r>
        <w:rPr>
          <w:rStyle w:val="Satznummer"/>
        </w:rPr>
        <w:t>1</w:t>
      </w:r>
      <w:r>
        <w:t xml:space="preserve">Ist der Auftragsverarbeiter eine in § 35 des Ersten Buches genannte Stelle, gelten neben den </w:t>
      </w:r>
      <w:hyperlink w:anchor="b115" w:history="1">
        <w:r>
          <w:rPr>
            <w:color w:val="0A3A8C"/>
            <w:u w:val="single"/>
          </w:rPr>
          <w:t xml:space="preserve">§§ 85</w:t>
        </w:r>
      </w:hyperlink>
      <w:r>
        <w:t xml:space="preserve"> und </w:t>
      </w:r>
      <w:hyperlink w:anchor="b116" w:history="1">
        <w:r>
          <w:rPr>
            <w:color w:val="0A3A8C"/>
            <w:u w:val="single"/>
          </w:rPr>
          <w:t xml:space="preserve">85a</w:t>
        </w:r>
      </w:hyperlink>
      <w:r>
        <w:t xml:space="preserve"> die §§ 9, 13, 14 und 16 des Bundesdatenschutzgesetzes. </w:t>
      </w:r>
      <w:r>
        <w:rPr>
          <w:rStyle w:val="Satznummer"/>
        </w:rPr>
        <w:t>2</w:t>
      </w:r>
      <w:r>
        <w:t xml:space="preserve">Bei den in § 35 des Ersten Buches genannten Stellen, die nicht solche des Bundes sind, tritt anstelle des oder der Bundesbeauftragten insoweit die nach Landesrecht für die Kontrolle des Datenschutzes zuständige Stelle. </w:t>
      </w:r>
      <w:r>
        <w:rPr>
          <w:rStyle w:val="Satznummer"/>
        </w:rPr>
        <w:t>3</w:t>
      </w:r>
      <w:r>
        <w:t>Ist der Auftragsverarbeiter eine nicht-öffentliche Stelle, unterliegt dieser der Aufsicht der gemäß § 40 des Bundesdatenschutzgesetzes zuständigen Behörde.</w:t>
      </w:r>
    </w:p>
    <w:p>
      <w:r>
        <w:t xml:space="preserve">(5) </w:t>
      </w:r>
      <w:r>
        <w:rPr>
          <w:rStyle w:val="Satznummer"/>
        </w:rPr>
        <w:t>1</w:t>
      </w:r>
      <w:r>
        <w:t xml:space="preserve">Absatz 3 gilt nicht bei Verträgen über die Prüfung oder Wartung automatisierter Verfahren oder von Datenverarbeitungsanlagen durch andere Stellen im Auftrag, bei denen ein Zugriff auf Sozialdaten nicht ausgeschlossen werden kann. </w:t>
      </w:r>
      <w:r>
        <w:rPr>
          <w:rStyle w:val="Satznummer"/>
        </w:rPr>
        <w:t>2</w:t>
      </w:r>
      <w:r>
        <w:t>Die Verträge sind bei zu erwartenden oder bereits eingetretenen Störungen im Betriebsablauf unverzüglich der Rechts- oder Fachaufsichtsbehörde mitzuteilen.</w:t>
      </w:r>
    </w:p>
    <w:p>
      <w:pPr>
        <w:pStyle w:val="Heading2"/>
      </w:pPr>
      <w:bookmarkStart w:id="107" w:name="b106"/>
      <w:r>
        <w:t>Vierter Abschnitt Rechte der betroffenen Person, Beauftragte für den Datenschutz und Schlussvorschriften</w:t>
      </w:r>
      <w:bookmarkEnd w:id="107"/>
    </w:p>
    <w:p>
      <w:pPr>
        <w:pStyle w:val="Heading3"/>
      </w:pPr>
      <w:bookmarkStart w:id="108" w:name="b107"/>
      <w:r>
        <w:t>§ 81 Recht auf Anrufung, Beauftragte für den Datenschutz</w:t>
      </w:r>
      <w:r>
        <w:t xml:space="preserve"> </w:t>
      </w:r>
      <w:r>
        <w:rPr>
          <w:rStyle w:val="Suchmarke"/>
        </w:rPr>
        <w:t>#81#</w:t>
      </w:r>
      <w:bookmarkEnd w:id="108"/>
    </w:p>
    <w:p>
      <w:r>
        <w:t>(1) Ist eine betroffene Person der Ansicht, bei der Verarbeitung ihrer Sozialdaten in ihren Rechten verletzt worden zu sein, kann sie sich</w:t>
      </w:r>
    </w:p>
    <w:p>
      <w:pPr>
        <w:tabs>
          <w:tab w:pos="567" w:val="left"/>
        </w:tabs>
        <w:ind w:left="567" w:hanging="567"/>
      </w:pPr>
      <w:r>
        <w:t>1.</w:t>
      </w:r>
      <w:r>
        <w:tab/>
      </w:r>
      <w:r>
        <w:t>an den Bundesbeauftragten oder die Bundesbeauftragte wenden, wenn sie eine Verletzung ihrer Rechte durch eine in § 35 des Ersten Buches genannte Stelle des Bundes bei der Wahrnehmung von Aufgaben nach diesem Gesetzbuch behauptet,</w:t>
      </w:r>
    </w:p>
    <w:p>
      <w:pPr>
        <w:tabs>
          <w:tab w:pos="567" w:val="left"/>
        </w:tabs>
        <w:ind w:left="567" w:hanging="567"/>
      </w:pPr>
      <w:r>
        <w:t>2.</w:t>
      </w:r>
      <w:r>
        <w:tab/>
      </w:r>
      <w:r>
        <w:t>an die nach Landesrecht für die Kontrolle des Datenschutzes zuständige Stelle wenden, wenn sie die Verletzung ihrer Rechte durch eine andere in § 35 des Ersten Buches genannte Stelle bei der Wahrnehmung von Aufgaben nach diesem Gesetzbuch behauptet.</w:t>
      </w:r>
    </w:p>
    <w:p>
      <w:r>
        <w:t xml:space="preserve">(2) </w:t>
      </w:r>
      <w:r>
        <w:rPr>
          <w:rStyle w:val="Satznummer"/>
        </w:rPr>
        <w:t>1</w:t>
      </w:r>
      <w:r>
        <w:t xml:space="preserve">Bei der Wahrnehmung von Aufgaben nach diesem Gesetzbuch gelten für die in § 35 des Ersten Buches genannten Stellen die §§ 14 bis 16 des Bundesdatenschutzgesetzes. </w:t>
      </w:r>
      <w:r>
        <w:rPr>
          <w:rStyle w:val="Satznummer"/>
        </w:rPr>
        <w:t>2</w:t>
      </w:r>
      <w:r>
        <w:t>Bei öffentlichen Stellen der Länder, die unter § 35 des Ersten Buches fallen, tritt an die Stelle des oder der Bundesbeauftragten die nach Landesrecht für die Kontrolle des Datenschutzes zuständige Stelle.</w:t>
      </w:r>
    </w:p>
    <w:p>
      <w:r>
        <w:t xml:space="preserve">(3) </w:t>
      </w:r>
      <w:r>
        <w:rPr>
          <w:rStyle w:val="Satznummer"/>
        </w:rPr>
        <w:t>1</w:t>
      </w:r>
      <w:r>
        <w:t xml:space="preserve">Verbände und Arbeitsgemeinschaften der in § 35 des Ersten Buches genannten Stellen oder ihrer Verbände gelten, soweit sie Aufgaben nach diesem Gesetzbuch wahrnehmen und an ihnen Stellen des Bundes beteiligt sind, unbeschadet ihrer Rechtsform als öffentliche Stellen des Bundes, wenn sie über den Bereich eines Landes hinaus tätig werden, anderenfalls als öffentliche Stellen der Länder. </w:t>
      </w:r>
      <w:r>
        <w:rPr>
          <w:rStyle w:val="Satznummer"/>
        </w:rPr>
        <w:t>2</w:t>
      </w:r>
      <w:r>
        <w:t xml:space="preserve">Sonstige Einrichtungen der in § 35 des Ersten Buches genannten Stellen oder ihrer Verbände gelten als öffentliche Stellen des Bundes, wenn die absolute Mehrheit der Anteile oder der Stimmen einer oder mehrerer öffentlicher Stellen dem Bund zusteht, anderenfalls als öffentliche Stellen der Länder. </w:t>
      </w:r>
      <w:r>
        <w:rPr>
          <w:rStyle w:val="Satznummer"/>
        </w:rPr>
        <w:t>3</w:t>
      </w:r>
      <w:r>
        <w:t>Die Datenstelle der Rentenversicherung nach § 145 Absatz 1 des Sechsten Buches gilt als öffentliche Stelle des Bundes.</w:t>
      </w:r>
    </w:p>
    <w:p>
      <w:r>
        <w:t xml:space="preserve">(4) </w:t>
      </w:r>
      <w:r>
        <w:rPr>
          <w:rStyle w:val="Satznummer"/>
        </w:rPr>
        <w:t>1</w:t>
      </w:r>
      <w:r>
        <w:t xml:space="preserve">Auf die in § 35 des Ersten Buches genannten Stellen, die Vermittlungsstellen nach </w:t>
      </w:r>
      <w:hyperlink w:anchor="b87" w:history="1">
        <w:r>
          <w:rPr>
            <w:color w:val="0A3A8C"/>
            <w:u w:val="single"/>
          </w:rPr>
          <w:t xml:space="preserve">§ 67d</w:t>
        </w:r>
      </w:hyperlink>
      <w:r>
        <w:t xml:space="preserve"> Absatz 3 und die Auftragsverarbeiter sind die §§ 5 bis 7 des Bundesdatenschutzgesetzes entsprechend anzuwenden. </w:t>
      </w:r>
      <w:r>
        <w:rPr>
          <w:rStyle w:val="Satznummer"/>
        </w:rPr>
        <w:t>2</w:t>
      </w:r>
      <w:r>
        <w:t xml:space="preserve">In räumlich getrennten Organisationseinheiten ist sicherzustellen, dass der oder die Beauftragte für den Datenschutz bei der Erfüllung seiner oder ihrer Aufgaben unterstützt wird. </w:t>
      </w:r>
      <w:r>
        <w:rPr>
          <w:rStyle w:val="Satznummer"/>
        </w:rPr>
        <w:t>3</w:t>
      </w:r>
      <w:r>
        <w:t xml:space="preserve">Die Sätze 1 und 2 gelten nicht für öffentliche Stellen der Länder mit Ausnahme der Sozialversicherungsträger und ihrer Verbände. </w:t>
      </w:r>
      <w:r>
        <w:rPr>
          <w:rStyle w:val="Satznummer"/>
        </w:rPr>
        <w:t>4</w:t>
      </w:r>
      <w:r>
        <w:t>Absatz 2 Satz 2 gilt entsprechend.</w:t>
      </w:r>
    </w:p>
    <w:p>
      <w:pPr>
        <w:pStyle w:val="Heading3"/>
      </w:pPr>
      <w:bookmarkStart w:id="109" w:name="b108"/>
      <w:r>
        <w:t>§ 81a Gerichtlicher Rechtsschutz</w:t>
      </w:r>
      <w:r>
        <w:t xml:space="preserve"> </w:t>
      </w:r>
      <w:r>
        <w:rPr>
          <w:rStyle w:val="Suchmarke"/>
        </w:rPr>
        <w:t>#81a#</w:t>
      </w:r>
      <w:bookmarkEnd w:id="109"/>
    </w:p>
    <w:p>
      <w:r>
        <w:t xml:space="preserve">(1) </w:t>
      </w:r>
      <w:r>
        <w:rPr>
          <w:rStyle w:val="Satznummer"/>
        </w:rPr>
        <w:t>1</w:t>
      </w:r>
      <w:r>
        <w:t xml:space="preserve">Für Streitigkeiten zwischen einer natürlichen oder juristischen Person und dem oder der Bundesbeauftragten oder der nach Landesrecht für die Kontrolle des Datenschutzes zuständigen Stelle gemäß Artikel 78 Absatz 1 und 2 der Verordnung (EU) 2016/679 aufgrund der Verarbeitung von Sozialdaten im Zusammenhang mit einer Angelegenheit nach § 51 Absatz 1 und 2 des Sozialgerichtsgesetzes ist der Rechtsweg zu den Gerichten der Sozialgerichtsbarkeit eröffnet. </w:t>
      </w:r>
      <w:r>
        <w:rPr>
          <w:rStyle w:val="Satznummer"/>
        </w:rPr>
        <w:t>2</w:t>
      </w:r>
      <w:r>
        <w:t xml:space="preserve">Für die übrigen Streitigkeiten gemäß Artikel 78 Absatz 1 und 2 der Verordnung (EU) 2016/679 aufgrund der Verarbeitung von Sozialdaten gilt § 20 des Bundesdatenschutzgesetzes, soweit die Streitigkeiten nicht durch Bundesgesetz einer anderen Gerichtsbarkeit ausdrücklich zugewiesen sind. </w:t>
      </w:r>
      <w:r>
        <w:rPr>
          <w:rStyle w:val="Satznummer"/>
        </w:rPr>
        <w:t>3</w:t>
      </w:r>
      <w:r>
        <w:t>Satz 1 gilt nicht für Bußgeldverfahren.</w:t>
      </w:r>
    </w:p>
    <w:p>
      <w:r>
        <w:t>(2) Das Sozialgerichtsgesetz ist nach Maßgabe der Absätze 3 bis 7 anzuwenden.</w:t>
      </w:r>
    </w:p>
    <w:p>
      <w:r>
        <w:t>(3) Abweichend von den Vorschriften über die örtliche Zuständigkeit der Sozialgerichte nach § 57 des Sozialgerichtsgesetzes ist für die Verfahren nach Absatz 1 Satz 1 das Sozialgericht örtlich zuständig, in dessen Bezirk der oder die Bundesbeauftragte oder die nach Landesrecht für die Kontrolle des Datenschutzes zuständige Stelle seinen oder ihren Sitz hat, wenn eine Körperschaft oder Anstalt des öffentlichen Rechts oder in Angelegenheiten des sozialen Entschädigungsrechts oder des Schwerbehindertenrechts ein Land klagt.</w:t>
      </w:r>
    </w:p>
    <w:p>
      <w:r>
        <w:t>(4) In den Verfahren nach Absatz 1 Satz 1 sind der oder die Bundesbeauftragte sowie die nach Landesrecht für die Kontrolle des Datenschutzes zuständige Stelle beteiligungsfähig.</w:t>
      </w:r>
    </w:p>
    <w:p>
      <w:r>
        <w:t xml:space="preserve">(5) </w:t>
      </w:r>
      <w:r>
        <w:rPr>
          <w:rStyle w:val="Satznummer"/>
        </w:rPr>
        <w:t>1</w:t>
      </w:r>
      <w:r>
        <w:t>Beteiligte eines Verfahrens nach Absatz 1 Satz 1 sind</w:t>
      </w:r>
    </w:p>
    <w:p>
      <w:pPr>
        <w:tabs>
          <w:tab w:pos="567" w:val="left"/>
        </w:tabs>
        <w:ind w:left="567" w:hanging="567"/>
      </w:pPr>
      <w:r>
        <w:t>1.</w:t>
      </w:r>
      <w:r>
        <w:tab/>
      </w:r>
      <w:r>
        <w:t>die natürliche oder juristische Person als Klägerin oder Antragstellerin und</w:t>
      </w:r>
    </w:p>
    <w:p>
      <w:pPr>
        <w:tabs>
          <w:tab w:pos="567" w:val="left"/>
        </w:tabs>
        <w:ind w:left="567" w:hanging="567"/>
      </w:pPr>
      <w:r>
        <w:t>2.</w:t>
      </w:r>
      <w:r>
        <w:tab/>
      </w:r>
      <w:r>
        <w:t>der oder die Bundesbeauftragte oder die nach Landesrecht für die Kontrolle des Datenschutzes zuständige Stelle als Beklagter oder Beklagte oder als Antragsgegner oder Antragsgegnerin.</w:t>
      </w:r>
    </w:p>
    <w:p>
      <w:r>
        <w:rPr>
          <w:rStyle w:val="Satznummer"/>
        </w:rPr>
        <w:t>2</w:t>
      </w:r>
      <w:r>
        <w:t>§ 69 Nummer 3 des Sozialgerichtsgesetzes bleibt unberührt.</w:t>
      </w:r>
    </w:p>
    <w:p>
      <w:r>
        <w:t>(6) Ein Vorverfahren findet nicht statt.</w:t>
      </w:r>
    </w:p>
    <w:p>
      <w:r>
        <w:t>(7) Der oder die Bundesbeauftragte oder die nach Landesrecht für die Kontrolle des Datenschutzes zuständige Stelle darf gegenüber einer Behörde oder deren Rechtsträger nicht die sofortige Vollziehung (§ 86a Absatz 2 Nummer 5 des Sozialgerichtsgesetzes) anordnen.</w:t>
      </w:r>
    </w:p>
    <w:p>
      <w:pPr>
        <w:pStyle w:val="Heading3"/>
      </w:pPr>
      <w:bookmarkStart w:id="110" w:name="b109"/>
      <w:r>
        <w:t>§ 81b Klagen gegen den Verantwortlichen oder Auftragsverarbeiter</w:t>
      </w:r>
      <w:r>
        <w:t xml:space="preserve"> </w:t>
      </w:r>
      <w:r>
        <w:rPr>
          <w:rStyle w:val="Suchmarke"/>
        </w:rPr>
        <w:t>#81b#</w:t>
      </w:r>
      <w:bookmarkEnd w:id="110"/>
    </w:p>
    <w:p>
      <w:r>
        <w:t>(1) Für Klagen der betroffenen Person gegen einen Verantwortlichen oder einen Auftragsverarbeiter wegen eines Verstoßes gegen datenschutzrechtliche Bestimmungen im Anwendungsbereich der Verordnung (EU) 2016/679 oder der darin enthaltenen Rechte der betroffenen Person bei der Verarbeitung von Sozialdaten im Zusammenhang mit einer Angelegenheit nach § 51 Absatz 1 und 2 des Sozialgerichtsgesetzes ist der Rechtsweg zu den Gerichten der Sozialgerichtsbarkeit eröffnet.</w:t>
      </w:r>
    </w:p>
    <w:p>
      <w:r>
        <w:t>(2) Ergänzend zu § 57 Absatz 3 des Sozialgerichtsgesetzes ist für Klagen nach Absatz 1 das Sozialgericht örtlich zuständig, in dessen Bezirk sich eine Niederlassung des Verantwortlichen oder Auftragsverarbeiters befindet.</w:t>
      </w:r>
    </w:p>
    <w:p>
      <w:r>
        <w:t xml:space="preserve">(3) </w:t>
      </w:r>
      <w:r>
        <w:rPr>
          <w:rStyle w:val="Satznummer"/>
        </w:rPr>
        <w:t>1</w:t>
      </w:r>
      <w:r>
        <w:t xml:space="preserve">Hat der Verantwortliche oder Auftragsverarbeiter einen Vertreter nach Artikel 27 Absatz 1 der Verordnung (EU) 2016/679 benannt, gilt dieser auch als bevollmächtigt, Zustellungen in sozialgerichtlichen Verfahren nach Absatz 1 entgegenzunehmen. </w:t>
      </w:r>
      <w:r>
        <w:rPr>
          <w:rStyle w:val="Satznummer"/>
        </w:rPr>
        <w:t>2</w:t>
      </w:r>
      <w:r>
        <w:t>§ 63 Absatz 3 des Sozialgerichtsgesetzes bleibt unberührt.</w:t>
      </w:r>
    </w:p>
    <w:p>
      <w:pPr>
        <w:pStyle w:val="Heading3"/>
      </w:pPr>
      <w:bookmarkStart w:id="111" w:name="b110"/>
      <w:r>
        <w:t>§ 81c Antrag auf gerichtliche Entscheidung bei angenommener Europarechtswidrigkeit eines Angemessenheitsbeschlusses der Europäischen Kommission</w:t>
      </w:r>
      <w:r>
        <w:t xml:space="preserve"> </w:t>
      </w:r>
      <w:r>
        <w:rPr>
          <w:rStyle w:val="Suchmarke"/>
        </w:rPr>
        <w:t>#81c#</w:t>
      </w:r>
      <w:bookmarkEnd w:id="111"/>
    </w:p>
    <w:p>
      <w:r>
        <w:t>Hält der oder die Bundesbeauftragte oder eine nach Landesrecht für die Kontrolle des Datenschutzes zuständige Stelle einen Angemessenheitsbeschluss der Europäischen Kommission, auf dessen Gültigkeit es bei der Entscheidung über die Beschwerde einer betroffenen Person hinsichtlich der Verarbeitung von Sozialdaten ankommt, für europarechtswidrig, so gilt § 21 des Bundesdatenschutzgesetzes.</w:t>
      </w:r>
    </w:p>
    <w:p>
      <w:pPr>
        <w:pStyle w:val="Heading3"/>
      </w:pPr>
      <w:bookmarkStart w:id="112" w:name="b111"/>
      <w:r>
        <w:t>§ 82 Informationspflichten bei der Erhebung von Sozialdaten bei der betroffenen Person</w:t>
      </w:r>
      <w:r>
        <w:t xml:space="preserve"> </w:t>
      </w:r>
      <w:r>
        <w:rPr>
          <w:rStyle w:val="Suchmarke"/>
        </w:rPr>
        <w:t>#82#</w:t>
      </w:r>
      <w:bookmarkEnd w:id="112"/>
    </w:p>
    <w:p>
      <w:r>
        <w:t>(1) Die Pflicht zur Information der betroffenen Person gemäß Artikel 13 Absatz 1 Buchstabe e der Verordnung (EU) 2016/679 über Kategorien von Empfängern besteht ergänzend zu der in Artikel 13 Absatz 4 der Verordnung (EU) 2016/679 genannten Ausnahme nur, soweit</w:t>
      </w:r>
    </w:p>
    <w:p>
      <w:pPr>
        <w:tabs>
          <w:tab w:pos="567" w:val="left"/>
        </w:tabs>
        <w:ind w:left="567" w:hanging="567"/>
      </w:pPr>
      <w:r>
        <w:t>1.</w:t>
      </w:r>
      <w:r>
        <w:tab/>
      </w:r>
      <w:r>
        <w:t>sie nach den Umständen des Einzelfalles nicht mit der Nutzung oder der Übermittlung von Sozialdaten an diese Kategorien von Empfängern rechnen muss,</w:t>
      </w:r>
    </w:p>
    <w:p>
      <w:pPr>
        <w:tabs>
          <w:tab w:pos="567" w:val="left"/>
        </w:tabs>
        <w:ind w:left="567" w:hanging="567"/>
      </w:pPr>
      <w:r>
        <w:t>2.</w:t>
      </w:r>
      <w:r>
        <w:tab/>
      </w:r>
      <w:r>
        <w:t xml:space="preserve">es sich nicht um Speicherung, Veränderung, Nutzung, Übermittlung, Einschränkung der Verarbeitung oder Löschung von Sozialdaten innerhalb einer in § 35 des Ersten Buches genannten Stelle oder einer Organisationseinheit im Sinne von </w:t>
      </w:r>
      <w:hyperlink w:anchor="b82" w:history="1">
        <w:r>
          <w:rPr>
            <w:color w:val="0A3A8C"/>
            <w:u w:val="single"/>
          </w:rPr>
          <w:t xml:space="preserve">§ 67</w:t>
        </w:r>
      </w:hyperlink>
      <w:r>
        <w:t xml:space="preserve"> Absatz 4 Satz 2 handelt oder</w:t>
      </w:r>
    </w:p>
    <w:p>
      <w:pPr>
        <w:tabs>
          <w:tab w:pos="567" w:val="left"/>
        </w:tabs>
        <w:ind w:left="567" w:hanging="567"/>
      </w:pPr>
      <w:r>
        <w:t>3.</w:t>
      </w:r>
      <w:r>
        <w:tab/>
      </w:r>
      <w:r>
        <w:t xml:space="preserve">es sich nicht um eine Kategorie von in § 35 des Ersten Buches genannten Stellen oder von Organisationseinheiten im Sinne von </w:t>
      </w:r>
      <w:hyperlink w:anchor="b82" w:history="1">
        <w:r>
          <w:rPr>
            <w:color w:val="0A3A8C"/>
            <w:u w:val="single"/>
          </w:rPr>
          <w:t xml:space="preserve">§ 67</w:t>
        </w:r>
      </w:hyperlink>
      <w:r>
        <w:t xml:space="preserve"> Absatz 4 Satz 2 handelt, die auf Grund eines Gesetzes zur engen Zusammenarbeit verpflichtet sind.</w:t>
      </w:r>
    </w:p>
    <w:p>
      <w:r>
        <w:t>(2) Die Pflicht zur Information der betroffenen Person gemäß Artikel 13 Absatz 3 der Verordnung (EU) 2016/679 besteht ergänzend zu der in Artikel 13 Absatz 4 der Verordnung (EU) 2016/679 genannten Ausnahme dann nicht, wenn die Erteilung der Information über die beabsichtigte Weiterverarbeitung</w:t>
      </w:r>
    </w:p>
    <w:p>
      <w:pPr>
        <w:tabs>
          <w:tab w:pos="567" w:val="left"/>
        </w:tabs>
        <w:ind w:left="567" w:hanging="567"/>
      </w:pPr>
      <w:r>
        <w:t>1.</w:t>
      </w:r>
      <w:r>
        <w:tab/>
      </w:r>
      <w:r>
        <w:t>die ordnungsgemäße Erfüllung der in der Zuständigkeit des Verantwortlichen liegenden Aufgaben im Sinne des Artikels 23 Absatz 1 Buchstabe a bis e der Verordnung (EU) 2016/679 gefährden würde und die Interessen des Verantwortlichen an der Nichterteilung der Information die Interessen der betroffenen Person überwiegen,</w:t>
      </w:r>
    </w:p>
    <w:p>
      <w:pPr>
        <w:tabs>
          <w:tab w:pos="567" w:val="left"/>
        </w:tabs>
        <w:ind w:left="567" w:hanging="567"/>
      </w:pPr>
      <w:r>
        <w:t>2.</w:t>
      </w:r>
      <w:r>
        <w:tab/>
      </w:r>
      <w:r>
        <w:t>die öffentliche Sicherheit oder Ordnung gefährden oder sonst dem Wohl des Bundes oder eines Landes Nachteile bereiten würde und die Interessen des Verantwortlichen an der Nichterteilung der Information die Interessen der betroffenen Person überwiegen oder</w:t>
      </w:r>
    </w:p>
    <w:p>
      <w:pPr>
        <w:tabs>
          <w:tab w:pos="567" w:val="left"/>
        </w:tabs>
        <w:ind w:left="567" w:hanging="567"/>
      </w:pPr>
      <w:r>
        <w:t>3.</w:t>
      </w:r>
      <w:r>
        <w:tab/>
      </w:r>
      <w:r>
        <w:t>eine vertrauliche Übermittlung von Daten an öffentliche Stellen gefährden würde.</w:t>
      </w:r>
    </w:p>
    <w:p>
      <w:r>
        <w:t xml:space="preserve">(3) </w:t>
      </w:r>
      <w:r>
        <w:rPr>
          <w:rStyle w:val="Satznummer"/>
        </w:rPr>
        <w:t>1</w:t>
      </w:r>
      <w:r>
        <w:t xml:space="preserve">Unterbleibt eine Information der betroffenen Person nach Maßgabe des Absatzes 2, ergreift der Verantwortliche geeignete Maßnahmen zum Schutz der berechtigten Interessen der betroffenen Person, einschließlich der Bereitstellung der in Artikel 13 Absatz 1 und 2 der Verordnung (EU) 2016/679 genannten Informationen für die Öffentlichkeit in präziser, transparenter, verständlicher und leicht zugänglicher Form in einer klaren und einfachen Sprache. </w:t>
      </w:r>
      <w:r>
        <w:rPr>
          <w:rStyle w:val="Satznummer"/>
        </w:rPr>
        <w:t>2</w:t>
      </w:r>
      <w:r>
        <w:t xml:space="preserve">Der Verantwortliche hält schriftlich fest, aus welchen Gründen er von einer Information abgesehen hat. </w:t>
      </w:r>
      <w:r>
        <w:rPr>
          <w:rStyle w:val="Satznummer"/>
        </w:rPr>
        <w:t>3</w:t>
      </w:r>
      <w:r>
        <w:t>Die Sätze 1 und 2 finden in den Fällen des Absatzes 2 Nummer 3 keine Anwendung.</w:t>
      </w:r>
    </w:p>
    <w:p>
      <w:r>
        <w:t>(4) Unterbleibt die Benachrichtigung in den Fällen des Absatzes 2 wegen eines vorübergehenden Hinderungsgrundes, kommt der Verantwortliche der Informationspflicht unter Berücksichtigung der spezifischen Umstände der Verarbeitung innerhalb einer angemessenen Frist nach Fortfall des Hinderungsgrundes, spätestens jedoch innerhalb von zwei Wochen, nach.</w:t>
      </w:r>
    </w:p>
    <w:p>
      <w:r>
        <w:t>(5) Bezieht sich die Informationserteilung auf die Übermittlung von Sozialdaten durch öffentliche Stellen an die Staatsanwaltschaften und Gerichte im Bereich der Strafverfolgung, an Polizeibehörden, Verfassungsschutzbehörden, den Bundesnachrichtendienst und den Militärischen Abschirmdienst, ist sie nur mit Zustimmung dieser Stelle zulässig.</w:t>
      </w:r>
    </w:p>
    <w:p>
      <w:pPr>
        <w:pStyle w:val="Heading3"/>
      </w:pPr>
      <w:bookmarkStart w:id="113" w:name="b112"/>
      <w:r>
        <w:t>§ 82a Informationspflichten, wenn Sozialdaten nicht bei der betroffenen Person erhoben wurden</w:t>
      </w:r>
      <w:r>
        <w:t xml:space="preserve"> </w:t>
      </w:r>
      <w:r>
        <w:rPr>
          <w:rStyle w:val="Suchmarke"/>
        </w:rPr>
        <w:t>#82a#</w:t>
      </w:r>
      <w:bookmarkEnd w:id="113"/>
    </w:p>
    <w:p>
      <w:r>
        <w:t>(1) Die Pflicht einer in § 35 des Ersten Buches genannten Stelle zur Information der betroffenen Person gemäß Artikel 14 Absatz 1, 2 und 4 der Verordnung (EU) 2016/679 besteht ergänzend zu den in Artikel 14 Absatz 5 der Verordnung (EU) 2016/679 genannten Ausnahmen nicht,</w:t>
      </w:r>
    </w:p>
    <w:p>
      <w:pPr>
        <w:tabs>
          <w:tab w:pos="567" w:val="left"/>
        </w:tabs>
        <w:ind w:left="567" w:hanging="567"/>
      </w:pPr>
      <w:r>
        <w:t>1.</w:t>
      </w:r>
      <w:r>
        <w:tab/>
      </w:r>
      <w:r>
        <w:t>soweit die Erteilung der Information</w:t>
      </w:r>
    </w:p>
    <w:p>
      <w:pPr>
        <w:tabs>
          <w:tab w:pos="1134" w:val="left"/>
        </w:tabs>
        <w:ind w:left="1134" w:hanging="567"/>
      </w:pPr>
      <w:r>
        <w:t>a)</w:t>
      </w:r>
      <w:r>
        <w:tab/>
      </w:r>
      <w:r>
        <w:t>die ordnungsgemäße Erfüllung der in der Zuständigkeit des Verantwortlichen liegenden Aufgaben gefährden würde oder</w:t>
      </w:r>
    </w:p>
    <w:p>
      <w:pPr>
        <w:tabs>
          <w:tab w:pos="1134" w:val="left"/>
        </w:tabs>
        <w:ind w:left="1134" w:hanging="567"/>
      </w:pPr>
      <w:r>
        <w:t>b)</w:t>
      </w:r>
      <w:r>
        <w:tab/>
      </w:r>
      <w:r>
        <w:t>die öffentliche Sicherheit oder Ordnung gefährden oder sonst dem Wohle des Bundes oder eines Landes Nachteile bereiten würde, oder</w:t>
      </w:r>
    </w:p>
    <w:p>
      <w:pPr>
        <w:tabs>
          <w:tab w:pos="567" w:val="left"/>
        </w:tabs>
        <w:ind w:left="567" w:hanging="567"/>
      </w:pPr>
      <w:r>
        <w:t>2.</w:t>
      </w:r>
      <w:r>
        <w:tab/>
      </w:r>
      <w:r>
        <w:t>soweit die Daten oder die Tatsache ihrer Speicherung nach einer Rechtsvorschrift oder ihrem Wesen nach, insbesondere wegen der überwiegenden berechtigten Interessen eines Dritten geheim gehalten werden müssen</w:t>
      </w:r>
    </w:p>
    <w:p>
      <w:r>
        <w:t>und deswegen das Interesse der betroffenen Person an der Informationserteilung zurücktreten muss.</w:t>
      </w:r>
    </w:p>
    <w:p>
      <w:r>
        <w:t>(2) Werden Sozialdaten bei einer nicht-öffentlichen Stelle erhoben, so ist diese auf die Rechtsvorschrift, die zur Auskunft verpflichtet, sonst auf die Freiwilligkeit hinzuweisen.</w:t>
      </w:r>
    </w:p>
    <w:p>
      <w:r>
        <w:t xml:space="preserve">(3) </w:t>
      </w:r>
      <w:r>
        <w:rPr>
          <w:rStyle w:val="Satznummer"/>
        </w:rPr>
        <w:t>1</w:t>
      </w:r>
      <w:r>
        <w:t xml:space="preserve">Unterbleibt eine Information der betroffenen Person nach Maßgabe des Absatzes 1, ergreift der Verantwortliche geeignete Maßnahmen zum Schutz der berechtigten Interessen der betroffenen Person, einschließlich der Bereitstellung der in Artikel 14 Absatz 1 und 2 der Verordnung (EU) 2016/679 genannten Informationen für die Öffentlichkeit in präziser, transparenter, verständlicher und leicht zugänglicher Form in einer klaren und einfachen Sprache. </w:t>
      </w:r>
      <w:r>
        <w:rPr>
          <w:rStyle w:val="Satznummer"/>
        </w:rPr>
        <w:t>2</w:t>
      </w:r>
      <w:r>
        <w:t>Der Verantwortliche hält schriftlich fest, aus welchen Gründen er von einer Information abgesehen hat.</w:t>
      </w:r>
    </w:p>
    <w:p>
      <w:r>
        <w:t xml:space="preserve">(4) In Bezug auf die Pflicht zur Information nach Artikel 14 Absatz 1 Buchstabe e der Verordnung (EU) 2016/679 gilt </w:t>
      </w:r>
      <w:hyperlink w:anchor="b111" w:history="1">
        <w:r>
          <w:rPr>
            <w:color w:val="0A3A8C"/>
            <w:u w:val="single"/>
          </w:rPr>
          <w:t xml:space="preserve">§ 82</w:t>
        </w:r>
      </w:hyperlink>
      <w:r>
        <w:t xml:space="preserve"> Absatz 1 entsprechend.</w:t>
      </w:r>
    </w:p>
    <w:p>
      <w:r>
        <w:t>(5) Bezieht sich die Informationserteilung auf die Übermittlung von Sozialdaten durch öffentliche Stellen an Staatsanwaltschaften und Gerichte im Bereich der Strafverfolgung, an Polizeibehörden, Verfassungsschutzbehörden, den Bundesnachrichtendienst und den Militärischen Abschirmdienst, ist sie nur mit Zustimmung dieser Stellen zulässig.</w:t>
      </w:r>
    </w:p>
    <w:p>
      <w:pPr>
        <w:pStyle w:val="Heading3"/>
      </w:pPr>
      <w:bookmarkStart w:id="114" w:name="b113"/>
      <w:r>
        <w:t>§ 83 Auskunftsrecht der betroffenen Personen</w:t>
      </w:r>
      <w:r>
        <w:t xml:space="preserve"> </w:t>
      </w:r>
      <w:r>
        <w:rPr>
          <w:rStyle w:val="Suchmarke"/>
        </w:rPr>
        <w:t>#83#</w:t>
      </w:r>
      <w:bookmarkEnd w:id="114"/>
    </w:p>
    <w:p>
      <w:r>
        <w:t>(1) Das Recht auf Auskunft der betroffenen Person gemäß Artikel 15 der Verordnung (EU) 2016/679 besteht nicht, soweit</w:t>
      </w:r>
    </w:p>
    <w:p>
      <w:pPr>
        <w:tabs>
          <w:tab w:pos="567" w:val="left"/>
        </w:tabs>
        <w:ind w:left="567" w:hanging="567"/>
      </w:pPr>
      <w:r>
        <w:t>1.</w:t>
      </w:r>
      <w:r>
        <w:tab/>
      </w:r>
      <w:r>
        <w:t xml:space="preserve">die betroffene Person nach </w:t>
      </w:r>
      <w:hyperlink w:anchor="b112" w:history="1">
        <w:r>
          <w:rPr>
            <w:color w:val="0A3A8C"/>
            <w:u w:val="single"/>
          </w:rPr>
          <w:t xml:space="preserve">§ 82a</w:t>
        </w:r>
      </w:hyperlink>
      <w:r>
        <w:t xml:space="preserve"> Absatz 1, 4 und 5 nicht zu informieren ist oder</w:t>
      </w:r>
    </w:p>
    <w:p>
      <w:pPr>
        <w:tabs>
          <w:tab w:pos="567" w:val="left"/>
        </w:tabs>
        <w:ind w:left="567" w:hanging="567"/>
      </w:pPr>
      <w:r>
        <w:t>2.</w:t>
      </w:r>
      <w:r>
        <w:tab/>
      </w:r>
      <w:r>
        <w:t>die Sozialdaten</w:t>
      </w:r>
    </w:p>
    <w:p>
      <w:pPr>
        <w:tabs>
          <w:tab w:pos="1134" w:val="left"/>
        </w:tabs>
        <w:ind w:left="1134" w:hanging="567"/>
      </w:pPr>
      <w:r>
        <w:t>a)</w:t>
      </w:r>
      <w:r>
        <w:tab/>
      </w:r>
      <w:r>
        <w:t>nur deshalb gespeichert sind, weil sie auf Grund gesetzlicher oder satzungsmäßiger Aufbewahrungsvorschriften nicht gelöscht werden dürfen, oder</w:t>
      </w:r>
    </w:p>
    <w:p>
      <w:pPr>
        <w:tabs>
          <w:tab w:pos="1134" w:val="left"/>
        </w:tabs>
        <w:ind w:left="1134" w:hanging="567"/>
      </w:pPr>
      <w:r>
        <w:t>b)</w:t>
      </w:r>
      <w:r>
        <w:tab/>
      </w:r>
      <w:r>
        <w:t>ausschließlich zu Zwecken der Datensicherung oder der Datenschutzkontrolle dienen</w:t>
      </w:r>
    </w:p>
    <w:p>
      <w:pPr>
        <w:ind w:left="567"/>
      </w:pPr>
      <w:r>
        <w:t>und die Auskunftserteilung einen unverhältnismäßigen Aufwand erfordern würde sowie eine Verarbeitung zu anderen Zwecken durch geeignete technische und organisatorische Maßnahmen ausgeschlossen ist.</w:t>
      </w:r>
    </w:p>
    <w:p>
      <w:r>
        <w:t xml:space="preserve">(2) </w:t>
      </w:r>
      <w:r>
        <w:rPr>
          <w:rStyle w:val="Satznummer"/>
        </w:rPr>
        <w:t>1</w:t>
      </w:r>
      <w:r>
        <w:t xml:space="preserve">Die betroffene Person soll in dem Antrag auf Auskunft gemäß Artikel 15 der Verordnung (EU) 2016/679 die Art der Sozialdaten, über die Auskunft erteilt werden soll, näher bezeichnen. </w:t>
      </w:r>
      <w:r>
        <w:rPr>
          <w:rStyle w:val="Satznummer"/>
        </w:rPr>
        <w:t>2</w:t>
      </w:r>
      <w:r>
        <w:t xml:space="preserve">Sind die Sozialdaten nicht automatisiert oder nicht in nicht automatisierten Dateisystemen gespeichert, wird die Auskunft nur erteilt, soweit die betroffene Person Angaben macht, die das Auffinden der Daten ermöglichen, und der für die Erteilung der Auskunft erforderliche Aufwand nicht außer Verhältnis zu dem von der betroffenen Person geltend gemachten Informationsinteresse steht. </w:t>
      </w:r>
      <w:r>
        <w:rPr>
          <w:rStyle w:val="Satznummer"/>
        </w:rPr>
        <w:t>3</w:t>
      </w:r>
      <w:r>
        <w:t xml:space="preserve">Soweit Artikel 15 und 12 Absatz 3 der Verordnung (EU) 2016/679 keine Regelungen enthalten, bestimmt der Verantwortliche das Verfahren, insbesondere die Form der Auskunftserteilung, nach pflichtgemäßem Ermessen. </w:t>
      </w:r>
      <w:r>
        <w:rPr>
          <w:rStyle w:val="Satznummer"/>
        </w:rPr>
        <w:t>4</w:t>
      </w:r>
      <w:hyperlink w:anchor="b28" w:history="1">
        <w:r>
          <w:rPr>
            <w:color w:val="0A3A8C"/>
            <w:u w:val="single"/>
          </w:rPr>
          <w:t xml:space="preserve">§ 25</w:t>
        </w:r>
      </w:hyperlink>
      <w:r>
        <w:t xml:space="preserve"> Absatz 2 gilt entsprechend.</w:t>
      </w:r>
    </w:p>
    <w:p>
      <w:r>
        <w:t xml:space="preserve">(3) </w:t>
      </w:r>
      <w:r>
        <w:rPr>
          <w:rStyle w:val="Satznummer"/>
        </w:rPr>
        <w:t>1</w:t>
      </w:r>
      <w:r>
        <w:t xml:space="preserve">Die Gründe der Auskunftsverweigerung sind zu dokumentieren. </w:t>
      </w:r>
      <w:r>
        <w:rPr>
          <w:rStyle w:val="Satznummer"/>
        </w:rPr>
        <w:t>2</w:t>
      </w:r>
      <w:r>
        <w:t xml:space="preserve">Die Ablehnung der Auskunftserteilung bedarf keiner Begründung, soweit durch die Mitteilung der tatsächlichen und rechtlichen Gründe, auf die die Entscheidung gestützt wird, der mit der Auskunftsverweigerung verfolgte Zweck gefährdet würde. </w:t>
      </w:r>
      <w:r>
        <w:rPr>
          <w:rStyle w:val="Satznummer"/>
        </w:rPr>
        <w:t>3</w:t>
      </w:r>
      <w:r>
        <w:t>In diesem Fall ist die betroffene Person darauf hinzuweisen, dass sie sich, wenn die in § 35 des Ersten Buches genannten Stellen der Kontrolle des oder der Bundesbeauftragten unterliegen, an diesen oder diese, sonst an die nach Landesrecht für die Kontrolle des Datenschutzes zuständige Stelle wenden kann.</w:t>
      </w:r>
    </w:p>
    <w:p>
      <w:r>
        <w:t>(4) Wird einer betroffenen Person keine Auskunft erteilt, so kann, soweit es sich um in § 35 des Ersten Buches genannte Stellen handelt, die der Kontrolle des oder der Bundesbeauftragten unterliegen, diese, sonst die nach Landesrecht für die Kontrolle des Datenschutzes zuständige Stelle, auf Verlangen der betroffenen Person prüfen, ob die Ablehnung der Auskunftserteilung rechtmäßig war.</w:t>
      </w:r>
    </w:p>
    <w:p>
      <w:r>
        <w:t>(5) Bezieht sich die Informationserteilung auf die Übermittlung von Sozialdaten durch öffentliche Stellen an Staatsanwaltschaften und Gerichte im Bereich der Strafverfolgung, an Polizeibehörden, Verfassungsschutzbehörden, den Bundesnachrichtendienst und den Militärischen Abschirmdienst, ist sie nur mit Zustimmung dieser Stellen zulässig.</w:t>
      </w:r>
    </w:p>
    <w:p>
      <w:pPr>
        <w:pStyle w:val="Heading3"/>
      </w:pPr>
      <w:bookmarkStart w:id="115" w:name="b114"/>
      <w:r>
        <w:t>§ 84 Recht auf Berichtigung, Löschung, Einschränkung der Verarbeitung und Widerspruch</w:t>
      </w:r>
      <w:r>
        <w:t xml:space="preserve"> </w:t>
      </w:r>
      <w:r>
        <w:rPr>
          <w:rStyle w:val="Suchmarke"/>
        </w:rPr>
        <w:t>#84#</w:t>
      </w:r>
      <w:bookmarkEnd w:id="115"/>
    </w:p>
    <w:p>
      <w:r>
        <w:t xml:space="preserve">(1) </w:t>
      </w:r>
      <w:r>
        <w:rPr>
          <w:rStyle w:val="Satznummer"/>
        </w:rPr>
        <w:t>1</w:t>
      </w:r>
      <w:r>
        <w:t xml:space="preserve">Ist eine Löschung von Sozialdaten im Fall nicht automatisierter Datenverarbeitung wegen der besonderen Art der Speicherung nicht oder nur mit unverhältnismäßig hohem Aufwand möglich und ist das Interesse der betroffenen Person an der Löschung als gering anzusehen, besteht das Recht der betroffenen Person auf und die Pflicht des Verantwortlichen zur Löschung von Sozialdaten gemäß Artikel 17 Absatz 1 der Verordnung (EU) 2016/679 ergänzend zu den in Artikel 17 Absatz 3 der Verordnung (EU) 2016/679 genannten Ausnahmen nicht. </w:t>
      </w:r>
      <w:r>
        <w:rPr>
          <w:rStyle w:val="Satznummer"/>
        </w:rPr>
        <w:t>2</w:t>
      </w:r>
      <w:r>
        <w:t xml:space="preserve">In diesem Fall tritt an die Stelle einer Löschung die Einschränkung der Verarbeitung gemäß Artikel 18 der Verordnung (EU) 2016/679. </w:t>
      </w:r>
      <w:r>
        <w:rPr>
          <w:rStyle w:val="Satznummer"/>
        </w:rPr>
        <w:t>3</w:t>
      </w:r>
      <w:r>
        <w:t>Die Sätze 1 und 2 finden keine Anwendung, wenn die Sozialdaten unrechtmäßig verarbeitet wurden.</w:t>
      </w:r>
    </w:p>
    <w:p>
      <w:r>
        <w:t xml:space="preserve">(2) </w:t>
      </w:r>
      <w:r>
        <w:rPr>
          <w:rStyle w:val="Satznummer"/>
        </w:rPr>
        <w:t>1</w:t>
      </w:r>
      <w:r>
        <w:t xml:space="preserve">Wird die Richtigkeit von Sozialdaten von der betroffenen Person bestritten und lässt sich weder die Richtigkeit noch die Unrichtigkeit der Daten feststellen, gilt ergänzend zu Artikel 18 Absatz 1 Buchstabe a der Verordnung (EU) 2016/679, dass dies keine Einschränkung der Verarbeitung bewirkt, soweit es um die Erfüllung sozialer Aufgaben geht; die ungeklärte Sachlage ist in geeigneter Weise festzuhalten. </w:t>
      </w:r>
      <w:r>
        <w:rPr>
          <w:rStyle w:val="Satznummer"/>
        </w:rPr>
        <w:t>2</w:t>
      </w:r>
      <w:r>
        <w:t>Die bestrittenen Daten dürfen nur mit einem Hinweis hierauf verarbeitet werden.</w:t>
      </w:r>
    </w:p>
    <w:p>
      <w:r>
        <w:t xml:space="preserve">(3) </w:t>
      </w:r>
      <w:r>
        <w:rPr>
          <w:rStyle w:val="Satznummer"/>
        </w:rPr>
        <w:t>1</w:t>
      </w:r>
      <w:r>
        <w:t xml:space="preserve">Ergänzend zu Artikel 18 Absatz 1 Buchstabe b und c der Verordnung (EU) 2016/679 gilt Absatz 1 Satz 1 und 2 entsprechend im Fall des Artikels 17 Absatz 1 Buchstabe a und d der Verordnung (EU) 2016/679, solange und soweit der Verantwortliche Grund zu der Annahme hat, dass durch eine Löschung schutzwürdige Interessen der betroffenen Person beeinträchtigt würden. </w:t>
      </w:r>
      <w:r>
        <w:rPr>
          <w:rStyle w:val="Satznummer"/>
        </w:rPr>
        <w:t>2</w:t>
      </w:r>
      <w:r>
        <w:t>Der Verantwortliche unterrichtet die betroffene Person über die Einschränkung der Verarbeitung, sofern sich die Unterrichtung nicht als unmöglich erweist oder einen unverhältnismäßigen Aufwand erfordern würde.</w:t>
      </w:r>
    </w:p>
    <w:p>
      <w:r>
        <w:t>(4) Sind Sozialdaten für die Zwecke, für die sie erhoben oder auf sonstige Weise verarbeitet wurden, nicht mehr notwendig, gilt ergänzend zu Artikel 17 Absatz 3 Buchstabe b der Verordnung (EU) 2016/679 Absatz 1 entsprechend, wenn einer Löschung satzungsmäßige oder vertragliche Aufbewahrungsfristen entgegenstehen.</w:t>
      </w:r>
    </w:p>
    <w:p>
      <w:r>
        <w:t>(5) Das Recht auf Widerspruch gemäß Artikel 21 Absatz 1 der Verordnung (EU) 2016/679 gegenüber einer öffentlichen Stelle besteht nicht, soweit an der Verarbeitung ein zwingendes öffentliches Interesse besteht, das die Interessen der betroffenen Person überwiegt, oder eine Rechtsvorschrift zur Verarbeitung von Sozialdaten verpflichtet.</w:t>
      </w:r>
    </w:p>
    <w:p>
      <w:r>
        <w:t xml:space="preserve">(6) </w:t>
      </w:r>
      <w:hyperlink w:anchor="b93" w:history="1">
        <w:r>
          <w:rPr>
            <w:color w:val="0A3A8C"/>
            <w:u w:val="single"/>
          </w:rPr>
          <w:t xml:space="preserve">§ 71</w:t>
        </w:r>
      </w:hyperlink>
      <w:r>
        <w:t xml:space="preserve"> Absatz 1 Satz 3 bleibt unberührt.</w:t>
      </w:r>
    </w:p>
    <w:p>
      <w:pPr>
        <w:pStyle w:val="Heading3"/>
      </w:pPr>
      <w:bookmarkStart w:id="116" w:name="b115"/>
      <w:r>
        <w:t>§ 85 Strafvorschriften</w:t>
      </w:r>
      <w:r>
        <w:t xml:space="preserve"> </w:t>
      </w:r>
      <w:r>
        <w:rPr>
          <w:rStyle w:val="Suchmarke"/>
        </w:rPr>
        <w:t>#85#</w:t>
      </w:r>
      <w:bookmarkEnd w:id="116"/>
    </w:p>
    <w:p>
      <w:r>
        <w:t>(1) Für Sozialdaten gelten die Strafvorschriften des § 42 Absatz 1 und 2 des Bundesdatenschutzgesetzes entsprechend.</w:t>
      </w:r>
    </w:p>
    <w:p>
      <w:r>
        <w:t xml:space="preserve">(2) </w:t>
      </w:r>
      <w:r>
        <w:rPr>
          <w:rStyle w:val="Satznummer"/>
        </w:rPr>
        <w:t>1</w:t>
      </w:r>
      <w:r>
        <w:t xml:space="preserve">Die Tat wird nur auf Antrag verfolgt. </w:t>
      </w:r>
      <w:r>
        <w:rPr>
          <w:rStyle w:val="Satznummer"/>
        </w:rPr>
        <w:t>2</w:t>
      </w:r>
      <w:r>
        <w:t>Antragsberechtigt sind die betroffene Person, der Verantwortliche, der oder die Bundesbeauftragte oder die nach Landesrecht für die Kontrolle des Datenschutzes zuständige Stelle.</w:t>
      </w:r>
    </w:p>
    <w:p>
      <w:r>
        <w:t>(3) Eine Meldung nach Artikel 33 der Verordnung (EU) 2016/679 oder eine Benachrichtigung nach Artikel 34 Absatz 1 der Verordnung (EU) 2016/679 dürfen in einem Strafverfahren gegen die melde- oder benachrichtigungspflichtige Person oder gegen einen ihrer in § 52 Absatz 1 der Strafprozessordnung bezeichneten Angehörigen nur mit Zustimmung der melde- oder benachrichtigungspflichtigen Person verwendet werden.</w:t>
      </w:r>
    </w:p>
    <w:p>
      <w:pPr>
        <w:pStyle w:val="Heading3"/>
      </w:pPr>
      <w:bookmarkStart w:id="117" w:name="b116"/>
      <w:r>
        <w:t>§ 85a Bußgeldvorschriften</w:t>
      </w:r>
      <w:r>
        <w:t xml:space="preserve"> </w:t>
      </w:r>
      <w:r>
        <w:rPr>
          <w:rStyle w:val="Suchmarke"/>
        </w:rPr>
        <w:t>#85a#</w:t>
      </w:r>
      <w:bookmarkEnd w:id="117"/>
    </w:p>
    <w:p>
      <w:r>
        <w:t>(1) Für Sozialdaten gilt § 41 des Bundesdatenschutzgesetzes entsprechend.</w:t>
      </w:r>
    </w:p>
    <w:p>
      <w:r>
        <w:t>(2) Eine Meldung nach Artikel 33 der Verordnung (EU) 2016/679 oder eine Benachrichtigung nach Artikel 34 Absatz 1 der Verordnung (EU) 2016/679 dürfen in einem Verfahren nach dem Gesetz über Ordnungswidrigkeiten gegen die melde- oder benachrichtigungspflichtige Person oder einen ihrer in § 52 Absatz 1 der Strafprozessordnung bezeichneten Angehörigen nur mit Zustimmung der melde- oder benachrichtigungspflichtigen Person verwendet werden.</w:t>
      </w:r>
    </w:p>
    <w:p>
      <w:r>
        <w:t>(3) Gegen Behörden und sonstige öffentliche Stellen werden keine Geldbußen verhängt.</w:t>
      </w:r>
    </w:p>
    <w:p>
      <w:pPr>
        <w:pStyle w:val="Heading1"/>
      </w:pPr>
      <w:bookmarkStart w:id="118" w:name="b117"/>
      <w:r>
        <w:t>Drittes Kapitel Zusammenarbeit der Leistungsträger und ihre Beziehungen zu Dritten</w:t>
      </w:r>
      <w:bookmarkEnd w:id="118"/>
    </w:p>
    <w:p>
      <w:pPr>
        <w:pStyle w:val="Heading2"/>
      </w:pPr>
      <w:bookmarkStart w:id="119" w:name="b118"/>
      <w:r>
        <w:t>Erster Abschnitt Zusammenarbeit der Leistungsträger untereinander und mit Dritten</w:t>
      </w:r>
      <w:bookmarkEnd w:id="119"/>
    </w:p>
    <w:p>
      <w:pPr>
        <w:pStyle w:val="Heading3"/>
      </w:pPr>
      <w:bookmarkStart w:id="120" w:name="b119"/>
      <w:r>
        <w:t>Erster Titel Allgemeine Vorschriften</w:t>
      </w:r>
      <w:bookmarkEnd w:id="120"/>
    </w:p>
    <w:p>
      <w:pPr>
        <w:pStyle w:val="Heading4"/>
      </w:pPr>
      <w:bookmarkStart w:id="121" w:name="b120"/>
      <w:r>
        <w:t>§ 86 Zusammenarbeit</w:t>
      </w:r>
      <w:r>
        <w:t xml:space="preserve"> </w:t>
      </w:r>
      <w:r>
        <w:rPr>
          <w:rStyle w:val="Suchmarke"/>
        </w:rPr>
        <w:t>#86#</w:t>
      </w:r>
      <w:bookmarkEnd w:id="121"/>
    </w:p>
    <w:p>
      <w:r>
        <w:t>Die Leistungsträger, ihre Verbände und die in diesem Gesetzbuch genannten öffentlich-rechtlichen Vereinigungen sind verpflichtet, bei der Erfüllung ihrer Aufgaben nach diesem Gesetzbuch eng zusammenzuarbeiten.</w:t>
      </w:r>
    </w:p>
    <w:p>
      <w:pPr>
        <w:pStyle w:val="Heading3"/>
      </w:pPr>
      <w:bookmarkStart w:id="122" w:name="b121"/>
      <w:r>
        <w:t>Zweiter Titel Zusammenarbeit der Leistungsträger untereinander</w:t>
      </w:r>
      <w:bookmarkEnd w:id="122"/>
    </w:p>
    <w:p>
      <w:pPr>
        <w:pStyle w:val="Heading4"/>
      </w:pPr>
      <w:bookmarkStart w:id="123" w:name="b122"/>
      <w:r>
        <w:t>§ 87 Beschleunigung der Zusammenarbeit</w:t>
      </w:r>
      <w:r>
        <w:t xml:space="preserve"> </w:t>
      </w:r>
      <w:r>
        <w:rPr>
          <w:rStyle w:val="Suchmarke"/>
        </w:rPr>
        <w:t>#87#</w:t>
      </w:r>
      <w:bookmarkEnd w:id="123"/>
    </w:p>
    <w:p>
      <w:r>
        <w:t xml:space="preserve">(1) </w:t>
      </w:r>
      <w:r>
        <w:rPr>
          <w:rStyle w:val="Satznummer"/>
        </w:rPr>
        <w:t>1</w:t>
      </w:r>
      <w:r>
        <w:t xml:space="preserve">Ersucht ein Leistungsträger einen anderen Leistungsträger um Verrechnung mit einer Nachzahlung und kann er die Höhe des zu verrechnenden Anspruchs noch nicht bestimmen, ist der ersuchte Leistungsträger dagegen bereits in der Lage, die Nachzahlung zu erbringen, ist die Nachzahlung spätestens innerhalb von zwei Monaten nach Zugang des Verrechnungsersuchens zu leisten. </w:t>
      </w:r>
      <w:r>
        <w:rPr>
          <w:rStyle w:val="Satznummer"/>
        </w:rPr>
        <w:t>2</w:t>
      </w:r>
      <w:r>
        <w:t>Soweit die Nachzahlung nach Auffassung der beteiligten Leistungsträger die Ansprüche der ersuchenden Leistungsträger übersteigt, ist sie unverzüglich auszuzahlen.</w:t>
      </w:r>
    </w:p>
    <w:p>
      <w:r>
        <w:t xml:space="preserve">(2) </w:t>
      </w:r>
      <w:r>
        <w:rPr>
          <w:rStyle w:val="Satznummer"/>
        </w:rPr>
        <w:t>1</w:t>
      </w:r>
      <w:r>
        <w:t xml:space="preserve">Ist ein Anspruch auf eine Geldleistung auf einen anderen Leistungsträger übergegangen und ist der Anspruchsübergang sowohl diesem als auch dem verpflichteten Leistungsträger bekannt, hat der verpflichtete Leistungsträger die Geldleistung nach Ablauf von zwei Monaten seit dem Zeitpunkt, in dem die Auszahlung frühestens möglich ist, an den Berechtigten auszuzahlen, soweit ihm bis zu diesem Zeitpunkt nicht bekannt ist, in welcher Höhe der Anspruch dem anderen Leistungsträger zusteht. </w:t>
      </w:r>
      <w:r>
        <w:rPr>
          <w:rStyle w:val="Satznummer"/>
        </w:rPr>
        <w:t>2</w:t>
      </w:r>
      <w:r>
        <w:t xml:space="preserve">Die Auszahlung hat gegenüber dem anderen Leistungsträger befreiende Wirkung. </w:t>
      </w:r>
      <w:r>
        <w:rPr>
          <w:rStyle w:val="Satznummer"/>
        </w:rPr>
        <w:t>3</w:t>
      </w:r>
      <w:r>
        <w:t>Absatz 1 Satz 2 gilt entsprechend.</w:t>
      </w:r>
    </w:p>
    <w:p>
      <w:pPr>
        <w:pStyle w:val="Heading4"/>
      </w:pPr>
      <w:bookmarkStart w:id="124" w:name="b123"/>
      <w:r>
        <w:t>§ 88 Auftrag</w:t>
      </w:r>
      <w:r>
        <w:t xml:space="preserve"> </w:t>
      </w:r>
      <w:r>
        <w:rPr>
          <w:rStyle w:val="Suchmarke"/>
        </w:rPr>
        <w:t>#88#</w:t>
      </w:r>
      <w:bookmarkEnd w:id="124"/>
    </w:p>
    <w:p>
      <w:r>
        <w:t xml:space="preserve">(1) </w:t>
      </w:r>
      <w:r>
        <w:rPr>
          <w:rStyle w:val="Satznummer"/>
        </w:rPr>
        <w:t>1</w:t>
      </w:r>
      <w:r>
        <w:t>Ein Leistungsträger (Auftraggeber) kann ihm obliegende Aufgaben durch einen anderen Leistungsträger oder seinen Verband (Beauftragter) mit dessen Zustimmung wahrnehmen lassen, wenn dies</w:t>
      </w:r>
    </w:p>
    <w:p>
      <w:pPr>
        <w:tabs>
          <w:tab w:pos="567" w:val="left"/>
        </w:tabs>
        <w:ind w:left="567" w:hanging="567"/>
      </w:pPr>
      <w:r>
        <w:t>1.</w:t>
      </w:r>
      <w:r>
        <w:tab/>
      </w:r>
      <w:r>
        <w:t>wegen des sachlichen Zusammenhangs der Aufgaben vom Auftraggeber und Beauftragten,</w:t>
      </w:r>
    </w:p>
    <w:p>
      <w:pPr>
        <w:tabs>
          <w:tab w:pos="567" w:val="left"/>
        </w:tabs>
        <w:ind w:left="567" w:hanging="567"/>
      </w:pPr>
      <w:r>
        <w:t>2.</w:t>
      </w:r>
      <w:r>
        <w:tab/>
      </w:r>
      <w:r>
        <w:t>zur Durchführung der Aufgaben und</w:t>
      </w:r>
    </w:p>
    <w:p>
      <w:pPr>
        <w:tabs>
          <w:tab w:pos="567" w:val="left"/>
        </w:tabs>
        <w:ind w:left="567" w:hanging="567"/>
      </w:pPr>
      <w:r>
        <w:t>3.</w:t>
      </w:r>
      <w:r>
        <w:tab/>
      </w:r>
      <w:r>
        <w:t>im wohlverstandenen Interesse der Betroffenen</w:t>
      </w:r>
    </w:p>
    <w:p>
      <w:r>
        <w:t xml:space="preserve">zweckmäßig ist. </w:t>
      </w:r>
      <w:r>
        <w:rPr>
          <w:rStyle w:val="Satznummer"/>
        </w:rPr>
        <w:t>2</w:t>
      </w:r>
      <w:r>
        <w:t>Satz 1 gilt nicht im Recht der Ausbildungsförderung, des Kindergelds, der Unterhaltsvorschüsse und Unterhaltsausfallleistungen, im Wohngeldrecht sowie im Recht der Jugendhilfe und der Sozialhilfe.</w:t>
      </w:r>
    </w:p>
    <w:p>
      <w:r>
        <w:t xml:space="preserve">(2) </w:t>
      </w:r>
      <w:r>
        <w:rPr>
          <w:rStyle w:val="Satznummer"/>
        </w:rPr>
        <w:t>1</w:t>
      </w:r>
      <w:r>
        <w:t xml:space="preserve">Der Auftrag kann für Einzelfälle sowie für gleichartige Fälle erteilt werden. </w:t>
      </w:r>
      <w:r>
        <w:rPr>
          <w:rStyle w:val="Satznummer"/>
        </w:rPr>
        <w:t>2</w:t>
      </w:r>
      <w:r>
        <w:t>Ein wesentlicher Teil des gesamten Aufgabenbereichs muss beim Auftraggeber verbleiben.</w:t>
      </w:r>
    </w:p>
    <w:p>
      <w:r>
        <w:t xml:space="preserve">(3) </w:t>
      </w:r>
      <w:r>
        <w:rPr>
          <w:rStyle w:val="Satznummer"/>
        </w:rPr>
        <w:t>1</w:t>
      </w:r>
      <w:r>
        <w:t xml:space="preserve">Verbände dürfen Verwaltungsakte nur erlassen, soweit sie hierzu durch Gesetz oder auf Grund eines Gesetzes berechtigt sind. </w:t>
      </w:r>
      <w:r>
        <w:rPr>
          <w:rStyle w:val="Satznummer"/>
        </w:rPr>
        <w:t>2</w:t>
      </w:r>
      <w:r>
        <w:t>Darf der Verband Verwaltungsakte erlassen, ist die Berechtigung in der für die amtlichen Veröffentlichungen des Verbands sowie der Mitglieder vorgeschriebenen Weise bekannt zu machen.</w:t>
      </w:r>
    </w:p>
    <w:p>
      <w:r>
        <w:t>(4) Der Auftraggeber hat einen Auftrag für gleichartige Fälle in der für seine amtlichen Veröffentlichungen vorgeschriebenen Weise bekanntzumachen.</w:t>
      </w:r>
    </w:p>
    <w:p>
      <w:pPr>
        <w:pStyle w:val="Heading4"/>
      </w:pPr>
      <w:bookmarkStart w:id="125" w:name="b124"/>
      <w:r>
        <w:t>§ 89 Ausführung des Auftrags</w:t>
      </w:r>
      <w:r>
        <w:t xml:space="preserve"> </w:t>
      </w:r>
      <w:r>
        <w:rPr>
          <w:rStyle w:val="Suchmarke"/>
        </w:rPr>
        <w:t>#89#</w:t>
      </w:r>
      <w:bookmarkEnd w:id="125"/>
    </w:p>
    <w:p>
      <w:r>
        <w:t>(1) Verwaltungsakte, die der Beauftragte zur Ausführung des Auftrags erlässt, ergehen im Namen des Auftraggebers.</w:t>
      </w:r>
    </w:p>
    <w:p>
      <w:r>
        <w:t>(2) Durch den Auftrag wird der Auftraggeber nicht von seiner Verantwortung gegenüber dem Betroffenen entbunden.</w:t>
      </w:r>
    </w:p>
    <w:p>
      <w:r>
        <w:t>(3) Der Beauftragte hat dem Auftraggeber die erforderlichen Mitteilungen zu machen, auf Verlangen über die Ausführung des Auftrags Auskunft zu erteilen und nach der Ausführung des Auftrags Rechenschaft abzulegen.</w:t>
      </w:r>
    </w:p>
    <w:p>
      <w:r>
        <w:t>(4) Der Auftraggeber ist berechtigt, die Ausführung des Auftrags jederzeit zu prüfen.</w:t>
      </w:r>
    </w:p>
    <w:p>
      <w:r>
        <w:t>(5) Der Auftraggeber ist berechtigt, den Beauftragten an seine Auffassung zu binden.</w:t>
      </w:r>
    </w:p>
    <w:p>
      <w:pPr>
        <w:pStyle w:val="Heading4"/>
      </w:pPr>
      <w:bookmarkStart w:id="126" w:name="b125"/>
      <w:r>
        <w:t>§ 90 Anträge und Widerspruch beim Auftrag</w:t>
      </w:r>
      <w:r>
        <w:t xml:space="preserve"> </w:t>
      </w:r>
      <w:r>
        <w:rPr>
          <w:rStyle w:val="Suchmarke"/>
        </w:rPr>
        <w:t>#90#</w:t>
      </w:r>
      <w:bookmarkEnd w:id="126"/>
    </w:p>
    <w:p>
      <w:r>
        <w:rPr>
          <w:rStyle w:val="Satznummer"/>
        </w:rPr>
        <w:t>1</w:t>
      </w:r>
      <w:r>
        <w:t xml:space="preserve">Der Beteiligte kann auch beim Beauftragten Anträge stellen. </w:t>
      </w:r>
      <w:r>
        <w:rPr>
          <w:rStyle w:val="Satznummer"/>
        </w:rPr>
        <w:t>2</w:t>
      </w:r>
      <w:r>
        <w:t>Erhebt der Beteiligte gegen eine Entscheidung des Beauftragten Widerspruch und hilft der Beauftragte diesem nicht ab, erlässt den Widerspruchsbescheid die für den Auftraggeber zuständige Widerspruchsstelle.</w:t>
      </w:r>
    </w:p>
    <w:p>
      <w:pPr>
        <w:pStyle w:val="Heading4"/>
      </w:pPr>
      <w:bookmarkStart w:id="127" w:name="b126"/>
      <w:r>
        <w:t>§ 91 Erstattung von Aufwendungen</w:t>
      </w:r>
      <w:r>
        <w:t xml:space="preserve"> </w:t>
      </w:r>
      <w:r>
        <w:rPr>
          <w:rStyle w:val="Suchmarke"/>
        </w:rPr>
        <w:t>#91#</w:t>
      </w:r>
      <w:bookmarkEnd w:id="127"/>
    </w:p>
    <w:p>
      <w:r>
        <w:t xml:space="preserve">(1) </w:t>
      </w:r>
      <w:r>
        <w:rPr>
          <w:rStyle w:val="Satznummer"/>
        </w:rPr>
        <w:t>1</w:t>
      </w:r>
      <w:r>
        <w:t xml:space="preserve">Erbringt ein Beauftragter Sozialleistungen für einen Auftraggeber, ist dieser zur Erstattung verpflichtet. </w:t>
      </w:r>
      <w:r>
        <w:rPr>
          <w:rStyle w:val="Satznummer"/>
        </w:rPr>
        <w:t>2</w:t>
      </w:r>
      <w:r>
        <w:t xml:space="preserve">Sach- und Dienstleistungen sind in Geld zu erstatten. </w:t>
      </w:r>
      <w:r>
        <w:rPr>
          <w:rStyle w:val="Satznummer"/>
        </w:rPr>
        <w:t>3</w:t>
      </w:r>
      <w:r>
        <w:t>Eine Erstattungspflicht besteht nicht, soweit Sozialleistungen zu Unrecht erbracht worden sind und den Beauftragten hierfür ein Verschulden trifft.</w:t>
      </w:r>
    </w:p>
    <w:p>
      <w:r>
        <w:t xml:space="preserve">(2) </w:t>
      </w:r>
      <w:r>
        <w:rPr>
          <w:rStyle w:val="Satznummer"/>
        </w:rPr>
        <w:t>1</w:t>
      </w:r>
      <w:r>
        <w:t xml:space="preserve">Die bei der Ausführung des Auftrags entstehenden Kosten sind zu erstatten. </w:t>
      </w:r>
      <w:r>
        <w:rPr>
          <w:rStyle w:val="Satznummer"/>
        </w:rPr>
        <w:t>2</w:t>
      </w:r>
      <w:r>
        <w:t>Absatz 1 Satz 3 gilt entsprechend.</w:t>
      </w:r>
    </w:p>
    <w:p>
      <w:r>
        <w:t>(3) Für die zur Ausführung des Auftrags erforderlichen Aufwendungen hat der Auftraggeber dem Beauftragten auf Verlangen einen angemessenen Vorschuss zu zahlen.</w:t>
      </w:r>
    </w:p>
    <w:p>
      <w:r>
        <w:t>(4) Abweichende Vereinbarungen, insbesondere über pauschalierte Erstattungen, sind zulässig.</w:t>
      </w:r>
    </w:p>
    <w:p>
      <w:pPr>
        <w:pStyle w:val="Heading4"/>
      </w:pPr>
      <w:bookmarkStart w:id="128" w:name="b127"/>
      <w:r>
        <w:t>§ 92 Kündigung des Auftrags</w:t>
      </w:r>
      <w:r>
        <w:t xml:space="preserve"> </w:t>
      </w:r>
      <w:r>
        <w:rPr>
          <w:rStyle w:val="Suchmarke"/>
        </w:rPr>
        <w:t>#92#</w:t>
      </w:r>
      <w:bookmarkEnd w:id="128"/>
    </w:p>
    <w:p>
      <w:r>
        <w:rPr>
          <w:rStyle w:val="Satznummer"/>
        </w:rPr>
        <w:t>1</w:t>
      </w:r>
      <w:r>
        <w:t xml:space="preserve">Der Auftraggeber oder der Beauftragte kann den Auftrag kündigen. </w:t>
      </w:r>
      <w:r>
        <w:rPr>
          <w:rStyle w:val="Satznummer"/>
        </w:rPr>
        <w:t>2</w:t>
      </w:r>
      <w:r>
        <w:t xml:space="preserve">Die Kündigung darf nur zu einem Zeitpunkt erfolgen, der es ermöglicht, dass der Auftraggeber für die Erledigung der Aufgabe auf andere Weise rechtzeitig Vorsorge treffen und der Beauftragte sich auf den Wegfall des Auftrags in angemessener Zeit einstellen kann. </w:t>
      </w:r>
      <w:r>
        <w:rPr>
          <w:rStyle w:val="Satznummer"/>
        </w:rPr>
        <w:t>3</w:t>
      </w:r>
      <w:r>
        <w:t xml:space="preserve">Liegt ein wichtiger Grund vor, kann mit sofortiger Wirkung gekündigt werden. </w:t>
      </w:r>
      <w:r>
        <w:rPr>
          <w:rStyle w:val="Satznummer"/>
        </w:rPr>
        <w:t>4</w:t>
      </w:r>
      <w:hyperlink w:anchor="b123" w:history="1">
        <w:r>
          <w:rPr>
            <w:color w:val="0A3A8C"/>
            <w:u w:val="single"/>
          </w:rPr>
          <w:t xml:space="preserve">§ 88</w:t>
        </w:r>
      </w:hyperlink>
      <w:r>
        <w:t xml:space="preserve"> Abs. 4 gilt entsprechend.</w:t>
      </w:r>
    </w:p>
    <w:p>
      <w:pPr>
        <w:pStyle w:val="Heading4"/>
      </w:pPr>
      <w:bookmarkStart w:id="129" w:name="b128"/>
      <w:r>
        <w:t>§ 93 Gesetzlicher Auftrag</w:t>
      </w:r>
      <w:r>
        <w:t xml:space="preserve"> </w:t>
      </w:r>
      <w:r>
        <w:rPr>
          <w:rStyle w:val="Suchmarke"/>
        </w:rPr>
        <w:t>#93#</w:t>
      </w:r>
      <w:bookmarkEnd w:id="129"/>
    </w:p>
    <w:p>
      <w:r>
        <w:t xml:space="preserve">Handelt ein Leistungsträger auf Grund gesetzlichen Auftrags für einen anderen, gelten </w:t>
      </w:r>
      <w:hyperlink w:anchor="b124" w:history="1">
        <w:r>
          <w:rPr>
            <w:color w:val="0A3A8C"/>
            <w:u w:val="single"/>
          </w:rPr>
          <w:t xml:space="preserve">§ 89</w:t>
        </w:r>
      </w:hyperlink>
      <w:r>
        <w:t xml:space="preserve"> Abs. 3 und 5 sowie </w:t>
      </w:r>
      <w:hyperlink w:anchor="b126" w:history="1">
        <w:r>
          <w:rPr>
            <w:color w:val="0A3A8C"/>
            <w:u w:val="single"/>
          </w:rPr>
          <w:t xml:space="preserve">§ 91</w:t>
        </w:r>
      </w:hyperlink>
      <w:r>
        <w:t xml:space="preserve"> Abs. 1 und 3 entsprechend.</w:t>
      </w:r>
    </w:p>
    <w:p>
      <w:pPr>
        <w:pStyle w:val="Heading4"/>
      </w:pPr>
      <w:bookmarkStart w:id="130" w:name="b129"/>
      <w:r>
        <w:t>§ 94 Arbeitsgemeinschaften</w:t>
      </w:r>
      <w:r>
        <w:t xml:space="preserve"> </w:t>
      </w:r>
      <w:r>
        <w:rPr>
          <w:rStyle w:val="Suchmarke"/>
        </w:rPr>
        <w:t>#94#</w:t>
      </w:r>
      <w:bookmarkEnd w:id="130"/>
    </w:p>
    <w:p>
      <w:r>
        <w:t>(1) Die Arbeitsgemeinschaft für Krebsbekämpfung der Träger der gesetzlichen Kranken- und Rentenversicherung im Lande Nordrhein-Westfalen, die Rheinische Arbeitsgemeinschaft zur Rehabilitation Suchtkranker, die Westfälische Arbeitsgemeinschaft zur Rehabilitation Suchtkranker, die Arbeitsgemeinschaft zur Rehabilitation Suchtkranker im Lande Hessen sowie die Arbeitsgemeinschaft für Heimdialyse im Lande Hessen sind berechtigt, Verwaltungsakte zu erlassen zur Erfüllung der Aufgaben, die ihnen am 1. Juli 1981 übertragen waren.</w:t>
      </w:r>
    </w:p>
    <w:p>
      <w:r>
        <w:t xml:space="preserve">(1a) </w:t>
      </w:r>
      <w:r>
        <w:rPr>
          <w:rStyle w:val="Satznummer"/>
        </w:rPr>
        <w:t>1</w:t>
      </w:r>
      <w:r>
        <w:t xml:space="preserve">Träger der Sozialversicherung, Verbände von Trägern der Sozialversicherung und die Bundesagentur für Arbeit einschließlich der in § 19a Abs. 2 des Ersten Buches genannten anderen Leistungsträger können insbesondere zur gegenseitigen Unterrichtung, Abstimmung, Koordinierung und Förderung der engen Zusammenarbeit im Rahmen der ihnen gesetzlich übertragenen Aufgaben Arbeitsgemeinschaften bilden. </w:t>
      </w:r>
      <w:r>
        <w:rPr>
          <w:rStyle w:val="Satznummer"/>
        </w:rPr>
        <w:t>2</w:t>
      </w:r>
      <w:r>
        <w:t xml:space="preserve">Eine nach Satz 1 gebildete Arbeitsgemeinschaft kann eine weitere Arbeitsgemeinschaft bilden oder einer weiteren Arbeitsgemeinschaft beitreten, die sich ihrerseits an einer weiteren Arbeitsgemeinschaft beteiligen können. </w:t>
      </w:r>
      <w:r>
        <w:rPr>
          <w:rStyle w:val="Satznummer"/>
        </w:rPr>
        <w:t>3</w:t>
      </w:r>
      <w:r>
        <w:t xml:space="preserve">Weitere Beteiligungsebenen sind unzulässig. </w:t>
      </w:r>
      <w:r>
        <w:rPr>
          <w:rStyle w:val="Satznummer"/>
        </w:rPr>
        <w:t>4</w:t>
      </w:r>
      <w:r>
        <w:t xml:space="preserve">Die Aufsichtsbehörde ist vor der Bildung von Arbeitsgemeinschaften und dem Beitritt zu ihnen sowie vor ihrer Auflösung und einem Austritt so rechtzeitig und umfassend zu unterrichten, dass ihr ausreichend Zeit zur Prüfung bleibt. </w:t>
      </w:r>
      <w:r>
        <w:rPr>
          <w:rStyle w:val="Satznummer"/>
        </w:rPr>
        <w:t>5</w:t>
      </w:r>
      <w:r>
        <w:t>Die Aufsichtsbehörde kann auf eine Unterrichtung verzichten.</w:t>
      </w:r>
    </w:p>
    <w:p>
      <w:r>
        <w:t xml:space="preserve">(2) </w:t>
      </w:r>
      <w:r>
        <w:rPr>
          <w:rStyle w:val="Satznummer"/>
        </w:rPr>
        <w:t>1</w:t>
      </w:r>
      <w:r>
        <w:t xml:space="preserve">Können nach diesem Gesetzbuch Arbeitsgemeinschaften gebildet werden, unterliegen diese staatlicher Aufsicht, die sich auf die Beachtung von Gesetz und sonstigem Recht erstreckt, das für die Arbeitsgemeinschaften, die Leistungsträger und ihre Verbände maßgebend ist; die §§ 85, 88 bis 90a des Vierten Buches gelten entsprechend. </w:t>
      </w:r>
      <w:r>
        <w:rPr>
          <w:rStyle w:val="Satznummer"/>
        </w:rPr>
        <w:t>2</w:t>
      </w:r>
      <w:r>
        <w:t xml:space="preserve">Ist der Spitzenverband Bund der Krankenkassen oder die Bundesagentur für Arbeit Mitglied einer Arbeitsgemeinschaft, führt das zuständige Bundesministerium in Abstimmung mit den für die übrigen Mitglieder zuständigen Aufsichtsbehörden die Aufsicht. </w:t>
      </w:r>
      <w:r>
        <w:rPr>
          <w:rStyle w:val="Satznummer"/>
        </w:rPr>
        <w:t>3</w:t>
      </w:r>
      <w:r>
        <w:t>Beabsichtigt eine Aufsichtsbehörde, von den Aufsichtsmitteln nach § 89 des Vierten Buches Gebrauch zu machen, unterrichtet sie die Aufsichtsbehörden, die die Aufsicht über die Mitglieder der betroffenen Arbeitsgemeinschaft führen, und setzt eine angemessene Frist zur Stellungnahme.</w:t>
      </w:r>
    </w:p>
    <w:p>
      <w:r>
        <w:t xml:space="preserve">(2a) </w:t>
      </w:r>
      <w:r>
        <w:rPr>
          <w:rStyle w:val="Satznummer"/>
        </w:rPr>
        <w:t>1</w:t>
      </w:r>
      <w:r>
        <w:t xml:space="preserve">Ein räumlicher Zuständigkeitsbereich im Sinne von § 90 des Vierten Buches ist gegeben, wenn eine Arbeitsgemeinschaft unmittelbar sozialrechtliche Leistungen an Versicherte erbringt oder sonstige Aufgaben nach dem Sozialgesetzbuch im Außenverhältnis wahrnimmt. </w:t>
      </w:r>
      <w:r>
        <w:rPr>
          <w:rStyle w:val="Satznummer"/>
        </w:rPr>
        <w:t>2</w:t>
      </w:r>
      <w:r>
        <w:t xml:space="preserve">Fehlt ein Zuständigkeitsbereich im Sinne von § 90 des Vierten Buches, führen die Aufsicht die für die Sozialversicherung zuständigen obersten Verwaltungsbehörden oder die von der Landesregierung durch Rechtsverordnung bestimmten Behörden des Landes, in dem die Arbeitsgemeinschaften ihren Sitz haben; die Landesregierungen können diese Ermächtigung durch Rechtsverordnung auf die obersten Landesbehörden übertragen. </w:t>
      </w:r>
      <w:r>
        <w:rPr>
          <w:rStyle w:val="Satznummer"/>
        </w:rPr>
        <w:t>3</w:t>
      </w:r>
      <w:r>
        <w:t>Abweichend von Satz 2 führt das Bundesamt für Soziale Sicherung die Aufsicht, wenn die absolute Mehrheit der Anteile oder der Stimmen in der Arbeitsgemeinschaft Trägern zusteht, die unter Bundesaufsicht stehen.</w:t>
      </w:r>
    </w:p>
    <w:p>
      <w:r>
        <w:t>(3) Soweit erforderlich, stellt eine Arbeitsgemeinschaft unter entsprechender Anwendung von § 67 des Vierten Buches einen Haushaltsplan auf.</w:t>
      </w:r>
    </w:p>
    <w:p>
      <w:r>
        <w:t xml:space="preserve">(4) </w:t>
      </w:r>
      <w:hyperlink w:anchor="b123" w:history="1">
        <w:r>
          <w:rPr>
            <w:color w:val="0A3A8C"/>
            <w:u w:val="single"/>
          </w:rPr>
          <w:t xml:space="preserve">§ 88</w:t>
        </w:r>
      </w:hyperlink>
      <w:r>
        <w:t xml:space="preserve"> Abs. 1 Satz 1 und Abs. 2 gilt entsprechend.</w:t>
      </w:r>
    </w:p>
    <w:p>
      <w:pPr>
        <w:pStyle w:val="Heading4"/>
      </w:pPr>
      <w:bookmarkStart w:id="131" w:name="b130"/>
      <w:r>
        <w:t>§ 95 Zusammenarbeit bei Planung und Forschung</w:t>
      </w:r>
      <w:r>
        <w:t xml:space="preserve"> </w:t>
      </w:r>
      <w:r>
        <w:rPr>
          <w:rStyle w:val="Suchmarke"/>
        </w:rPr>
        <w:t>#95#</w:t>
      </w:r>
      <w:bookmarkEnd w:id="131"/>
    </w:p>
    <w:p>
      <w:r>
        <w:t xml:space="preserve">(1) </w:t>
      </w:r>
      <w:r>
        <w:rPr>
          <w:rStyle w:val="Satznummer"/>
        </w:rPr>
        <w:t>1</w:t>
      </w:r>
      <w:r>
        <w:t xml:space="preserve">Die in </w:t>
      </w:r>
      <w:hyperlink w:anchor="b120" w:history="1">
        <w:r>
          <w:rPr>
            <w:color w:val="0A3A8C"/>
            <w:u w:val="single"/>
          </w:rPr>
          <w:t xml:space="preserve">§ 86</w:t>
        </w:r>
      </w:hyperlink>
      <w:r>
        <w:t xml:space="preserve"> genannten Stellen sollen</w:t>
      </w:r>
    </w:p>
    <w:p>
      <w:pPr>
        <w:tabs>
          <w:tab w:pos="567" w:val="left"/>
        </w:tabs>
        <w:ind w:left="567" w:hanging="567"/>
      </w:pPr>
      <w:r>
        <w:t>1.</w:t>
      </w:r>
      <w:r>
        <w:tab/>
      </w:r>
      <w:r>
        <w:t>Planungen, die auch für die Willensbildung und Durchführung von Aufgaben der anderen von Bedeutung sind, im Benehmen miteinander abstimmen sowie</w:t>
      </w:r>
    </w:p>
    <w:p>
      <w:pPr>
        <w:tabs>
          <w:tab w:pos="567" w:val="left"/>
        </w:tabs>
        <w:ind w:left="567" w:hanging="567"/>
      </w:pPr>
      <w:r>
        <w:t>2.</w:t>
      </w:r>
      <w:r>
        <w:tab/>
      </w:r>
      <w:r>
        <w:t>gemeinsame örtliche und überörtliche Pläne in ihrem Aufgabenbereich über soziale Dienste und Einrichtungen, insbesondere deren Bereitstellung und Inanspruchnahme, anstreben.</w:t>
      </w:r>
    </w:p>
    <w:p>
      <w:r>
        <w:rPr>
          <w:rStyle w:val="Satznummer"/>
        </w:rPr>
        <w:t>2</w:t>
      </w:r>
      <w:r>
        <w:t>Die jeweiligen Gebietskörperschaften sowie die gemeinnützigen und freien Einrichtungen und Organisationen sollen insbesondere hinsichtlich der Bedarfsermittlung beteiligt werden.</w:t>
      </w:r>
    </w:p>
    <w:p>
      <w:r>
        <w:t xml:space="preserve">(2) Die in </w:t>
      </w:r>
      <w:hyperlink w:anchor="b120" w:history="1">
        <w:r>
          <w:rPr>
            <w:color w:val="0A3A8C"/>
            <w:u w:val="single"/>
          </w:rPr>
          <w:t xml:space="preserve">§ 86</w:t>
        </w:r>
      </w:hyperlink>
      <w:r>
        <w:t xml:space="preserve"> genannten Stellen sollen Forschungsvorhaben über den gleichen Gegenstand aufeinander abstimmen.</w:t>
      </w:r>
    </w:p>
    <w:p>
      <w:pPr>
        <w:pStyle w:val="Heading4"/>
      </w:pPr>
      <w:bookmarkStart w:id="132" w:name="b131"/>
      <w:r>
        <w:t>§ 96 Ärztliche Untersuchungen, psychologische Eignungsuntersuchungen</w:t>
      </w:r>
      <w:r>
        <w:t xml:space="preserve"> </w:t>
      </w:r>
      <w:r>
        <w:rPr>
          <w:rStyle w:val="Suchmarke"/>
        </w:rPr>
        <w:t>#96#</w:t>
      </w:r>
      <w:bookmarkEnd w:id="132"/>
    </w:p>
    <w:p>
      <w:r>
        <w:t xml:space="preserve">(1) </w:t>
      </w:r>
      <w:r>
        <w:rPr>
          <w:rStyle w:val="Satznummer"/>
        </w:rPr>
        <w:t>1</w:t>
      </w:r>
      <w:r>
        <w:t xml:space="preserve">Veranlasst ein Leistungsträger eine ärztliche Untersuchungsmaßnahme oder eine psychologische Eignungsuntersuchungsmaßnahme, um festzustellen, ob die Voraussetzungen für eine Sozialleistung vorliegen, sollen die Untersuchungen in der Art und Weise vorgenommen und deren Ergebnisse so festgehalten werden, dass sie auch bei der Prüfung der Voraussetzungen anderer Sozialleistungen verwendet werden können. </w:t>
      </w:r>
      <w:r>
        <w:rPr>
          <w:rStyle w:val="Satznummer"/>
        </w:rPr>
        <w:t>2</w:t>
      </w:r>
      <w:r>
        <w:t xml:space="preserve">Der Umfang der Untersuchungsmaßnahme richtet sich nach der Aufgabe, die der Leistungsträger, der die Untersuchung veranlasst hat, zu erfüllen hat. </w:t>
      </w:r>
      <w:r>
        <w:rPr>
          <w:rStyle w:val="Satznummer"/>
        </w:rPr>
        <w:t>3</w:t>
      </w:r>
      <w:r>
        <w:t>Die Untersuchungsbefunde sollen bei der Feststellung, ob die Voraussetzungen einer anderen Sozialleistung vorliegen, verwertet werden.</w:t>
      </w:r>
    </w:p>
    <w:p>
      <w:r>
        <w:t xml:space="preserve">(2) </w:t>
      </w:r>
      <w:r>
        <w:rPr>
          <w:rStyle w:val="Satznummer"/>
        </w:rPr>
        <w:t>1</w:t>
      </w:r>
      <w:r>
        <w:t xml:space="preserve">Durch Vereinbarungen haben die Leistungsträger sicherzustellen, dass Untersuchungen unterbleiben, soweit bereits verwertbare Untersuchungsergebnisse vorliegen. </w:t>
      </w:r>
      <w:r>
        <w:rPr>
          <w:rStyle w:val="Satznummer"/>
        </w:rPr>
        <w:t>2</w:t>
      </w:r>
      <w:r>
        <w:t xml:space="preserve">Für den Einzelfall sowie nach Möglichkeit für eine Vielzahl von Fällen haben die Leistungsträger zu vereinbaren, dass bei der Begutachtung der Voraussetzungen von Sozialleistungen die Untersuchungen nach einheitlichen und vergleichbaren Grundlagen, Maßstäben und Verfahren vorgenommen und die Ergebnisse der Untersuchungen festgehalten werden. </w:t>
      </w:r>
      <w:r>
        <w:rPr>
          <w:rStyle w:val="Satznummer"/>
        </w:rPr>
        <w:t>3</w:t>
      </w:r>
      <w:r>
        <w:t>Sie können darüber hinaus vereinbaren, dass sich der Umfang der Untersuchungsmaßnahme nach den Aufgaben der beteiligten Leistungsträger richtet; soweit die Untersuchungsmaßnahme hierdurch erweitert ist, ist die Zustimmung des Betroffenen erforderlich.</w:t>
      </w:r>
    </w:p>
    <w:p>
      <w:r>
        <w:t>(3) Die Bildung einer Zentraldatei mehrerer Leistungsträger für Daten der ärztlich untersuchten Leistungsempfänger ist nicht zulässig.</w:t>
      </w:r>
    </w:p>
    <w:p>
      <w:pPr>
        <w:pStyle w:val="Heading3"/>
      </w:pPr>
      <w:bookmarkStart w:id="133" w:name="b132"/>
      <w:r>
        <w:t>Dritter Titel Zusammenarbeit der Leistungsträger mit Dritten</w:t>
      </w:r>
      <w:bookmarkEnd w:id="133"/>
    </w:p>
    <w:p>
      <w:pPr>
        <w:pStyle w:val="Heading4"/>
      </w:pPr>
      <w:bookmarkStart w:id="134" w:name="b133"/>
      <w:r>
        <w:t>§ 97 Durchführung von Aufgaben durch Dritte</w:t>
      </w:r>
      <w:r>
        <w:t xml:space="preserve"> </w:t>
      </w:r>
      <w:r>
        <w:rPr>
          <w:rStyle w:val="Suchmarke"/>
        </w:rPr>
        <w:t>#97#</w:t>
      </w:r>
      <w:bookmarkEnd w:id="134"/>
    </w:p>
    <w:p>
      <w:r>
        <w:t xml:space="preserve">(1) </w:t>
      </w:r>
      <w:r>
        <w:rPr>
          <w:rStyle w:val="Satznummer"/>
        </w:rPr>
        <w:t>1</w:t>
      </w:r>
      <w:r>
        <w:t xml:space="preserve">Kann ein Leistungsträger, ein Verband von Leistungsträgern oder eine Arbeitsgemeinschaft von einem Dritten Aufgaben wahrnehmen lassen, muss sichergestellt sein, dass der Dritte die Gewähr für eine sachgerechte, die Rechte und Interessen des Betroffenen wahrende Erfüllung der Aufgaben bietet. </w:t>
      </w:r>
      <w:r>
        <w:rPr>
          <w:rStyle w:val="Satznummer"/>
        </w:rPr>
        <w:t>2</w:t>
      </w:r>
      <w:r>
        <w:t xml:space="preserve">Soweit Aufgaben aus dem Bereich der Sozialversicherung von einem Dritten, an dem ein Leistungsträger, ein Verband oder eine Arbeitsgemeinschaft unmittelbar oder mittelbar beteiligt ist, wahrgenommen werden sollen, hat der Leistungsträger, der Verband oder die Arbeitsgemeinschaft den Dritten zu verpflichten, dem Auftraggeber auf Verlangen alle Unterlagen vorzulegen und über alle Tatsachen Auskunft zu erteilen, die zur Ausübung des Aufsichtsrechts über die Auftraggeber auf Grund pflichtgemäßer Prüfung der Aufsichtsbehörde des Auftraggebers erforderlich sind. </w:t>
      </w:r>
      <w:r>
        <w:rPr>
          <w:rStyle w:val="Satznummer"/>
        </w:rPr>
        <w:t>3</w:t>
      </w:r>
      <w:r>
        <w:t xml:space="preserve">Die Aufsichtsbehörde ist durch den Leistungsträger, den Verband oder die Arbeitsgemeinschaft so rechtzeitig und umfassend zu unterrichten, dass ihr vor der Aufgabenübertragung oder einer Änderung ausreichend Zeit zur Prüfung bleibt. </w:t>
      </w:r>
      <w:r>
        <w:rPr>
          <w:rStyle w:val="Satznummer"/>
        </w:rPr>
        <w:t>4</w:t>
      </w:r>
      <w:r>
        <w:t xml:space="preserve">Die Aufsichtsbehörde kann auf eine Unterrichtung verzichten. </w:t>
      </w:r>
      <w:r>
        <w:rPr>
          <w:rStyle w:val="Satznummer"/>
        </w:rPr>
        <w:t>5</w:t>
      </w:r>
      <w:r>
        <w:t>Die Sätze 3 und 4 gelten nicht für die Bundesagentur für Arbeit.</w:t>
      </w:r>
    </w:p>
    <w:p>
      <w:r>
        <w:t xml:space="preserve">(2) </w:t>
      </w:r>
      <w:hyperlink w:anchor="b124" w:history="1">
        <w:r>
          <w:rPr>
            <w:color w:val="0A3A8C"/>
            <w:u w:val="single"/>
          </w:rPr>
          <w:t xml:space="preserve">§ 89</w:t>
        </w:r>
      </w:hyperlink>
      <w:r>
        <w:t xml:space="preserve"> Abs. 3 bis 5, </w:t>
      </w:r>
      <w:hyperlink w:anchor="b126" w:history="1">
        <w:r>
          <w:rPr>
            <w:color w:val="0A3A8C"/>
            <w:u w:val="single"/>
          </w:rPr>
          <w:t xml:space="preserve">§ 91</w:t>
        </w:r>
      </w:hyperlink>
      <w:r>
        <w:t xml:space="preserve"> Abs. 1 bis 3 sowie </w:t>
      </w:r>
      <w:hyperlink w:anchor="b127" w:history="1">
        <w:r>
          <w:rPr>
            <w:color w:val="0A3A8C"/>
            <w:u w:val="single"/>
          </w:rPr>
          <w:t xml:space="preserve">§ 92</w:t>
        </w:r>
      </w:hyperlink>
      <w:r>
        <w:t xml:space="preserve"> gelten entsprechend.</w:t>
      </w:r>
    </w:p>
    <w:p>
      <w:pPr>
        <w:pStyle w:val="Heading4"/>
      </w:pPr>
      <w:bookmarkStart w:id="135" w:name="b134"/>
      <w:r>
        <w:t>§ 98 Auskunftspflicht des Arbeitgebers</w:t>
      </w:r>
      <w:r>
        <w:t xml:space="preserve"> </w:t>
      </w:r>
      <w:r>
        <w:rPr>
          <w:rStyle w:val="Suchmarke"/>
        </w:rPr>
        <w:t>#98#</w:t>
      </w:r>
      <w:bookmarkEnd w:id="135"/>
    </w:p>
    <w:p>
      <w:r>
        <w:t xml:space="preserve">(1) </w:t>
      </w:r>
      <w:r>
        <w:rPr>
          <w:rStyle w:val="Satznummer"/>
        </w:rPr>
        <w:t>1</w:t>
      </w:r>
      <w:r>
        <w:t xml:space="preserve">Soweit es in der Sozialversicherung einschließlich der Arbeitslosenversicherung im Einzelfall für die Erbringung von Sozialleistungen erforderlich ist, hat der Arbeitgeber auf Verlangen dem Leistungsträger oder der zuständigen Einzugsstelle Auskunft über die Art und Dauer der Beschäftigung, den Beschäftigungsort und das Arbeitsentgelt zu erteilen. </w:t>
      </w:r>
      <w:r>
        <w:rPr>
          <w:rStyle w:val="Satznummer"/>
        </w:rPr>
        <w:t>2</w:t>
      </w:r>
      <w:r>
        <w:t xml:space="preserve">Wegen der Entrichtung von Beiträgen hat der Arbeitgeber auf Verlangen über alle Tatsachen Auskunft zu erteilen, die für die Erhebung der Beiträge notwendig sind. </w:t>
      </w:r>
      <w:r>
        <w:rPr>
          <w:rStyle w:val="Satznummer"/>
        </w:rPr>
        <w:t>3</w:t>
      </w:r>
      <w:r>
        <w:t xml:space="preserve">Der Arbeitgeber hat auf Verlangen die Geschäftsbücher, Listen oder andere Unterlagen, aus denen die Angaben über die Beschäftigung hervorgehen, während der Betriebszeit nach seiner Wahl den in Satz 1 bezeichneten Stellen entweder in deren oder in seinen eigenen Geschäftsräumen zur Einsicht vorzulegen. </w:t>
      </w:r>
      <w:r>
        <w:rPr>
          <w:rStyle w:val="Satznummer"/>
        </w:rPr>
        <w:t>4</w:t>
      </w:r>
      <w:r>
        <w:t xml:space="preserve">Das Wahlrecht nach Satz 3 entfällt, wenn besondere Gründe eine Prüfung in den Geschäftsräumen des Arbeitgebers gerechtfertigt erscheinen lassen. </w:t>
      </w:r>
      <w:r>
        <w:rPr>
          <w:rStyle w:val="Satznummer"/>
        </w:rPr>
        <w:t>5</w:t>
      </w:r>
      <w:r>
        <w:t xml:space="preserve">Satz 4 gilt nicht gegenüber Arbeitgebern des öffentlichen Dienstes. </w:t>
      </w:r>
      <w:r>
        <w:rPr>
          <w:rStyle w:val="Satznummer"/>
        </w:rPr>
        <w:t>6</w:t>
      </w:r>
      <w:r>
        <w:t>Die Sätze 2 bis 5 gelten auch für Stellen im Sinne des § 28p Abs. 6 des Vierten Buches.</w:t>
      </w:r>
    </w:p>
    <w:p>
      <w:r>
        <w:t>(1a) Soweit die Träger der Rentenversicherung nach § 28p des Vierten Buches prüfberechtigt sind, bestehen die Verpflichtungen nach Absatz 1 Satz 3 bis 6 gegenüber den Einzugsstellen wegen der Entrichtung des Gesamtsozialversicherungsbeitrags nicht; die Verpflichtung nach Absatz 1 Satz 2 besteht gegenüber den Einzugsstellen nur im Einzelfall.</w:t>
      </w:r>
    </w:p>
    <w:p>
      <w:r>
        <w:t xml:space="preserve">(2) </w:t>
      </w:r>
      <w:r>
        <w:rPr>
          <w:rStyle w:val="Satznummer"/>
        </w:rPr>
        <w:t>1</w:t>
      </w:r>
      <w:r>
        <w:t xml:space="preserve">Wird die Auskunft wegen der Erbringung von Sozialleistungen verlangt, gilt § 65 Abs. 1 des Ersten Buches entsprechend. </w:t>
      </w:r>
      <w:r>
        <w:rPr>
          <w:rStyle w:val="Satznummer"/>
        </w:rPr>
        <w:t>2</w:t>
      </w:r>
      <w:r>
        <w:t>Auskünfte auf Fragen, deren Beantwortung dem Arbeitgeber selbst oder einer ihm nahe stehenden Person (§ 383 Abs. 1 Nr. 1 bis 3 der Zivilprozessordnung) die Gefahr zuziehen würde, wegen einer Straftat oder einer Ordnungswidrigkeit verfolgt zu werden, können verweigert werden; dem Arbeitgeber stehen die in Absatz 1 Satz 6 genannten Stellen gleich.</w:t>
      </w:r>
    </w:p>
    <w:p>
      <w:r>
        <w:t>(3) Hinsichtlich des Absatzes 1 Satz 2 und 3 sowie des Absatzes 2 stehen einem Arbeitgeber die Personen gleich, die wie ein Arbeitgeber Beiträge für eine kraft Gesetzes versicherte Person zu entrichten haben.</w:t>
      </w:r>
    </w:p>
    <w:p>
      <w:r>
        <w:t>(4) Das Bundesministerium für Arbeit und Soziales kann durch Rechtsverordnung mit Zustimmung des Bundesrates das Nähere über die Durchführung der in Absatz 1 genannten Mitwirkung bestimmen.</w:t>
      </w:r>
    </w:p>
    <w:p>
      <w:r>
        <w:t xml:space="preserve">(5) </w:t>
      </w:r>
      <w:r>
        <w:rPr>
          <w:rStyle w:val="Satznummer"/>
        </w:rPr>
        <w:t>1</w:t>
      </w:r>
      <w:r>
        <w:t>Ordnungswidrig handelt, wer vorsätzlich oder leichtfertig</w:t>
      </w:r>
    </w:p>
    <w:p>
      <w:pPr>
        <w:tabs>
          <w:tab w:pos="567" w:val="left"/>
        </w:tabs>
        <w:ind w:left="567" w:hanging="567"/>
      </w:pPr>
      <w:r>
        <w:t>1.</w:t>
      </w:r>
      <w:r>
        <w:tab/>
      </w:r>
      <w:r>
        <w:t>entgegen Absatz 1 Satz 1 oder</w:t>
      </w:r>
    </w:p>
    <w:p>
      <w:pPr>
        <w:tabs>
          <w:tab w:pos="567" w:val="left"/>
        </w:tabs>
        <w:ind w:left="567" w:hanging="567"/>
      </w:pPr>
      <w:r>
        <w:t>2.</w:t>
      </w:r>
      <w:r>
        <w:tab/>
      </w:r>
      <w:r>
        <w:t>entgegen Absatz 1 Satz 2 oder Satz 3, jeweils auch in Verbindung mit Absatz 1 Satz 6 oder Absatz 3,</w:t>
      </w:r>
    </w:p>
    <w:p>
      <w:r>
        <w:t xml:space="preserve">eine Auskunft nicht, nicht richtig, nicht vollständig oder nicht rechtzeitig erteilt oder eine Unterlage nicht, nicht richtig, nicht vollständig oder nicht rechtzeitig vorlegt. </w:t>
      </w:r>
      <w:r>
        <w:rPr>
          <w:rStyle w:val="Satznummer"/>
        </w:rPr>
        <w:t>2</w:t>
      </w:r>
      <w:r>
        <w:t xml:space="preserve">Die Ordnungswidrigkeit kann mit einer Geldbuße bis zu fünftausend Euro geahndet werden. </w:t>
      </w:r>
      <w:r>
        <w:rPr>
          <w:rStyle w:val="Satznummer"/>
        </w:rPr>
        <w:t>3</w:t>
      </w:r>
      <w:r>
        <w:t>Die Sätze 1 und 2 gelten nicht für die Leistungsträger, wenn sie wie ein Arbeitgeber Beiträge für eine kraft Gesetzes versicherte Person zu entrichten haben.</w:t>
      </w:r>
    </w:p>
    <w:p>
      <w:pPr>
        <w:pStyle w:val="Heading4"/>
      </w:pPr>
      <w:bookmarkStart w:id="136" w:name="b135"/>
      <w:r>
        <w:t>§ 99 Auskunftspflicht von Angehörigen, Unterhaltspflichtigen oder sonstigen Personen</w:t>
      </w:r>
      <w:r>
        <w:t xml:space="preserve"> </w:t>
      </w:r>
      <w:r>
        <w:rPr>
          <w:rStyle w:val="Suchmarke"/>
        </w:rPr>
        <w:t>#99#</w:t>
      </w:r>
      <w:bookmarkEnd w:id="136"/>
    </w:p>
    <w:p>
      <w:r>
        <w:rPr>
          <w:rStyle w:val="Satznummer"/>
        </w:rPr>
        <w:t>1</w:t>
      </w:r>
      <w:r>
        <w:t>Ist nach dem Recht der Sozialversicherung einschließlich der Arbeitslosenversicherung oder dem sozialen Entschädigungsrecht</w:t>
      </w:r>
    </w:p>
    <w:p>
      <w:pPr>
        <w:tabs>
          <w:tab w:pos="567" w:val="left"/>
        </w:tabs>
        <w:ind w:left="567" w:hanging="567"/>
      </w:pPr>
      <w:r>
        <w:t>1.</w:t>
      </w:r>
      <w:r>
        <w:tab/>
      </w:r>
      <w:r>
        <w:t>das Einkommen oder das Vermögen von Angehörigen des Leistungsempfängers oder sonstiger Personen bei einer Sozialleistung oder ihrer Erstattung zu berücksichtigen oder</w:t>
      </w:r>
    </w:p>
    <w:p>
      <w:pPr>
        <w:tabs>
          <w:tab w:pos="567" w:val="left"/>
        </w:tabs>
        <w:ind w:left="567" w:hanging="567"/>
      </w:pPr>
      <w:r>
        <w:t>2.</w:t>
      </w:r>
      <w:r>
        <w:tab/>
      </w:r>
      <w:r>
        <w:t>die Sozialleistung oder ihre Erstattung von der Höhe eines Unterhaltsanspruchs abhängig, der dem Leistungsempfänger gegen einen Unterhaltspflichtigen zusteht,</w:t>
      </w:r>
    </w:p>
    <w:p>
      <w:r>
        <w:t xml:space="preserve">gelten für diese Personen § 60 Abs. 1 Nr. 1 und 3 sowie § 65 Abs. 1 des Ersten Buches entsprechend. </w:t>
      </w:r>
      <w:r>
        <w:rPr>
          <w:rStyle w:val="Satznummer"/>
        </w:rPr>
        <w:t>2</w:t>
      </w:r>
      <w:r>
        <w:t xml:space="preserve">Das Gleiche gilt für den in Satz 1 genannten Anwendungsbereich in den Fällen, in denen Unterhaltspflichtige, Angehörige, der frühere Ehegatte, der frühere Lebenspartner oder Erben zum Ersatz der Aufwendungen des Leistungsträgers herangezogen werden. </w:t>
      </w:r>
      <w:r>
        <w:rPr>
          <w:rStyle w:val="Satznummer"/>
        </w:rPr>
        <w:t>3</w:t>
      </w:r>
      <w:r>
        <w:t>Auskünfte auf Fragen, deren Beantwortung einem nach Satz 1 oder Satz 2 Auskunftspflichtigen oder einer ihm nahe stehenden Person (§ 383 Abs. 1 Nr. 1 bis 3 der Zivilprozessordnung) die Gefahr zuziehen würde, wegen einer Straftat oder einer Ordnungswidrigkeit verfolgt zu werden, können verweigert werden.</w:t>
      </w:r>
    </w:p>
    <w:p>
      <w:pPr>
        <w:pStyle w:val="Heading4"/>
      </w:pPr>
      <w:bookmarkStart w:id="137" w:name="b136"/>
      <w:r>
        <w:t>§ 100 Auskunftspflicht des Arztes oder Angehörigen eines anderen Heilberufs</w:t>
      </w:r>
      <w:r>
        <w:t xml:space="preserve"> </w:t>
      </w:r>
      <w:r>
        <w:rPr>
          <w:rStyle w:val="Suchmarke"/>
        </w:rPr>
        <w:t>#100#</w:t>
      </w:r>
      <w:bookmarkEnd w:id="137"/>
    </w:p>
    <w:p>
      <w:r>
        <w:t xml:space="preserve">(1) </w:t>
      </w:r>
      <w:r>
        <w:rPr>
          <w:rStyle w:val="Satznummer"/>
        </w:rPr>
        <w:t>1</w:t>
      </w:r>
      <w:r>
        <w:t>Der Arzt oder Angehörige eines anderen Heilberufs ist verpflichtet, dem Leistungsträger im Einzelfall auf Verlangen Auskunft zu erteilen, soweit es für die Durchführung von dessen Aufgaben nach diesem Gesetzbuch erforderlich und</w:t>
      </w:r>
    </w:p>
    <w:p>
      <w:pPr>
        <w:tabs>
          <w:tab w:pos="567" w:val="left"/>
        </w:tabs>
        <w:ind w:left="567" w:hanging="567"/>
      </w:pPr>
      <w:r>
        <w:t>1.</w:t>
      </w:r>
      <w:r>
        <w:tab/>
      </w:r>
      <w:r>
        <w:t>es gesetzlich zugelassen ist oder</w:t>
      </w:r>
    </w:p>
    <w:p>
      <w:pPr>
        <w:tabs>
          <w:tab w:pos="567" w:val="left"/>
        </w:tabs>
        <w:ind w:left="567" w:hanging="567"/>
      </w:pPr>
      <w:r>
        <w:t>2.</w:t>
      </w:r>
      <w:r>
        <w:tab/>
      </w:r>
      <w:r>
        <w:t>der Betroffene im Einzelfall eingewilligt hat.</w:t>
      </w:r>
    </w:p>
    <w:p>
      <w:r>
        <w:rPr>
          <w:rStyle w:val="Satznummer"/>
        </w:rPr>
        <w:t>2</w:t>
      </w:r>
      <w:r>
        <w:t xml:space="preserve">Die Einwilligung soll zum Nachweis im Sinne des Artikels 7 Absatz 1 der Verordnung (EU) 2016/679, dass die betroffene Person in die Verarbeitung ihrer personenbezogenen Daten eingewilligt hat, schriftlich oder elektronisch erfolgen. </w:t>
      </w:r>
      <w:r>
        <w:rPr>
          <w:rStyle w:val="Satznummer"/>
        </w:rPr>
        <w:t>3</w:t>
      </w:r>
      <w:r>
        <w:t>Die Sätze 1 und 2 gelten entsprechend für Krankenhäuser sowie für Vorsorge- oder Rehabilitationseinrichtungen.</w:t>
      </w:r>
    </w:p>
    <w:p>
      <w:r>
        <w:t>(2) Auskünfte auf Fragen, deren Beantwortung dem Arzt, dem Angehörigen eines anderen Heilberufs oder ihnen nahe stehenden Personen (§ 383 Abs. 1 Nr. 1 bis 3 der Zivilprozessordnung) die Gefahr zuziehen würde, wegen einer Straftat oder einer Ordnungswidrigkeit verfolgt zu werden, können verweigert werden.</w:t>
      </w:r>
    </w:p>
    <w:p>
      <w:pPr>
        <w:pStyle w:val="Heading4"/>
      </w:pPr>
      <w:bookmarkStart w:id="138" w:name="b137"/>
      <w:r>
        <w:t>§ 101 Auskunftspflicht der Leistungsträger</w:t>
      </w:r>
      <w:r>
        <w:t xml:space="preserve"> </w:t>
      </w:r>
      <w:r>
        <w:rPr>
          <w:rStyle w:val="Suchmarke"/>
        </w:rPr>
        <w:t>#101#</w:t>
      </w:r>
      <w:bookmarkEnd w:id="138"/>
    </w:p>
    <w:p>
      <w:r>
        <w:rPr>
          <w:rStyle w:val="Satznummer"/>
        </w:rPr>
        <w:t>1</w:t>
      </w:r>
      <w:r>
        <w:t xml:space="preserve">Die Leistungsträger haben auf Verlangen eines behandelnden Arztes Untersuchungsbefunde, die für die Behandlung von Bedeutung sein können, mitzuteilen, sofern der Betroffene im Einzelfall in die Mitteilung eingewilligt hat. </w:t>
      </w:r>
      <w:r>
        <w:rPr>
          <w:rStyle w:val="Satznummer"/>
        </w:rPr>
        <w:t>2</w:t>
      </w:r>
      <w:hyperlink w:anchor="b136" w:history="1">
        <w:r>
          <w:rPr>
            <w:color w:val="0A3A8C"/>
            <w:u w:val="single"/>
          </w:rPr>
          <w:t xml:space="preserve">§ 100</w:t>
        </w:r>
      </w:hyperlink>
      <w:r>
        <w:t xml:space="preserve"> Abs. 1 Satz 2 gilt entsprechend.</w:t>
      </w:r>
    </w:p>
    <w:p>
      <w:pPr>
        <w:pStyle w:val="Heading4"/>
      </w:pPr>
      <w:bookmarkStart w:id="139" w:name="b138"/>
      <w:r>
        <w:t>§ 101a Mitteilungen der Meldebehörden</w:t>
      </w:r>
      <w:r>
        <w:t xml:space="preserve"> </w:t>
      </w:r>
      <w:r>
        <w:rPr>
          <w:rStyle w:val="Suchmarke"/>
        </w:rPr>
        <w:t>#101a#</w:t>
      </w:r>
      <w:bookmarkEnd w:id="139"/>
    </w:p>
    <w:p>
      <w:r>
        <w:t>(1) Die Datenstelle der Rentenversicherung übermittelt unverzüglich an die Deutsche Post AG:</w:t>
      </w:r>
    </w:p>
    <w:p>
      <w:pPr>
        <w:tabs>
          <w:tab w:pos="567" w:val="left"/>
        </w:tabs>
        <w:ind w:left="567" w:hanging="567"/>
      </w:pPr>
      <w:r>
        <w:t>1.</w:t>
      </w:r>
      <w:r>
        <w:tab/>
      </w:r>
      <w:r>
        <w:t>die Mitteilungen aller Sterbefälle und Anschriftenänderungen und jede Änderung des Vor- und des Familiennamens unter den Voraussetzungen von § 196 Absatz 2 des Sechsten Buches;</w:t>
      </w:r>
    </w:p>
    <w:p>
      <w:pPr>
        <w:tabs>
          <w:tab w:pos="567" w:val="left"/>
        </w:tabs>
        <w:ind w:left="567" w:hanging="567"/>
      </w:pPr>
      <w:r>
        <w:t>2.</w:t>
      </w:r>
      <w:r>
        <w:tab/>
      </w:r>
      <w:r>
        <w:t>bei einem Sterbefall zusätzlich das Datum der letzten Eheschließung oder der Begründung der letzten Lebenspartnerschaft unter den Voraussetzungen von § 196 Absatz 2a des Sechsten Buches;</w:t>
      </w:r>
    </w:p>
    <w:p>
      <w:pPr>
        <w:tabs>
          <w:tab w:pos="567" w:val="left"/>
        </w:tabs>
        <w:ind w:left="567" w:hanging="567"/>
      </w:pPr>
      <w:r>
        <w:t>3.</w:t>
      </w:r>
      <w:r>
        <w:tab/>
      </w:r>
      <w:r>
        <w:t>bei einer Eheschließung oder einer Begründung einer Lebenspartnerschaft eines Einwohners das Datum dieser Eheschließung oder dieser Begründung einer Lebenspartnerschaft unter den Voraussetzungen von § 196 Absatz 2a des Sechsten Buches.</w:t>
      </w:r>
    </w:p>
    <w:p>
      <w:r>
        <w:t>(2) Die Mitteilungen, die von der Datenstelle der Rentenversicherung an die Deutsche Post AG übermittelt werden, dürfen von der Deutschen Post AG</w:t>
      </w:r>
    </w:p>
    <w:p>
      <w:pPr>
        <w:tabs>
          <w:tab w:pos="567" w:val="left"/>
        </w:tabs>
        <w:ind w:left="567" w:hanging="567"/>
      </w:pPr>
      <w:r>
        <w:t>1.</w:t>
      </w:r>
      <w:r>
        <w:tab/>
      </w:r>
      <w:r>
        <w:t xml:space="preserve">nur dazu verwendet werden, um einen Sterbequartalsvorschuss auszuzahlen, um laufende Geldleistungen der Leistungsträger, der in </w:t>
      </w:r>
      <w:hyperlink w:anchor="b91" w:history="1">
        <w:r>
          <w:rPr>
            <w:color w:val="0A3A8C"/>
            <w:u w:val="single"/>
          </w:rPr>
          <w:t xml:space="preserve">§ 69</w:t>
        </w:r>
      </w:hyperlink>
      <w:r>
        <w:t xml:space="preserve"> Abs. 2 genannten Stellen sowie ausländischer Leistungsträger mit laufenden Geldleistungen in die Bundesrepublik Deutschland einzustellen oder deren Einstellung zu veranlassen sowie um Anschriften von Empfängern laufender Geldleistungen der Leistungsträger und der in </w:t>
      </w:r>
      <w:hyperlink w:anchor="b91" w:history="1">
        <w:r>
          <w:rPr>
            <w:color w:val="0A3A8C"/>
            <w:u w:val="single"/>
          </w:rPr>
          <w:t xml:space="preserve">§ 69</w:t>
        </w:r>
      </w:hyperlink>
      <w:r>
        <w:t xml:space="preserve"> Abs. 2 genannten Stellen zu berichtigen oder deren Berichtigung zu veranlassen, und darüber hinaus</w:t>
      </w:r>
    </w:p>
    <w:p>
      <w:pPr>
        <w:tabs>
          <w:tab w:pos="567" w:val="left"/>
        </w:tabs>
        <w:ind w:left="567" w:hanging="567"/>
      </w:pPr>
      <w:r>
        <w:t>2.</w:t>
      </w:r>
      <w:r>
        <w:tab/>
      </w:r>
      <w:r>
        <w:t xml:space="preserve">nur weiter übermittelt werden, um den Trägern der Unfallversicherung, der Sozialversicherung für Landwirtschaft, Forsten und Gartenbau und den in </w:t>
      </w:r>
      <w:hyperlink w:anchor="b91" w:history="1">
        <w:r>
          <w:rPr>
            <w:color w:val="0A3A8C"/>
            <w:u w:val="single"/>
          </w:rPr>
          <w:t xml:space="preserve">§ 69</w:t>
        </w:r>
      </w:hyperlink>
      <w:r>
        <w:t xml:space="preserve"> Abs. 2 genannten Zusatzversorgungseinrichtungen eine Aktualisierung ihrer Versichertenbestände oder Mitgliederbestände zu ermöglichen; dies gilt auch für die Übermittlung der Mitteilungen an berufsständische Versorgungseinrichtungen, soweit diese nach Landesrecht oder Satzungsrecht zur Erhebung dieser Daten befugt sind.</w:t>
      </w:r>
    </w:p>
    <w:p>
      <w:r>
        <w:t>(3) Die Verwendung und Übermittlung der Mitteilungen erfolgt</w:t>
      </w:r>
    </w:p>
    <w:p>
      <w:pPr>
        <w:tabs>
          <w:tab w:pos="567" w:val="left"/>
        </w:tabs>
        <w:ind w:left="567" w:hanging="567"/>
      </w:pPr>
      <w:r>
        <w:t>1.</w:t>
      </w:r>
      <w:r>
        <w:tab/>
      </w:r>
      <w:r>
        <w:t>in der allgemeinen Rentenversicherung im Rahmen des gesetzlichen Auftrags der Deutschen Post AG nach § 119 Abs. 1 Satz 1 des Sechsten Buches,</w:t>
      </w:r>
    </w:p>
    <w:p>
      <w:pPr>
        <w:tabs>
          <w:tab w:pos="567" w:val="left"/>
        </w:tabs>
        <w:ind w:left="567" w:hanging="567"/>
      </w:pPr>
      <w:r>
        <w:t>2.</w:t>
      </w:r>
      <w:r>
        <w:tab/>
      </w:r>
      <w:r>
        <w:t xml:space="preserve">im Übrigen im Rahmen eines öffentlich-rechtlichen oder privatrechtlichen Vertrages der Deutschen Post AG mit den Leistungsträgern, den berufsständischen Versorgungseinrichtungen oder den in </w:t>
      </w:r>
      <w:hyperlink w:anchor="b91" w:history="1">
        <w:r>
          <w:rPr>
            <w:color w:val="0A3A8C"/>
            <w:u w:val="single"/>
          </w:rPr>
          <w:t xml:space="preserve">§ 69</w:t>
        </w:r>
      </w:hyperlink>
      <w:r>
        <w:t xml:space="preserve"> Abs. 2 genannten Stellen.</w:t>
      </w:r>
    </w:p>
    <w:p>
      <w:pPr>
        <w:pStyle w:val="Heading2"/>
      </w:pPr>
      <w:bookmarkStart w:id="140" w:name="b139"/>
      <w:r>
        <w:t>Zweiter Abschnitt Erstattungsansprüche der Leistungsträger untereinander</w:t>
      </w:r>
      <w:bookmarkEnd w:id="140"/>
    </w:p>
    <w:p>
      <w:pPr>
        <w:pStyle w:val="Heading3"/>
      </w:pPr>
      <w:bookmarkStart w:id="141" w:name="b140"/>
      <w:r>
        <w:t>§ 102 Anspruch des vorläufig leistenden Leistungsträgers</w:t>
      </w:r>
      <w:r>
        <w:t xml:space="preserve"> </w:t>
      </w:r>
      <w:r>
        <w:rPr>
          <w:rStyle w:val="Suchmarke"/>
        </w:rPr>
        <w:t>#102#</w:t>
      </w:r>
      <w:bookmarkEnd w:id="141"/>
    </w:p>
    <w:p>
      <w:r>
        <w:t>(1) Hat ein Leistungsträger auf Grund gesetzlicher Vorschriften vorläufig Sozialleistungen erbracht, ist der zur Leistung verpflichtete Leistungsträger erstattungspflichtig.</w:t>
      </w:r>
    </w:p>
    <w:p>
      <w:r>
        <w:t>(2) Der Umfang des Erstattungsanspruchs richtet sich nach den für den vorleistenden Leistungsträger geltenden Rechtsvorschriften.</w:t>
      </w:r>
    </w:p>
    <w:p>
      <w:pPr>
        <w:pStyle w:val="Heading3"/>
      </w:pPr>
      <w:bookmarkStart w:id="142" w:name="b141"/>
      <w:r>
        <w:t>§ 103 Anspruch des Leistungsträgers, dessen Leistungsverpflichtung nachträglich entfallen ist</w:t>
      </w:r>
      <w:r>
        <w:t xml:space="preserve"> </w:t>
      </w:r>
      <w:r>
        <w:rPr>
          <w:rStyle w:val="Suchmarke"/>
        </w:rPr>
        <w:t>#103#</w:t>
      </w:r>
      <w:bookmarkEnd w:id="142"/>
    </w:p>
    <w:p>
      <w:r>
        <w:t>(1) Hat ein Leistungsträger Sozialleistungen erbracht und ist der Anspruch auf diese nachträglich ganz oder teilweise entfallen, ist der für die entsprechende Leistung zuständige Leistungsträger erstattungspflichtig, soweit dieser nicht bereits selbst geleistet hat, bevor er von der Leistung des anderen Leistungsträgers Kenntnis erlangt hat.</w:t>
      </w:r>
    </w:p>
    <w:p>
      <w:r>
        <w:t>(2) Der Umfang des Erstattungsanspruchs richtet sich nach den für den zuständigen Leistungsträger geltenden Rechtsvorschriften.</w:t>
      </w:r>
    </w:p>
    <w:p>
      <w:r>
        <w:t>(3) Die Absätze 1 und 2 gelten gegenüber den Trägern der Eingliederungshilfe, der Sozialhilfe, der Sozialen Entschädigung, soweit diese Besondere Leistungen im Einzelfall erbringen, der Soldatenentschädigung nach Kapitel 5 des Soldatenentschädigungsgesetzes und der Jugendhilfe nur von dem Zeitpunkt ab, von dem ihnen bekannt war, dass die Voraussetzungen für ihre Leistungspflicht vorlagen.</w:t>
      </w:r>
    </w:p>
    <w:p>
      <w:pPr>
        <w:pStyle w:val="Heading3"/>
      </w:pPr>
      <w:bookmarkStart w:id="143" w:name="b142"/>
      <w:r>
        <w:t>§ 104 Anspruch des nachrangig verpflichteten Leistungsträgers</w:t>
      </w:r>
      <w:r>
        <w:t xml:space="preserve"> </w:t>
      </w:r>
      <w:r>
        <w:rPr>
          <w:rStyle w:val="Suchmarke"/>
        </w:rPr>
        <w:t>#104#</w:t>
      </w:r>
      <w:bookmarkEnd w:id="143"/>
    </w:p>
    <w:p>
      <w:r>
        <w:t xml:space="preserve">(1) </w:t>
      </w:r>
      <w:r>
        <w:rPr>
          <w:rStyle w:val="Satznummer"/>
        </w:rPr>
        <w:t>1</w:t>
      </w:r>
      <w:r>
        <w:t xml:space="preserve">Hat ein nachrangig verpflichteter Leistungsträger Sozialleistungen erbracht, ohne dass die Voraussetzungen von </w:t>
      </w:r>
      <w:hyperlink w:anchor="b141" w:history="1">
        <w:r>
          <w:rPr>
            <w:color w:val="0A3A8C"/>
            <w:u w:val="single"/>
          </w:rPr>
          <w:t xml:space="preserve">§ 103</w:t>
        </w:r>
      </w:hyperlink>
      <w:r>
        <w:t xml:space="preserve"> Abs. 1 vorliegen, ist der Leistungsträger erstattungspflichtig, gegen den der Berechtigte vorrangig einen Anspruch hat oder hatte, soweit der Leistungsträger nicht bereits selbst geleistet hat, bevor er von der Leistung des anderen Leistungsträgers Kenntnis erlangt hat. </w:t>
      </w:r>
      <w:r>
        <w:rPr>
          <w:rStyle w:val="Satznummer"/>
        </w:rPr>
        <w:t>2</w:t>
      </w:r>
      <w:r>
        <w:t xml:space="preserve">Nachrangig verpflichtet ist ein Leistungsträger, soweit dieser bei rechtzeitiger Erfüllung der Leistungsverpflichtung eines anderen Leistungsträgers selbst nicht zur Leistung verpflichtet gewesen wäre. </w:t>
      </w:r>
      <w:r>
        <w:rPr>
          <w:rStyle w:val="Satznummer"/>
        </w:rPr>
        <w:t>3</w:t>
      </w:r>
      <w:r>
        <w:t xml:space="preserve">Ein Erstattungsanspruch besteht nicht, soweit der nachrangige Leistungsträger seine Leistungen auch bei Leistung des vorrangig verpflichteten Leistungsträgers hätte erbringen müssen. </w:t>
      </w:r>
      <w:r>
        <w:rPr>
          <w:rStyle w:val="Satznummer"/>
        </w:rPr>
        <w:t>4</w:t>
      </w:r>
      <w:r>
        <w:t>Satz 1 gilt entsprechend, wenn von den Trägern der Eingliederungshilfe, der Sozialhilfe, der Sozialen Entschädigung, soweit diese Besondere Leistungen im Einzelfall erbringen, der Soldatenentschädigung nach Kapitel 5 des Soldatenentschädigungsgesetzes und der Jugendhilfe Aufwendungsersatz geltend gemacht oder ein Kostenbeitrag erhoben werden kann; Satz 3 gilt in diesen Fällen nicht.</w:t>
      </w:r>
    </w:p>
    <w:p>
      <w:r>
        <w:t>(2) Absatz 1 gilt auch dann, wenn von einem nachrangig verpflichteten Leistungsträger für einen Angehörigen Sozialleistungen erbracht worden sind und ein anderer mit Rücksicht auf diesen Angehörigen einen Anspruch auf Sozialleistungen, auch auf besonders bezeichnete Leistungsteile, gegenüber einem vorrangig verpflichteten Leistungsträger hat oder hatte.</w:t>
      </w:r>
    </w:p>
    <w:p>
      <w:r>
        <w:t>(3) Der Umfang des Erstattungsanspruchs richtet sich nach den für den vorrangig verpflichteten Leistungsträger geltenden Rechtsvorschriften.</w:t>
      </w:r>
    </w:p>
    <w:p>
      <w:r>
        <w:t xml:space="preserve">(4) Sind mehrere Leistungsträger vorrangig verpflichtet, kann der Leistungsträger, der die Sozialleistung erbracht hat, Erstattung nur von dem Leistungsträger verlangen, für den er nach </w:t>
      </w:r>
      <w:hyperlink w:anchor="b145" w:history="1">
        <w:r>
          <w:rPr>
            <w:color w:val="0A3A8C"/>
            <w:u w:val="single"/>
          </w:rPr>
          <w:t xml:space="preserve">§ 107</w:t>
        </w:r>
      </w:hyperlink>
      <w:r>
        <w:t xml:space="preserve"> Abs. 2 mit befreiender Wirkung geleistet hat.</w:t>
      </w:r>
    </w:p>
    <w:p>
      <w:pPr>
        <w:pStyle w:val="Heading3"/>
      </w:pPr>
      <w:bookmarkStart w:id="144" w:name="b143"/>
      <w:r>
        <w:t>§ 105 Anspruch des unzuständigen Leistungsträgers</w:t>
      </w:r>
      <w:r>
        <w:t xml:space="preserve"> </w:t>
      </w:r>
      <w:r>
        <w:rPr>
          <w:rStyle w:val="Suchmarke"/>
        </w:rPr>
        <w:t>#105#</w:t>
      </w:r>
      <w:bookmarkEnd w:id="144"/>
    </w:p>
    <w:p>
      <w:r>
        <w:t xml:space="preserve">(1) </w:t>
      </w:r>
      <w:r>
        <w:rPr>
          <w:rStyle w:val="Satznummer"/>
        </w:rPr>
        <w:t>1</w:t>
      </w:r>
      <w:r>
        <w:t xml:space="preserve">Hat ein unzuständiger Leistungsträger Sozialleistungen erbracht, ohne dass die Voraussetzungen von </w:t>
      </w:r>
      <w:hyperlink w:anchor="b140" w:history="1">
        <w:r>
          <w:rPr>
            <w:color w:val="0A3A8C"/>
            <w:u w:val="single"/>
          </w:rPr>
          <w:t xml:space="preserve">§ 102</w:t>
        </w:r>
      </w:hyperlink>
      <w:r>
        <w:t xml:space="preserve"> Abs. 1 vorliegen, ist der zuständige oder zuständig gewesene Leistungsträger erstattungspflichtig, soweit dieser nicht bereits selbst geleistet hat, bevor er von der Leistung des anderen Leistungsträgers Kenntnis erlangt hat. </w:t>
      </w:r>
      <w:r>
        <w:rPr>
          <w:rStyle w:val="Satznummer"/>
        </w:rPr>
        <w:t>2</w:t>
      </w:r>
      <w:hyperlink w:anchor="b142" w:history="1">
        <w:r>
          <w:rPr>
            <w:color w:val="0A3A8C"/>
            <w:u w:val="single"/>
          </w:rPr>
          <w:t xml:space="preserve">§ 104</w:t>
        </w:r>
      </w:hyperlink>
      <w:r>
        <w:t xml:space="preserve"> Abs. 2 gilt entsprechend.</w:t>
      </w:r>
    </w:p>
    <w:p>
      <w:r>
        <w:t>(2) Der Umfang des Erstattungsanspruchs richtet sich nach den für den zuständigen Leistungsträger geltenden Rechtsvorschriften.</w:t>
      </w:r>
    </w:p>
    <w:p>
      <w:r>
        <w:t>(3) Die Absätze 1 und 2 gelten gegenüber den Trägern der Eingliederungshilfe, der Sozialhilfe, der Sozialen Entschädigung, soweit diese Besondere Leistungen im Einzelfall erbringen, der Soldatenentschädigung nach Kapitel 5 des Soldatenentschädigungsgesetzes und der Jugendhilfe nur von dem Zeitpunkt ab, von dem ihnen bekannt war, dass die Voraussetzungen für ihre Leistungspflicht vorlagen.</w:t>
      </w:r>
    </w:p>
    <w:p>
      <w:pPr>
        <w:pStyle w:val="Heading3"/>
      </w:pPr>
      <w:bookmarkStart w:id="145" w:name="b144"/>
      <w:r>
        <w:t>§ 106 Rangfolge bei mehreren Erstattungsberechtigten</w:t>
      </w:r>
      <w:r>
        <w:t xml:space="preserve"> </w:t>
      </w:r>
      <w:r>
        <w:rPr>
          <w:rStyle w:val="Suchmarke"/>
        </w:rPr>
        <w:t>#106#</w:t>
      </w:r>
      <w:bookmarkEnd w:id="145"/>
    </w:p>
    <w:p>
      <w:r>
        <w:t>(1) Ist ein Leistungsträger mehreren Leistungsträgern zur Erstattung verpflichtet, sind die Ansprüche in folgender Rangfolge zu befriedigen:</w:t>
      </w:r>
      <w:r>
        <w:br/>
      </w:r>
      <w:r>
        <w:t>1. (weggefallen)</w:t>
      </w:r>
    </w:p>
    <w:p>
      <w:pPr>
        <w:tabs>
          <w:tab w:pos="567" w:val="left"/>
        </w:tabs>
        <w:ind w:left="567" w:hanging="567"/>
      </w:pPr>
      <w:r>
        <w:t>2.</w:t>
      </w:r>
      <w:r>
        <w:tab/>
      </w:r>
      <w:r>
        <w:t xml:space="preserve">der Anspruch des vorläufig leistenden Leistungsträgers nach </w:t>
      </w:r>
      <w:hyperlink w:anchor="b140" w:history="1">
        <w:r>
          <w:rPr>
            <w:color w:val="0A3A8C"/>
            <w:u w:val="single"/>
          </w:rPr>
          <w:t xml:space="preserve">§ 102</w:t>
        </w:r>
      </w:hyperlink>
      <w:r>
        <w:t>,</w:t>
      </w:r>
    </w:p>
    <w:p>
      <w:pPr>
        <w:tabs>
          <w:tab w:pos="567" w:val="left"/>
        </w:tabs>
        <w:ind w:left="567" w:hanging="567"/>
      </w:pPr>
      <w:r>
        <w:t>3.</w:t>
      </w:r>
      <w:r>
        <w:tab/>
      </w:r>
      <w:r>
        <w:t xml:space="preserve">der Anspruch des Leistungsträgers, dessen Leistungsverpflichtung nachträglich entfallen ist, nach </w:t>
      </w:r>
      <w:hyperlink w:anchor="b141" w:history="1">
        <w:r>
          <w:rPr>
            <w:color w:val="0A3A8C"/>
            <w:u w:val="single"/>
          </w:rPr>
          <w:t xml:space="preserve">§ 103</w:t>
        </w:r>
      </w:hyperlink>
      <w:r>
        <w:t>,</w:t>
      </w:r>
    </w:p>
    <w:p>
      <w:pPr>
        <w:tabs>
          <w:tab w:pos="567" w:val="left"/>
        </w:tabs>
        <w:ind w:left="567" w:hanging="567"/>
      </w:pPr>
      <w:r>
        <w:t>4.</w:t>
      </w:r>
      <w:r>
        <w:tab/>
      </w:r>
      <w:r>
        <w:t xml:space="preserve">der Anspruch des nachrangig verpflichteten Leistungsträgers nach </w:t>
      </w:r>
      <w:hyperlink w:anchor="b142" w:history="1">
        <w:r>
          <w:rPr>
            <w:color w:val="0A3A8C"/>
            <w:u w:val="single"/>
          </w:rPr>
          <w:t xml:space="preserve">§ 104</w:t>
        </w:r>
      </w:hyperlink>
      <w:r>
        <w:t>,</w:t>
      </w:r>
    </w:p>
    <w:p>
      <w:pPr>
        <w:tabs>
          <w:tab w:pos="567" w:val="left"/>
        </w:tabs>
        <w:ind w:left="567" w:hanging="567"/>
      </w:pPr>
      <w:r>
        <w:t>5.</w:t>
      </w:r>
      <w:r>
        <w:tab/>
      </w:r>
      <w:r>
        <w:t xml:space="preserve">der Anspruch des unzuständigen Leistungsträgers nach </w:t>
      </w:r>
      <w:hyperlink w:anchor="b143" w:history="1">
        <w:r>
          <w:rPr>
            <w:color w:val="0A3A8C"/>
            <w:u w:val="single"/>
          </w:rPr>
          <w:t xml:space="preserve">§ 105</w:t>
        </w:r>
      </w:hyperlink>
      <w:r>
        <w:t>.</w:t>
      </w:r>
    </w:p>
    <w:p>
      <w:r>
        <w:t xml:space="preserve">(2) </w:t>
      </w:r>
      <w:r>
        <w:rPr>
          <w:rStyle w:val="Satznummer"/>
        </w:rPr>
        <w:t>1</w:t>
      </w:r>
      <w:r>
        <w:t xml:space="preserve">Treffen ranggleiche Ansprüche von Leistungsträgern zusammen, sind diese anteilsmäßig zu befriedigen. </w:t>
      </w:r>
      <w:r>
        <w:rPr>
          <w:rStyle w:val="Satznummer"/>
        </w:rPr>
        <w:t>2</w:t>
      </w:r>
      <w:r>
        <w:t xml:space="preserve">Machen mehrere Leistungsträger Ansprüche nach </w:t>
      </w:r>
      <w:hyperlink w:anchor="b142" w:history="1">
        <w:r>
          <w:rPr>
            <w:color w:val="0A3A8C"/>
            <w:u w:val="single"/>
          </w:rPr>
          <w:t xml:space="preserve">§ 104</w:t>
        </w:r>
      </w:hyperlink>
      <w:r>
        <w:t xml:space="preserve"> geltend, ist zuerst derjenige zu befriedigen, der im Verhältnis der nachrangigen Leistungsträger untereinander einen Erstattungsanspruch nach </w:t>
      </w:r>
      <w:hyperlink w:anchor="b142" w:history="1">
        <w:r>
          <w:rPr>
            <w:color w:val="0A3A8C"/>
            <w:u w:val="single"/>
          </w:rPr>
          <w:t xml:space="preserve">§ 104</w:t>
        </w:r>
      </w:hyperlink>
      <w:r>
        <w:t xml:space="preserve"> hätte.</w:t>
      </w:r>
    </w:p>
    <w:p>
      <w:r>
        <w:t>(3) Der Erstattungspflichtige muss insgesamt nicht mehr erstatten, als er nach den für ihn geltenden Erstattungsvorschriften einzeln zu erbringen hätte.</w:t>
      </w:r>
    </w:p>
    <w:p>
      <w:pPr>
        <w:pStyle w:val="Heading3"/>
      </w:pPr>
      <w:bookmarkStart w:id="146" w:name="b145"/>
      <w:r>
        <w:t>§ 107 Erfüllung</w:t>
      </w:r>
      <w:r>
        <w:t xml:space="preserve"> </w:t>
      </w:r>
      <w:r>
        <w:rPr>
          <w:rStyle w:val="Suchmarke"/>
        </w:rPr>
        <w:t>#107#</w:t>
      </w:r>
      <w:bookmarkEnd w:id="146"/>
    </w:p>
    <w:p>
      <w:r>
        <w:t>(1) Soweit ein Erstattungsanspruch besteht, gilt der Anspruch des Berechtigten gegen den zur Leistung verpflichteten Leistungsträger als erfüllt.</w:t>
      </w:r>
    </w:p>
    <w:p>
      <w:r>
        <w:t xml:space="preserve">(2) </w:t>
      </w:r>
      <w:r>
        <w:rPr>
          <w:rStyle w:val="Satznummer"/>
        </w:rPr>
        <w:t>1</w:t>
      </w:r>
      <w:r>
        <w:t xml:space="preserve">Hat der Berechtigte Ansprüche gegen mehrere Leistungsträger, gilt der Anspruch als erfüllt, den der Träger, der die Sozialleistung erbracht hat, bestimmt. </w:t>
      </w:r>
      <w:r>
        <w:rPr>
          <w:rStyle w:val="Satznummer"/>
        </w:rPr>
        <w:t>2</w:t>
      </w:r>
      <w:r>
        <w:t>Die Bestimmung ist dem Berechtigten gegenüber unverzüglich vorzunehmen und den übrigen Leistungsträgern mitzuteilen.</w:t>
      </w:r>
    </w:p>
    <w:p>
      <w:pPr>
        <w:pStyle w:val="Heading3"/>
      </w:pPr>
      <w:bookmarkStart w:id="147" w:name="b146"/>
      <w:r>
        <w:t>§ 108 Erstattung in Geld, Verzinsung</w:t>
      </w:r>
      <w:r>
        <w:t xml:space="preserve"> </w:t>
      </w:r>
      <w:r>
        <w:rPr>
          <w:rStyle w:val="Suchmarke"/>
        </w:rPr>
        <w:t>#108#</w:t>
      </w:r>
      <w:bookmarkEnd w:id="147"/>
    </w:p>
    <w:p>
      <w:r>
        <w:t>(1) Sach- und Dienstleistungen sind in Geld zu erstatten.</w:t>
      </w:r>
    </w:p>
    <w:p>
      <w:r>
        <w:t xml:space="preserve">(2) </w:t>
      </w:r>
      <w:r>
        <w:rPr>
          <w:rStyle w:val="Satznummer"/>
        </w:rPr>
        <w:t>1</w:t>
      </w:r>
      <w:r>
        <w:t>Ein Erstattungsanspruch der Träger der Eingliederungshilfe, der Sozialhilfe, der Sozialen Entschädigung, soweit diese Besondere Leistungen im Einzelfall erbringen, der Soldatenentschädigung nach Kapitel 5 des Soldatenentschädigungsgesetzes und der Jugendhilfe ist von anderen Leistungsträgern</w:t>
      </w:r>
    </w:p>
    <w:p>
      <w:pPr>
        <w:tabs>
          <w:tab w:pos="567" w:val="left"/>
        </w:tabs>
        <w:ind w:left="567" w:hanging="567"/>
      </w:pPr>
      <w:r>
        <w:t>1.</w:t>
      </w:r>
      <w:r>
        <w:tab/>
      </w:r>
      <w:r>
        <w:t>für die Dauer des Erstattungszeitraumes und</w:t>
      </w:r>
    </w:p>
    <w:p>
      <w:pPr>
        <w:tabs>
          <w:tab w:pos="567" w:val="left"/>
        </w:tabs>
        <w:ind w:left="567" w:hanging="567"/>
      </w:pPr>
      <w:r>
        <w:t>2.</w:t>
      </w:r>
      <w:r>
        <w:tab/>
      </w:r>
      <w:r>
        <w:t>für den Zeitraum nach Ablauf eines Kalendermonats nach Eingang des vollständigen, den gesamten Erstattungszeitraum umfassenden Erstattungsantrages beim zuständigen Erstattungsverpflichteten bis zum Ablauf des Kalendermonats vor der Zahlung</w:t>
      </w:r>
    </w:p>
    <w:p>
      <w:r>
        <w:t xml:space="preserve">auf Antrag mit vier vom Hundert zu verzinsen. </w:t>
      </w:r>
      <w:r>
        <w:rPr>
          <w:rStyle w:val="Satznummer"/>
        </w:rPr>
        <w:t>2</w:t>
      </w:r>
      <w:r>
        <w:t xml:space="preserve">Die Verzinsung beginnt frühestens nach Ablauf von sechs Kalendermonaten nach Eingang des vollständigen Leistungsantrages des Leistungsberechtigten beim zuständigen Leistungsträger, beim Fehlen eines Antrages nach Ablauf eines Kalendermonats nach Bekanntgabe der Entscheidung über die Leistung. </w:t>
      </w:r>
      <w:r>
        <w:rPr>
          <w:rStyle w:val="Satznummer"/>
        </w:rPr>
        <w:t>3</w:t>
      </w:r>
      <w:r>
        <w:t>§ 44 Abs. 3 des Ersten Buches findet Anwendung; § 16 des Ersten Buches gilt nicht.</w:t>
      </w:r>
    </w:p>
    <w:p>
      <w:pPr>
        <w:pStyle w:val="Heading3"/>
      </w:pPr>
      <w:bookmarkStart w:id="148" w:name="b147"/>
      <w:r>
        <w:t>§ 109 Verwaltungskosten und Auslagen</w:t>
      </w:r>
      <w:r>
        <w:t xml:space="preserve"> </w:t>
      </w:r>
      <w:r>
        <w:rPr>
          <w:rStyle w:val="Suchmarke"/>
        </w:rPr>
        <w:t>#109#</w:t>
      </w:r>
      <w:bookmarkEnd w:id="148"/>
    </w:p>
    <w:p>
      <w:r>
        <w:rPr>
          <w:rStyle w:val="Satznummer"/>
        </w:rPr>
        <w:t>1</w:t>
      </w:r>
      <w:r>
        <w:t xml:space="preserve">Verwaltungskosten sind nicht zu erstatten. </w:t>
      </w:r>
      <w:r>
        <w:rPr>
          <w:rStyle w:val="Satznummer"/>
        </w:rPr>
        <w:t>2</w:t>
      </w:r>
      <w:r>
        <w:t xml:space="preserve">Auslagen sind auf Anforderung zu erstatten, wenn sie im Einzelfall 200 Euro übersteigen. </w:t>
      </w:r>
      <w:r>
        <w:rPr>
          <w:rStyle w:val="Satznummer"/>
        </w:rPr>
        <w:t>3</w:t>
      </w:r>
      <w:r>
        <w:t>Die Bundesregierung kann durch Rechtsverordnung mit Zustimmung des Bundesrates den in Satz 2 genannten Betrag entsprechend der jährlichen Steigerung der monatlichen Bezugsgröße nach § 18 des Vierten Buches anheben und dabei auf zehn Euro nach unten oder oben runden.</w:t>
      </w:r>
    </w:p>
    <w:p>
      <w:pPr>
        <w:pStyle w:val="Heading3"/>
      </w:pPr>
      <w:bookmarkStart w:id="149" w:name="b148"/>
      <w:r>
        <w:t>§ 110 Pauschalierung</w:t>
      </w:r>
      <w:r>
        <w:t xml:space="preserve"> </w:t>
      </w:r>
      <w:r>
        <w:rPr>
          <w:rStyle w:val="Suchmarke"/>
        </w:rPr>
        <w:t>#110#</w:t>
      </w:r>
      <w:bookmarkEnd w:id="149"/>
    </w:p>
    <w:p>
      <w:r>
        <w:rPr>
          <w:rStyle w:val="Satznummer"/>
        </w:rPr>
        <w:t>1</w:t>
      </w:r>
      <w:r>
        <w:t xml:space="preserve">Die Leistungsträger haben ihre Erstattungsansprüche pauschal abzugelten, soweit dies zweckmäßig ist. </w:t>
      </w:r>
      <w:r>
        <w:rPr>
          <w:rStyle w:val="Satznummer"/>
        </w:rPr>
        <w:t>2</w:t>
      </w:r>
      <w:r>
        <w:t xml:space="preserve">Beträgt im Einzelfall ein Erstattungsanspruch voraussichtlich weniger als 50 Euro, erfolgt keine Erstattung. </w:t>
      </w:r>
      <w:r>
        <w:rPr>
          <w:rStyle w:val="Satznummer"/>
        </w:rPr>
        <w:t>3</w:t>
      </w:r>
      <w:r>
        <w:t xml:space="preserve">Die Leistungsträger können abweichend von Satz 2 höhere Beträge vereinbaren. </w:t>
      </w:r>
      <w:r>
        <w:rPr>
          <w:rStyle w:val="Satznummer"/>
        </w:rPr>
        <w:t>4</w:t>
      </w:r>
      <w:r>
        <w:t>Die Bundesregierung kann durch Rechtsverordnung mit Zustimmung des Bundesrates den in Satz 2 genannten Betrag entsprechend der jährlichen Steigerung der monatlichen Bezugsgröße nach § 18 des Vierten Buches anheben und dabei auf zehn Euro nach unten oder oben runden.</w:t>
      </w:r>
    </w:p>
    <w:p>
      <w:pPr>
        <w:pStyle w:val="Heading3"/>
      </w:pPr>
      <w:bookmarkStart w:id="150" w:name="b149"/>
      <w:r>
        <w:t>§ 111 Ausschlussfrist</w:t>
      </w:r>
      <w:r>
        <w:t xml:space="preserve"> </w:t>
      </w:r>
      <w:r>
        <w:rPr>
          <w:rStyle w:val="Suchmarke"/>
        </w:rPr>
        <w:t>#111#</w:t>
      </w:r>
      <w:bookmarkEnd w:id="150"/>
    </w:p>
    <w:p>
      <w:r>
        <w:rPr>
          <w:rStyle w:val="Satznummer"/>
        </w:rPr>
        <w:t>1</w:t>
      </w:r>
      <w:r>
        <w:t xml:space="preserve">Der Anspruch auf Erstattung ist ausgeschlossen, wenn der Erstattungsberechtigte ihn nicht spätestens zwölf Monate nach Ablauf des letzten Tages, für den die Leistung erbracht wurde, geltend macht. </w:t>
      </w:r>
      <w:r>
        <w:rPr>
          <w:rStyle w:val="Satznummer"/>
        </w:rPr>
        <w:t>2</w:t>
      </w:r>
      <w:r>
        <w:t>Der Lauf der Frist beginnt frühestens mit dem Zeitpunkt, zu dem der erstattungsberechtigte Leistungsträger von der Entscheidung des erstattungspflichtigen Leistungsträgers über seine Leistungspflicht Kenntnis erlangt hat.</w:t>
      </w:r>
    </w:p>
    <w:p>
      <w:pPr>
        <w:pStyle w:val="Heading3"/>
      </w:pPr>
      <w:bookmarkStart w:id="151" w:name="b150"/>
      <w:r>
        <w:t>§ 112 Rückerstattung</w:t>
      </w:r>
      <w:r>
        <w:t xml:space="preserve"> </w:t>
      </w:r>
      <w:r>
        <w:rPr>
          <w:rStyle w:val="Suchmarke"/>
        </w:rPr>
        <w:t>#112#</w:t>
      </w:r>
      <w:bookmarkEnd w:id="151"/>
    </w:p>
    <w:p>
      <w:r>
        <w:t>Soweit eine Erstattung zu Unrecht erfolgt ist, sind die gezahlten Beträge zurückzuerstatten.</w:t>
      </w:r>
    </w:p>
    <w:p>
      <w:pPr>
        <w:pStyle w:val="Heading3"/>
      </w:pPr>
      <w:bookmarkStart w:id="152" w:name="b151"/>
      <w:r>
        <w:t>§ 113 Verjährung</w:t>
      </w:r>
      <w:r>
        <w:t xml:space="preserve"> </w:t>
      </w:r>
      <w:r>
        <w:rPr>
          <w:rStyle w:val="Suchmarke"/>
        </w:rPr>
        <w:t>#113#</w:t>
      </w:r>
      <w:bookmarkEnd w:id="152"/>
    </w:p>
    <w:p>
      <w:r>
        <w:t xml:space="preserve">(1) </w:t>
      </w:r>
      <w:r>
        <w:rPr>
          <w:rStyle w:val="Satznummer"/>
        </w:rPr>
        <w:t>1</w:t>
      </w:r>
      <w:r>
        <w:t xml:space="preserve">Erstattungsansprüche verjähren in vier Jahren nach Ablauf des Kalenderjahres, in dem der erstattungsberechtigte Leistungsträger von der Entscheidung des erstattungspflichtigen Leistungsträgers über dessen Leistungspflicht Kenntnis erlangt hat. </w:t>
      </w:r>
      <w:r>
        <w:rPr>
          <w:rStyle w:val="Satznummer"/>
        </w:rPr>
        <w:t>2</w:t>
      </w:r>
      <w:r>
        <w:t>Rückerstattungsansprüche verjähren in vier Jahren nach Ablauf des Kalenderjahres, in dem die Erstattung zu Unrecht erfolgt ist.</w:t>
      </w:r>
    </w:p>
    <w:p>
      <w:r>
        <w:t>(2) Für die Hemmung, die Ablaufhemmung, den Neubeginn und die Wirkung der Verjährung gelten die Vorschriften des Bürgerlichen Gesetzbuchs sinngemäß.</w:t>
      </w:r>
    </w:p>
    <w:p>
      <w:pPr>
        <w:pStyle w:val="Heading3"/>
      </w:pPr>
      <w:bookmarkStart w:id="153" w:name="b152"/>
      <w:r>
        <w:t>§ 114 Rechtsweg</w:t>
      </w:r>
      <w:r>
        <w:t xml:space="preserve"> </w:t>
      </w:r>
      <w:r>
        <w:rPr>
          <w:rStyle w:val="Suchmarke"/>
        </w:rPr>
        <w:t>#114#</w:t>
      </w:r>
      <w:bookmarkEnd w:id="153"/>
    </w:p>
    <w:p>
      <w:r>
        <w:rPr>
          <w:rStyle w:val="Satznummer"/>
        </w:rPr>
        <w:t>1</w:t>
      </w:r>
      <w:r>
        <w:t xml:space="preserve">Für den Erstattungsanspruch ist derselbe Rechtsweg wie für den Anspruch auf die Sozialleistung gegeben. </w:t>
      </w:r>
      <w:r>
        <w:rPr>
          <w:rStyle w:val="Satznummer"/>
        </w:rPr>
        <w:t>2</w:t>
      </w:r>
      <w:r>
        <w:t>Maßgebend ist im Fall des § 102 der Anspruch gegen den vorleistenden Leistungsträger und im Fall der §§ 103 bis 105 der Anspruch gegen den erstattungspflichtigen Leistungsträger.</w:t>
      </w:r>
    </w:p>
    <w:p>
      <w:pPr>
        <w:pStyle w:val="Heading2"/>
      </w:pPr>
      <w:bookmarkStart w:id="154" w:name="b153"/>
      <w:r>
        <w:t>Dritter Abschnitt Erstattungs- und Ersatzansprüche der Leistungsträger gegen Dritte</w:t>
      </w:r>
      <w:bookmarkEnd w:id="154"/>
    </w:p>
    <w:p>
      <w:pPr>
        <w:pStyle w:val="Heading3"/>
      </w:pPr>
      <w:bookmarkStart w:id="155" w:name="b154"/>
      <w:r>
        <w:t>§ 115 Ansprüche gegen den Arbeitgeber</w:t>
      </w:r>
      <w:r>
        <w:t xml:space="preserve"> </w:t>
      </w:r>
      <w:r>
        <w:rPr>
          <w:rStyle w:val="Suchmarke"/>
        </w:rPr>
        <w:t>#115#</w:t>
      </w:r>
      <w:bookmarkEnd w:id="155"/>
    </w:p>
    <w:p>
      <w:r>
        <w:t>(1) Soweit der Arbeitgeber den Anspruch des Arbeitnehmers auf Arbeitsentgelt nicht erfüllt und deshalb ein Leistungsträger Sozialleistungen erbracht hat, geht der Anspruch des Arbeitnehmers gegen den Arbeitgeber auf den Leistungsträger bis zur Höhe der erbrachten Sozialleistungen über.</w:t>
      </w:r>
    </w:p>
    <w:p>
      <w:r>
        <w:t>(2) Der Übergang wird nicht dadurch ausgeschlossen, dass der Anspruch nicht übertragen, verpfändet oder gepfändet werden kann.</w:t>
      </w:r>
    </w:p>
    <w:p>
      <w:r>
        <w:t>(3) An Stelle der Ansprüche des Arbeitnehmers auf Sachbezüge tritt im Fall des Absatzes 1 der Anspruch auf Geld; die Höhe bestimmt sich nach den nach § 17 Absatz 1 Satz 1 Nummer 4 des Vierten Buches festgelegten Werten der Sachbezüge.</w:t>
      </w:r>
    </w:p>
    <w:p>
      <w:pPr>
        <w:pStyle w:val="Heading3"/>
      </w:pPr>
      <w:bookmarkStart w:id="156" w:name="b155"/>
      <w:r>
        <w:t>§ 116 Ansprüche gegen Schadenersatzpflichtige</w:t>
      </w:r>
      <w:r>
        <w:t xml:space="preserve"> </w:t>
      </w:r>
      <w:r>
        <w:rPr>
          <w:rStyle w:val="Suchmarke"/>
        </w:rPr>
        <w:t>#116#</w:t>
      </w:r>
      <w:bookmarkEnd w:id="156"/>
    </w:p>
    <w:p>
      <w:r>
        <w:t xml:space="preserve">(1) </w:t>
      </w:r>
      <w:r>
        <w:rPr>
          <w:rStyle w:val="Satznummer"/>
        </w:rPr>
        <w:t>1</w:t>
      </w:r>
      <w:r>
        <w:t xml:space="preserve">Ein auf anderen gesetzlichen Vorschriften beruhender Anspruch auf Ersatz eines Schadens geht auf den Versicherungsträger oder Träger der Eingliederungshilfe oder der Sozialhilfe über, soweit dieser auf Grund des Schadensereignisses Sozialleistungen zu erbringen hat, die der Behebung eines Schadens der gleichen Art dienen und sich auf denselben Zeitraum wie der vom Schädiger zu leistende Schadensersatz beziehen. </w:t>
      </w:r>
      <w:r>
        <w:rPr>
          <w:rStyle w:val="Satznummer"/>
        </w:rPr>
        <w:t>2</w:t>
      </w:r>
      <w:r>
        <w:t>Dazu gehören auch</w:t>
      </w:r>
    </w:p>
    <w:p>
      <w:pPr>
        <w:tabs>
          <w:tab w:pos="567" w:val="left"/>
        </w:tabs>
        <w:ind w:left="567" w:hanging="567"/>
      </w:pPr>
      <w:r>
        <w:t>1.</w:t>
      </w:r>
      <w:r>
        <w:tab/>
      </w:r>
      <w:r>
        <w:t>die Beiträge, die von Sozialleistungen zu zahlen sind, und</w:t>
      </w:r>
    </w:p>
    <w:p>
      <w:pPr>
        <w:tabs>
          <w:tab w:pos="567" w:val="left"/>
        </w:tabs>
        <w:ind w:left="567" w:hanging="567"/>
      </w:pPr>
      <w:r>
        <w:t>2.</w:t>
      </w:r>
      <w:r>
        <w:tab/>
      </w:r>
      <w:r>
        <w:t>die Beiträge zur Krankenversicherung, die für die Dauer des Anspruchs auf Krankengeld unbeschadet des § 224 Abs. 1 des Fünften Buches zu zahlen wären.</w:t>
      </w:r>
    </w:p>
    <w:p>
      <w:r>
        <w:t>(2) Ist der Anspruch auf Ersatz eines Schadens durch Gesetz der Höhe nach begrenzt, geht er auf den Versicherungsträger oder Träger der Eingliederungshilfe oder der Sozialhilfe über, soweit er nicht zum Ausgleich des Schadens des Geschädigten oder seiner Hinterbliebenen erforderlich ist.</w:t>
      </w:r>
    </w:p>
    <w:p>
      <w:r>
        <w:t xml:space="preserve">(3) </w:t>
      </w:r>
      <w:r>
        <w:rPr>
          <w:rStyle w:val="Satznummer"/>
        </w:rPr>
        <w:t>1</w:t>
      </w:r>
      <w:r>
        <w:t xml:space="preserve">Ist der Anspruch auf Ersatz eines Schadens durch ein mitwirkendes Verschulden oder eine mitwirkende Verantwortlichkeit des Geschädigten begrenzt, geht auf den Versicherungsträger oder Träger der Eingliederungshilfe oder der Sozialhilfe von dem nach Absatz 1 bei unbegrenzter Haftung übergehenden Ersatzanspruch der Anteil über, welcher dem Vomhundertsatz entspricht, für den der Schädiger ersatzpflichtig ist. </w:t>
      </w:r>
      <w:r>
        <w:rPr>
          <w:rStyle w:val="Satznummer"/>
        </w:rPr>
        <w:t>2</w:t>
      </w:r>
      <w:r>
        <w:t xml:space="preserve">Dies gilt auch, wenn der Ersatzanspruch durch Gesetz der Höhe nach begrenzt ist. </w:t>
      </w:r>
      <w:r>
        <w:rPr>
          <w:rStyle w:val="Satznummer"/>
        </w:rPr>
        <w:t>3</w:t>
      </w:r>
      <w:r>
        <w:t>Der Anspruchsübergang ist ausgeschlossen, soweit der Geschädigte oder seine Hinterbliebenen dadurch hilfebedürftig im Sinne der Vorschriften des Zwölften Buches werden.</w:t>
      </w:r>
    </w:p>
    <w:p>
      <w:r>
        <w:t>(4) Stehen der Durchsetzung der Ansprüche auf Ersatz eines Schadens tatsächliche Hindernisse entgegen, hat die Durchsetzung der Ansprüche des Geschädigten und seiner Hinterbliebenen Vorrang vor den übergegangenen Ansprüchen nach Absatz 1.</w:t>
      </w:r>
    </w:p>
    <w:p>
      <w:r>
        <w:t>(5) Hat ein Versicherungsträger oder Träger der Eingliederungshilfe oder der Sozialhilfe auf Grund des Schadensereignisses dem Geschädigten oder seinen Hinterbliebenen keine höheren Sozialleistungen zu erbringen als vor diesem Ereignis, geht in den Fällen des Absatzes 3 Satz 1 und 2 der Schadenersatzanspruch nur insoweit über, als der geschuldete Schadenersatz nicht zur vollen Deckung des eigenen Schadens des Geschädigten oder seiner Hinterbliebenen erforderlich ist.</w:t>
      </w:r>
    </w:p>
    <w:p>
      <w:r>
        <w:t xml:space="preserve">(6) </w:t>
      </w:r>
      <w:r>
        <w:rPr>
          <w:rStyle w:val="Satznummer"/>
        </w:rPr>
        <w:t>1</w:t>
      </w:r>
      <w:r>
        <w:t xml:space="preserve">Ein nach Absatz 1 übergegangener Ersatzanspruch kann bei nicht vorsätzlichen Schädigungen durch eine Person, die im Zeitpunkt des Schadensereignisses mit dem Geschädigten oder seinen Hinterbliebenen in häuslicher Gemeinschaft lebt, nicht geltend gemacht werden. </w:t>
      </w:r>
      <w:r>
        <w:rPr>
          <w:rStyle w:val="Satznummer"/>
        </w:rPr>
        <w:t>2</w:t>
      </w:r>
      <w:r>
        <w:t xml:space="preserve">Ein Ersatzanspruch nach Absatz 1 kann auch dann nicht geltend gemacht werden, wenn der Schädiger mit dem Geschädigten oder einem Hinterbliebenen nach Eintritt des Schadensereignisses die Ehe geschlossen oder eine Lebenspartnerschaft begründet hat und in häuslicher Gemeinschaft lebt. </w:t>
      </w:r>
      <w:r>
        <w:rPr>
          <w:rStyle w:val="Satznummer"/>
        </w:rPr>
        <w:t>3</w:t>
      </w:r>
      <w:r>
        <w:t xml:space="preserve">Abweichend von den Sätzen 1 und 2 kann ein Ersatzanspruch bis zur Höhe der zur Verfügung stehenden Versicherungssumme geltend gemacht werden, wenn der Schaden bei dem Betrieb eines Fahrzeugs entstanden ist, für das Versicherungsschutz nach § 1 des Pflichtversicherungsgesetzes oder § 3 des Auslandsfahrzeug-Pflichtversicherungsgesetzes besteht. </w:t>
      </w:r>
      <w:r>
        <w:rPr>
          <w:rStyle w:val="Satznummer"/>
        </w:rPr>
        <w:t>4</w:t>
      </w:r>
      <w:r>
        <w:t>Der Ersatzanspruch kann in den Fällen des Satzes 3 gegen den Schädiger in voller Höhe geltend gemacht werden, wenn er den Versicherungsfall vorsätzlich verursacht hat.</w:t>
      </w:r>
    </w:p>
    <w:p>
      <w:r>
        <w:t xml:space="preserve">(7) </w:t>
      </w:r>
      <w:r>
        <w:rPr>
          <w:rStyle w:val="Satznummer"/>
        </w:rPr>
        <w:t>1</w:t>
      </w:r>
      <w:r>
        <w:t xml:space="preserve">Haben der Geschädigte oder seine Hinterbliebenen von dem zum Schadenersatz Verpflichteten auf einen übergegangenen Anspruch mit befreiender Wirkung gegenüber dem Versicherungsträger oder Träger der Eingliederungshilfe oder der Sozialhilfe Leistungen erhalten, haben sie insoweit dem Versicherungsträger oder Träger der Eingliederungshilfe oder der Sozialhilfe die erbrachten Leistungen zu erstatten. </w:t>
      </w:r>
      <w:r>
        <w:rPr>
          <w:rStyle w:val="Satznummer"/>
        </w:rPr>
        <w:t>2</w:t>
      </w:r>
      <w:r>
        <w:t>Haben die Leistungen gegenüber dem Versicherungsträger oder Träger der Sozialhilfe keine befreiende Wirkung, haften der zum Schadenersatz Verpflichtete und der Geschädigte oder dessen Hinterbliebene dem Versicherungsträger oder Träger der Sozialhilfe als Gesamtschuldner.</w:t>
      </w:r>
    </w:p>
    <w:p>
      <w:r>
        <w:t>(8) Weist der Versicherungsträger oder Träger der Sozialhilfe nicht höhere Leistungen nach, sind vorbehaltlich der Absätze 2 und 3 je Schadensfall für nicht stationäre ärztliche Behandlung und Versorgung mit Arznei- und Verbandmitteln 5 vom Hundert der monatlichen Bezugsgröße nach § 18 des Vierten Buches zu ersetzen.</w:t>
      </w:r>
    </w:p>
    <w:p>
      <w:r>
        <w:t>(9) Die Vereinbarung einer Pauschalierung der Ersatzansprüche ist zulässig.</w:t>
      </w:r>
    </w:p>
    <w:p>
      <w:r>
        <w:t>(10) Die Bundesagentur für Arbeit und die Träger der Grundsicherung für Arbeitsuchende nach dem Zweiten Buch gelten als Versicherungsträger im Sinne dieser Vorschrift.</w:t>
      </w:r>
    </w:p>
    <w:p>
      <w:pPr>
        <w:pStyle w:val="Heading3"/>
      </w:pPr>
      <w:bookmarkStart w:id="157" w:name="b156"/>
      <w:r>
        <w:t>§ 117 Schadenersatzansprüche mehrerer Leistungsträger</w:t>
      </w:r>
      <w:r>
        <w:t xml:space="preserve"> </w:t>
      </w:r>
      <w:r>
        <w:rPr>
          <w:rStyle w:val="Suchmarke"/>
        </w:rPr>
        <w:t>#117#</w:t>
      </w:r>
      <w:bookmarkEnd w:id="157"/>
    </w:p>
    <w:p>
      <w:r>
        <w:rPr>
          <w:rStyle w:val="Satznummer"/>
        </w:rPr>
        <w:t>1</w:t>
      </w:r>
      <w:r>
        <w:t xml:space="preserve">Haben im Einzelfall mehrere Leistungsträger Sozialleistungen erbracht und ist in den Fällen des § 116 Abs. 2 und 3 der übergegangene Anspruch auf Ersatz des Schadens begrenzt, sind die Leistungsträger Gesamtgläubiger. </w:t>
      </w:r>
      <w:r>
        <w:rPr>
          <w:rStyle w:val="Satznummer"/>
        </w:rPr>
        <w:t>2</w:t>
      </w:r>
      <w:r>
        <w:t xml:space="preserve">Untereinander sind sie im Verhältnis der von ihnen erbrachten Sozialleistungen zum Ausgleich verpflichtet. </w:t>
      </w:r>
      <w:r>
        <w:rPr>
          <w:rStyle w:val="Satznummer"/>
        </w:rPr>
        <w:t>3</w:t>
      </w:r>
      <w:r>
        <w:t xml:space="preserve">Soweit jedoch eine Sozialleistung allein von einem Leistungsträger erbracht ist, steht der Ersatzanspruch im Innenverhältnis nur diesem zu. </w:t>
      </w:r>
      <w:r>
        <w:rPr>
          <w:rStyle w:val="Satznummer"/>
        </w:rPr>
        <w:t>4</w:t>
      </w:r>
      <w:r>
        <w:t>Die Leistungsträger können ein anderes Ausgleichsverhältnis vereinbaren.</w:t>
      </w:r>
    </w:p>
    <w:p>
      <w:pPr>
        <w:pStyle w:val="Heading3"/>
      </w:pPr>
      <w:bookmarkStart w:id="158" w:name="b157"/>
      <w:r>
        <w:t>§ 118 Bindung der Gerichte</w:t>
      </w:r>
      <w:r>
        <w:t xml:space="preserve"> </w:t>
      </w:r>
      <w:r>
        <w:rPr>
          <w:rStyle w:val="Suchmarke"/>
        </w:rPr>
        <w:t>#118#</w:t>
      </w:r>
      <w:bookmarkEnd w:id="158"/>
    </w:p>
    <w:p>
      <w:r>
        <w:t xml:space="preserve">Hat ein Gericht über einen nach </w:t>
      </w:r>
      <w:hyperlink w:anchor="b155" w:history="1">
        <w:r>
          <w:rPr>
            <w:color w:val="0A3A8C"/>
            <w:u w:val="single"/>
          </w:rPr>
          <w:t xml:space="preserve">§ 116</w:t>
        </w:r>
      </w:hyperlink>
      <w:r>
        <w:t xml:space="preserve"> übergegangenen Anspruch zu entscheiden, ist es an eine unanfechtbare Entscheidung gebunden, dass und in welchem Umfang der Leistungsträger zur Leistung verpflichtet ist.</w:t>
      </w:r>
    </w:p>
    <w:p>
      <w:pPr>
        <w:pStyle w:val="Heading3"/>
      </w:pPr>
      <w:bookmarkStart w:id="159" w:name="b158"/>
      <w:r>
        <w:t>§ 119 Übergang von Beitragsansprüchen</w:t>
      </w:r>
      <w:r>
        <w:t xml:space="preserve"> </w:t>
      </w:r>
      <w:r>
        <w:rPr>
          <w:rStyle w:val="Suchmarke"/>
        </w:rPr>
        <w:t>#119#</w:t>
      </w:r>
      <w:bookmarkEnd w:id="159"/>
    </w:p>
    <w:p>
      <w:r>
        <w:t xml:space="preserve">(1) </w:t>
      </w:r>
      <w:r>
        <w:rPr>
          <w:rStyle w:val="Satznummer"/>
        </w:rPr>
        <w:t>1</w:t>
      </w:r>
      <w:r>
        <w:t>Soweit der Schadenersatzanspruch eines Versicherten den Anspruch auf Ersatz von Beiträgen zur Rentenversicherung umfasst, geht dieser auf den Versicherungsträger über, wenn der Geschädigte im Zeitpunkt des Schadensereignisses bereits Pflichtbeitragszeiten nachweist oder danach pflichtversichert wird; dies gilt nicht, soweit</w:t>
      </w:r>
    </w:p>
    <w:p>
      <w:pPr>
        <w:tabs>
          <w:tab w:pos="567" w:val="left"/>
        </w:tabs>
        <w:ind w:left="567" w:hanging="567"/>
      </w:pPr>
      <w:r>
        <w:t>1.</w:t>
      </w:r>
      <w:r>
        <w:tab/>
      </w:r>
      <w:r>
        <w:t>der Arbeitgeber das Arbeitsentgelt fortzahlt oder sonstige der Beitragspflicht unterliegende Leistungen erbringt oder</w:t>
      </w:r>
    </w:p>
    <w:p>
      <w:pPr>
        <w:tabs>
          <w:tab w:pos="567" w:val="left"/>
        </w:tabs>
        <w:ind w:left="567" w:hanging="567"/>
      </w:pPr>
      <w:r>
        <w:t>2.</w:t>
      </w:r>
      <w:r>
        <w:tab/>
      </w:r>
      <w:r>
        <w:t xml:space="preserve">der Anspruch auf Ersatz von Beiträgen nach </w:t>
      </w:r>
      <w:hyperlink w:anchor="b155" w:history="1">
        <w:r>
          <w:rPr>
            <w:color w:val="0A3A8C"/>
            <w:u w:val="single"/>
          </w:rPr>
          <w:t xml:space="preserve">§ 116</w:t>
        </w:r>
      </w:hyperlink>
      <w:r>
        <w:t xml:space="preserve"> übergegangen ist.</w:t>
      </w:r>
    </w:p>
    <w:p>
      <w:r>
        <w:rPr>
          <w:rStyle w:val="Satznummer"/>
        </w:rPr>
        <w:t>2</w:t>
      </w:r>
      <w:r>
        <w:t xml:space="preserve">Für den Anspruch auf Ersatz von Beiträgen zur Rentenversicherung gilt </w:t>
      </w:r>
      <w:hyperlink w:anchor="b155" w:history="1">
        <w:r>
          <w:rPr>
            <w:color w:val="0A3A8C"/>
            <w:u w:val="single"/>
          </w:rPr>
          <w:t xml:space="preserve">§ 116</w:t>
        </w:r>
      </w:hyperlink>
      <w:r>
        <w:t xml:space="preserve"> Abs. 3 Satz 1 und 2 entsprechend, soweit die Beiträge auf den Unterschiedsbetrag zwischen dem bei unbegrenzter Haftung zu ersetzenden Arbeitsentgelt oder Arbeitseinkommen und der bei Bezug von Sozialleistungen beitragspflichtigen Einnahme entfallen.</w:t>
      </w:r>
    </w:p>
    <w:p>
      <w:r>
        <w:t xml:space="preserve">(2) </w:t>
      </w:r>
      <w:r>
        <w:rPr>
          <w:rStyle w:val="Satznummer"/>
        </w:rPr>
        <w:t>1</w:t>
      </w:r>
      <w:r>
        <w:t xml:space="preserve">Der Versicherungsträger, auf den ein Teil des Anspruchs auf Ersatz von Beiträgen zur Rentenversicherung nach </w:t>
      </w:r>
      <w:hyperlink w:anchor="b155" w:history="1">
        <w:r>
          <w:rPr>
            <w:color w:val="0A3A8C"/>
            <w:u w:val="single"/>
          </w:rPr>
          <w:t xml:space="preserve">§ 116</w:t>
        </w:r>
      </w:hyperlink>
      <w:r>
        <w:t xml:space="preserve"> übergeht, übermittelt den von ihm festgestellten Sachverhalt dem Träger der Rentenversicherung auf einem einheitlichen Meldevordruck. </w:t>
      </w:r>
      <w:r>
        <w:rPr>
          <w:rStyle w:val="Satznummer"/>
        </w:rPr>
        <w:t>2</w:t>
      </w:r>
      <w:r>
        <w:t>Das Nähere über den Inhalt des Meldevordrucks und das Mitteilungsverfahren bestimmen die Spitzenverbände der Sozialversicherungsträger.</w:t>
      </w:r>
    </w:p>
    <w:p>
      <w:r>
        <w:t xml:space="preserve">(3) </w:t>
      </w:r>
      <w:r>
        <w:rPr>
          <w:rStyle w:val="Satznummer"/>
        </w:rPr>
        <w:t>1</w:t>
      </w:r>
      <w:r>
        <w:t xml:space="preserve">Die eingegangenen Beiträge oder Beitragsanteile gelten in der Rentenversicherung als Pflichtbeiträge. </w:t>
      </w:r>
      <w:r>
        <w:rPr>
          <w:rStyle w:val="Satznummer"/>
        </w:rPr>
        <w:t>2</w:t>
      </w:r>
      <w:r>
        <w:t>Durch den Übergang des Anspruchs auf Ersatz von Beiträgen darf der Versicherte nicht schlechter gestellt werden, als er ohne den Schadenersatzanspruch gestanden hätte.</w:t>
      </w:r>
    </w:p>
    <w:p>
      <w:r>
        <w:t xml:space="preserve">(4) </w:t>
      </w:r>
      <w:r>
        <w:rPr>
          <w:rStyle w:val="Satznummer"/>
        </w:rPr>
        <w:t>1</w:t>
      </w:r>
      <w:r>
        <w:t xml:space="preserve">Die Vereinbarung der Abfindung von Ansprüchen auf Ersatz von Beiträgen zur Rentenversicherung mit einem ihrem Kapitalwert entsprechenden Betrag ist im Einzelfall zulässig. </w:t>
      </w:r>
      <w:r>
        <w:rPr>
          <w:rStyle w:val="Satznummer"/>
        </w:rPr>
        <w:t>2</w:t>
      </w:r>
      <w:r>
        <w:t>Im Fall des Absatzes 1 Satz 1 Nr. 1 gelten für die Mitwirkungspflichten des Geschädigten die §§ 60, 61, 65 Abs. 1 und 3 sowie § 65a des Ersten Buches entsprechend.</w:t>
      </w:r>
    </w:p>
    <w:p>
      <w:pPr>
        <w:pStyle w:val="Heading1"/>
      </w:pPr>
      <w:bookmarkStart w:id="160" w:name="b159"/>
      <w:r>
        <w:t>Viertes Kapitel Übergangs- und Schlussvorschriften</w:t>
      </w:r>
      <w:bookmarkEnd w:id="160"/>
    </w:p>
    <w:p>
      <w:pPr>
        <w:pStyle w:val="Heading2"/>
      </w:pPr>
      <w:bookmarkStart w:id="161" w:name="b160"/>
      <w:r>
        <w:t>§ 120 Übergangsregelung</w:t>
      </w:r>
      <w:r>
        <w:t xml:space="preserve"> </w:t>
      </w:r>
      <w:r>
        <w:rPr>
          <w:rStyle w:val="Suchmarke"/>
        </w:rPr>
        <w:t>#120#</w:t>
      </w:r>
      <w:bookmarkEnd w:id="161"/>
    </w:p>
    <w:p>
      <w:r>
        <w:t xml:space="preserve">(1) </w:t>
      </w:r>
      <w:r>
        <w:rPr>
          <w:rStyle w:val="Satznummer"/>
        </w:rPr>
        <w:t>1</w:t>
      </w:r>
      <w:r>
        <w:t xml:space="preserve">Die </w:t>
      </w:r>
      <w:hyperlink w:anchor="b155" w:history="1">
        <w:r>
          <w:rPr>
            <w:color w:val="0A3A8C"/>
            <w:u w:val="single"/>
          </w:rPr>
          <w:t xml:space="preserve">§§ 116</w:t>
        </w:r>
      </w:hyperlink>
      <w:r>
        <w:t xml:space="preserve"> bis </w:t>
      </w:r>
      <w:hyperlink w:anchor="b158" w:history="1">
        <w:r>
          <w:rPr>
            <w:color w:val="0A3A8C"/>
            <w:u w:val="single"/>
          </w:rPr>
          <w:t xml:space="preserve">119</w:t>
        </w:r>
      </w:hyperlink>
      <w:r>
        <w:t xml:space="preserve"> sind nur auf Schadensereignisse nach dem 30. Juni 1983 anzuwenden; für frühere Schadensereignisse gilt das bis 30. Juni 1983 geltende Recht weiter. </w:t>
      </w:r>
      <w:r>
        <w:rPr>
          <w:rStyle w:val="Satznummer"/>
        </w:rPr>
        <w:t>2</w:t>
      </w:r>
      <w:r>
        <w:t xml:space="preserve">Ist das Schadensereignis nach dem 30. Juni 1983 eingetreten, sind § 116 Abs. 1 Satz 2 und § 119 Abs. 1, 3 und 4 in der ab 1. Januar 2001 geltenden Fassung auf einen Sachverhalt auch dann anzuwenden, wenn der Sachverhalt bereits vor diesem Zeitpunkt bestanden hat und darüber noch nicht abschließend entschieden ist. </w:t>
      </w:r>
      <w:r>
        <w:rPr>
          <w:rStyle w:val="Satznummer"/>
        </w:rPr>
        <w:t>3</w:t>
      </w:r>
      <w:hyperlink w:anchor="b155" w:history="1">
        <w:r>
          <w:rPr>
            <w:color w:val="0A3A8C"/>
            <w:u w:val="single"/>
          </w:rPr>
          <w:t xml:space="preserve">§ 116</w:t>
        </w:r>
      </w:hyperlink>
      <w:r>
        <w:t xml:space="preserve"> Absatz 6 ist nur auf Schadensereignisse nach dem 31. Dezember 2020 anzuwenden; für frühere Schadensereignisse gilt das bis 31. Dezember 2020 geltende Recht weiter.</w:t>
      </w:r>
    </w:p>
    <w:p>
      <w:r>
        <w:t xml:space="preserve">(2) </w:t>
      </w:r>
      <w:hyperlink w:anchor="b149" w:history="1">
        <w:r>
          <w:rPr>
            <w:color w:val="0A3A8C"/>
            <w:u w:val="single"/>
          </w:rPr>
          <w:t xml:space="preserve">§ 111</w:t>
        </w:r>
      </w:hyperlink>
      <w:r>
        <w:t xml:space="preserve"> Satz 2 und </w:t>
      </w:r>
      <w:hyperlink w:anchor="b151" w:history="1">
        <w:r>
          <w:rPr>
            <w:color w:val="0A3A8C"/>
            <w:u w:val="single"/>
          </w:rPr>
          <w:t xml:space="preserve">§ 113</w:t>
        </w:r>
      </w:hyperlink>
      <w:r>
        <w:t xml:space="preserve"> Abs. 1 Satz 1 sind in der vom 1. Januar 2001 an geltenden Fassung auf die Erstattungsverfahren anzuwenden, die am 1. Juni 2000 noch nicht abschließend entschieden waren.</w:t>
      </w:r>
    </w:p>
    <w:p>
      <w:r>
        <w:t>(3) Eine Rückerstattung ist in den am 1. Januar 2001 bereits abschließend entschiedenen Fällen ausgeschlossen, wenn die Erstattung nach § 111 Satz 2 in der ab 1. Januar 2001 geltenden Fassung zu Recht erfolgt ist.</w:t>
      </w:r>
    </w:p>
    <w:p>
      <w:r>
        <w:t>(4) (weggefallen)</w:t>
      </w:r>
    </w:p>
    <w:p>
      <w:r>
        <w:t xml:space="preserve">(5) Artikel 229 § 6 Abs. 1 bis 4 des Einführungsgesetzes zum Bürgerlichen Gesetzbuche gilt entsprechend bei der Anwendung des </w:t>
      </w:r>
      <w:hyperlink w:anchor="b59" w:history="1">
        <w:r>
          <w:rPr>
            <w:color w:val="0A3A8C"/>
            <w:u w:val="single"/>
          </w:rPr>
          <w:t xml:space="preserve">§ 50</w:t>
        </w:r>
      </w:hyperlink>
      <w:r>
        <w:t xml:space="preserve"> Abs. 4 Satz 2 und der §§ 52 und 113 Abs. 2 in der seit dem 1. Januar 2002 geltenden Fassung.</w:t>
      </w:r>
    </w:p>
    <w:p>
      <w:r>
        <w:t>(6) § 66 Abs. 1 Satz 3 bis 5, Abs. 2 und 3 Satz 2 in der ab dem 30. März 2005 geltenden Fassung gilt nur für Bestellungen zu Vollstreckungs- und Vollziehungsbeamten ab dem 30. März 2005.</w:t>
      </w:r>
    </w:p>
    <w:p>
      <w:r>
        <w:t xml:space="preserve">(7) </w:t>
      </w:r>
      <w:hyperlink w:anchor="b129" w:history="1">
        <w:r>
          <w:rPr>
            <w:color w:val="0A3A8C"/>
            <w:u w:val="single"/>
          </w:rPr>
          <w:t xml:space="preserve">§ 94</w:t>
        </w:r>
      </w:hyperlink>
      <w:r>
        <w:t xml:space="preserve"> Absatz 1a Satz 3 findet nur Anwendung auf die Bildung von oder den Beitritt zu Arbeitsgemeinschaften, wenn die Bildung oder der Beitritt nach dem 30. Juni 2020 erfolgt; die am 30. Juni 2020 bereits bestehenden Arbeitsgemeinschaften dürfen weitergeführt werden.</w:t>
      </w:r>
    </w:p>
    <w:p>
      <w:r>
        <w:t>(8) (weggefallen)</w:t>
      </w:r>
    </w:p>
    <w:p>
      <w:pPr>
        <w:spacing w:before="480"/>
      </w:pPr>
      <w:r>
        <w:t xml:space="preserve">Ende des Gesetzes: Zehntes Buch Sozialgesetzbuch - Sozialverwaltungsverfahren und Sozialdatenschutz - (SGB X)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gb_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Zehntes Buch Sozialgesetzbuch - Sozialverwaltungsverfahren und Sozialdatenschutz - (SGB X)</dc:title>
  <dc:subject>Nicht amtliche Fassung</dc:subject>
  <dc:creator>Barrierefreie Gesetze</dc:creator>
  <cp:keywords/>
  <dc:description/>
  <cp:lastModifiedBy>Barrierefreie Gesetze</cp:lastModifiedBy>
  <cp:revision>1</cp:revision>
  <dcterms:created xsi:type="dcterms:W3CDTF">2026-10-19T19:53:07Z</dcterms:created>
  <dcterms:modified xsi:type="dcterms:W3CDTF">2026-10-19T19:53:07Z</dcterms:modified>
  <cp:category/>
  <dc:language>de-DE</dc:language>
</cp:coreProperties>
</file>