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Verordnung zur Verwendung von Gebärdensprache und anderen Kommunikationshilfen im Verwaltungsverfahren nach dem Behindertengleichstellungsgesetz, Kommunikationshilfenverordnung (KHV)</w:t>
      </w:r>
    </w:p>
    <w:p>
      <w:pPr>
        <w:pStyle w:val="Stand"/>
      </w:pPr>
      <w:r>
        <w:rPr>
          <w:b/>
        </w:rPr>
        <w:t>Nicht amtliche Fassung.</w:t>
      </w:r>
    </w:p>
    <w:p>
      <w:pPr>
        <w:pStyle w:val="Stand"/>
      </w:pPr>
      <w:r>
        <w:t>Die Satznummern sind berechnet, nicht amtlich.</w:t>
      </w:r>
    </w:p>
    <w:p>
      <w:pPr>
        <w:pStyle w:val="Stand"/>
      </w:pPr>
      <w:r>
        <w:rPr>
          <w:b/>
        </w:rPr>
        <w:t xml:space="preserve">Erstfassung/Ausfertigung: </w:t>
      </w:r>
      <w:r>
        <w:t>17.07.2002</w:t>
      </w:r>
    </w:p>
    <w:p>
      <w:pPr>
        <w:pStyle w:val="Stand"/>
      </w:pPr>
      <w:r>
        <w:rPr>
          <w:b/>
        </w:rPr>
        <w:t xml:space="preserve">Letzte Änderung: </w:t>
      </w:r>
      <w:r>
        <w:t>Art. 12 Abs. 2 G v. 21.12.2020 I 3229</w:t>
      </w:r>
    </w:p>
    <w:p>
      <w:pPr>
        <w:pStyle w:val="Stand"/>
      </w:pPr>
      <w:r>
        <w:rPr>
          <w:b/>
        </w:rPr>
        <w:t xml:space="preserve">Diese Fassung abgerufen am: </w:t>
      </w:r>
      <w:r>
        <w:t>19.10.2026</w:t>
      </w:r>
    </w:p>
    <w:p>
      <w:pPr>
        <w:pStyle w:val="Stand"/>
      </w:pPr>
      <w:r>
        <w:rPr>
          <w:b/>
        </w:rPr>
        <w:t xml:space="preserve">Quelle: </w:t>
      </w:r>
      <w:hyperlink r:id="rId10">
        <w:r>
          <w:rPr>
            <w:color w:val="0A3A8C"/>
            <w:u w:val="single"/>
          </w:rPr>
          <w:t xml:space="preserve">gesetze-im-internet.de</w:t>
        </w:r>
      </w:hyperlink>
    </w:p>
    <w:p>
      <w:pPr>
        <w:pStyle w:val="Heading1"/>
      </w:pPr>
      <w:r>
        <w:t>Inhaltsübersicht</w:t>
      </w:r>
    </w:p>
    <w:p>
      <w:pPr>
        <w:pStyle w:val="Übersicht"/>
        <w:ind w:left="0"/>
      </w:pPr>
      <w:hyperlink w:anchor="b0" w:history="1">
        <w:r>
          <w:rPr>
            <w:color w:val="0A3A8C"/>
            <w:u w:val="single"/>
          </w:rPr>
          <w:t xml:space="preserve">Eingangsformel</w:t>
        </w:r>
      </w:hyperlink>
    </w:p>
    <w:p>
      <w:pPr>
        <w:pStyle w:val="Übersicht"/>
        <w:ind w:left="0"/>
      </w:pPr>
      <w:hyperlink w:anchor="b1" w:history="1">
        <w:r>
          <w:rPr>
            <w:color w:val="0A3A8C"/>
            <w:u w:val="single"/>
          </w:rPr>
          <w:t xml:space="preserve">§ 1 Anwendungsbereich und Anlass</w:t>
        </w:r>
      </w:hyperlink>
    </w:p>
    <w:p>
      <w:pPr>
        <w:pStyle w:val="Übersicht"/>
        <w:ind w:left="0"/>
      </w:pPr>
      <w:hyperlink w:anchor="b2" w:history="1">
        <w:r>
          <w:rPr>
            <w:color w:val="0A3A8C"/>
            <w:u w:val="single"/>
          </w:rPr>
          <w:t xml:space="preserve">§ 2 Umfang des Anspruchs</w:t>
        </w:r>
      </w:hyperlink>
    </w:p>
    <w:p>
      <w:pPr>
        <w:pStyle w:val="Übersicht"/>
        <w:ind w:left="0"/>
      </w:pPr>
      <w:hyperlink w:anchor="b3" w:history="1">
        <w:r>
          <w:rPr>
            <w:color w:val="0A3A8C"/>
            <w:u w:val="single"/>
          </w:rPr>
          <w:t xml:space="preserve">§ 3 Kommunikationshilfen</w:t>
        </w:r>
      </w:hyperlink>
    </w:p>
    <w:p>
      <w:pPr>
        <w:pStyle w:val="Übersicht"/>
        <w:ind w:left="0"/>
      </w:pPr>
      <w:hyperlink w:anchor="b4" w:history="1">
        <w:r>
          <w:rPr>
            <w:color w:val="0A3A8C"/>
            <w:u w:val="single"/>
          </w:rPr>
          <w:t xml:space="preserve">§ 4 Art und Weise der Bereitstellung von geeigneten Kommunikationshilfen</w:t>
        </w:r>
      </w:hyperlink>
    </w:p>
    <w:p>
      <w:pPr>
        <w:pStyle w:val="Übersicht"/>
        <w:ind w:left="0"/>
      </w:pPr>
      <w:hyperlink w:anchor="b5" w:history="1">
        <w:r>
          <w:rPr>
            <w:color w:val="0A3A8C"/>
            <w:u w:val="single"/>
          </w:rPr>
          <w:t xml:space="preserve">§ 5 Grundsätze für eine angemessene Vergütung oder Erstattung</w:t>
        </w:r>
      </w:hyperlink>
    </w:p>
    <w:p>
      <w:pPr>
        <w:pStyle w:val="Heading1"/>
      </w:pPr>
      <w:bookmarkStart w:id="1" w:name="b0"/>
      <w:r>
        <w:t>Eingangsformel</w:t>
      </w:r>
      <w:bookmarkEnd w:id="1"/>
    </w:p>
    <w:p>
      <w:r>
        <w:t>Auf Grund des § 9 Abs. 2 des Behindertengleichstellungsgesetzes vom 27. April 2002 (BGBl. I S. 1467) verordnet das Bundesministerium des Innern im Einvernehmen mit dem Bundesministerium für Arbeit und Sozialordnung:</w:t>
      </w:r>
    </w:p>
    <w:p>
      <w:pPr>
        <w:pStyle w:val="Heading1"/>
      </w:pPr>
      <w:bookmarkStart w:id="2" w:name="b1"/>
      <w:r>
        <w:t>§ 1 Anwendungsbereich und Anlass</w:t>
      </w:r>
      <w:r>
        <w:t xml:space="preserve"> </w:t>
      </w:r>
      <w:r>
        <w:rPr>
          <w:rStyle w:val="Suchmarke"/>
        </w:rPr>
        <w:t>#1#</w:t>
      </w:r>
      <w:bookmarkEnd w:id="2"/>
    </w:p>
    <w:p>
      <w:r>
        <w:t>(1) Die Verordnung gilt für alle Menschen mit Hör- oder Sprachbehinderungen nach Maßgabe des § 3 des Behindertengleichstellungsgesetzes, die als Beteiligte eines Verwaltungsverfahrens zur Wahrnehmung eigener Rechte für die mündliche Kommunikation im Verwaltungsverfahren einen Anspruch auf Bereitstellung einer geeigneten Kommunikationshilfe haben (Berechtigte).</w:t>
      </w:r>
    </w:p>
    <w:p>
      <w:r>
        <w:t>(2) Die Berechtigten können ihren Anspruch nach § 9 Absatz 1 des Behindertengleichstellungsgesetzes gegenüber jedem Träger öffentlicher Gewalt im Sinne des § 1 Absatz 2 Satz 1 des Behindertengleichstellungsgesetzes geltend machen.</w:t>
      </w:r>
    </w:p>
    <w:p>
      <w:pPr>
        <w:pStyle w:val="Heading1"/>
      </w:pPr>
      <w:bookmarkStart w:id="3" w:name="b2"/>
      <w:r>
        <w:t>§ 2 Umfang des Anspruchs</w:t>
      </w:r>
      <w:r>
        <w:t xml:space="preserve"> </w:t>
      </w:r>
      <w:r>
        <w:rPr>
          <w:rStyle w:val="Suchmarke"/>
        </w:rPr>
        <w:t>#2#</w:t>
      </w:r>
      <w:bookmarkEnd w:id="3"/>
    </w:p>
    <w:p>
      <w:r>
        <w:t xml:space="preserve">(1) </w:t>
      </w:r>
      <w:r>
        <w:rPr>
          <w:rStyle w:val="Satznummer"/>
        </w:rPr>
        <w:t>1</w:t>
      </w:r>
      <w:r>
        <w:t xml:space="preserve">Der Anspruch auf Bereitstellung einer geeigneten Kommunikationshilfe besteht zur Wahrnehmung eigener Rechte in einem Verwaltungsverfahren in dem dafür notwendigen Umfang. </w:t>
      </w:r>
      <w:r>
        <w:rPr>
          <w:rStyle w:val="Satznummer"/>
        </w:rPr>
        <w:t>2</w:t>
      </w:r>
      <w:r>
        <w:t>Der notwendige Umfang bestimmt sich insbesondere nach dem individuellen Bedarf der Berechtigten.</w:t>
      </w:r>
    </w:p>
    <w:p>
      <w:r>
        <w:t xml:space="preserve">(2) </w:t>
      </w:r>
      <w:r>
        <w:rPr>
          <w:rStyle w:val="Satznummer"/>
        </w:rPr>
        <w:t>1</w:t>
      </w:r>
      <w:r>
        <w:t xml:space="preserve">Die Berechtigten haben nach Maßgabe des Absatzes 1 ein Wahlrecht hinsichtlich der zu benutzenden Kommunikationshilfe. </w:t>
      </w:r>
      <w:r>
        <w:rPr>
          <w:rStyle w:val="Satznummer"/>
        </w:rPr>
        <w:t>2</w:t>
      </w:r>
      <w:r>
        <w:t xml:space="preserve">Dies umfasst auch das Recht, eine geeignete Kommunikationshilfe selbst bereitzustellen. </w:t>
      </w:r>
      <w:r>
        <w:rPr>
          <w:rStyle w:val="Satznummer"/>
        </w:rPr>
        <w:t>3</w:t>
      </w:r>
      <w:r>
        <w:t xml:space="preserve">Die Berechtigten haben dem Träger öffentlicher Gewalt rechtzeitig mitzuteilen, inwieweit sie von ihrem Wahlrecht nach Satz 1 und 2 Gebrauch machen. </w:t>
      </w:r>
      <w:r>
        <w:rPr>
          <w:rStyle w:val="Satznummer"/>
        </w:rPr>
        <w:t>4</w:t>
      </w:r>
      <w:r>
        <w:t xml:space="preserve">Der Träger öffentlicher Gewalt kann die ausgewählte Kommunikationshilfe zurückweisen, wenn sie ungeeignet ist. </w:t>
      </w:r>
      <w:r>
        <w:rPr>
          <w:rStyle w:val="Satznummer"/>
        </w:rPr>
        <w:t>5</w:t>
      </w:r>
      <w:r>
        <w:t>Die Hör- oder Sprachbehinderung sowie die Wahlentscheidung nach Satz 1 sind aktenkundig zu machen und im weiteren Verwaltungsverfahren von Amts wegen zu berücksichtigen.</w:t>
      </w:r>
    </w:p>
    <w:p>
      <w:r>
        <w:t>(3) Erhält der Träger öffentlicher Gewalt Kenntnis von der Hör- oder Sprachbehinderung von Berechtigten im Verwaltungsverfahren, hat er diese auf ihr Recht auf barrierefreie Kommunikation und auf ihr Wahlrecht nach Absatz 2 hinzuweisen.</w:t>
      </w:r>
    </w:p>
    <w:p>
      <w:r>
        <w:t>(4) Zur Abwehr von unmittelbar bevorstehenden Gefahren für bedeutsame Rechtsgüter, wie etwa Leben, Gesundheit, Freiheit oder nicht unwesentliche Vermögenswerte, kann im Einzelfall von dem Einsatz einer Kommunikationshilfe abgesehen werden.</w:t>
      </w:r>
    </w:p>
    <w:p>
      <w:pPr>
        <w:pStyle w:val="Heading1"/>
      </w:pPr>
      <w:bookmarkStart w:id="4" w:name="b3"/>
      <w:r>
        <w:t>§ 3 Kommunikationshilfen</w:t>
      </w:r>
      <w:r>
        <w:t xml:space="preserve"> </w:t>
      </w:r>
      <w:r>
        <w:rPr>
          <w:rStyle w:val="Suchmarke"/>
        </w:rPr>
        <w:t>#3#</w:t>
      </w:r>
      <w:bookmarkEnd w:id="4"/>
    </w:p>
    <w:p>
      <w:r>
        <w:t>(1) Eine Kommunikationshilfe ist als geeignet anzusehen, wenn sie im konkreten Fall eine für die Wahrnehmung eigener Rechte im Verwaltungsverfahren erforderliche Verständigung sicherstellt.</w:t>
      </w:r>
    </w:p>
    <w:p>
      <w:r>
        <w:t xml:space="preserve">(2) </w:t>
      </w:r>
      <w:r>
        <w:rPr>
          <w:rStyle w:val="Satznummer"/>
        </w:rPr>
        <w:t>1</w:t>
      </w:r>
      <w:r>
        <w:t>Als Kommunikationshilfen kommen in Betracht:</w:t>
      </w:r>
    </w:p>
    <w:p>
      <w:pPr>
        <w:tabs>
          <w:tab w:pos="567" w:val="left"/>
        </w:tabs>
        <w:ind w:left="567" w:hanging="567"/>
      </w:pPr>
      <w:r>
        <w:t>1.</w:t>
      </w:r>
      <w:r>
        <w:tab/>
      </w:r>
      <w:r>
        <w:t>Gebärdensprachdolmetscherinnen und Gebärdensprachdolmetscher,</w:t>
      </w:r>
    </w:p>
    <w:p>
      <w:pPr>
        <w:tabs>
          <w:tab w:pos="567" w:val="left"/>
        </w:tabs>
        <w:ind w:left="567" w:hanging="567"/>
      </w:pPr>
      <w:r>
        <w:t>2.</w:t>
      </w:r>
      <w:r>
        <w:tab/>
      </w:r>
      <w:r>
        <w:t>Kommunikationshelferinnen und Kommunikationshelfer,</w:t>
      </w:r>
    </w:p>
    <w:p>
      <w:pPr>
        <w:tabs>
          <w:tab w:pos="567" w:val="left"/>
        </w:tabs>
        <w:ind w:left="567" w:hanging="567"/>
      </w:pPr>
      <w:r>
        <w:t>3.</w:t>
      </w:r>
      <w:r>
        <w:tab/>
      </w:r>
      <w:r>
        <w:t>Kommunikationsmethoden sowie</w:t>
      </w:r>
    </w:p>
    <w:p>
      <w:pPr>
        <w:tabs>
          <w:tab w:pos="567" w:val="left"/>
        </w:tabs>
        <w:ind w:left="567" w:hanging="567"/>
      </w:pPr>
      <w:r>
        <w:t>4.</w:t>
      </w:r>
      <w:r>
        <w:tab/>
      </w:r>
      <w:r>
        <w:t>Kommunikationsmittel.</w:t>
      </w:r>
    </w:p>
    <w:p>
      <w:r>
        <w:rPr>
          <w:rStyle w:val="Satznummer"/>
        </w:rPr>
        <w:t>2</w:t>
      </w:r>
      <w:r>
        <w:t>Kommunikationshelferinnen und Kommunikationshelfer nach Satz 1 Nummer 2 sind insbesondere</w:t>
      </w:r>
    </w:p>
    <w:p>
      <w:pPr>
        <w:tabs>
          <w:tab w:pos="567" w:val="left"/>
        </w:tabs>
        <w:ind w:left="567" w:hanging="567"/>
      </w:pPr>
      <w:r>
        <w:t>1.</w:t>
      </w:r>
      <w:r>
        <w:tab/>
      </w:r>
      <w:r>
        <w:t>Schriftdolmetscherinnen und Schriftdolmetscher,</w:t>
      </w:r>
    </w:p>
    <w:p>
      <w:pPr>
        <w:tabs>
          <w:tab w:pos="567" w:val="left"/>
        </w:tabs>
        <w:ind w:left="567" w:hanging="567"/>
      </w:pPr>
      <w:r>
        <w:t>2.</w:t>
      </w:r>
      <w:r>
        <w:tab/>
      </w:r>
      <w:r>
        <w:t>Simultanschriftdolmetscherinnen und Simultanschriftdolmetscher,</w:t>
      </w:r>
    </w:p>
    <w:p>
      <w:pPr>
        <w:tabs>
          <w:tab w:pos="567" w:val="left"/>
        </w:tabs>
        <w:ind w:left="567" w:hanging="567"/>
      </w:pPr>
      <w:r>
        <w:t>3.</w:t>
      </w:r>
      <w:r>
        <w:tab/>
      </w:r>
      <w:r>
        <w:t>Oraldolmetscherinnen und Oraldolmetscher,</w:t>
      </w:r>
    </w:p>
    <w:p>
      <w:pPr>
        <w:tabs>
          <w:tab w:pos="567" w:val="left"/>
        </w:tabs>
        <w:ind w:left="567" w:hanging="567"/>
      </w:pPr>
      <w:r>
        <w:t>4.</w:t>
      </w:r>
      <w:r>
        <w:tab/>
      </w:r>
      <w:r>
        <w:t>Kommunikationsassistentinnen und Kommunikationsassistenten oder</w:t>
      </w:r>
    </w:p>
    <w:p>
      <w:pPr>
        <w:tabs>
          <w:tab w:pos="567" w:val="left"/>
        </w:tabs>
        <w:ind w:left="567" w:hanging="567"/>
      </w:pPr>
      <w:r>
        <w:t>5.</w:t>
      </w:r>
      <w:r>
        <w:tab/>
      </w:r>
      <w:r>
        <w:t>sonstige Personen des Vertrauens der Berechtigten.</w:t>
      </w:r>
    </w:p>
    <w:p>
      <w:r>
        <w:rPr>
          <w:rStyle w:val="Satznummer"/>
        </w:rPr>
        <w:t>3</w:t>
      </w:r>
      <w:r>
        <w:t>Kommunikationsmethoden nach Satz 1 Nummer 3 sind insbesondere</w:t>
      </w:r>
    </w:p>
    <w:p>
      <w:pPr>
        <w:tabs>
          <w:tab w:pos="567" w:val="left"/>
        </w:tabs>
        <w:ind w:left="567" w:hanging="567"/>
      </w:pPr>
      <w:r>
        <w:t>1.</w:t>
      </w:r>
      <w:r>
        <w:tab/>
      </w:r>
      <w:r>
        <w:t>Lormen und taktil wahrnehmbare Gebärden oder</w:t>
      </w:r>
    </w:p>
    <w:p>
      <w:pPr>
        <w:tabs>
          <w:tab w:pos="567" w:val="left"/>
        </w:tabs>
        <w:ind w:left="567" w:hanging="567"/>
      </w:pPr>
      <w:r>
        <w:t>2.</w:t>
      </w:r>
      <w:r>
        <w:tab/>
      </w:r>
      <w:r>
        <w:t>gestützte Kommunikation für Menschen mit autistischer Störung.</w:t>
      </w:r>
    </w:p>
    <w:p>
      <w:r>
        <w:rPr>
          <w:rStyle w:val="Satznummer"/>
        </w:rPr>
        <w:t>4</w:t>
      </w:r>
      <w:r>
        <w:t>Kommunikationsmittel nach Satz 1 Nummer 4 sind insbesondere</w:t>
      </w:r>
    </w:p>
    <w:p>
      <w:pPr>
        <w:tabs>
          <w:tab w:pos="567" w:val="left"/>
        </w:tabs>
        <w:ind w:left="567" w:hanging="567"/>
      </w:pPr>
      <w:r>
        <w:t>1.</w:t>
      </w:r>
      <w:r>
        <w:tab/>
      </w:r>
      <w:r>
        <w:t>akustisch-technische Hilfen oder</w:t>
      </w:r>
    </w:p>
    <w:p>
      <w:pPr>
        <w:tabs>
          <w:tab w:pos="567" w:val="left"/>
        </w:tabs>
        <w:ind w:left="567" w:hanging="567"/>
      </w:pPr>
      <w:r>
        <w:t>2.</w:t>
      </w:r>
      <w:r>
        <w:tab/>
      </w:r>
      <w:r>
        <w:t>grafische Symbol-Systeme.</w:t>
      </w:r>
    </w:p>
    <w:p>
      <w:pPr>
        <w:pStyle w:val="Heading1"/>
      </w:pPr>
      <w:bookmarkStart w:id="5" w:name="b4"/>
      <w:r>
        <w:t>§ 4 Art und Weise der Bereitstellung von geeigneten Kommunikationshilfen</w:t>
      </w:r>
      <w:r>
        <w:t xml:space="preserve"> </w:t>
      </w:r>
      <w:r>
        <w:rPr>
          <w:rStyle w:val="Suchmarke"/>
        </w:rPr>
        <w:t>#4#</w:t>
      </w:r>
      <w:bookmarkEnd w:id="5"/>
    </w:p>
    <w:p>
      <w:r>
        <w:t>(1) Geeignete Kommunikationshilfen werden von dem Träger öffentlicher Gewalt kostenfrei bereitgestellt, es sei denn, die Berechtigten machen von ihrem Wahlrecht nach § 2 Absatz 2 Satz 2 Gebrauch.</w:t>
      </w:r>
    </w:p>
    <w:p>
      <w:r>
        <w:t>(2) Die Bundesfachstelle für Barrierefreiheit nach § 13 des Behindertengleichstellungsgesetzes berät und unterstützt den Träger öffentlicher Gewalt bei seiner Aufgabe nach Absatz 1.</w:t>
      </w:r>
    </w:p>
    <w:p>
      <w:pPr>
        <w:pStyle w:val="Heading1"/>
      </w:pPr>
      <w:bookmarkStart w:id="6" w:name="b5"/>
      <w:r>
        <w:t>§ 5 Grundsätze für eine angemessene Vergütung oder Erstattung</w:t>
      </w:r>
      <w:r>
        <w:t xml:space="preserve"> </w:t>
      </w:r>
      <w:r>
        <w:rPr>
          <w:rStyle w:val="Suchmarke"/>
        </w:rPr>
        <w:t>#5#</w:t>
      </w:r>
      <w:bookmarkEnd w:id="6"/>
    </w:p>
    <w:p>
      <w:r>
        <w:t>(1) Der Träger öffentlicher Gewalt richtet sich bei der Entschädigung von Gebärdensprachdolmetscherinnen und Gebärdensprachdolmetschern sowie Kommunikationshelferinnen und Kommunikationshelfern nach dem Justizvergütungs- und -entschädigungsgesetz.</w:t>
      </w:r>
    </w:p>
    <w:p>
      <w:r>
        <w:t xml:space="preserve">(2) Eine Vergütung in Höhe des Honorars für Dolmetscher gemäß § 9 Absatz 5 und 6 des Justizvergütungs- und -entschädigungsgesetzes erhalten Gebärdensprachdolmetscherinnen und Gebärdensprachdolmetscher nach </w:t>
      </w:r>
      <w:hyperlink w:anchor="b3" w:history="1">
        <w:r>
          <w:rPr>
            <w:color w:val="0A3A8C"/>
            <w:u w:val="single"/>
          </w:rPr>
          <w:t xml:space="preserve">§ 3</w:t>
        </w:r>
      </w:hyperlink>
      <w:r>
        <w:t xml:space="preserve"> Absatz 2 Satz 1 Nummer 1 sowie Kommunikationshelferinnen und Kommunikationshelfer nach </w:t>
      </w:r>
      <w:hyperlink w:anchor="b3" w:history="1">
        <w:r>
          <w:rPr>
            <w:color w:val="0A3A8C"/>
            <w:u w:val="single"/>
          </w:rPr>
          <w:t xml:space="preserve">§ 3</w:t>
        </w:r>
      </w:hyperlink>
      <w:r>
        <w:t xml:space="preserve"> Absatz 2 Satz 1 Nummer 2, Satz 2 Nummer 1 bis 4 mit nachgewiesener abgeschlossener Berufsausbildung oder staatlicher Anerkennung für das ausgeübte Tätigkeitsfeld.</w:t>
      </w:r>
    </w:p>
    <w:p>
      <w:r>
        <w:t xml:space="preserve">(3) Eine Vergütung in Höhe von 75 Prozent der Vergütung nach Absatz 2 erhalten Gebärdensprachdolmetscherinnen und Gebärdensprachdolmetscher nach </w:t>
      </w:r>
      <w:hyperlink w:anchor="b3" w:history="1">
        <w:r>
          <w:rPr>
            <w:color w:val="0A3A8C"/>
            <w:u w:val="single"/>
          </w:rPr>
          <w:t xml:space="preserve">§ 3</w:t>
        </w:r>
      </w:hyperlink>
      <w:r>
        <w:t xml:space="preserve"> Absatz 2 Satz 1 Nummer 1 sowie Kommunikationshelferinnen und Kommunikationshelfer nach </w:t>
      </w:r>
      <w:hyperlink w:anchor="b3" w:history="1">
        <w:r>
          <w:rPr>
            <w:color w:val="0A3A8C"/>
            <w:u w:val="single"/>
          </w:rPr>
          <w:t xml:space="preserve">§ 3</w:t>
        </w:r>
      </w:hyperlink>
      <w:r>
        <w:t xml:space="preserve"> Absatz 2 Satz 1 Nummer 2, Satz 2 Nummer 1 bis 4 mit nachgewiesener abgeschlossener Qualifizierung für das ausgeübte Tätigkeitsfeld.</w:t>
      </w:r>
    </w:p>
    <w:p>
      <w:r>
        <w:t xml:space="preserve">(4) Eine pauschale Abgeltung in Höhe von 25 Prozent der Vergütung nach Absatz 2, mindestens aber eine Abgeltung für die entstandenen Aufwendungen erhalten Gebärdensprachdolmetscherinnen und Gebärdensprachdolmetscher nach </w:t>
      </w:r>
      <w:hyperlink w:anchor="b3" w:history="1">
        <w:r>
          <w:rPr>
            <w:color w:val="0A3A8C"/>
            <w:u w:val="single"/>
          </w:rPr>
          <w:t xml:space="preserve">§ 3</w:t>
        </w:r>
      </w:hyperlink>
      <w:r>
        <w:t xml:space="preserve"> Absatz 2 Satz 1 Nummer 1 sowie Kommunikationshelferinnen und Kommunikationshelfer nach </w:t>
      </w:r>
      <w:hyperlink w:anchor="b3" w:history="1">
        <w:r>
          <w:rPr>
            <w:color w:val="0A3A8C"/>
            <w:u w:val="single"/>
          </w:rPr>
          <w:t xml:space="preserve">§ 3</w:t>
        </w:r>
      </w:hyperlink>
      <w:r>
        <w:t xml:space="preserve"> Absatz 2 Satz 1 Nummer 2, Satz 2 Nummer 1 bis 5 ohne nachgewiesene abgeschlossene Berufsausbildung oder Qualifizierung für das ausgeübte Tätigkeitsfeld.</w:t>
      </w:r>
    </w:p>
    <w:p>
      <w:r>
        <w:t>(5) Für den Einsatz sonstiger Kommunikationshilfen trägt der Träger öffentlicher Gewalt die entstandenen Aufwendungen.</w:t>
      </w:r>
    </w:p>
    <w:p>
      <w:r>
        <w:t>(6) Die Träger öffentlicher Gewalt können mit Gebärdensprachdolmetscherinnen und Gebärdensprachdolmetschern sowie Kommunikationshelferinnen und Kommunikationshelfern hinsichtlich der Vergütung und Abgeltung von den Absätzen 1 bis 4 abweichende Rahmenvereinbarungen treffen.</w:t>
      </w:r>
    </w:p>
    <w:p>
      <w:r>
        <w:t xml:space="preserve">(7) </w:t>
      </w:r>
      <w:r>
        <w:rPr>
          <w:rStyle w:val="Satznummer"/>
        </w:rPr>
        <w:t>1</w:t>
      </w:r>
      <w:r>
        <w:t xml:space="preserve">Der Träger öffentlicher Gewalt vergütet die Leistungen unmittelbar denjenigen, die sie erbracht haben. </w:t>
      </w:r>
      <w:r>
        <w:rPr>
          <w:rStyle w:val="Satznummer"/>
        </w:rPr>
        <w:t>2</w:t>
      </w:r>
      <w:r>
        <w:t xml:space="preserve">Stellen die Berechtigten die Kommunikationshilfe nach </w:t>
      </w:r>
      <w:hyperlink w:anchor="b2" w:history="1">
        <w:r>
          <w:rPr>
            <w:color w:val="0A3A8C"/>
            <w:u w:val="single"/>
          </w:rPr>
          <w:t xml:space="preserve">§ 2</w:t>
        </w:r>
      </w:hyperlink>
      <w:r>
        <w:t xml:space="preserve"> Absatz 2 Satz 2 selbst bereit, trägt der Träger öffentlicher Gewalt die Kosten nach den Absätzen 1 bis 5 nur nach Maßgabe des </w:t>
      </w:r>
      <w:hyperlink w:anchor="b2" w:history="1">
        <w:r>
          <w:rPr>
            <w:color w:val="0A3A8C"/>
            <w:u w:val="single"/>
          </w:rPr>
          <w:t xml:space="preserve">§ 2</w:t>
        </w:r>
      </w:hyperlink>
      <w:r>
        <w:t xml:space="preserve"> Absatz 1. </w:t>
      </w:r>
      <w:r>
        <w:rPr>
          <w:rStyle w:val="Satznummer"/>
        </w:rPr>
        <w:t>3</w:t>
      </w:r>
      <w:r>
        <w:t>In diesem Fall dürfen die Berechtigten nicht auf eine Erstattung verwiesen werden, es sei denn, sie wünschen dies oder es liegt ein sonstiger besonderer Grund vor.</w:t>
      </w:r>
    </w:p>
    <w:p>
      <w:pPr>
        <w:spacing w:before="480"/>
      </w:pPr>
      <w:r>
        <w:t xml:space="preserve">Ende des Gesetzes: Verordnung zur Verwendung von Gebärdensprache und anderen Kommunikationshilfen im Verwaltungsverfahren nach dem Behindertengleichstellungsgesetz, Kommunikationshilfenverordnung (KHV) </w:t>
      </w:r>
      <w:r>
        <w:rPr>
          <w:rStyle w:val="Suchmarke"/>
        </w:rPr>
        <w:t>#Ende#</w:t>
      </w:r>
    </w:p>
    <w:sectPr w:rsidR="00FC693F" w:rsidRPr="0006063C" w:rsidSect="00034616">
      <w:footerReference w:type="default" r:id="rId9"/>
      <w:pgSz w:w="12240" w:h="15840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tand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de-DE" w:eastAsia="de-DE" w:bidi="de-DE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Arial" w:hAnsi="Arial" w:eastAsia="Arial"/>
      <w:sz w:val="24"/>
      <w:lang w:val="de-DE" w:eastAsia="de-DE" w:bidi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="Arial" w:hAnsi="Arial" w:eastAsia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eastAsia="Arial"/>
      <w:b/>
      <w:bCs/>
      <w:color w:val="00000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="Arial" w:hAnsi="Arial" w:eastAsia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80" w:after="120"/>
      <w:outlineLvl w:val="3"/>
    </w:pPr>
    <w:rPr>
      <w:rFonts w:ascii="Arial" w:hAnsi="Arial" w:eastAsia="Arial"/>
      <w:b/>
      <w:bCs/>
      <w:i/>
      <w:iCs/>
      <w:color w:val="000000"/>
      <w:sz w:val="26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80" w:after="120"/>
      <w:outlineLvl w:val="4"/>
    </w:pPr>
    <w:rPr>
      <w:rFonts w:ascii="Arial" w:hAnsi="Arial" w:eastAsia="Arial"/>
      <w:b/>
      <w:color w:val="000000"/>
      <w:sz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80" w:after="120"/>
      <w:outlineLvl w:val="5"/>
    </w:pPr>
    <w:rPr>
      <w:rFonts w:ascii="Arial" w:hAnsi="Arial" w:eastAsia="Arial"/>
      <w:b/>
      <w:i/>
      <w:iCs/>
      <w:color w:val="000000"/>
      <w:sz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80" w:after="120"/>
      <w:outlineLvl w:val="6"/>
    </w:pPr>
    <w:rPr>
      <w:rFonts w:ascii="Arial" w:hAnsi="Arial" w:eastAsia="Arial"/>
      <w:b/>
      <w:i/>
      <w:iCs/>
      <w:color w:val="000000"/>
      <w:sz w:val="2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80" w:after="120"/>
      <w:outlineLvl w:val="7"/>
    </w:pPr>
    <w:rPr>
      <w:rFonts w:ascii="Arial" w:hAnsi="Arial" w:eastAsia="Arial"/>
      <w:b/>
      <w:color w:val="000000"/>
      <w:sz w:val="26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80" w:after="120"/>
      <w:outlineLvl w:val="8"/>
    </w:pPr>
    <w:rPr>
      <w:rFonts w:ascii="Arial" w:hAnsi="Arial" w:eastAsia="Arial"/>
      <w:b/>
      <w:i/>
      <w:iCs/>
      <w:color w:val="000000"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nd">
    <w:name w:val="Stand"/>
    <w:basedOn w:val="Normal"/>
  </w:style>
  <w:style w:type="paragraph" w:customStyle="1" w:styleId="Zwischentitel">
    <w:name w:val="Zwischentitel"/>
    <w:basedOn w:val="Normal"/>
    <w:pPr>
      <w:keepNext/>
    </w:pPr>
    <w:rPr>
      <w:b/>
    </w:rPr>
  </w:style>
  <w:style w:type="paragraph" w:customStyle="1" w:styleId="Fußnote">
    <w:name w:val="Fußnote"/>
    <w:basedOn w:val="Normal"/>
    <w:rPr>
      <w:sz w:val="22"/>
    </w:rPr>
  </w:style>
  <w:style w:type="paragraph" w:customStyle="1" w:styleId="Übersicht">
    <w:name w:val="Übersicht"/>
    <w:basedOn w:val="Normal"/>
    <w:pPr>
      <w:spacing w:after="40"/>
    </w:pPr>
  </w:style>
  <w:style w:type="character" w:customStyle="1" w:styleId="Satznummer">
    <w:name w:val="Satznummer"/>
    <w:rPr>
      <w:vertAlign w:val="superscript"/>
    </w:rPr>
  </w:style>
  <w:style w:type="character" w:customStyle="1" w:styleId="Fussnotenmarke">
    <w:name w:val="Fussnotenmarke"/>
    <w:rPr>
      <w:vertAlign w:val="superscript"/>
    </w:rPr>
  </w:style>
  <w:style w:type="character" w:customStyle="1" w:styleId="Suchmarke">
    <w:name w:val="Suchmarke"/>
    <w:rPr>
      <w:b w:val="0"/>
      <w:color w:val="4A2F00"/>
      <w:sz w:val="18"/>
    </w:rPr>
  </w:style>
  <w:style w:type="character" w:customStyle="1" w:styleId="Zusatz">
    <w:name w:val="Zusatz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gesetze-im-internet.de/khv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</Pages>
  <Words>0</Words>
  <Characters>0</Characters>
  <Application>Barrierefreie Gesetze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Verordnung zur Verwendung von Gebärdensprache und anderen Kommunikationshilfen im Verwaltungsverfahren nach dem Behindertengleichstellungsgesetz, Kommunikationshilfenverordnung (KHV)</dc:title>
  <dc:subject>Nicht amtliche Fassung</dc:subject>
  <dc:creator>Barrierefreie Gesetze</dc:creator>
  <cp:keywords/>
  <dc:description/>
  <cp:lastModifiedBy>Barrierefreie Gesetze</cp:lastModifiedBy>
  <cp:revision>1</cp:revision>
  <dcterms:created xsi:type="dcterms:W3CDTF">2026-10-19T19:53:14Z</dcterms:created>
  <dcterms:modified xsi:type="dcterms:W3CDTF">2026-10-19T19:53:14Z</dcterms:modified>
  <cp:category/>
  <dc:language>de-DE</dc:language>
</cp:coreProperties>
</file>